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3B217">
      <w:pPr>
        <w:spacing w:line="360" w:lineRule="auto"/>
        <w:jc w:val="center"/>
        <w:rPr>
          <w:rFonts w:hint="eastAsia" w:ascii="仿宋" w:hAnsi="仿宋" w:eastAsia="仿宋"/>
          <w:b/>
          <w:color w:val="000000" w:themeColor="text1"/>
          <w:sz w:val="24"/>
          <w:highlight w:val="none"/>
          <w:lang w:eastAsia="zh-CN"/>
          <w14:textFill>
            <w14:solidFill>
              <w14:schemeClr w14:val="tx1"/>
            </w14:solidFill>
          </w14:textFill>
        </w:rPr>
      </w:pPr>
    </w:p>
    <w:p w14:paraId="7DA54497">
      <w:pPr>
        <w:spacing w:line="360" w:lineRule="auto"/>
        <w:jc w:val="center"/>
        <w:rPr>
          <w:rFonts w:ascii="仿宋" w:hAnsi="仿宋" w:eastAsia="仿宋"/>
          <w:b/>
          <w:color w:val="000000" w:themeColor="text1"/>
          <w:sz w:val="24"/>
          <w:highlight w:val="none"/>
          <w14:textFill>
            <w14:solidFill>
              <w14:schemeClr w14:val="tx1"/>
            </w14:solidFill>
          </w14:textFill>
        </w:rPr>
      </w:pPr>
    </w:p>
    <w:p w14:paraId="0BA36A23">
      <w:pPr>
        <w:adjustRightInd/>
        <w:spacing w:line="360" w:lineRule="auto"/>
        <w:jc w:val="center"/>
        <w:rPr>
          <w:rFonts w:hint="eastAsia" w:ascii="仿宋" w:hAnsi="仿宋" w:eastAsia="仿宋"/>
          <w:b/>
          <w:color w:val="000000" w:themeColor="text1"/>
          <w:sz w:val="44"/>
          <w:szCs w:val="44"/>
          <w:highlight w:val="none"/>
          <w:lang w:eastAsia="zh-CN"/>
          <w14:textFill>
            <w14:solidFill>
              <w14:schemeClr w14:val="tx1"/>
            </w14:solidFill>
          </w14:textFill>
        </w:rPr>
      </w:pPr>
      <w:r>
        <w:rPr>
          <w:rFonts w:hint="eastAsia" w:ascii="仿宋" w:hAnsi="仿宋" w:eastAsia="仿宋"/>
          <w:b/>
          <w:color w:val="000000" w:themeColor="text1"/>
          <w:sz w:val="44"/>
          <w:szCs w:val="44"/>
          <w:highlight w:val="none"/>
          <w:lang w:eastAsia="zh-CN"/>
          <w14:textFill>
            <w14:solidFill>
              <w14:schemeClr w14:val="tx1"/>
            </w14:solidFill>
          </w14:textFill>
        </w:rPr>
        <w:t>杭州市滨江区2025-2026年居家养老综合服务封闭式框架协议采购项目</w:t>
      </w:r>
    </w:p>
    <w:p w14:paraId="6CC3F65A">
      <w:pPr>
        <w:adjustRightInd/>
        <w:spacing w:line="360" w:lineRule="auto"/>
        <w:jc w:val="center"/>
        <w:rPr>
          <w:rFonts w:ascii="仿宋" w:hAnsi="仿宋" w:eastAsia="仿宋"/>
          <w:b/>
          <w:color w:val="000000" w:themeColor="text1"/>
          <w:sz w:val="72"/>
          <w:szCs w:val="72"/>
          <w:highlight w:val="none"/>
          <w14:textFill>
            <w14:solidFill>
              <w14:schemeClr w14:val="tx1"/>
            </w14:solidFill>
          </w14:textFill>
        </w:rPr>
      </w:pPr>
    </w:p>
    <w:p w14:paraId="14A71B9D">
      <w:pPr>
        <w:adjustRightInd/>
        <w:spacing w:line="360" w:lineRule="auto"/>
        <w:jc w:val="center"/>
        <w:rPr>
          <w:rFonts w:ascii="仿宋" w:hAnsi="仿宋" w:eastAsia="仿宋"/>
          <w:b/>
          <w:color w:val="000000" w:themeColor="text1"/>
          <w:sz w:val="72"/>
          <w:szCs w:val="72"/>
          <w:highlight w:val="none"/>
          <w14:textFill>
            <w14:solidFill>
              <w14:schemeClr w14:val="tx1"/>
            </w14:solidFill>
          </w14:textFill>
        </w:rPr>
      </w:pPr>
      <w:r>
        <w:rPr>
          <w:rFonts w:hint="eastAsia" w:ascii="仿宋" w:hAnsi="仿宋" w:eastAsia="仿宋"/>
          <w:b/>
          <w:color w:val="000000" w:themeColor="text1"/>
          <w:sz w:val="72"/>
          <w:szCs w:val="72"/>
          <w:highlight w:val="none"/>
          <w14:textFill>
            <w14:solidFill>
              <w14:schemeClr w14:val="tx1"/>
            </w14:solidFill>
          </w14:textFill>
        </w:rPr>
        <w:t>征集文件</w:t>
      </w:r>
    </w:p>
    <w:p w14:paraId="74E56B39">
      <w:pPr>
        <w:adjustRightInd/>
        <w:spacing w:line="360" w:lineRule="auto"/>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(电子招投标)</w:t>
      </w:r>
    </w:p>
    <w:p w14:paraId="77C38BD4">
      <w:pPr>
        <w:spacing w:line="360" w:lineRule="auto"/>
        <w:jc w:val="center"/>
        <w:rPr>
          <w:rFonts w:ascii="仿宋" w:hAnsi="仿宋" w:eastAsia="仿宋"/>
          <w:b/>
          <w:color w:val="000000" w:themeColor="text1"/>
          <w:sz w:val="24"/>
          <w:highlight w:val="none"/>
          <w14:textFill>
            <w14:solidFill>
              <w14:schemeClr w14:val="tx1"/>
            </w14:solidFill>
          </w14:textFill>
        </w:rPr>
      </w:pPr>
    </w:p>
    <w:p w14:paraId="7E86DECF">
      <w:pPr>
        <w:snapToGrid w:val="0"/>
        <w:spacing w:line="360" w:lineRule="auto"/>
        <w:jc w:val="center"/>
        <w:rPr>
          <w:rFonts w:hint="eastAsia" w:ascii="仿宋" w:hAnsi="仿宋" w:eastAsia="仿宋"/>
          <w:color w:val="000000" w:themeColor="text1"/>
          <w:sz w:val="30"/>
          <w:szCs w:val="30"/>
          <w:highlight w:val="none"/>
          <w:lang w:eastAsia="zh-CN"/>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编号:</w:t>
      </w:r>
      <w:r>
        <w:rPr>
          <w:rFonts w:hint="eastAsia" w:ascii="仿宋" w:hAnsi="仿宋" w:eastAsia="仿宋"/>
          <w:color w:val="000000" w:themeColor="text1"/>
          <w:sz w:val="30"/>
          <w:szCs w:val="30"/>
          <w:highlight w:val="none"/>
          <w:lang w:eastAsia="zh-CN"/>
          <w14:textFill>
            <w14:solidFill>
              <w14:schemeClr w14:val="tx1"/>
            </w14:solidFill>
          </w14:textFill>
        </w:rPr>
        <w:t>ZY-BJMZ2025FG-01</w:t>
      </w:r>
    </w:p>
    <w:p w14:paraId="14519DBC">
      <w:pPr>
        <w:rPr>
          <w:color w:val="000000" w:themeColor="text1"/>
          <w:highlight w:val="none"/>
          <w14:textFill>
            <w14:solidFill>
              <w14:schemeClr w14:val="tx1"/>
            </w14:solidFill>
          </w14:textFill>
        </w:rPr>
      </w:pPr>
    </w:p>
    <w:p w14:paraId="5F606F72">
      <w:pPr>
        <w:rPr>
          <w:color w:val="000000" w:themeColor="text1"/>
          <w:highlight w:val="none"/>
          <w14:textFill>
            <w14:solidFill>
              <w14:schemeClr w14:val="tx1"/>
            </w14:solidFill>
          </w14:textFill>
        </w:rPr>
      </w:pPr>
    </w:p>
    <w:p w14:paraId="1CC5DA52">
      <w:pPr>
        <w:rPr>
          <w:color w:val="000000" w:themeColor="text1"/>
          <w:highlight w:val="none"/>
          <w14:textFill>
            <w14:solidFill>
              <w14:schemeClr w14:val="tx1"/>
            </w14:solidFill>
          </w14:textFill>
        </w:rPr>
      </w:pPr>
    </w:p>
    <w:p w14:paraId="09142A13">
      <w:pPr>
        <w:adjustRightInd/>
        <w:spacing w:line="360" w:lineRule="auto"/>
        <w:jc w:val="center"/>
        <w:rPr>
          <w:rFonts w:ascii="仿宋" w:hAnsi="仿宋" w:eastAsia="仿宋"/>
          <w:bCs/>
          <w:color w:val="000000" w:themeColor="text1"/>
          <w:sz w:val="32"/>
          <w:szCs w:val="32"/>
          <w:highlight w:val="none"/>
          <w14:textFill>
            <w14:solidFill>
              <w14:schemeClr w14:val="tx1"/>
            </w14:solidFill>
          </w14:textFill>
        </w:rPr>
      </w:pPr>
    </w:p>
    <w:p w14:paraId="4ED2F1D4">
      <w:pPr>
        <w:pStyle w:val="2"/>
        <w:rPr>
          <w:rFonts w:ascii="仿宋" w:hAnsi="仿宋" w:eastAsia="仿宋"/>
          <w:bCs/>
          <w:color w:val="000000" w:themeColor="text1"/>
          <w:sz w:val="32"/>
          <w:szCs w:val="32"/>
          <w:highlight w:val="none"/>
          <w14:textFill>
            <w14:solidFill>
              <w14:schemeClr w14:val="tx1"/>
            </w14:solidFill>
          </w14:textFill>
        </w:rPr>
      </w:pPr>
    </w:p>
    <w:p w14:paraId="4CD33AAD">
      <w:pPr>
        <w:rPr>
          <w:rFonts w:ascii="仿宋" w:hAnsi="仿宋" w:eastAsia="仿宋"/>
          <w:bCs/>
          <w:color w:val="000000" w:themeColor="text1"/>
          <w:sz w:val="32"/>
          <w:szCs w:val="32"/>
          <w:highlight w:val="none"/>
          <w14:textFill>
            <w14:solidFill>
              <w14:schemeClr w14:val="tx1"/>
            </w14:solidFill>
          </w14:textFill>
        </w:rPr>
      </w:pPr>
    </w:p>
    <w:p w14:paraId="0BD85F2F">
      <w:pPr>
        <w:pStyle w:val="2"/>
        <w:rPr>
          <w:color w:val="000000" w:themeColor="text1"/>
          <w:highlight w:val="none"/>
          <w14:textFill>
            <w14:solidFill>
              <w14:schemeClr w14:val="tx1"/>
            </w14:solidFill>
          </w14:textFill>
        </w:rPr>
      </w:pPr>
    </w:p>
    <w:p w14:paraId="4BA0EF71">
      <w:pPr>
        <w:adjustRightInd/>
        <w:spacing w:line="360" w:lineRule="auto"/>
        <w:jc w:val="center"/>
        <w:rPr>
          <w:rFonts w:ascii="仿宋" w:hAnsi="仿宋" w:eastAsia="仿宋"/>
          <w:bCs/>
          <w:color w:val="000000" w:themeColor="text1"/>
          <w:sz w:val="32"/>
          <w:szCs w:val="32"/>
          <w:highlight w:val="none"/>
          <w14:textFill>
            <w14:solidFill>
              <w14:schemeClr w14:val="tx1"/>
            </w14:solidFill>
          </w14:textFill>
        </w:rPr>
      </w:pPr>
    </w:p>
    <w:p w14:paraId="0BE972AB">
      <w:pPr>
        <w:adjustRightInd/>
        <w:spacing w:line="360" w:lineRule="auto"/>
        <w:jc w:val="center"/>
        <w:rPr>
          <w:rFonts w:ascii="仿宋" w:hAnsi="仿宋" w:eastAsia="仿宋"/>
          <w:bCs/>
          <w:color w:val="000000" w:themeColor="text1"/>
          <w:sz w:val="32"/>
          <w:szCs w:val="32"/>
          <w:highlight w:val="none"/>
          <w14:textFill>
            <w14:solidFill>
              <w14:schemeClr w14:val="tx1"/>
            </w14:solidFill>
          </w14:textFill>
        </w:rPr>
      </w:pPr>
    </w:p>
    <w:p w14:paraId="29735D0C">
      <w:pPr>
        <w:adjustRightInd/>
        <w:spacing w:line="360" w:lineRule="auto"/>
        <w:jc w:val="center"/>
        <w:rPr>
          <w:rFonts w:hint="eastAsia" w:ascii="仿宋" w:hAnsi="仿宋" w:eastAsia="仿宋"/>
          <w:bCs/>
          <w:color w:val="000000" w:themeColor="text1"/>
          <w:sz w:val="32"/>
          <w:szCs w:val="32"/>
          <w:highlight w:val="none"/>
          <w:lang w:eastAsia="zh-CN"/>
          <w14:textFill>
            <w14:solidFill>
              <w14:schemeClr w14:val="tx1"/>
            </w14:solidFill>
          </w14:textFill>
        </w:rPr>
      </w:pPr>
      <w:r>
        <w:rPr>
          <w:rFonts w:hint="eastAsia" w:ascii="仿宋" w:hAnsi="仿宋" w:eastAsia="仿宋"/>
          <w:bCs/>
          <w:color w:val="000000" w:themeColor="text1"/>
          <w:sz w:val="32"/>
          <w:szCs w:val="32"/>
          <w:highlight w:val="none"/>
          <w:lang w:eastAsia="zh-CN"/>
          <w14:textFill>
            <w14:solidFill>
              <w14:schemeClr w14:val="tx1"/>
            </w14:solidFill>
          </w14:textFill>
        </w:rPr>
        <w:t>杭州市滨江区民政局</w:t>
      </w:r>
    </w:p>
    <w:p w14:paraId="3D8A40D4">
      <w:pPr>
        <w:spacing w:line="360" w:lineRule="auto"/>
        <w:jc w:val="center"/>
        <w:rPr>
          <w:rFonts w:hint="eastAsia" w:ascii="仿宋" w:hAnsi="仿宋" w:eastAsia="仿宋"/>
          <w:bCs/>
          <w:color w:val="000000" w:themeColor="text1"/>
          <w:sz w:val="32"/>
          <w:szCs w:val="32"/>
          <w:highlight w:val="none"/>
          <w:lang w:eastAsia="zh-CN"/>
          <w14:textFill>
            <w14:solidFill>
              <w14:schemeClr w14:val="tx1"/>
            </w14:solidFill>
          </w14:textFill>
        </w:rPr>
      </w:pPr>
      <w:r>
        <w:rPr>
          <w:rFonts w:hint="eastAsia" w:ascii="仿宋" w:hAnsi="仿宋" w:eastAsia="仿宋"/>
          <w:bCs/>
          <w:color w:val="000000" w:themeColor="text1"/>
          <w:sz w:val="32"/>
          <w:szCs w:val="32"/>
          <w:highlight w:val="none"/>
          <w:lang w:eastAsia="zh-CN"/>
          <w14:textFill>
            <w14:solidFill>
              <w14:schemeClr w14:val="tx1"/>
            </w14:solidFill>
          </w14:textFill>
        </w:rPr>
        <w:t>浙江中跃科技咨询有限公司</w:t>
      </w:r>
    </w:p>
    <w:p w14:paraId="21519A53">
      <w:pPr>
        <w:snapToGrid w:val="0"/>
        <w:spacing w:line="360" w:lineRule="auto"/>
        <w:jc w:val="cente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二</w:t>
      </w:r>
      <w:r>
        <w:rPr>
          <w:rFonts w:hint="eastAsia" w:ascii="仿宋" w:hAnsi="仿宋" w:eastAsia="仿宋" w:cs="宋体"/>
          <w:color w:val="000000" w:themeColor="text1"/>
          <w:sz w:val="30"/>
          <w:szCs w:val="30"/>
          <w:highlight w:val="none"/>
          <w14:textFill>
            <w14:solidFill>
              <w14:schemeClr w14:val="tx1"/>
            </w14:solidFill>
          </w14:textFill>
        </w:rPr>
        <w:t>〇</w:t>
      </w:r>
      <w:r>
        <w:rPr>
          <w:rFonts w:hint="eastAsia" w:ascii="仿宋" w:hAnsi="仿宋" w:eastAsia="仿宋"/>
          <w:color w:val="000000" w:themeColor="text1"/>
          <w:sz w:val="30"/>
          <w:szCs w:val="30"/>
          <w:highlight w:val="none"/>
          <w14:textFill>
            <w14:solidFill>
              <w14:schemeClr w14:val="tx1"/>
            </w14:solidFill>
          </w14:textFill>
        </w:rPr>
        <w:t>二五年</w:t>
      </w:r>
      <w:r>
        <w:rPr>
          <w:rFonts w:hint="eastAsia" w:ascii="仿宋" w:hAnsi="仿宋" w:eastAsia="仿宋"/>
          <w:color w:val="000000" w:themeColor="text1"/>
          <w:sz w:val="30"/>
          <w:szCs w:val="30"/>
          <w:highlight w:val="none"/>
          <w:lang w:val="en-US" w:eastAsia="zh-CN"/>
          <w14:textFill>
            <w14:solidFill>
              <w14:schemeClr w14:val="tx1"/>
            </w14:solidFill>
          </w14:textFill>
        </w:rPr>
        <w:t>七</w:t>
      </w:r>
      <w:r>
        <w:rPr>
          <w:rFonts w:hint="eastAsia" w:ascii="仿宋" w:hAnsi="仿宋" w:eastAsia="仿宋"/>
          <w:color w:val="000000" w:themeColor="text1"/>
          <w:sz w:val="30"/>
          <w:szCs w:val="30"/>
          <w:highlight w:val="none"/>
          <w14:textFill>
            <w14:solidFill>
              <w14:schemeClr w14:val="tx1"/>
            </w14:solidFill>
          </w14:textFill>
        </w:rPr>
        <w:t>月</w:t>
      </w:r>
      <w:r>
        <w:rPr>
          <w:rFonts w:hint="eastAsia" w:ascii="仿宋" w:hAnsi="仿宋" w:eastAsia="仿宋"/>
          <w:color w:val="000000" w:themeColor="text1"/>
          <w:sz w:val="30"/>
          <w:szCs w:val="30"/>
          <w:highlight w:val="none"/>
          <w:lang w:val="en-US" w:eastAsia="zh-CN"/>
          <w14:textFill>
            <w14:solidFill>
              <w14:schemeClr w14:val="tx1"/>
            </w14:solidFill>
          </w14:textFill>
        </w:rPr>
        <w:t>十四</w:t>
      </w:r>
      <w:r>
        <w:rPr>
          <w:rFonts w:hint="eastAsia" w:ascii="仿宋" w:hAnsi="仿宋" w:eastAsia="仿宋"/>
          <w:color w:val="000000" w:themeColor="text1"/>
          <w:sz w:val="30"/>
          <w:szCs w:val="30"/>
          <w:highlight w:val="none"/>
          <w14:textFill>
            <w14:solidFill>
              <w14:schemeClr w14:val="tx1"/>
            </w14:solidFill>
          </w14:textFill>
        </w:rPr>
        <w:t>日</w:t>
      </w:r>
    </w:p>
    <w:p w14:paraId="02A16319">
      <w:pPr>
        <w:spacing w:line="360" w:lineRule="auto"/>
        <w:jc w:val="center"/>
        <w:rPr>
          <w:rFonts w:ascii="仿宋" w:hAnsi="仿宋" w:eastAsia="仿宋"/>
          <w:b/>
          <w:color w:val="000000" w:themeColor="text1"/>
          <w:sz w:val="48"/>
          <w:szCs w:val="48"/>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br w:type="page"/>
      </w:r>
      <w:bookmarkStart w:id="0" w:name="_Hlt67893495"/>
      <w:bookmarkEnd w:id="0"/>
      <w:r>
        <w:rPr>
          <w:rFonts w:hint="eastAsia" w:ascii="仿宋" w:hAnsi="仿宋" w:eastAsia="仿宋"/>
          <w:b/>
          <w:color w:val="000000" w:themeColor="text1"/>
          <w:sz w:val="48"/>
          <w:szCs w:val="48"/>
          <w:highlight w:val="none"/>
          <w14:textFill>
            <w14:solidFill>
              <w14:schemeClr w14:val="tx1"/>
            </w14:solidFill>
          </w14:textFill>
        </w:rPr>
        <w:t>目 录</w:t>
      </w:r>
    </w:p>
    <w:p w14:paraId="5CFD44E9">
      <w:pPr>
        <w:spacing w:line="360" w:lineRule="auto"/>
        <w:rPr>
          <w:rFonts w:ascii="仿宋" w:hAnsi="仿宋" w:eastAsia="仿宋"/>
          <w:color w:val="000000" w:themeColor="text1"/>
          <w:sz w:val="32"/>
          <w:szCs w:val="32"/>
          <w:highlight w:val="none"/>
          <w14:textFill>
            <w14:solidFill>
              <w14:schemeClr w14:val="tx1"/>
            </w14:solidFill>
          </w14:textFill>
        </w:rPr>
      </w:pPr>
    </w:p>
    <w:p w14:paraId="114E0938">
      <w:pPr>
        <w:spacing w:line="360" w:lineRule="auto"/>
        <w:rPr>
          <w:rFonts w:ascii="仿宋" w:hAnsi="仿宋" w:eastAsia="仿宋"/>
          <w:color w:val="000000" w:themeColor="text1"/>
          <w:sz w:val="32"/>
          <w:szCs w:val="32"/>
          <w:highlight w:val="none"/>
          <w14:textFill>
            <w14:solidFill>
              <w14:schemeClr w14:val="tx1"/>
            </w14:solidFill>
          </w14:textFill>
        </w:rPr>
      </w:pPr>
    </w:p>
    <w:p w14:paraId="5DA874B5">
      <w:pPr>
        <w:spacing w:line="360" w:lineRule="auto"/>
        <w:ind w:firstLine="1683" w:firstLineChars="526"/>
        <w:rPr>
          <w:rFonts w:hint="eastAsia" w:ascii="仿宋" w:hAnsi="仿宋" w:eastAsia="仿宋"/>
          <w:color w:val="000000" w:themeColor="text1"/>
          <w:sz w:val="32"/>
          <w:szCs w:val="32"/>
          <w:highlight w:val="none"/>
          <w:lang w:val="en-US" w:eastAsia="zh-CN"/>
          <w14:textFill>
            <w14:solidFill>
              <w14:schemeClr w14:val="tx1"/>
            </w14:solidFill>
          </w14:textFill>
        </w:rPr>
      </w:pPr>
      <w:bookmarkStart w:id="1" w:name="_Hlt91233176"/>
      <w:bookmarkEnd w:id="1"/>
      <w:bookmarkStart w:id="2" w:name="_Toc91899869"/>
      <w:r>
        <w:rPr>
          <w:rFonts w:hint="eastAsia" w:ascii="仿宋" w:hAnsi="仿宋" w:eastAsia="仿宋"/>
          <w:color w:val="000000" w:themeColor="text1"/>
          <w:sz w:val="32"/>
          <w:szCs w:val="32"/>
          <w:highlight w:val="none"/>
          <w:lang w:val="en-US" w:eastAsia="zh-CN"/>
          <w14:textFill>
            <w14:solidFill>
              <w14:schemeClr w14:val="tx1"/>
            </w14:solidFill>
          </w14:textFill>
        </w:rPr>
        <w:t>第一部分   征集公告</w:t>
      </w:r>
    </w:p>
    <w:p w14:paraId="76E5A359">
      <w:pPr>
        <w:spacing w:line="360" w:lineRule="auto"/>
        <w:ind w:firstLine="1683" w:firstLineChars="526"/>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第二部分   供应商须知</w:t>
      </w:r>
    </w:p>
    <w:p w14:paraId="7E71F5C8">
      <w:pPr>
        <w:spacing w:line="360" w:lineRule="auto"/>
        <w:ind w:firstLine="1683" w:firstLineChars="526"/>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第三部分   采购需求</w:t>
      </w:r>
    </w:p>
    <w:p w14:paraId="1F9A7652">
      <w:pPr>
        <w:spacing w:line="360" w:lineRule="auto"/>
        <w:ind w:firstLine="1683" w:firstLineChars="526"/>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第四部分   评标方法</w:t>
      </w:r>
    </w:p>
    <w:p w14:paraId="3EFA08B4">
      <w:pPr>
        <w:spacing w:line="360" w:lineRule="auto"/>
        <w:ind w:firstLine="1683" w:firstLineChars="526"/>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第五部分   拟签订的框架协议文本和采购合同文本</w:t>
      </w:r>
    </w:p>
    <w:p w14:paraId="0CA88AA6">
      <w:pPr>
        <w:spacing w:line="360" w:lineRule="auto"/>
        <w:ind w:firstLine="1683" w:firstLineChars="526"/>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第六部分   应提交的有关格式范例</w:t>
      </w:r>
    </w:p>
    <w:p w14:paraId="38CD4991">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49370BF1">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4920BB5E">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5F5954E8">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1739D8C9">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4B7D955F">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0BFF52DF">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47820CC2">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38B26F38">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3BBDF09C">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1B035987">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79CAD0A7">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1853A062">
      <w:pPr>
        <w:spacing w:line="360" w:lineRule="auto"/>
        <w:ind w:firstLine="549" w:firstLineChars="229"/>
        <w:rPr>
          <w:rFonts w:ascii="仿宋" w:hAnsi="仿宋" w:eastAsia="仿宋"/>
          <w:color w:val="000000" w:themeColor="text1"/>
          <w:sz w:val="24"/>
          <w:highlight w:val="none"/>
          <w14:textFill>
            <w14:solidFill>
              <w14:schemeClr w14:val="tx1"/>
            </w14:solidFill>
          </w14:textFill>
        </w:rPr>
      </w:pPr>
    </w:p>
    <w:p w14:paraId="5369045C">
      <w:pPr>
        <w:spacing w:line="360" w:lineRule="auto"/>
        <w:rPr>
          <w:rFonts w:ascii="仿宋" w:hAnsi="仿宋" w:eastAsia="仿宋"/>
          <w:color w:val="000000" w:themeColor="text1"/>
          <w:sz w:val="24"/>
          <w:highlight w:val="none"/>
          <w14:textFill>
            <w14:solidFill>
              <w14:schemeClr w14:val="tx1"/>
            </w14:solidFill>
          </w14:textFill>
        </w:rPr>
      </w:pPr>
    </w:p>
    <w:p w14:paraId="51916B3F">
      <w:pPr>
        <w:adjustRightInd/>
        <w:spacing w:line="360" w:lineRule="auto"/>
        <w:jc w:val="center"/>
        <w:outlineLvl w:val="0"/>
        <w:rPr>
          <w:rFonts w:ascii="仿宋" w:hAnsi="仿宋" w:eastAsia="仿宋"/>
          <w:color w:val="000000" w:themeColor="text1"/>
          <w:sz w:val="24"/>
          <w:highlight w:val="none"/>
          <w14:textFill>
            <w14:solidFill>
              <w14:schemeClr w14:val="tx1"/>
            </w14:solidFill>
          </w14:textFill>
        </w:rPr>
      </w:pPr>
      <w:bookmarkStart w:id="3" w:name="第一部分"/>
      <w:r>
        <w:rPr>
          <w:rFonts w:hint="eastAsia" w:ascii="仿宋" w:hAnsi="仿宋" w:eastAsia="仿宋"/>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b/>
          <w:color w:val="000000" w:themeColor="text1"/>
          <w:sz w:val="36"/>
          <w:szCs w:val="20"/>
          <w:highlight w:val="none"/>
          <w14:textFill>
            <w14:solidFill>
              <w14:schemeClr w14:val="tx1"/>
            </w14:solidFill>
          </w14:textFill>
        </w:rPr>
        <w:t>第一部分</w:t>
      </w:r>
      <w:r>
        <w:rPr>
          <w:rFonts w:hint="eastAsia" w:ascii="仿宋" w:hAnsi="仿宋" w:eastAsia="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b/>
          <w:color w:val="000000" w:themeColor="text1"/>
          <w:sz w:val="36"/>
          <w:szCs w:val="20"/>
          <w:highlight w:val="none"/>
          <w14:textFill>
            <w14:solidFill>
              <w14:schemeClr w14:val="tx1"/>
            </w14:solidFill>
          </w14:textFill>
        </w:rPr>
        <w:t>征集公告</w:t>
      </w:r>
    </w:p>
    <w:p w14:paraId="6A59EE53">
      <w:pPr>
        <w:pStyle w:val="28"/>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各潜在供应商：</w:t>
      </w:r>
    </w:p>
    <w:p w14:paraId="48746B3B">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lang w:eastAsia="zh-CN"/>
          <w14:textFill>
            <w14:solidFill>
              <w14:schemeClr w14:val="tx1"/>
            </w14:solidFill>
          </w14:textFill>
        </w:rPr>
        <w:t>杭州市滨江区民政局</w:t>
      </w:r>
      <w:r>
        <w:rPr>
          <w:rFonts w:hint="eastAsia" w:ascii="仿宋" w:hAnsi="仿宋" w:eastAsia="仿宋"/>
          <w:b w:val="0"/>
          <w:bCs/>
          <w:color w:val="000000" w:themeColor="text1"/>
          <w:sz w:val="24"/>
          <w:szCs w:val="24"/>
          <w:highlight w:val="none"/>
          <w14:textFill>
            <w14:solidFill>
              <w14:schemeClr w14:val="tx1"/>
            </w14:solidFill>
          </w14:textFill>
        </w:rPr>
        <w:t>作为征集人，就“</w:t>
      </w:r>
      <w:r>
        <w:rPr>
          <w:rFonts w:hint="eastAsia" w:ascii="仿宋" w:hAnsi="仿宋" w:eastAsia="仿宋"/>
          <w:b w:val="0"/>
          <w:bCs/>
          <w:color w:val="000000" w:themeColor="text1"/>
          <w:sz w:val="24"/>
          <w:szCs w:val="24"/>
          <w:highlight w:val="none"/>
          <w:lang w:eastAsia="zh-CN"/>
          <w14:textFill>
            <w14:solidFill>
              <w14:schemeClr w14:val="tx1"/>
            </w14:solidFill>
          </w14:textFill>
        </w:rPr>
        <w:t>杭州市滨江区2025-2026年居家养老综合服务封闭式框架协议采购项目</w:t>
      </w:r>
      <w:r>
        <w:rPr>
          <w:rFonts w:hint="eastAsia" w:ascii="仿宋" w:hAnsi="仿宋" w:eastAsia="仿宋"/>
          <w:b w:val="0"/>
          <w:bCs/>
          <w:color w:val="000000" w:themeColor="text1"/>
          <w:sz w:val="24"/>
          <w:szCs w:val="24"/>
          <w:highlight w:val="none"/>
          <w14:textFill>
            <w14:solidFill>
              <w14:schemeClr w14:val="tx1"/>
            </w14:solidFill>
          </w14:textFill>
        </w:rPr>
        <w:t>”邀请各潜在供应商参与本次公开征集的政府采购活动，现将有关事项公告如下：</w:t>
      </w:r>
    </w:p>
    <w:p w14:paraId="6BAFD8CC">
      <w:pPr>
        <w:pStyle w:val="28"/>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一、项目概况</w:t>
      </w:r>
    </w:p>
    <w:p w14:paraId="57562FF2">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1.项目名称：</w:t>
      </w:r>
      <w:r>
        <w:rPr>
          <w:rFonts w:hint="eastAsia" w:ascii="仿宋" w:hAnsi="仿宋" w:eastAsia="仿宋"/>
          <w:b w:val="0"/>
          <w:bCs/>
          <w:color w:val="000000" w:themeColor="text1"/>
          <w:sz w:val="24"/>
          <w:szCs w:val="24"/>
          <w:highlight w:val="none"/>
          <w:lang w:eastAsia="zh-CN"/>
          <w14:textFill>
            <w14:solidFill>
              <w14:schemeClr w14:val="tx1"/>
            </w14:solidFill>
          </w14:textFill>
        </w:rPr>
        <w:t>杭州市滨江区2025-2026年居家养老综合服务封闭式框架协议采购项目</w:t>
      </w:r>
    </w:p>
    <w:p w14:paraId="3AC05988">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000000" w:themeColor="text1"/>
          <w:sz w:val="24"/>
          <w:szCs w:val="24"/>
          <w:highlight w:val="none"/>
          <w:lang w:eastAsia="zh-CN"/>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2.项目编号：</w:t>
      </w:r>
      <w:r>
        <w:rPr>
          <w:rFonts w:hint="eastAsia" w:ascii="仿宋" w:hAnsi="仿宋" w:eastAsia="仿宋"/>
          <w:b w:val="0"/>
          <w:bCs/>
          <w:color w:val="000000" w:themeColor="text1"/>
          <w:sz w:val="24"/>
          <w:szCs w:val="24"/>
          <w:highlight w:val="none"/>
          <w:lang w:eastAsia="zh-CN"/>
          <w14:textFill>
            <w14:solidFill>
              <w14:schemeClr w14:val="tx1"/>
            </w14:solidFill>
          </w14:textFill>
        </w:rPr>
        <w:t>ZY-BJMZ2025FG-01</w:t>
      </w:r>
    </w:p>
    <w:p w14:paraId="0F819326">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3.入围数量：</w:t>
      </w:r>
    </w:p>
    <w:tbl>
      <w:tblPr>
        <w:tblStyle w:val="736"/>
        <w:tblW w:w="9766" w:type="dxa"/>
        <w:tblInd w:w="-3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4000"/>
        <w:gridCol w:w="4750"/>
      </w:tblGrid>
      <w:tr w14:paraId="4C996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16" w:type="dxa"/>
            <w:vAlign w:val="center"/>
          </w:tcPr>
          <w:p w14:paraId="58D9FFEC">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标项</w:t>
            </w:r>
          </w:p>
        </w:tc>
        <w:tc>
          <w:tcPr>
            <w:tcW w:w="4000" w:type="dxa"/>
            <w:vAlign w:val="center"/>
          </w:tcPr>
          <w:p w14:paraId="0B0D9720">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bCs w:val="0"/>
                <w:color w:val="000000" w:themeColor="text1"/>
                <w:sz w:val="24"/>
                <w:szCs w:val="24"/>
                <w:highlight w:val="none"/>
                <w:lang w:val="en-US" w:eastAsia="en-US"/>
                <w14:textFill>
                  <w14:solidFill>
                    <w14:schemeClr w14:val="tx1"/>
                  </w14:solidFill>
                </w14:textFill>
              </w:rPr>
            </w:pPr>
            <w:r>
              <w:rPr>
                <w:rFonts w:hint="eastAsia" w:ascii="仿宋" w:hAnsi="仿宋" w:eastAsia="仿宋"/>
                <w:b/>
                <w:bCs w:val="0"/>
                <w:color w:val="000000" w:themeColor="text1"/>
                <w:sz w:val="24"/>
                <w:szCs w:val="24"/>
                <w:highlight w:val="none"/>
                <w:lang w:val="en-US" w:eastAsia="en-US"/>
                <w14:textFill>
                  <w14:solidFill>
                    <w14:schemeClr w14:val="tx1"/>
                  </w14:solidFill>
                </w14:textFill>
              </w:rPr>
              <w:t>项目</w:t>
            </w:r>
          </w:p>
        </w:tc>
        <w:tc>
          <w:tcPr>
            <w:tcW w:w="4750" w:type="dxa"/>
            <w:vAlign w:val="center"/>
          </w:tcPr>
          <w:p w14:paraId="541E3538">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bCs w:val="0"/>
                <w:color w:val="000000" w:themeColor="text1"/>
                <w:sz w:val="24"/>
                <w:szCs w:val="24"/>
                <w:highlight w:val="none"/>
                <w:lang w:val="en-US" w:eastAsia="en-US"/>
                <w14:textFill>
                  <w14:solidFill>
                    <w14:schemeClr w14:val="tx1"/>
                  </w14:solidFill>
                </w14:textFill>
              </w:rPr>
            </w:pPr>
            <w:r>
              <w:rPr>
                <w:rFonts w:hint="eastAsia" w:ascii="仿宋" w:hAnsi="仿宋" w:eastAsia="仿宋"/>
                <w:b/>
                <w:bCs w:val="0"/>
                <w:color w:val="000000" w:themeColor="text1"/>
                <w:sz w:val="24"/>
                <w:szCs w:val="24"/>
                <w:highlight w:val="none"/>
                <w:lang w:val="en-US" w:eastAsia="en-US"/>
                <w14:textFill>
                  <w14:solidFill>
                    <w14:schemeClr w14:val="tx1"/>
                  </w14:solidFill>
                </w14:textFill>
              </w:rPr>
              <w:t>入围供应商数量</w:t>
            </w:r>
          </w:p>
        </w:tc>
      </w:tr>
      <w:tr w14:paraId="340FD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016" w:type="dxa"/>
            <w:vAlign w:val="center"/>
          </w:tcPr>
          <w:p w14:paraId="7E4F3332">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一</w:t>
            </w:r>
          </w:p>
        </w:tc>
        <w:tc>
          <w:tcPr>
            <w:tcW w:w="4000" w:type="dxa"/>
            <w:vAlign w:val="center"/>
          </w:tcPr>
          <w:p w14:paraId="5BDA6ECD">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000000" w:themeColor="text1"/>
                <w:sz w:val="24"/>
                <w:szCs w:val="24"/>
                <w:highlight w:val="none"/>
                <w:lang w:val="en-US" w:eastAsia="en-US"/>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区域型居家养老综合运营服务</w:t>
            </w:r>
          </w:p>
        </w:tc>
        <w:tc>
          <w:tcPr>
            <w:tcW w:w="4750" w:type="dxa"/>
            <w:vAlign w:val="center"/>
          </w:tcPr>
          <w:p w14:paraId="7C31A48F">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000000" w:themeColor="text1"/>
                <w:sz w:val="24"/>
                <w:szCs w:val="24"/>
                <w:highlight w:val="none"/>
                <w:lang w:val="en-US" w:eastAsia="en-US"/>
                <w14:textFill>
                  <w14:solidFill>
                    <w14:schemeClr w14:val="tx1"/>
                  </w14:solidFill>
                </w14:textFill>
              </w:rPr>
            </w:pPr>
            <w:r>
              <w:rPr>
                <w:rFonts w:hint="eastAsia" w:ascii="仿宋" w:hAnsi="仿宋" w:eastAsia="仿宋"/>
                <w:b w:val="0"/>
                <w:bCs/>
                <w:color w:val="000000" w:themeColor="text1"/>
                <w:sz w:val="24"/>
                <w:szCs w:val="24"/>
                <w:highlight w:val="none"/>
                <w:lang w:val="en-US" w:eastAsia="en-US"/>
                <w14:textFill>
                  <w14:solidFill>
                    <w14:schemeClr w14:val="tx1"/>
                  </w14:solidFill>
                </w14:textFill>
              </w:rPr>
              <w:t>入围供应商数量上限为</w:t>
            </w:r>
            <w:r>
              <w:rPr>
                <w:rFonts w:hint="eastAsia" w:ascii="仿宋" w:hAnsi="仿宋" w:eastAsia="仿宋"/>
                <w:b w:val="0"/>
                <w:bCs/>
                <w:color w:val="000000" w:themeColor="text1"/>
                <w:sz w:val="24"/>
                <w:szCs w:val="24"/>
                <w:highlight w:val="none"/>
                <w:lang w:val="en-US" w:eastAsia="zh-CN"/>
                <w14:textFill>
                  <w14:solidFill>
                    <w14:schemeClr w14:val="tx1"/>
                  </w14:solidFill>
                </w14:textFill>
              </w:rPr>
              <w:t>6</w:t>
            </w:r>
            <w:r>
              <w:rPr>
                <w:rFonts w:hint="eastAsia" w:ascii="仿宋" w:hAnsi="仿宋" w:eastAsia="仿宋"/>
                <w:b w:val="0"/>
                <w:bCs/>
                <w:color w:val="000000" w:themeColor="text1"/>
                <w:sz w:val="24"/>
                <w:szCs w:val="24"/>
                <w:highlight w:val="none"/>
                <w:lang w:val="en-US" w:eastAsia="en-US"/>
                <w14:textFill>
                  <w14:solidFill>
                    <w14:schemeClr w14:val="tx1"/>
                  </w14:solidFill>
                </w14:textFill>
              </w:rPr>
              <w:t>家</w:t>
            </w:r>
          </w:p>
        </w:tc>
      </w:tr>
      <w:tr w14:paraId="38F14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16" w:type="dxa"/>
            <w:vAlign w:val="center"/>
          </w:tcPr>
          <w:p w14:paraId="13D5C78C">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二</w:t>
            </w:r>
          </w:p>
        </w:tc>
        <w:tc>
          <w:tcPr>
            <w:tcW w:w="4000" w:type="dxa"/>
            <w:vAlign w:val="center"/>
          </w:tcPr>
          <w:p w14:paraId="1CFF8B98">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000000" w:themeColor="text1"/>
                <w:sz w:val="24"/>
                <w:szCs w:val="24"/>
                <w:highlight w:val="none"/>
                <w:lang w:val="en-US" w:eastAsia="en-US"/>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居家养老上门服务</w:t>
            </w:r>
          </w:p>
        </w:tc>
        <w:tc>
          <w:tcPr>
            <w:tcW w:w="4750" w:type="dxa"/>
            <w:vAlign w:val="center"/>
          </w:tcPr>
          <w:p w14:paraId="56F5EB16">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000000" w:themeColor="text1"/>
                <w:sz w:val="24"/>
                <w:szCs w:val="24"/>
                <w:highlight w:val="none"/>
                <w:lang w:val="en-US" w:eastAsia="en-US"/>
                <w14:textFill>
                  <w14:solidFill>
                    <w14:schemeClr w14:val="tx1"/>
                  </w14:solidFill>
                </w14:textFill>
              </w:rPr>
            </w:pPr>
            <w:r>
              <w:rPr>
                <w:rFonts w:hint="eastAsia" w:ascii="仿宋" w:hAnsi="仿宋" w:eastAsia="仿宋"/>
                <w:b w:val="0"/>
                <w:bCs/>
                <w:color w:val="000000" w:themeColor="text1"/>
                <w:sz w:val="24"/>
                <w:szCs w:val="24"/>
                <w:highlight w:val="none"/>
                <w:lang w:val="en-US" w:eastAsia="en-US"/>
                <w14:textFill>
                  <w14:solidFill>
                    <w14:schemeClr w14:val="tx1"/>
                  </w14:solidFill>
                </w14:textFill>
              </w:rPr>
              <w:t>入围供应商数量上限为</w:t>
            </w:r>
            <w:r>
              <w:rPr>
                <w:rFonts w:hint="eastAsia" w:ascii="仿宋" w:hAnsi="仿宋" w:eastAsia="仿宋"/>
                <w:b w:val="0"/>
                <w:bCs/>
                <w:color w:val="000000" w:themeColor="text1"/>
                <w:sz w:val="24"/>
                <w:szCs w:val="24"/>
                <w:highlight w:val="none"/>
                <w:lang w:val="en-US" w:eastAsia="zh-CN"/>
                <w14:textFill>
                  <w14:solidFill>
                    <w14:schemeClr w14:val="tx1"/>
                  </w14:solidFill>
                </w14:textFill>
              </w:rPr>
              <w:t>6</w:t>
            </w:r>
            <w:r>
              <w:rPr>
                <w:rFonts w:hint="eastAsia" w:ascii="仿宋" w:hAnsi="仿宋" w:eastAsia="仿宋"/>
                <w:b w:val="0"/>
                <w:bCs/>
                <w:color w:val="000000" w:themeColor="text1"/>
                <w:sz w:val="24"/>
                <w:szCs w:val="24"/>
                <w:highlight w:val="none"/>
                <w:lang w:val="en-US" w:eastAsia="en-US"/>
                <w14:textFill>
                  <w14:solidFill>
                    <w14:schemeClr w14:val="tx1"/>
                  </w14:solidFill>
                </w14:textFill>
              </w:rPr>
              <w:t>家</w:t>
            </w:r>
          </w:p>
        </w:tc>
      </w:tr>
    </w:tbl>
    <w:p w14:paraId="2CBB4E69">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4.适用采购人或者服务对象范围：</w:t>
      </w:r>
      <w:r>
        <w:rPr>
          <w:rFonts w:hint="eastAsia" w:ascii="仿宋" w:hAnsi="仿宋" w:eastAsia="仿宋"/>
          <w:b w:val="0"/>
          <w:bCs/>
          <w:color w:val="000000" w:themeColor="text1"/>
          <w:sz w:val="24"/>
          <w:szCs w:val="24"/>
          <w:highlight w:val="none"/>
          <w:lang w:eastAsia="zh-CN"/>
          <w14:textFill>
            <w14:solidFill>
              <w14:schemeClr w14:val="tx1"/>
            </w14:solidFill>
          </w14:textFill>
        </w:rPr>
        <w:t>杭州市滨江区民政局</w:t>
      </w:r>
      <w:r>
        <w:rPr>
          <w:rFonts w:hint="eastAsia" w:ascii="仿宋" w:hAnsi="仿宋" w:eastAsia="仿宋"/>
          <w:b w:val="0"/>
          <w:bCs/>
          <w:color w:val="000000" w:themeColor="text1"/>
          <w:sz w:val="24"/>
          <w:szCs w:val="24"/>
          <w:highlight w:val="none"/>
          <w14:textFill>
            <w14:solidFill>
              <w14:schemeClr w14:val="tx1"/>
            </w14:solidFill>
          </w14:textFill>
        </w:rPr>
        <w:t>。</w:t>
      </w:r>
    </w:p>
    <w:p w14:paraId="641D25EE">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5.采购需求：本次采购项目为</w:t>
      </w:r>
      <w:r>
        <w:rPr>
          <w:rFonts w:hint="eastAsia" w:ascii="仿宋" w:hAnsi="仿宋" w:eastAsia="仿宋"/>
          <w:b w:val="0"/>
          <w:bCs/>
          <w:color w:val="000000" w:themeColor="text1"/>
          <w:sz w:val="24"/>
          <w:szCs w:val="24"/>
          <w:highlight w:val="none"/>
          <w:lang w:val="en-US" w:eastAsia="zh-CN"/>
          <w14:textFill>
            <w14:solidFill>
              <w14:schemeClr w14:val="tx1"/>
            </w14:solidFill>
          </w14:textFill>
        </w:rPr>
        <w:t>杭</w:t>
      </w:r>
      <w:r>
        <w:rPr>
          <w:rFonts w:hint="eastAsia" w:ascii="仿宋" w:hAnsi="仿宋" w:eastAsia="仿宋"/>
          <w:b w:val="0"/>
          <w:bCs/>
          <w:color w:val="000000" w:themeColor="text1"/>
          <w:sz w:val="24"/>
          <w:szCs w:val="24"/>
          <w:highlight w:val="none"/>
          <w:lang w:eastAsia="zh-CN"/>
          <w14:textFill>
            <w14:solidFill>
              <w14:schemeClr w14:val="tx1"/>
            </w14:solidFill>
          </w14:textFill>
        </w:rPr>
        <w:t>州市滨江区2025-2026年居家养老综合服务封闭式框架协议采购项目</w:t>
      </w:r>
      <w:r>
        <w:rPr>
          <w:rFonts w:hint="eastAsia" w:ascii="仿宋" w:hAnsi="仿宋" w:eastAsia="仿宋"/>
          <w:b w:val="0"/>
          <w:bCs/>
          <w:color w:val="000000" w:themeColor="text1"/>
          <w:sz w:val="24"/>
          <w:szCs w:val="24"/>
          <w:highlight w:val="none"/>
          <w14:textFill>
            <w14:solidFill>
              <w14:schemeClr w14:val="tx1"/>
            </w14:solidFill>
          </w14:textFill>
        </w:rPr>
        <w:t>，具体要求以征集文件第三部分采购需求为准，供应商可点击本公告下方“浏览采购文件 ”查看采购需求。</w:t>
      </w:r>
    </w:p>
    <w:p w14:paraId="2B2430F1">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6</w:t>
      </w:r>
      <w:r>
        <w:rPr>
          <w:rFonts w:hint="eastAsia" w:ascii="仿宋" w:hAnsi="仿宋" w:eastAsia="仿宋"/>
          <w:b w:val="0"/>
          <w:bCs/>
          <w:color w:val="000000" w:themeColor="text1"/>
          <w:sz w:val="24"/>
          <w:szCs w:val="24"/>
          <w:highlight w:val="none"/>
          <w:lang w:eastAsia="zh-CN"/>
          <w14:textFill>
            <w14:solidFill>
              <w14:schemeClr w14:val="tx1"/>
            </w14:solidFill>
          </w14:textFill>
        </w:rPr>
        <w:t>.</w:t>
      </w:r>
      <w:r>
        <w:rPr>
          <w:rFonts w:hint="eastAsia" w:ascii="仿宋" w:hAnsi="仿宋" w:eastAsia="仿宋"/>
          <w:b w:val="0"/>
          <w:bCs/>
          <w:color w:val="000000" w:themeColor="text1"/>
          <w:sz w:val="24"/>
          <w:szCs w:val="24"/>
          <w:highlight w:val="none"/>
          <w14:textFill>
            <w14:solidFill>
              <w14:schemeClr w14:val="tx1"/>
            </w14:solidFill>
          </w14:textFill>
        </w:rPr>
        <w:t>本项目（</w:t>
      </w:r>
      <w:r>
        <w:rPr>
          <w:rFonts w:hint="eastAsia" w:ascii="仿宋" w:hAnsi="仿宋" w:eastAsia="仿宋"/>
          <w:b w:val="0"/>
          <w:bCs/>
          <w:color w:val="000000" w:themeColor="text1"/>
          <w:sz w:val="24"/>
          <w:szCs w:val="24"/>
          <w:highlight w:val="none"/>
          <w:lang w:val="en-US" w:eastAsia="zh-CN"/>
          <w14:textFill>
            <w14:solidFill>
              <w14:schemeClr w14:val="tx1"/>
            </w14:solidFill>
          </w14:textFill>
        </w:rPr>
        <w:t>不</w:t>
      </w:r>
      <w:r>
        <w:rPr>
          <w:rFonts w:hint="eastAsia" w:ascii="仿宋" w:hAnsi="仿宋" w:eastAsia="仿宋"/>
          <w:b w:val="0"/>
          <w:bCs/>
          <w:color w:val="000000" w:themeColor="text1"/>
          <w:sz w:val="24"/>
          <w:szCs w:val="24"/>
          <w:highlight w:val="none"/>
          <w14:textFill>
            <w14:solidFill>
              <w14:schemeClr w14:val="tx1"/>
            </w14:solidFill>
          </w14:textFill>
        </w:rPr>
        <w:t>接受）联合体参加。</w:t>
      </w:r>
    </w:p>
    <w:p w14:paraId="2383A20E">
      <w:pPr>
        <w:pStyle w:val="28"/>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
          <w:bCs w:val="0"/>
          <w:color w:val="000000" w:themeColor="text1"/>
          <w:sz w:val="24"/>
          <w:szCs w:val="24"/>
          <w:highlight w:val="none"/>
          <w14:textFill>
            <w14:solidFill>
              <w14:schemeClr w14:val="tx1"/>
            </w14:solidFill>
          </w14:textFill>
        </w:rPr>
        <w:t>二、供应商的资格条件</w:t>
      </w:r>
    </w:p>
    <w:p w14:paraId="68D67132">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1.满足《中华人民共和国政府采购法》第二十二条规定；未被“信用中国 ” （</w:t>
      </w:r>
      <w:r>
        <w:rPr>
          <w:rFonts w:hint="eastAsia" w:ascii="仿宋" w:hAnsi="仿宋" w:eastAsia="仿宋"/>
          <w:b w:val="0"/>
          <w:bCs/>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b w:val="0"/>
          <w:bCs/>
          <w:color w:val="000000" w:themeColor="text1"/>
          <w:sz w:val="24"/>
          <w:szCs w:val="24"/>
          <w:highlight w:val="none"/>
          <w:lang w:val="en-US" w:eastAsia="zh-CN"/>
          <w14:textFill>
            <w14:solidFill>
              <w14:schemeClr w14:val="tx1"/>
            </w14:solidFill>
          </w14:textFill>
        </w:rPr>
        <w:instrText xml:space="preserve"> HYPERLINK "https://www.creditchina.gov.cn" </w:instrText>
      </w:r>
      <w:r>
        <w:rPr>
          <w:rFonts w:hint="eastAsia" w:ascii="仿宋" w:hAnsi="仿宋" w:eastAsia="仿宋"/>
          <w:b w:val="0"/>
          <w:bCs/>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b w:val="0"/>
          <w:bCs/>
          <w:color w:val="000000" w:themeColor="text1"/>
          <w:sz w:val="24"/>
          <w:szCs w:val="24"/>
          <w:highlight w:val="none"/>
          <w:lang w:val="en-US" w:eastAsia="zh-CN"/>
          <w14:textFill>
            <w14:solidFill>
              <w14:schemeClr w14:val="tx1"/>
            </w14:solidFill>
          </w14:textFill>
        </w:rPr>
        <w:t>www.creditchina.gov.cn</w:t>
      </w:r>
      <w:r>
        <w:rPr>
          <w:rFonts w:hint="eastAsia" w:ascii="仿宋" w:hAnsi="仿宋" w:eastAsia="仿宋"/>
          <w:b w:val="0"/>
          <w:bCs/>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b w:val="0"/>
          <w:bCs/>
          <w:color w:val="000000" w:themeColor="text1"/>
          <w:sz w:val="24"/>
          <w:szCs w:val="24"/>
          <w:highlight w:val="none"/>
          <w:lang w:val="en-US" w:eastAsia="zh-CN"/>
          <w14:textFill>
            <w14:solidFill>
              <w14:schemeClr w14:val="tx1"/>
            </w14:solidFill>
          </w14:textFill>
        </w:rPr>
        <w:t>)、中国政府采购网（</w:t>
      </w:r>
      <w:r>
        <w:rPr>
          <w:rFonts w:hint="eastAsia" w:ascii="仿宋" w:hAnsi="仿宋" w:eastAsia="仿宋"/>
          <w:b w:val="0"/>
          <w:bCs/>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b w:val="0"/>
          <w:bCs/>
          <w:color w:val="000000" w:themeColor="text1"/>
          <w:sz w:val="24"/>
          <w:szCs w:val="24"/>
          <w:highlight w:val="none"/>
          <w:lang w:val="en-US" w:eastAsia="zh-CN"/>
          <w14:textFill>
            <w14:solidFill>
              <w14:schemeClr w14:val="tx1"/>
            </w14:solidFill>
          </w14:textFill>
        </w:rPr>
        <w:instrText xml:space="preserve"> HYPERLINK "https://www.ccgp.gov.cn" </w:instrText>
      </w:r>
      <w:r>
        <w:rPr>
          <w:rFonts w:hint="eastAsia" w:ascii="仿宋" w:hAnsi="仿宋" w:eastAsia="仿宋"/>
          <w:b w:val="0"/>
          <w:bCs/>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b w:val="0"/>
          <w:bCs/>
          <w:color w:val="000000" w:themeColor="text1"/>
          <w:sz w:val="24"/>
          <w:szCs w:val="24"/>
          <w:highlight w:val="none"/>
          <w:lang w:val="en-US" w:eastAsia="zh-CN"/>
          <w14:textFill>
            <w14:solidFill>
              <w14:schemeClr w14:val="tx1"/>
            </w14:solidFill>
          </w14:textFill>
        </w:rPr>
        <w:t>www.ccgp.gov.cn</w:t>
      </w:r>
      <w:r>
        <w:rPr>
          <w:rFonts w:hint="eastAsia" w:ascii="仿宋" w:hAnsi="仿宋" w:eastAsia="仿宋"/>
          <w:b w:val="0"/>
          <w:bCs/>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b w:val="0"/>
          <w:bCs/>
          <w:color w:val="000000" w:themeColor="text1"/>
          <w:sz w:val="24"/>
          <w:szCs w:val="24"/>
          <w:highlight w:val="none"/>
          <w:lang w:val="en-US" w:eastAsia="zh-CN"/>
          <w14:textFill>
            <w14:solidFill>
              <w14:schemeClr w14:val="tx1"/>
            </w14:solidFill>
          </w14:textFill>
        </w:rPr>
        <w:t>）列入失信被  执行人、重大税收违法案件当事人名单、政府采购严重违法失信行为记录名单；</w:t>
      </w:r>
    </w:p>
    <w:p w14:paraId="134C8FA8">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2.落实政府采购政策需满足的资格要求：</w:t>
      </w:r>
      <w:r>
        <w:rPr>
          <w:rFonts w:hint="eastAsia" w:ascii="仿宋" w:hAnsi="仿宋" w:eastAsia="仿宋" w:cs="Arial"/>
          <w:snapToGrid w:val="0"/>
          <w:color w:val="000000" w:themeColor="text1"/>
          <w:kern w:val="28"/>
          <w:sz w:val="24"/>
          <w:szCs w:val="24"/>
          <w:highlight w:val="none"/>
          <w:lang w:val="en-US" w:eastAsia="zh-CN" w:bidi="ar-SA"/>
          <w14:textFill>
            <w14:solidFill>
              <w14:schemeClr w14:val="tx1"/>
            </w14:solidFill>
          </w14:textFill>
        </w:rPr>
        <w:t>无。</w:t>
      </w:r>
    </w:p>
    <w:p w14:paraId="10614964">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3.本项目的特定资格要求：无。</w:t>
      </w:r>
    </w:p>
    <w:p w14:paraId="58B3F073">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4.单位负责人为同一人或者存在直接控股、管理关系的不同供应商，不得 参加同一合同项下的政府采购活动；为采购项目提供整体设计、规范编制或者项  目管理、监理、检测等服务后不得再参加该采购项目的其他采购活动</w:t>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t>。</w:t>
      </w:r>
    </w:p>
    <w:p w14:paraId="057528E4">
      <w:pPr>
        <w:pStyle w:val="28"/>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
          <w:bCs w:val="0"/>
          <w:color w:val="000000" w:themeColor="text1"/>
          <w:sz w:val="24"/>
          <w:szCs w:val="24"/>
          <w:highlight w:val="none"/>
          <w14:textFill>
            <w14:solidFill>
              <w14:schemeClr w14:val="tx1"/>
            </w14:solidFill>
          </w14:textFill>
        </w:rPr>
        <w:t>三、框架协议的期限</w:t>
      </w:r>
    </w:p>
    <w:p w14:paraId="60FF190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t>自框架协议生效之日起2年。</w:t>
      </w:r>
    </w:p>
    <w:p w14:paraId="0C7EBB26">
      <w:pPr>
        <w:pStyle w:val="28"/>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四、获取征集文件的时间、地点和方式</w:t>
      </w:r>
      <w:bookmarkStart w:id="422" w:name="_GoBack"/>
      <w:bookmarkEnd w:id="422"/>
    </w:p>
    <w:p w14:paraId="43535D9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t>时间：/至 2025 年0</w:t>
      </w:r>
      <w:r>
        <w:rPr>
          <w:rFonts w:hint="eastAsia" w:ascii="仿宋" w:hAnsi="仿宋" w:eastAsia="仿宋" w:cs="Arial"/>
          <w:snapToGrid w:val="0"/>
          <w:color w:val="000000" w:themeColor="text1"/>
          <w:kern w:val="28"/>
          <w:sz w:val="24"/>
          <w:szCs w:val="24"/>
          <w:highlight w:val="none"/>
          <w:lang w:val="en-US" w:eastAsia="zh-CN" w:bidi="ar-SA"/>
          <w14:textFill>
            <w14:solidFill>
              <w14:schemeClr w14:val="tx1"/>
            </w14:solidFill>
          </w14:textFill>
        </w:rPr>
        <w:t>8月04日</w:t>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t>，每天上午 00:00 至 12:00，下午 12:00 至 23:59 （北京时间，法定节假日除外）</w:t>
      </w:r>
    </w:p>
    <w:p w14:paraId="57EE556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t>地点：政采云平台（</w:t>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instrText xml:space="preserve"> HYPERLINK "https://www.zcygov.cn/" </w:instrText>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t>https://www.zcygov.cn/</w:t>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t>）</w:t>
      </w:r>
    </w:p>
    <w:p w14:paraId="46AA106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t>方式：供应商登录政采云平台</w:t>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instrText xml:space="preserve"> HYPERLINK "https://www.zcygov.cn/" </w:instrText>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t>https://www.zcygov.cn/</w:t>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Times New Roman"/>
          <w:b w:val="0"/>
          <w:bCs/>
          <w:snapToGrid w:val="0"/>
          <w:color w:val="000000" w:themeColor="text1"/>
          <w:kern w:val="2"/>
          <w:sz w:val="24"/>
          <w:szCs w:val="24"/>
          <w:highlight w:val="none"/>
          <w:lang w:val="en-US" w:eastAsia="zh-CN" w:bidi="ar-SA"/>
          <w14:textFill>
            <w14:solidFill>
              <w14:schemeClr w14:val="tx1"/>
            </w14:solidFill>
          </w14:textFill>
        </w:rPr>
        <w:t>在线申请获取采购文件（进 入“项目采购”应用，在获取采购文件菜单中选择项目，申请获取采购文件）</w:t>
      </w:r>
    </w:p>
    <w:p w14:paraId="30F624B1">
      <w:pPr>
        <w:pStyle w:val="13"/>
        <w:spacing w:line="360" w:lineRule="auto"/>
        <w:ind w:firstLine="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五、响应文件的提交方式、提交截止时间和地点，开启方式、时间和地点</w:t>
      </w:r>
    </w:p>
    <w:p w14:paraId="17FD817A">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响应文件提交截止时间： 2025 年</w:t>
      </w:r>
      <w:r>
        <w:rPr>
          <w:rFonts w:hint="eastAsia" w:ascii="仿宋" w:hAnsi="仿宋" w:eastAsia="仿宋" w:cs="Arial"/>
          <w:color w:val="000000" w:themeColor="text1"/>
          <w:sz w:val="24"/>
          <w:szCs w:val="24"/>
          <w:highlight w:val="none"/>
          <w:lang w:val="en-US" w:eastAsia="zh-CN"/>
          <w14:textFill>
            <w14:solidFill>
              <w14:schemeClr w14:val="tx1"/>
            </w14:solidFill>
          </w14:textFill>
        </w:rPr>
        <w:t>08</w:t>
      </w:r>
      <w:r>
        <w:rPr>
          <w:rFonts w:hint="eastAsia" w:ascii="仿宋" w:hAnsi="仿宋" w:eastAsia="仿宋" w:cs="Arial"/>
          <w:color w:val="000000" w:themeColor="text1"/>
          <w:sz w:val="24"/>
          <w:szCs w:val="24"/>
          <w:highlight w:val="none"/>
          <w14:textFill>
            <w14:solidFill>
              <w14:schemeClr w14:val="tx1"/>
            </w14:solidFill>
          </w14:textFill>
        </w:rPr>
        <w:t>月</w:t>
      </w:r>
      <w:r>
        <w:rPr>
          <w:rFonts w:hint="eastAsia" w:ascii="仿宋" w:hAnsi="仿宋" w:eastAsia="仿宋" w:cs="Arial"/>
          <w:color w:val="000000" w:themeColor="text1"/>
          <w:sz w:val="24"/>
          <w:szCs w:val="24"/>
          <w:highlight w:val="none"/>
          <w:lang w:val="en-US" w:eastAsia="zh-CN"/>
          <w14:textFill>
            <w14:solidFill>
              <w14:schemeClr w14:val="tx1"/>
            </w14:solidFill>
          </w14:textFill>
        </w:rPr>
        <w:t>04</w:t>
      </w:r>
      <w:r>
        <w:rPr>
          <w:rFonts w:hint="eastAsia" w:ascii="仿宋" w:hAnsi="仿宋" w:eastAsia="仿宋" w:cs="Arial"/>
          <w:color w:val="000000" w:themeColor="text1"/>
          <w:sz w:val="24"/>
          <w:szCs w:val="24"/>
          <w:highlight w:val="none"/>
          <w14:textFill>
            <w14:solidFill>
              <w14:schemeClr w14:val="tx1"/>
            </w14:solidFill>
          </w14:textFill>
        </w:rPr>
        <w:t>日</w:t>
      </w:r>
      <w:r>
        <w:rPr>
          <w:rFonts w:hint="eastAsia" w:ascii="仿宋" w:hAnsi="仿宋" w:eastAsia="仿宋" w:cs="Arial"/>
          <w:color w:val="000000" w:themeColor="text1"/>
          <w:sz w:val="24"/>
          <w:szCs w:val="24"/>
          <w:highlight w:val="none"/>
          <w:lang w:val="en-US" w:eastAsia="zh-CN"/>
          <w14:textFill>
            <w14:solidFill>
              <w14:schemeClr w14:val="tx1"/>
            </w14:solidFill>
          </w14:textFill>
        </w:rPr>
        <w:t>09:00</w:t>
      </w:r>
      <w:r>
        <w:rPr>
          <w:rFonts w:hint="eastAsia" w:ascii="仿宋" w:hAnsi="仿宋" w:eastAsia="仿宋" w:cs="Arial"/>
          <w:color w:val="000000" w:themeColor="text1"/>
          <w:sz w:val="24"/>
          <w:szCs w:val="24"/>
          <w:highlight w:val="none"/>
          <w14:textFill>
            <w14:solidFill>
              <w14:schemeClr w14:val="tx1"/>
            </w14:solidFill>
          </w14:textFill>
        </w:rPr>
        <w:t>（北京时间）</w:t>
      </w:r>
      <w:r>
        <w:rPr>
          <w:rFonts w:hint="eastAsia" w:ascii="仿宋" w:hAnsi="仿宋" w:eastAsia="仿宋" w:cs="Arial"/>
          <w:color w:val="000000" w:themeColor="text1"/>
          <w:sz w:val="24"/>
          <w:szCs w:val="24"/>
          <w:highlight w:val="none"/>
          <w:lang w:val="en-US" w:eastAsia="zh-CN"/>
          <w14:textFill>
            <w14:solidFill>
              <w14:schemeClr w14:val="tx1"/>
            </w14:solidFill>
          </w14:textFill>
        </w:rPr>
        <w:t>:</w:t>
      </w:r>
    </w:p>
    <w:p w14:paraId="272755B7">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响应文件提交地点（网址）：政采云平台（</w:t>
      </w:r>
      <w:r>
        <w:rPr>
          <w:rFonts w:hint="eastAsia" w:ascii="仿宋" w:hAnsi="仿宋" w:eastAsia="仿宋" w:cs="Arial"/>
          <w:color w:val="000000" w:themeColor="text1"/>
          <w:sz w:val="24"/>
          <w:szCs w:val="24"/>
          <w:highlight w:val="none"/>
          <w14:textFill>
            <w14:solidFill>
              <w14:schemeClr w14:val="tx1"/>
            </w14:solidFill>
          </w14:textFill>
        </w:rPr>
        <w:fldChar w:fldCharType="begin"/>
      </w:r>
      <w:r>
        <w:rPr>
          <w:rFonts w:hint="eastAsia" w:ascii="仿宋" w:hAnsi="仿宋" w:eastAsia="仿宋" w:cs="Arial"/>
          <w:color w:val="000000" w:themeColor="text1"/>
          <w:sz w:val="24"/>
          <w:szCs w:val="24"/>
          <w:highlight w:val="none"/>
          <w14:textFill>
            <w14:solidFill>
              <w14:schemeClr w14:val="tx1"/>
            </w14:solidFill>
          </w14:textFill>
        </w:rPr>
        <w:instrText xml:space="preserve"> HYPERLINK "https://www.zcygov.cn/" </w:instrText>
      </w:r>
      <w:r>
        <w:rPr>
          <w:rFonts w:hint="eastAsia" w:ascii="仿宋" w:hAnsi="仿宋" w:eastAsia="仿宋" w:cs="Arial"/>
          <w:color w:val="000000" w:themeColor="text1"/>
          <w:sz w:val="24"/>
          <w:szCs w:val="24"/>
          <w:highlight w:val="none"/>
          <w14:textFill>
            <w14:solidFill>
              <w14:schemeClr w14:val="tx1"/>
            </w14:solidFill>
          </w14:textFill>
        </w:rPr>
        <w:fldChar w:fldCharType="separate"/>
      </w:r>
      <w:r>
        <w:rPr>
          <w:rFonts w:hint="eastAsia" w:ascii="仿宋" w:hAnsi="仿宋" w:eastAsia="仿宋" w:cs="Arial"/>
          <w:color w:val="000000" w:themeColor="text1"/>
          <w:sz w:val="24"/>
          <w:szCs w:val="24"/>
          <w:highlight w:val="none"/>
          <w14:textFill>
            <w14:solidFill>
              <w14:schemeClr w14:val="tx1"/>
            </w14:solidFill>
          </w14:textFill>
        </w:rPr>
        <w:t>https://www.zcygov.cn/</w:t>
      </w:r>
      <w:r>
        <w:rPr>
          <w:rFonts w:hint="eastAsia" w:ascii="仿宋" w:hAnsi="仿宋" w:eastAsia="仿宋" w:cs="Arial"/>
          <w:color w:val="000000" w:themeColor="text1"/>
          <w:sz w:val="24"/>
          <w:szCs w:val="24"/>
          <w:highlight w:val="none"/>
          <w14:textFill>
            <w14:solidFill>
              <w14:schemeClr w14:val="tx1"/>
            </w14:solidFill>
          </w14:textFill>
        </w:rPr>
        <w:fldChar w:fldCharType="end"/>
      </w:r>
      <w:r>
        <w:rPr>
          <w:rFonts w:hint="eastAsia" w:ascii="仿宋" w:hAnsi="仿宋" w:eastAsia="仿宋" w:cs="Arial"/>
          <w:color w:val="000000" w:themeColor="text1"/>
          <w:sz w:val="24"/>
          <w:szCs w:val="24"/>
          <w:highlight w:val="none"/>
          <w14:textFill>
            <w14:solidFill>
              <w14:schemeClr w14:val="tx1"/>
            </w14:solidFill>
          </w14:textFill>
        </w:rPr>
        <w:t>）</w:t>
      </w:r>
    </w:p>
    <w:p w14:paraId="0CF26BF2">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响应文件开启时间：2025 年</w:t>
      </w:r>
      <w:r>
        <w:rPr>
          <w:rFonts w:hint="eastAsia" w:ascii="仿宋" w:hAnsi="仿宋" w:eastAsia="仿宋" w:cs="Arial"/>
          <w:color w:val="000000" w:themeColor="text1"/>
          <w:sz w:val="24"/>
          <w:szCs w:val="24"/>
          <w:highlight w:val="none"/>
          <w:lang w:val="en-US" w:eastAsia="zh-CN"/>
          <w14:textFill>
            <w14:solidFill>
              <w14:schemeClr w14:val="tx1"/>
            </w14:solidFill>
          </w14:textFill>
        </w:rPr>
        <w:t>08</w:t>
      </w:r>
      <w:r>
        <w:rPr>
          <w:rFonts w:hint="eastAsia" w:ascii="仿宋" w:hAnsi="仿宋" w:eastAsia="仿宋" w:cs="Arial"/>
          <w:color w:val="000000" w:themeColor="text1"/>
          <w:sz w:val="24"/>
          <w:szCs w:val="24"/>
          <w:highlight w:val="none"/>
          <w14:textFill>
            <w14:solidFill>
              <w14:schemeClr w14:val="tx1"/>
            </w14:solidFill>
          </w14:textFill>
        </w:rPr>
        <w:t>月</w:t>
      </w:r>
      <w:r>
        <w:rPr>
          <w:rFonts w:hint="eastAsia" w:ascii="仿宋" w:hAnsi="仿宋" w:eastAsia="仿宋" w:cs="Arial"/>
          <w:color w:val="000000" w:themeColor="text1"/>
          <w:sz w:val="24"/>
          <w:szCs w:val="24"/>
          <w:highlight w:val="none"/>
          <w:lang w:val="en-US" w:eastAsia="zh-CN"/>
          <w14:textFill>
            <w14:solidFill>
              <w14:schemeClr w14:val="tx1"/>
            </w14:solidFill>
          </w14:textFill>
        </w:rPr>
        <w:t>04</w:t>
      </w:r>
      <w:r>
        <w:rPr>
          <w:rFonts w:hint="eastAsia" w:ascii="仿宋" w:hAnsi="仿宋" w:eastAsia="仿宋" w:cs="Arial"/>
          <w:color w:val="000000" w:themeColor="text1"/>
          <w:sz w:val="24"/>
          <w:szCs w:val="24"/>
          <w:highlight w:val="none"/>
          <w14:textFill>
            <w14:solidFill>
              <w14:schemeClr w14:val="tx1"/>
            </w14:solidFill>
          </w14:textFill>
        </w:rPr>
        <w:t>日</w:t>
      </w:r>
      <w:r>
        <w:rPr>
          <w:rFonts w:hint="eastAsia" w:ascii="仿宋" w:hAnsi="仿宋" w:eastAsia="仿宋" w:cs="Arial"/>
          <w:color w:val="000000" w:themeColor="text1"/>
          <w:sz w:val="24"/>
          <w:szCs w:val="24"/>
          <w:highlight w:val="none"/>
          <w:lang w:val="en-US" w:eastAsia="zh-CN"/>
          <w14:textFill>
            <w14:solidFill>
              <w14:schemeClr w14:val="tx1"/>
            </w14:solidFill>
          </w14:textFill>
        </w:rPr>
        <w:t>09:00</w:t>
      </w:r>
      <w:r>
        <w:rPr>
          <w:rFonts w:hint="eastAsia" w:ascii="仿宋" w:hAnsi="仿宋" w:eastAsia="仿宋" w:cs="Arial"/>
          <w:color w:val="000000" w:themeColor="text1"/>
          <w:sz w:val="24"/>
          <w:szCs w:val="24"/>
          <w:highlight w:val="none"/>
          <w14:textFill>
            <w14:solidFill>
              <w14:schemeClr w14:val="tx1"/>
            </w14:solidFill>
          </w14:textFill>
        </w:rPr>
        <w:t>（北京时间）:</w:t>
      </w:r>
    </w:p>
    <w:p w14:paraId="21280257">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响应文件开启地点：政采云平台（</w:t>
      </w:r>
      <w:r>
        <w:rPr>
          <w:rFonts w:hint="eastAsia" w:ascii="仿宋" w:hAnsi="仿宋" w:eastAsia="仿宋" w:cs="Arial"/>
          <w:color w:val="000000" w:themeColor="text1"/>
          <w:sz w:val="24"/>
          <w:szCs w:val="24"/>
          <w:highlight w:val="none"/>
          <w14:textFill>
            <w14:solidFill>
              <w14:schemeClr w14:val="tx1"/>
            </w14:solidFill>
          </w14:textFill>
        </w:rPr>
        <w:fldChar w:fldCharType="begin"/>
      </w:r>
      <w:r>
        <w:rPr>
          <w:rFonts w:hint="eastAsia" w:ascii="仿宋" w:hAnsi="仿宋" w:eastAsia="仿宋" w:cs="Arial"/>
          <w:color w:val="000000" w:themeColor="text1"/>
          <w:sz w:val="24"/>
          <w:szCs w:val="24"/>
          <w:highlight w:val="none"/>
          <w14:textFill>
            <w14:solidFill>
              <w14:schemeClr w14:val="tx1"/>
            </w14:solidFill>
          </w14:textFill>
        </w:rPr>
        <w:instrText xml:space="preserve"> HYPERLINK "https://www.zcygov.cn/" </w:instrText>
      </w:r>
      <w:r>
        <w:rPr>
          <w:rFonts w:hint="eastAsia" w:ascii="仿宋" w:hAnsi="仿宋" w:eastAsia="仿宋" w:cs="Arial"/>
          <w:color w:val="000000" w:themeColor="text1"/>
          <w:sz w:val="24"/>
          <w:szCs w:val="24"/>
          <w:highlight w:val="none"/>
          <w14:textFill>
            <w14:solidFill>
              <w14:schemeClr w14:val="tx1"/>
            </w14:solidFill>
          </w14:textFill>
        </w:rPr>
        <w:fldChar w:fldCharType="separate"/>
      </w:r>
      <w:r>
        <w:rPr>
          <w:rFonts w:hint="eastAsia" w:ascii="仿宋" w:hAnsi="仿宋" w:eastAsia="仿宋" w:cs="Arial"/>
          <w:color w:val="000000" w:themeColor="text1"/>
          <w:sz w:val="24"/>
          <w:szCs w:val="24"/>
          <w:highlight w:val="none"/>
          <w14:textFill>
            <w14:solidFill>
              <w14:schemeClr w14:val="tx1"/>
            </w14:solidFill>
          </w14:textFill>
        </w:rPr>
        <w:t>https://www.zcygov.cn/</w:t>
      </w:r>
      <w:r>
        <w:rPr>
          <w:rFonts w:hint="eastAsia" w:ascii="仿宋" w:hAnsi="仿宋" w:eastAsia="仿宋" w:cs="Arial"/>
          <w:color w:val="000000" w:themeColor="text1"/>
          <w:sz w:val="24"/>
          <w:szCs w:val="24"/>
          <w:highlight w:val="none"/>
          <w14:textFill>
            <w14:solidFill>
              <w14:schemeClr w14:val="tx1"/>
            </w14:solidFill>
          </w14:textFill>
        </w:rPr>
        <w:fldChar w:fldCharType="end"/>
      </w:r>
      <w:r>
        <w:rPr>
          <w:rFonts w:hint="eastAsia" w:ascii="仿宋" w:hAnsi="仿宋" w:eastAsia="仿宋" w:cs="Arial"/>
          <w:color w:val="000000" w:themeColor="text1"/>
          <w:sz w:val="24"/>
          <w:szCs w:val="24"/>
          <w:highlight w:val="none"/>
          <w14:textFill>
            <w14:solidFill>
              <w14:schemeClr w14:val="tx1"/>
            </w14:solidFill>
          </w14:textFill>
        </w:rPr>
        <w:t>）。</w:t>
      </w:r>
    </w:p>
    <w:p w14:paraId="1541BC66">
      <w:pPr>
        <w:pStyle w:val="13"/>
        <w:spacing w:line="360" w:lineRule="auto"/>
        <w:ind w:firstLine="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六、公告期限</w:t>
      </w:r>
    </w:p>
    <w:p w14:paraId="19899C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本项目征集文件公告期限为本公告发布之日起 5 个工作日。</w:t>
      </w:r>
    </w:p>
    <w:p w14:paraId="096117F8">
      <w:pPr>
        <w:pStyle w:val="13"/>
        <w:spacing w:line="360" w:lineRule="auto"/>
        <w:ind w:firstLine="0"/>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七、省级以上财政部门规定的其他事项</w:t>
      </w:r>
    </w:p>
    <w:p w14:paraId="27F545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（1）需要落实的政府采购政策：包括节约资源、保护环境、支持创新、促进中小企业发展等。详见征集文件的第二部分总则。</w:t>
      </w:r>
    </w:p>
    <w:p w14:paraId="79CBF6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（2）电子招投标的说明：①电子招投标：本项目以数据电文形式，依托“政府采购云平台（</w:t>
      </w:r>
      <w:r>
        <w:rPr>
          <w:rFonts w:hint="eastAsia" w:ascii="仿宋" w:hAnsi="仿宋" w:eastAsia="仿宋"/>
          <w:color w:val="000000" w:themeColor="text1"/>
          <w:sz w:val="24"/>
          <w:highlight w:val="none"/>
          <w14:textFill>
            <w14:solidFill>
              <w14:schemeClr w14:val="tx1"/>
            </w14:solidFill>
          </w14:textFill>
        </w:rPr>
        <w:fldChar w:fldCharType="begin"/>
      </w:r>
      <w:r>
        <w:rPr>
          <w:rFonts w:hint="eastAsia" w:ascii="仿宋" w:hAnsi="仿宋" w:eastAsia="仿宋"/>
          <w:color w:val="000000" w:themeColor="text1"/>
          <w:sz w:val="24"/>
          <w:highlight w:val="none"/>
          <w14:textFill>
            <w14:solidFill>
              <w14:schemeClr w14:val="tx1"/>
            </w14:solidFill>
          </w14:textFill>
        </w:rPr>
        <w:instrText xml:space="preserve"> HYPERLINK "https://www.zcygov.cn" </w:instrText>
      </w:r>
      <w:r>
        <w:rPr>
          <w:rFonts w:hint="eastAsia" w:ascii="仿宋" w:hAnsi="仿宋" w:eastAsia="仿宋"/>
          <w:color w:val="000000" w:themeColor="text1"/>
          <w:sz w:val="24"/>
          <w:highlight w:val="none"/>
          <w14:textFill>
            <w14:solidFill>
              <w14:schemeClr w14:val="tx1"/>
            </w14:solidFill>
          </w14:textFill>
        </w:rPr>
        <w:fldChar w:fldCharType="separate"/>
      </w:r>
      <w:r>
        <w:rPr>
          <w:rFonts w:hint="eastAsia" w:ascii="仿宋" w:hAnsi="仿宋" w:eastAsia="仿宋"/>
          <w:color w:val="000000" w:themeColor="text1"/>
          <w:sz w:val="24"/>
          <w:highlight w:val="none"/>
          <w14:textFill>
            <w14:solidFill>
              <w14:schemeClr w14:val="tx1"/>
            </w14:solidFill>
          </w14:textFill>
        </w:rPr>
        <w:t>www.zcygov.cn</w:t>
      </w:r>
      <w:r>
        <w:rPr>
          <w:rFonts w:hint="eastAsia" w:ascii="仿宋" w:hAnsi="仿宋" w:eastAsia="仿宋"/>
          <w:color w:val="000000" w:themeColor="text1"/>
          <w:sz w:val="24"/>
          <w:highlight w:val="none"/>
          <w14:textFill>
            <w14:solidFill>
              <w14:schemeClr w14:val="tx1"/>
            </w14:solidFill>
          </w14:textFill>
        </w:rPr>
        <w:fldChar w:fldCharType="end"/>
      </w:r>
      <w:r>
        <w:rPr>
          <w:rFonts w:hint="eastAsia" w:ascii="仿宋" w:hAnsi="仿宋" w:eastAsia="仿宋"/>
          <w:color w:val="000000" w:themeColor="text1"/>
          <w:sz w:val="24"/>
          <w:highlight w:val="none"/>
          <w14:textFill>
            <w14:solidFill>
              <w14:schemeClr w14:val="tx1"/>
            </w14:solidFill>
          </w14:textFill>
        </w:rPr>
        <w:t>） ”进行招投标活动，不接受纸质响应文件；②投标准备：注册账号--点击“商家入驻 ”，进行政府采购供应商资料填写；申领CA数字证书---申领流程详见“浙江政府采购网-下载专区-电子交易客户端-CA 驱动和申领流程”；安装“政采云电子交易客户端”----前往“浙江政府采购网-下载专区-电子交易客户端”进行下载并安装；③征集文件的获取：使用账号登录或者使用CA登录政采云平台；进入“项目采购 ”应用，在获取征集文件菜单中选择项目</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获取征集文件；④响应文件的制作：在“政采云电子交易客户端”中完成“填 写基本信息”、“导入响应文件”、“标书关联”、“标书检查”、“ 电子签名”、 “生成电子标书”等操作；⑤征集人、采购代理机构将依托政采云平台完成本项目的电子交易活动，平台不接受未按上述方式获取征集文件的供应商进行投标活动；⑥对未按上述方式获取征集文件的供应商对该文件提出的质疑，征集人或采购代理机构将不予处理；⑦不提供征集文件纸质版；⑧响应文件的传输递交：供应商在投标截止时间前将加密的响应文件上传至政府采购云平台，还可以在投标截止时间前直接提交或者以邮政快递方式递交备份响应文件1份。备份响应文件的制作、存储、密封详见征集文件第二部分第15点—“备份响应文件”；⑨响应文件的解密：供应商按照平台提示和征集文件的规定在半小时内完成在线解密。通过“政府采购云平台 ”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 子招投标-政府采购项目电子交易管理操作指南-供应商”。</w:t>
      </w:r>
    </w:p>
    <w:p w14:paraId="1CA478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62E318">
      <w:pPr>
        <w:pStyle w:val="28"/>
        <w:keepNext w:val="0"/>
        <w:keepLines w:val="0"/>
        <w:pageBreakBefore w:val="0"/>
        <w:widowControl w:val="0"/>
        <w:kinsoku/>
        <w:overflowPunct/>
        <w:topLinePunct w:val="0"/>
        <w:autoSpaceDE/>
        <w:autoSpaceDN/>
        <w:bidi w:val="0"/>
        <w:adjustRightInd w:val="0"/>
        <w:snapToGrid/>
        <w:spacing w:line="360" w:lineRule="auto"/>
        <w:textAlignment w:val="auto"/>
        <w:rPr>
          <w:rFonts w:ascii="仿宋" w:hAnsi="仿宋" w:eastAsia="仿宋" w:cs="仿宋_GB2312"/>
          <w:b/>
          <w:color w:val="000000" w:themeColor="text1"/>
          <w:sz w:val="24"/>
          <w:szCs w:val="24"/>
          <w:highlight w:val="none"/>
          <w14:textFill>
            <w14:solidFill>
              <w14:schemeClr w14:val="tx1"/>
            </w14:solidFill>
          </w14:textFill>
        </w:rPr>
      </w:pPr>
      <w:r>
        <w:rPr>
          <w:rFonts w:hint="eastAsia" w:ascii="仿宋" w:hAnsi="仿宋" w:eastAsia="仿宋" w:cs="仿宋_GB2312"/>
          <w:b/>
          <w:color w:val="000000" w:themeColor="text1"/>
          <w:sz w:val="24"/>
          <w:szCs w:val="24"/>
          <w:highlight w:val="none"/>
          <w14:textFill>
            <w14:solidFill>
              <w14:schemeClr w14:val="tx1"/>
            </w14:solidFill>
          </w14:textFill>
        </w:rPr>
        <w:t>八、采购人及同级政府采购监督管理部门联系方式</w:t>
      </w:r>
    </w:p>
    <w:p w14:paraId="2BE3AED1">
      <w:pPr>
        <w:keepNext w:val="0"/>
        <w:keepLines w:val="0"/>
        <w:pageBreakBefore w:val="0"/>
        <w:widowControl w:val="0"/>
        <w:kinsoku/>
        <w:overflowPunct/>
        <w:topLinePunct w:val="0"/>
        <w:autoSpaceDE/>
        <w:autoSpaceDN/>
        <w:bidi w:val="0"/>
        <w:adjustRightInd w:val="0"/>
        <w:snapToGrid/>
        <w:spacing w:line="360" w:lineRule="auto"/>
        <w:ind w:left="0" w:leftChars="0" w:firstLine="482" w:firstLineChars="200"/>
        <w:textAlignment w:val="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1.征集人信息</w:t>
      </w:r>
    </w:p>
    <w:p w14:paraId="6C449C0C">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b/>
          <w:color w:val="000000" w:themeColor="text1"/>
          <w:sz w:val="24"/>
          <w:highlight w:val="none"/>
          <w:lang w:eastAsia="zh-CN"/>
          <w14:textFill>
            <w14:solidFill>
              <w14:schemeClr w14:val="tx1"/>
            </w14:solidFill>
          </w14:textFill>
        </w:rPr>
      </w:pPr>
      <w:r>
        <w:rPr>
          <w:rFonts w:ascii="仿宋" w:hAnsi="仿宋" w:eastAsia="仿宋" w:cs="仿宋_GB2312"/>
          <w:snapToGrid w:val="0"/>
          <w:color w:val="000000" w:themeColor="text1"/>
          <w:sz w:val="24"/>
          <w:highlight w:val="none"/>
          <w14:textFill>
            <w14:solidFill>
              <w14:schemeClr w14:val="tx1"/>
            </w14:solidFill>
          </w14:textFill>
        </w:rPr>
        <w:t>名    称：</w:t>
      </w:r>
      <w:r>
        <w:rPr>
          <w:rFonts w:hint="eastAsia" w:ascii="仿宋" w:hAnsi="仿宋" w:eastAsia="仿宋" w:cs="仿宋_GB2312"/>
          <w:snapToGrid w:val="0"/>
          <w:color w:val="000000" w:themeColor="text1"/>
          <w:sz w:val="24"/>
          <w:highlight w:val="none"/>
          <w:lang w:eastAsia="zh-CN"/>
          <w14:textFill>
            <w14:solidFill>
              <w14:schemeClr w14:val="tx1"/>
            </w14:solidFill>
          </w14:textFill>
        </w:rPr>
        <w:t>杭州市滨江区民政局</w:t>
      </w:r>
    </w:p>
    <w:p w14:paraId="2D720525">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color w:val="000000" w:themeColor="text1"/>
          <w:sz w:val="24"/>
          <w:highlight w:val="none"/>
          <w14:textFill>
            <w14:solidFill>
              <w14:schemeClr w14:val="tx1"/>
            </w14:solidFill>
          </w14:textFill>
        </w:rPr>
      </w:pPr>
      <w:r>
        <w:rPr>
          <w:rFonts w:ascii="仿宋" w:hAnsi="仿宋" w:eastAsia="仿宋" w:cs="仿宋_GB2312"/>
          <w:snapToGrid w:val="0"/>
          <w:color w:val="000000" w:themeColor="text1"/>
          <w:sz w:val="24"/>
          <w:highlight w:val="none"/>
          <w14:textFill>
            <w14:solidFill>
              <w14:schemeClr w14:val="tx1"/>
            </w14:solidFill>
          </w14:textFill>
        </w:rPr>
        <w:t>地    址：杭州市滨江区</w:t>
      </w:r>
      <w:r>
        <w:rPr>
          <w:rFonts w:hint="eastAsia" w:ascii="仿宋" w:hAnsi="仿宋" w:eastAsia="仿宋" w:cs="仿宋_GB2312"/>
          <w:snapToGrid w:val="0"/>
          <w:color w:val="000000" w:themeColor="text1"/>
          <w:sz w:val="24"/>
          <w:highlight w:val="none"/>
          <w14:textFill>
            <w14:solidFill>
              <w14:schemeClr w14:val="tx1"/>
            </w14:solidFill>
          </w14:textFill>
        </w:rPr>
        <w:t>江南大道328号</w:t>
      </w:r>
    </w:p>
    <w:p w14:paraId="19741B06">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default" w:ascii="仿宋" w:hAnsi="仿宋" w:eastAsia="仿宋" w:cs="仿宋_GB2312"/>
          <w:snapToGrid w:val="0"/>
          <w:color w:val="000000" w:themeColor="text1"/>
          <w:sz w:val="24"/>
          <w:highlight w:val="none"/>
          <w:u w:val="single"/>
          <w:lang w:val="en-US" w:eastAsia="zh-CN"/>
          <w14:textFill>
            <w14:solidFill>
              <w14:schemeClr w14:val="tx1"/>
            </w14:solidFill>
          </w14:textFill>
        </w:rPr>
      </w:pPr>
      <w:r>
        <w:rPr>
          <w:rFonts w:hint="eastAsia" w:ascii="仿宋" w:hAnsi="仿宋" w:eastAsia="仿宋" w:cs="仿宋_GB2312"/>
          <w:snapToGrid w:val="0"/>
          <w:color w:val="000000" w:themeColor="text1"/>
          <w:sz w:val="24"/>
          <w:highlight w:val="none"/>
          <w14:textFill>
            <w14:solidFill>
              <w14:schemeClr w14:val="tx1"/>
            </w14:solidFill>
          </w14:textFill>
        </w:rPr>
        <w:t>传</w:t>
      </w:r>
      <w:r>
        <w:rPr>
          <w:rFonts w:ascii="仿宋" w:hAnsi="仿宋" w:eastAsia="仿宋" w:cs="仿宋_GB2312"/>
          <w:snapToGrid w:val="0"/>
          <w:color w:val="000000" w:themeColor="text1"/>
          <w:sz w:val="24"/>
          <w:highlight w:val="none"/>
          <w14:textFill>
            <w14:solidFill>
              <w14:schemeClr w14:val="tx1"/>
            </w14:solidFill>
          </w14:textFill>
        </w:rPr>
        <w:t xml:space="preserve">    真：</w:t>
      </w:r>
      <w:r>
        <w:rPr>
          <w:rFonts w:hint="eastAsia" w:ascii="仿宋" w:hAnsi="仿宋" w:eastAsia="仿宋" w:cs="仿宋_GB2312"/>
          <w:snapToGrid w:val="0"/>
          <w:color w:val="000000" w:themeColor="text1"/>
          <w:sz w:val="24"/>
          <w:highlight w:val="none"/>
          <w:lang w:val="en-US" w:eastAsia="zh-CN"/>
          <w14:textFill>
            <w14:solidFill>
              <w14:schemeClr w14:val="tx1"/>
            </w14:solidFill>
          </w14:textFill>
        </w:rPr>
        <w:t>/</w:t>
      </w:r>
    </w:p>
    <w:p w14:paraId="1495B362">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color w:val="000000" w:themeColor="text1"/>
          <w:sz w:val="24"/>
          <w:highlight w:val="none"/>
          <w14:textFill>
            <w14:solidFill>
              <w14:schemeClr w14:val="tx1"/>
            </w14:solidFill>
          </w14:textFill>
        </w:rPr>
      </w:pPr>
      <w:r>
        <w:rPr>
          <w:rFonts w:hint="eastAsia" w:ascii="仿宋" w:hAnsi="仿宋" w:eastAsia="仿宋" w:cs="仿宋_GB2312"/>
          <w:snapToGrid w:val="0"/>
          <w:color w:val="000000" w:themeColor="text1"/>
          <w:sz w:val="24"/>
          <w:highlight w:val="none"/>
          <w14:textFill>
            <w14:solidFill>
              <w14:schemeClr w14:val="tx1"/>
            </w14:solidFill>
          </w14:textFill>
        </w:rPr>
        <w:t>项目联系人（询问）：</w:t>
      </w:r>
      <w:r>
        <w:rPr>
          <w:rFonts w:hint="eastAsia" w:ascii="仿宋" w:hAnsi="仿宋" w:eastAsia="仿宋" w:cs="仿宋_GB2312"/>
          <w:snapToGrid w:val="0"/>
          <w:color w:val="000000" w:themeColor="text1"/>
          <w:sz w:val="24"/>
          <w:highlight w:val="none"/>
          <w:lang w:val="en-US" w:eastAsia="zh-CN"/>
          <w14:textFill>
            <w14:solidFill>
              <w14:schemeClr w14:val="tx1"/>
            </w14:solidFill>
          </w14:textFill>
        </w:rPr>
        <w:t>王女士</w:t>
      </w:r>
    </w:p>
    <w:p w14:paraId="0B65AC8D">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color w:val="000000" w:themeColor="text1"/>
          <w:sz w:val="24"/>
          <w:highlight w:val="none"/>
          <w14:textFill>
            <w14:solidFill>
              <w14:schemeClr w14:val="tx1"/>
            </w14:solidFill>
          </w14:textFill>
        </w:rPr>
      </w:pPr>
      <w:r>
        <w:rPr>
          <w:rFonts w:ascii="仿宋" w:hAnsi="仿宋" w:eastAsia="仿宋" w:cs="仿宋_GB2312"/>
          <w:snapToGrid w:val="0"/>
          <w:color w:val="000000" w:themeColor="text1"/>
          <w:sz w:val="24"/>
          <w:highlight w:val="none"/>
          <w14:textFill>
            <w14:solidFill>
              <w14:schemeClr w14:val="tx1"/>
            </w14:solidFill>
          </w14:textFill>
        </w:rPr>
        <w:t>项目联系方式（询问）：</w:t>
      </w:r>
      <w:r>
        <w:rPr>
          <w:rFonts w:hint="eastAsia" w:ascii="仿宋" w:hAnsi="仿宋" w:eastAsia="仿宋" w:cs="仿宋_GB2312"/>
          <w:snapToGrid w:val="0"/>
          <w:color w:val="000000" w:themeColor="text1"/>
          <w:sz w:val="24"/>
          <w:highlight w:val="none"/>
          <w:lang w:val="en-US" w:eastAsia="zh-CN"/>
          <w14:textFill>
            <w14:solidFill>
              <w14:schemeClr w14:val="tx1"/>
            </w14:solidFill>
          </w14:textFill>
        </w:rPr>
        <w:t>0571-89521130</w:t>
      </w:r>
    </w:p>
    <w:p w14:paraId="54717EE8">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color w:val="000000" w:themeColor="text1"/>
          <w:sz w:val="24"/>
          <w:highlight w:val="none"/>
          <w14:textFill>
            <w14:solidFill>
              <w14:schemeClr w14:val="tx1"/>
            </w14:solidFill>
          </w14:textFill>
        </w:rPr>
      </w:pPr>
      <w:r>
        <w:rPr>
          <w:rFonts w:ascii="仿宋" w:hAnsi="仿宋" w:eastAsia="仿宋" w:cs="仿宋_GB2312"/>
          <w:snapToGrid w:val="0"/>
          <w:color w:val="000000" w:themeColor="text1"/>
          <w:sz w:val="24"/>
          <w:highlight w:val="none"/>
          <w14:textFill>
            <w14:solidFill>
              <w14:schemeClr w14:val="tx1"/>
            </w14:solidFill>
          </w14:textFill>
        </w:rPr>
        <w:t>质疑联系人：</w:t>
      </w:r>
      <w:r>
        <w:rPr>
          <w:rFonts w:hint="eastAsia" w:ascii="仿宋" w:hAnsi="仿宋" w:eastAsia="仿宋" w:cs="仿宋_GB2312"/>
          <w:snapToGrid w:val="0"/>
          <w:color w:val="000000" w:themeColor="text1"/>
          <w:sz w:val="24"/>
          <w:highlight w:val="none"/>
          <w:lang w:val="en-US" w:eastAsia="zh-CN"/>
          <w14:textFill>
            <w14:solidFill>
              <w14:schemeClr w14:val="tx1"/>
            </w14:solidFill>
          </w14:textFill>
        </w:rPr>
        <w:t>陶女士</w:t>
      </w:r>
    </w:p>
    <w:p w14:paraId="6545D5CD">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color w:val="000000" w:themeColor="text1"/>
          <w:sz w:val="24"/>
          <w:highlight w:val="none"/>
          <w14:textFill>
            <w14:solidFill>
              <w14:schemeClr w14:val="tx1"/>
            </w14:solidFill>
          </w14:textFill>
        </w:rPr>
      </w:pPr>
      <w:r>
        <w:rPr>
          <w:rFonts w:ascii="仿宋" w:hAnsi="仿宋" w:eastAsia="仿宋" w:cs="仿宋_GB2312"/>
          <w:snapToGrid w:val="0"/>
          <w:color w:val="000000" w:themeColor="text1"/>
          <w:sz w:val="24"/>
          <w:highlight w:val="none"/>
          <w14:textFill>
            <w14:solidFill>
              <w14:schemeClr w14:val="tx1"/>
            </w14:solidFill>
          </w14:textFill>
        </w:rPr>
        <w:t>质疑联系方式：</w:t>
      </w:r>
      <w:r>
        <w:rPr>
          <w:rFonts w:hint="eastAsia" w:ascii="仿宋" w:hAnsi="仿宋" w:eastAsia="仿宋" w:cs="仿宋_GB2312"/>
          <w:snapToGrid w:val="0"/>
          <w:color w:val="000000" w:themeColor="text1"/>
          <w:sz w:val="24"/>
          <w:highlight w:val="none"/>
          <w:lang w:val="zh-TW" w:eastAsia="zh-CN"/>
          <w14:textFill>
            <w14:solidFill>
              <w14:schemeClr w14:val="tx1"/>
            </w14:solidFill>
          </w14:textFill>
        </w:rPr>
        <w:t>0571-89521116</w:t>
      </w:r>
    </w:p>
    <w:p w14:paraId="5603685B">
      <w:pPr>
        <w:keepNext w:val="0"/>
        <w:keepLines w:val="0"/>
        <w:pageBreakBefore w:val="0"/>
        <w:widowControl w:val="0"/>
        <w:kinsoku/>
        <w:overflowPunct/>
        <w:topLinePunct w:val="0"/>
        <w:autoSpaceDE/>
        <w:autoSpaceDN/>
        <w:bidi w:val="0"/>
        <w:adjustRightInd w:val="0"/>
        <w:snapToGrid/>
        <w:spacing w:line="360" w:lineRule="auto"/>
        <w:ind w:left="0" w:leftChars="0" w:firstLine="482" w:firstLineChars="200"/>
        <w:textAlignment w:val="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2.采购代理机构信息            </w:t>
      </w:r>
    </w:p>
    <w:p w14:paraId="318D720E">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浙江中跃科技咨询有限公司</w:t>
      </w:r>
    </w:p>
    <w:p w14:paraId="1D22E236">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杭州市萧山区金城路185号商会大厦B座27层03室</w:t>
      </w:r>
    </w:p>
    <w:p w14:paraId="0288C1FA">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14:paraId="17794E19">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俞工</w:t>
      </w:r>
      <w:r>
        <w:rPr>
          <w:rFonts w:hint="eastAsia" w:ascii="仿宋" w:hAnsi="仿宋" w:eastAsia="仿宋" w:cs="仿宋"/>
          <w:color w:val="000000" w:themeColor="text1"/>
          <w:sz w:val="24"/>
          <w:highlight w:val="none"/>
          <w14:textFill>
            <w14:solidFill>
              <w14:schemeClr w14:val="tx1"/>
            </w14:solidFill>
          </w14:textFill>
        </w:rPr>
        <w:t xml:space="preserve"> </w:t>
      </w:r>
    </w:p>
    <w:p w14:paraId="5691ACA2">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18257176004</w:t>
      </w:r>
    </w:p>
    <w:p w14:paraId="3B3D03F8">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eastAsia="zh-CN"/>
          <w14:textFill>
            <w14:solidFill>
              <w14:schemeClr w14:val="tx1"/>
            </w14:solidFill>
          </w14:textFill>
        </w:rPr>
        <w:t>徐先生</w:t>
      </w:r>
    </w:p>
    <w:p w14:paraId="2F84ABB5">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lang w:eastAsia="zh-CN"/>
          <w14:textFill>
            <w14:solidFill>
              <w14:schemeClr w14:val="tx1"/>
            </w14:solidFill>
          </w14:textFill>
        </w:rPr>
        <w:t>13732262255</w:t>
      </w:r>
    </w:p>
    <w:p w14:paraId="0C85B118">
      <w:pPr>
        <w:keepNext w:val="0"/>
        <w:keepLines w:val="0"/>
        <w:pageBreakBefore w:val="0"/>
        <w:widowControl w:val="0"/>
        <w:kinsoku/>
        <w:overflowPunct/>
        <w:topLinePunct w:val="0"/>
        <w:autoSpaceDE/>
        <w:autoSpaceDN/>
        <w:bidi w:val="0"/>
        <w:adjustRightInd w:val="0"/>
        <w:snapToGrid/>
        <w:spacing w:line="360" w:lineRule="auto"/>
        <w:ind w:left="0" w:leftChars="0" w:firstLine="482" w:firstLineChars="200"/>
        <w:textAlignment w:val="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3.同级政府采购监督管理部门            </w:t>
      </w:r>
    </w:p>
    <w:p w14:paraId="5D14F5C1">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lang w:eastAsia="zh-CN"/>
          <w14:textFill>
            <w14:solidFill>
              <w14:schemeClr w14:val="tx1"/>
            </w14:solidFill>
          </w14:textFill>
        </w:rPr>
        <w:t>杭州市财政局政府采购监管处/浙江省政府采购行政裁决服务中心（杭州）</w:t>
      </w:r>
    </w:p>
    <w:p w14:paraId="680097D2">
      <w:pPr>
        <w:keepNext w:val="0"/>
        <w:keepLines w:val="0"/>
        <w:pageBreakBefore w:val="0"/>
        <w:widowControl w:val="0"/>
        <w:kinsoku/>
        <w:wordWrap w:val="0"/>
        <w:overflowPunct/>
        <w:topLinePunct w:val="0"/>
        <w:autoSpaceDE/>
        <w:autoSpaceDN/>
        <w:bidi w:val="0"/>
        <w:adjustRightInd w:val="0"/>
        <w:snapToGrid/>
        <w:spacing w:line="360" w:lineRule="auto"/>
        <w:ind w:left="479" w:leftChars="228" w:firstLine="0" w:firstLineChars="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    址：</w:t>
      </w:r>
      <w:r>
        <w:rPr>
          <w:rFonts w:hint="eastAsia" w:ascii="仿宋" w:hAnsi="仿宋" w:eastAsia="仿宋"/>
          <w:color w:val="000000" w:themeColor="text1"/>
          <w:sz w:val="24"/>
          <w:highlight w:val="none"/>
          <w:lang w:eastAsia="zh-CN"/>
          <w14:textFill>
            <w14:solidFill>
              <w14:schemeClr w14:val="tx1"/>
            </w14:solidFill>
          </w14:textFill>
        </w:rPr>
        <w:t>杭州市上城区清泰街549号城建综合大楼11楼（快递仅限ems或顺丰）</w:t>
      </w:r>
      <w:r>
        <w:rPr>
          <w:rFonts w:hint="eastAsia" w:ascii="仿宋" w:hAnsi="仿宋" w:eastAsia="仿宋"/>
          <w:color w:val="000000" w:themeColor="text1"/>
          <w:sz w:val="24"/>
          <w:highlight w:val="none"/>
          <w14:textFill>
            <w14:solidFill>
              <w14:schemeClr w14:val="tx1"/>
            </w14:solidFill>
          </w14:textFill>
        </w:rPr>
        <w:t>传    真：/</w:t>
      </w:r>
    </w:p>
    <w:p w14:paraId="41218B89">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联系人 ：</w:t>
      </w:r>
      <w:r>
        <w:rPr>
          <w:rFonts w:hint="eastAsia" w:ascii="仿宋" w:hAnsi="仿宋" w:eastAsia="仿宋"/>
          <w:color w:val="000000" w:themeColor="text1"/>
          <w:sz w:val="24"/>
          <w:highlight w:val="none"/>
          <w:lang w:eastAsia="zh-CN"/>
          <w14:textFill>
            <w14:solidFill>
              <w14:schemeClr w14:val="tx1"/>
            </w14:solidFill>
          </w14:textFill>
        </w:rPr>
        <w:t>朱女士、王女士</w:t>
      </w:r>
    </w:p>
    <w:p w14:paraId="3B453ABC">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监督投诉电话：0571-8</w:t>
      </w:r>
      <w:r>
        <w:rPr>
          <w:rFonts w:hint="eastAsia" w:ascii="仿宋" w:hAnsi="仿宋" w:eastAsia="仿宋"/>
          <w:color w:val="000000" w:themeColor="text1"/>
          <w:sz w:val="24"/>
          <w:highlight w:val="none"/>
          <w:lang w:val="en-US" w:eastAsia="zh-CN"/>
          <w14:textFill>
            <w14:solidFill>
              <w14:schemeClr w14:val="tx1"/>
            </w14:solidFill>
          </w14:textFill>
        </w:rPr>
        <w:t>7227671,0571-87800218</w:t>
      </w: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7F20625">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若对项目采购电子交易系统操作有疑问，可登录政采云（</w:t>
      </w:r>
      <w:r>
        <w:rPr>
          <w:rFonts w:ascii="仿宋" w:hAnsi="仿宋" w:eastAsia="仿宋"/>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仿宋" w:hAnsi="仿宋" w:eastAsia="仿宋"/>
          <w:color w:val="000000" w:themeColor="text1"/>
          <w:sz w:val="24"/>
          <w:highlight w:val="none"/>
          <w14:textFill>
            <w14:solidFill>
              <w14:schemeClr w14:val="tx1"/>
            </w14:solidFill>
          </w14:textFill>
        </w:rPr>
        <w:t>采云服务热线</w:t>
      </w:r>
      <w:r>
        <w:rPr>
          <w:rFonts w:ascii="仿宋" w:hAnsi="仿宋" w:eastAsia="仿宋"/>
          <w:color w:val="000000" w:themeColor="text1"/>
          <w:sz w:val="24"/>
          <w:highlight w:val="none"/>
          <w14:textFill>
            <w14:solidFill>
              <w14:schemeClr w14:val="tx1"/>
            </w14:solidFill>
          </w14:textFill>
        </w:rPr>
        <w:t>400-881-7190获取热线服务帮助。</w:t>
      </w:r>
    </w:p>
    <w:p w14:paraId="747F8531">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CA问题联系电话（人工）：</w:t>
      </w:r>
      <w:r>
        <w:rPr>
          <w:rFonts w:hint="eastAsia" w:ascii="仿宋" w:hAnsi="仿宋" w:eastAsia="仿宋"/>
          <w:color w:val="000000" w:themeColor="text1"/>
          <w:sz w:val="24"/>
          <w:highlight w:val="none"/>
          <w14:textFill>
            <w14:solidFill>
              <w14:schemeClr w14:val="tx1"/>
            </w14:solidFill>
          </w14:textFill>
        </w:rPr>
        <w:t>汇信</w:t>
      </w:r>
      <w:r>
        <w:rPr>
          <w:rFonts w:ascii="仿宋" w:hAnsi="仿宋" w:eastAsia="仿宋"/>
          <w:color w:val="000000" w:themeColor="text1"/>
          <w:sz w:val="24"/>
          <w:highlight w:val="none"/>
          <w14:textFill>
            <w14:solidFill>
              <w14:schemeClr w14:val="tx1"/>
            </w14:solidFill>
          </w14:textFill>
        </w:rPr>
        <w:t>CA 400-888-4636；天谷CA 400-087-8198。</w:t>
      </w:r>
    </w:p>
    <w:p w14:paraId="4DF1C5AE">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p>
    <w:p w14:paraId="39F70711">
      <w:pPr>
        <w:pStyle w:val="28"/>
        <w:spacing w:line="360" w:lineRule="auto"/>
        <w:ind w:firstLine="420"/>
        <w:jc w:val="center"/>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br w:type="page"/>
      </w:r>
      <w:r>
        <w:rPr>
          <w:rFonts w:hint="eastAsia" w:ascii="仿宋" w:hAnsi="仿宋" w:eastAsia="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_GB2312"/>
          <w:b/>
          <w:color w:val="000000" w:themeColor="text1"/>
          <w:sz w:val="36"/>
          <w:szCs w:val="20"/>
          <w:highlight w:val="none"/>
          <w14:textFill>
            <w14:solidFill>
              <w14:schemeClr w14:val="tx1"/>
            </w14:solidFill>
          </w14:textFill>
        </w:rPr>
        <w:t>供应商须知</w:t>
      </w:r>
      <w:bookmarkEnd w:id="9"/>
    </w:p>
    <w:p w14:paraId="19D0AB89">
      <w:pPr>
        <w:snapToGrid w:val="0"/>
        <w:spacing w:line="360" w:lineRule="auto"/>
        <w:jc w:val="center"/>
        <w:rPr>
          <w:rFonts w:ascii="仿宋" w:hAnsi="仿宋" w:eastAsia="仿宋"/>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32"/>
          <w:szCs w:val="20"/>
          <w:highlight w:val="none"/>
          <w14:textFill>
            <w14:solidFill>
              <w14:schemeClr w14:val="tx1"/>
            </w14:solidFill>
          </w14:textFill>
        </w:rPr>
        <w:t>前附表</w:t>
      </w:r>
    </w:p>
    <w:tbl>
      <w:tblPr>
        <w:tblStyle w:val="49"/>
        <w:tblW w:w="91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487"/>
      </w:tblGrid>
      <w:tr w14:paraId="025EA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1" w:type="dxa"/>
            <w:tcBorders>
              <w:top w:val="single" w:color="auto" w:sz="4" w:space="0"/>
              <w:left w:val="single" w:color="auto" w:sz="4" w:space="0"/>
              <w:bottom w:val="single" w:color="auto" w:sz="4" w:space="0"/>
              <w:right w:val="single" w:color="auto" w:sz="4" w:space="0"/>
            </w:tcBorders>
          </w:tcPr>
          <w:p w14:paraId="30769475">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1095095B">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事项</w:t>
            </w:r>
          </w:p>
        </w:tc>
        <w:tc>
          <w:tcPr>
            <w:tcW w:w="6487" w:type="dxa"/>
            <w:tcBorders>
              <w:top w:val="single" w:color="000000" w:sz="8" w:space="0"/>
              <w:left w:val="single" w:color="000000" w:sz="2" w:space="0"/>
              <w:bottom w:val="single" w:color="000000" w:sz="8" w:space="0"/>
              <w:right w:val="single" w:color="000000" w:sz="8" w:space="0"/>
            </w:tcBorders>
            <w:vAlign w:val="center"/>
          </w:tcPr>
          <w:p w14:paraId="00E44895">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本项目的特别规定</w:t>
            </w:r>
          </w:p>
        </w:tc>
      </w:tr>
      <w:tr w14:paraId="2DDC5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0DF9D189">
            <w:pPr>
              <w:snapToGrid w:val="0"/>
              <w:spacing w:line="360" w:lineRule="auto"/>
              <w:jc w:val="center"/>
              <w:rPr>
                <w:rFonts w:hint="eastAsia"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37C59BAD">
            <w:pPr>
              <w:snapToGrid w:val="0"/>
              <w:spacing w:line="360" w:lineRule="auto"/>
              <w:jc w:val="center"/>
              <w:rPr>
                <w:rFonts w:hint="eastAsia"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项目属性</w:t>
            </w:r>
          </w:p>
        </w:tc>
        <w:tc>
          <w:tcPr>
            <w:tcW w:w="6487" w:type="dxa"/>
            <w:tcBorders>
              <w:top w:val="single" w:color="000000" w:sz="8" w:space="0"/>
              <w:left w:val="single" w:color="000000" w:sz="2" w:space="0"/>
              <w:bottom w:val="single" w:color="000000" w:sz="8" w:space="0"/>
              <w:right w:val="single" w:color="000000" w:sz="8" w:space="0"/>
            </w:tcBorders>
            <w:vAlign w:val="center"/>
          </w:tcPr>
          <w:p w14:paraId="49F1069B">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服务类</w:t>
            </w:r>
          </w:p>
        </w:tc>
      </w:tr>
      <w:tr w14:paraId="4DB13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48EB05D9">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19A996B8">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采购方式</w:t>
            </w:r>
          </w:p>
        </w:tc>
        <w:tc>
          <w:tcPr>
            <w:tcW w:w="6487" w:type="dxa"/>
            <w:tcBorders>
              <w:top w:val="single" w:color="000000" w:sz="8" w:space="0"/>
              <w:left w:val="single" w:color="000000" w:sz="2" w:space="0"/>
              <w:bottom w:val="single" w:color="000000" w:sz="8" w:space="0"/>
              <w:right w:val="single" w:color="000000" w:sz="8" w:space="0"/>
            </w:tcBorders>
            <w:vAlign w:val="center"/>
          </w:tcPr>
          <w:p w14:paraId="1F868777">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封闭式框架协议采购</w:t>
            </w:r>
          </w:p>
        </w:tc>
      </w:tr>
      <w:tr w14:paraId="6A330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7B01EF07">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3</w:t>
            </w:r>
          </w:p>
        </w:tc>
        <w:tc>
          <w:tcPr>
            <w:tcW w:w="1968" w:type="dxa"/>
            <w:tcBorders>
              <w:top w:val="single" w:color="000000" w:sz="8" w:space="0"/>
              <w:left w:val="single" w:color="auto" w:sz="4" w:space="0"/>
              <w:bottom w:val="single" w:color="000000" w:sz="8" w:space="0"/>
              <w:right w:val="single" w:color="000000" w:sz="8" w:space="0"/>
            </w:tcBorders>
            <w:vAlign w:val="center"/>
          </w:tcPr>
          <w:p w14:paraId="449A65E2">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▲报价要求</w:t>
            </w:r>
          </w:p>
        </w:tc>
        <w:tc>
          <w:tcPr>
            <w:tcW w:w="6487" w:type="dxa"/>
            <w:tcBorders>
              <w:top w:val="single" w:color="000000" w:sz="8" w:space="0"/>
              <w:left w:val="single" w:color="000000" w:sz="2" w:space="0"/>
              <w:bottom w:val="single" w:color="000000" w:sz="8" w:space="0"/>
              <w:right w:val="single" w:color="000000" w:sz="8" w:space="0"/>
            </w:tcBorders>
            <w:vAlign w:val="top"/>
          </w:tcPr>
          <w:p w14:paraId="61B23A06">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服务单价：详见第三部分 采购需求</w:t>
            </w:r>
          </w:p>
          <w:p w14:paraId="467849EB">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有关本项目实施所需的所有费用（含税费）均计入报价。 开标一览表（报价表）是报价的唯一载体。如供应商在政府采购云平台填写的报价与响应文件报价文件中开标一览表（报价表）不一致的，以报价文件中开标一览表（报价表）为准。响应文件中价格全部采用人民币报价。征集文件未列明，而供应商认为必需的费用也需列入报价。</w:t>
            </w:r>
          </w:p>
          <w:p w14:paraId="434BB356">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▲提醒：本项目采用单价报价，报价为政府定价，供应商在响应文件及政采云系统统一填报，如未按要求填报，由评标委员会进行修正，供应商不接受修正的，做无效标处理。</w:t>
            </w:r>
          </w:p>
          <w:p w14:paraId="06B4E0F1">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投标报价出现下列情形的，投标无效：</w:t>
            </w:r>
          </w:p>
          <w:p w14:paraId="6C255D71">
            <w:pPr>
              <w:snapToGrid w:val="0"/>
              <w:spacing w:line="360" w:lineRule="auto"/>
              <w:jc w:val="left"/>
              <w:rPr>
                <w:rFonts w:hint="eastAsia" w:ascii="仿宋" w:hAnsi="仿宋" w:eastAsia="仿宋" w:cs="仿宋_GB2312"/>
                <w:b/>
                <w:bCs w:val="0"/>
                <w:color w:val="000000" w:themeColor="text1"/>
                <w:sz w:val="24"/>
                <w:highlight w:val="none"/>
                <w:lang w:val="en-US" w:eastAsia="zh-CN"/>
                <w14:textFill>
                  <w14:solidFill>
                    <w14:schemeClr w14:val="tx1"/>
                  </w14:solidFill>
                </w14:textFill>
              </w:rPr>
            </w:pPr>
            <w:r>
              <w:rPr>
                <w:rFonts w:hint="eastAsia" w:ascii="仿宋" w:hAnsi="仿宋" w:eastAsia="仿宋" w:cs="仿宋_GB2312"/>
                <w:b/>
                <w:bCs w:val="0"/>
                <w:color w:val="000000" w:themeColor="text1"/>
                <w:sz w:val="24"/>
                <w:highlight w:val="none"/>
                <w:lang w:val="en-US" w:eastAsia="zh-CN"/>
                <w14:textFill>
                  <w14:solidFill>
                    <w14:schemeClr w14:val="tx1"/>
                  </w14:solidFill>
                </w14:textFill>
              </w:rPr>
              <w:t>（1）响应文件出现不是唯一的、有选择性投标报价的；</w:t>
            </w:r>
          </w:p>
          <w:p w14:paraId="66FCF72B">
            <w:pPr>
              <w:snapToGrid w:val="0"/>
              <w:spacing w:line="360" w:lineRule="auto"/>
              <w:jc w:val="left"/>
              <w:rPr>
                <w:rFonts w:hint="eastAsia" w:ascii="仿宋" w:hAnsi="仿宋" w:eastAsia="仿宋" w:cs="仿宋_GB2312"/>
                <w:b/>
                <w:bCs w:val="0"/>
                <w:color w:val="000000" w:themeColor="text1"/>
                <w:sz w:val="24"/>
                <w:highlight w:val="none"/>
                <w:lang w:val="en-US" w:eastAsia="zh-CN"/>
                <w14:textFill>
                  <w14:solidFill>
                    <w14:schemeClr w14:val="tx1"/>
                  </w14:solidFill>
                </w14:textFill>
              </w:rPr>
            </w:pPr>
            <w:r>
              <w:rPr>
                <w:rFonts w:hint="eastAsia" w:ascii="仿宋" w:hAnsi="仿宋" w:eastAsia="仿宋" w:cs="仿宋_GB2312"/>
                <w:b/>
                <w:bCs w:val="0"/>
                <w:color w:val="000000" w:themeColor="text1"/>
                <w:sz w:val="24"/>
                <w:highlight w:val="none"/>
                <w:lang w:val="en-US" w:eastAsia="zh-CN"/>
                <w14:textFill>
                  <w14:solidFill>
                    <w14:schemeClr w14:val="tx1"/>
                  </w14:solidFill>
                </w14:textFill>
              </w:rPr>
              <w:t>（2）投标报价超过征集文件中规定的预算金额或者最高限制限价的;</w:t>
            </w:r>
          </w:p>
          <w:p w14:paraId="673F7F5F">
            <w:pPr>
              <w:snapToGrid w:val="0"/>
              <w:spacing w:line="360" w:lineRule="auto"/>
              <w:jc w:val="left"/>
              <w:rPr>
                <w:rFonts w:hint="eastAsia" w:ascii="仿宋" w:hAnsi="仿宋" w:eastAsia="仿宋" w:cs="仿宋_GB2312"/>
                <w:b/>
                <w:bCs w:val="0"/>
                <w:color w:val="000000" w:themeColor="text1"/>
                <w:sz w:val="24"/>
                <w:highlight w:val="none"/>
                <w:lang w:val="en-US" w:eastAsia="zh-CN"/>
                <w14:textFill>
                  <w14:solidFill>
                    <w14:schemeClr w14:val="tx1"/>
                  </w14:solidFill>
                </w14:textFill>
              </w:rPr>
            </w:pPr>
            <w:r>
              <w:rPr>
                <w:rFonts w:hint="eastAsia" w:ascii="仿宋" w:hAnsi="仿宋" w:eastAsia="仿宋" w:cs="仿宋_GB2312"/>
                <w:b/>
                <w:bCs w:val="0"/>
                <w:color w:val="000000" w:themeColor="text1"/>
                <w:sz w:val="24"/>
                <w:highlight w:val="none"/>
                <w:lang w:val="en-US" w:eastAsia="zh-CN"/>
                <w14:textFill>
                  <w14:solidFill>
                    <w14:schemeClr w14:val="tx1"/>
                  </w14:solidFill>
                </w14:textFill>
              </w:rPr>
              <w:t>（3）报价明显低于其他通过符合性审查供应商的报价，有可能影响产品质量或者不能诚信履约的，未能按要求提供书面说明或者提交相关证明材料证明其报价合理性的;</w:t>
            </w:r>
          </w:p>
          <w:p w14:paraId="3010C128">
            <w:pPr>
              <w:snapToGrid w:val="0"/>
              <w:spacing w:line="360" w:lineRule="auto"/>
              <w:jc w:val="left"/>
              <w:rPr>
                <w:color w:val="000000" w:themeColor="text1"/>
                <w:highlight w:val="none"/>
                <w:lang w:val="en-US"/>
                <w14:textFill>
                  <w14:solidFill>
                    <w14:schemeClr w14:val="tx1"/>
                  </w14:solidFill>
                </w14:textFill>
              </w:rPr>
            </w:pPr>
            <w:r>
              <w:rPr>
                <w:rFonts w:hint="eastAsia" w:ascii="仿宋" w:hAnsi="仿宋" w:eastAsia="仿宋" w:cs="仿宋_GB2312"/>
                <w:b/>
                <w:bCs w:val="0"/>
                <w:color w:val="000000" w:themeColor="text1"/>
                <w:sz w:val="24"/>
                <w:highlight w:val="none"/>
                <w:lang w:val="en-US" w:eastAsia="zh-CN"/>
                <w14:textFill>
                  <w14:solidFill>
                    <w14:schemeClr w14:val="tx1"/>
                  </w14:solidFill>
                </w14:textFill>
              </w:rPr>
              <w:t>（4）供应商对根据修正原则修正后的报价不确认的。</w:t>
            </w:r>
          </w:p>
        </w:tc>
      </w:tr>
      <w:tr w14:paraId="22327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7" w:hRule="atLeast"/>
          <w:tblHeader/>
        </w:trPr>
        <w:tc>
          <w:tcPr>
            <w:tcW w:w="671" w:type="dxa"/>
            <w:tcBorders>
              <w:top w:val="single" w:color="auto" w:sz="4" w:space="0"/>
              <w:left w:val="single" w:color="auto" w:sz="4" w:space="0"/>
              <w:right w:val="single" w:color="auto" w:sz="4" w:space="0"/>
            </w:tcBorders>
            <w:vAlign w:val="center"/>
          </w:tcPr>
          <w:p w14:paraId="75BF1FD3">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4</w:t>
            </w:r>
          </w:p>
        </w:tc>
        <w:tc>
          <w:tcPr>
            <w:tcW w:w="1968" w:type="dxa"/>
            <w:tcBorders>
              <w:top w:val="single" w:color="000000" w:sz="8" w:space="0"/>
              <w:left w:val="single" w:color="auto" w:sz="4" w:space="0"/>
              <w:right w:val="single" w:color="000000" w:sz="8" w:space="0"/>
            </w:tcBorders>
            <w:vAlign w:val="center"/>
          </w:tcPr>
          <w:p w14:paraId="126511CA">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入围方式</w:t>
            </w:r>
          </w:p>
        </w:tc>
        <w:tc>
          <w:tcPr>
            <w:tcW w:w="6487" w:type="dxa"/>
            <w:tcBorders>
              <w:top w:val="single" w:color="000000" w:sz="8" w:space="0"/>
              <w:left w:val="single" w:color="000000" w:sz="2" w:space="0"/>
              <w:bottom w:val="single" w:color="000000" w:sz="8" w:space="0"/>
              <w:right w:val="single" w:color="000000" w:sz="8" w:space="0"/>
            </w:tcBorders>
            <w:vAlign w:val="top"/>
          </w:tcPr>
          <w:p w14:paraId="6D5ADEAA">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1、根据中华人民共和国财政部令第110号《政府采购框架协议采购方式管理暂行办法》的规定，确定本项目第一阶段入围供应商的评审方法为</w:t>
            </w:r>
            <w:r>
              <w:rPr>
                <w:rFonts w:hint="eastAsia" w:ascii="仿宋" w:hAnsi="仿宋" w:eastAsia="仿宋" w:cs="仿宋_GB2312"/>
                <w:b/>
                <w:bCs w:val="0"/>
                <w:i w:val="0"/>
                <w:iCs w:val="0"/>
                <w:color w:val="000000" w:themeColor="text1"/>
                <w:sz w:val="24"/>
                <w:highlight w:val="none"/>
                <w:lang w:val="en-US" w:eastAsia="zh-CN"/>
                <w14:textFill>
                  <w14:solidFill>
                    <w14:schemeClr w14:val="tx1"/>
                  </w14:solidFill>
                </w14:textFill>
              </w:rPr>
              <w:t>质量优先法</w:t>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，确定第二阶段成交供应商的方式为直接选定。</w:t>
            </w:r>
          </w:p>
          <w:p w14:paraId="267C11FD">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bCs w:val="0"/>
                <w:color w:val="000000" w:themeColor="text1"/>
                <w:sz w:val="24"/>
                <w:highlight w:val="none"/>
                <w:lang w:val="en-US" w:eastAsia="zh-CN"/>
                <w14:textFill>
                  <w14:solidFill>
                    <w14:schemeClr w14:val="tx1"/>
                  </w14:solidFill>
                </w14:textFill>
              </w:rPr>
              <w:t>质量优先法</w:t>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是指对满足采购需求且响应报价不超过服务单价的货物、服务进行质量综合评分，按照质量评分从高到低排序，根据征集文件规定的淘汰率或者入围供应商数量上限，确定入围供应商的评审方法。</w:t>
            </w:r>
          </w:p>
          <w:p w14:paraId="1CF06710">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bCs w:val="0"/>
                <w:color w:val="000000" w:themeColor="text1"/>
                <w:sz w:val="24"/>
                <w:highlight w:val="none"/>
                <w:lang w:val="en-US" w:eastAsia="zh-CN"/>
                <w14:textFill>
                  <w14:solidFill>
                    <w14:schemeClr w14:val="tx1"/>
                  </w14:solidFill>
                </w14:textFill>
              </w:rPr>
              <w:t>直接选定</w:t>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是确定第二阶段成交供应商的主要方式，应当由征集人从第一阶段入围供应商中自由选择后直接选定。</w:t>
            </w:r>
          </w:p>
          <w:p w14:paraId="66796202">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2、评审委员会根据得分高到低排序，综合评分得分相同时，采取随机抽取方式确定。</w:t>
            </w:r>
          </w:p>
          <w:p w14:paraId="2B563C08">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3、本项目淘汰率为进入排序单位数量的20%（淘汰率为进入排序单位数量的20%，向上取整数20%）。</w:t>
            </w:r>
          </w:p>
          <w:p w14:paraId="0B70FDC8">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例如：16*20%=3.2，淘汰4家；19*20%=3.8，淘汰4家，推荐上限为6家入围供应商，即：评审委员会根据综合得分高到低排序从后往前按比例（淘汰率）淘汰单位，淘汰后剩余单位多于6家的，按照排序先后选择6家单位；淘汰后剩余单位小于等于6家的，全部入围。</w:t>
            </w:r>
          </w:p>
          <w:p w14:paraId="40D1824B">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4、入围数量：每标项入围数量不超过6家。</w:t>
            </w:r>
          </w:p>
          <w:p w14:paraId="41EAFEFA">
            <w:pPr>
              <w:snapToGrid w:val="0"/>
              <w:spacing w:line="360" w:lineRule="auto"/>
              <w:jc w:val="left"/>
              <w:rPr>
                <w:rFonts w:ascii="仿宋" w:hAnsi="仿宋" w:eastAsia="仿宋"/>
                <w:color w:val="000000" w:themeColor="text1"/>
                <w:kern w:val="0"/>
                <w:sz w:val="24"/>
                <w:highlight w:val="none"/>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本项目关于“响应报价 ”的说明：对于未预留份额专门面向中小企业的政府采购服务项目，以及预留份额政府采购服务项目中的非预留部分标项，对小型和微型企业的投标报价给予 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即：满足中小企业扶持政策的小型、微型企业的响 应报价为扣除后价格；其它大型、中型企业的响应报价则为《开标一览表（报价表）》中填报的价格。</w:t>
            </w:r>
          </w:p>
        </w:tc>
      </w:tr>
      <w:tr w14:paraId="60D13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38E8AFAB">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5</w:t>
            </w:r>
          </w:p>
        </w:tc>
        <w:tc>
          <w:tcPr>
            <w:tcW w:w="1968" w:type="dxa"/>
            <w:tcBorders>
              <w:top w:val="single" w:color="000000" w:sz="8" w:space="0"/>
              <w:left w:val="single" w:color="auto" w:sz="4" w:space="0"/>
              <w:bottom w:val="single" w:color="000000" w:sz="8" w:space="0"/>
              <w:right w:val="single" w:color="000000" w:sz="8" w:space="0"/>
            </w:tcBorders>
            <w:vAlign w:val="center"/>
          </w:tcPr>
          <w:p w14:paraId="37507C5A">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采购标的对应的</w:t>
            </w:r>
          </w:p>
          <w:p w14:paraId="3534F3BB">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中小企业划分标</w:t>
            </w:r>
          </w:p>
          <w:p w14:paraId="0E0BFE41">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准所属行业</w:t>
            </w:r>
          </w:p>
        </w:tc>
        <w:tc>
          <w:tcPr>
            <w:tcW w:w="6487" w:type="dxa"/>
            <w:tcBorders>
              <w:top w:val="single" w:color="000000" w:sz="8" w:space="0"/>
              <w:left w:val="single" w:color="000000" w:sz="2" w:space="0"/>
              <w:bottom w:val="single" w:color="000000" w:sz="8" w:space="0"/>
              <w:right w:val="single" w:color="000000" w:sz="8" w:space="0"/>
            </w:tcBorders>
            <w:vAlign w:val="top"/>
          </w:tcPr>
          <w:p w14:paraId="582C860E">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标项一采购标的：区域型居家养老综合运营服务；所属行业：其他未列明行业；</w:t>
            </w:r>
          </w:p>
          <w:p w14:paraId="0D9067E9">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标项二采购标的：居家养老上门服务；所属行业：其他未列明行业。</w:t>
            </w:r>
          </w:p>
        </w:tc>
      </w:tr>
      <w:tr w14:paraId="371D7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71" w:type="dxa"/>
            <w:tcBorders>
              <w:top w:val="single" w:color="auto" w:sz="4" w:space="0"/>
              <w:left w:val="single" w:color="auto" w:sz="4" w:space="0"/>
              <w:right w:val="single" w:color="auto" w:sz="4" w:space="0"/>
            </w:tcBorders>
            <w:vAlign w:val="center"/>
          </w:tcPr>
          <w:p w14:paraId="2CF028AE">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6</w:t>
            </w:r>
          </w:p>
        </w:tc>
        <w:tc>
          <w:tcPr>
            <w:tcW w:w="1968" w:type="dxa"/>
            <w:tcBorders>
              <w:top w:val="single" w:color="000000" w:sz="8" w:space="0"/>
              <w:left w:val="single" w:color="auto" w:sz="4" w:space="0"/>
              <w:right w:val="single" w:color="000000" w:sz="8" w:space="0"/>
            </w:tcBorders>
            <w:vAlign w:val="center"/>
          </w:tcPr>
          <w:p w14:paraId="1EA45FF5">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是否允许采购进 口产品</w:t>
            </w:r>
          </w:p>
        </w:tc>
        <w:tc>
          <w:tcPr>
            <w:tcW w:w="6487" w:type="dxa"/>
            <w:tcBorders>
              <w:top w:val="single" w:color="000000" w:sz="8" w:space="0"/>
              <w:left w:val="single" w:color="000000" w:sz="2" w:space="0"/>
              <w:right w:val="single" w:color="000000" w:sz="8" w:space="0"/>
            </w:tcBorders>
            <w:vAlign w:val="top"/>
          </w:tcPr>
          <w:p w14:paraId="1F4C11C4">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drawing>
                <wp:inline distT="0" distB="0" distL="0" distR="0">
                  <wp:extent cx="122555" cy="117475"/>
                  <wp:effectExtent l="0" t="0" r="14605"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7"/>
                          <a:stretch>
                            <a:fillRect/>
                          </a:stretch>
                        </pic:blipFill>
                        <pic:spPr>
                          <a:xfrm>
                            <a:off x="0" y="0"/>
                            <a:ext cx="122986" cy="117805"/>
                          </a:xfrm>
                          <a:prstGeom prst="rect">
                            <a:avLst/>
                          </a:prstGeom>
                        </pic:spPr>
                      </pic:pic>
                    </a:graphicData>
                  </a:graphic>
                </wp:inline>
              </w:drawing>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本项目不允许采购进口产品。</w:t>
            </w:r>
          </w:p>
          <w:p w14:paraId="3C6D8B2C">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☐可以就</w:t>
            </w:r>
            <w:r>
              <w:rPr>
                <w:rFonts w:hint="eastAsia" w:ascii="仿宋" w:hAnsi="仿宋" w:eastAsia="仿宋" w:cs="仿宋_GB2312"/>
                <w:b w:val="0"/>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采购进口产品。</w:t>
            </w:r>
          </w:p>
        </w:tc>
      </w:tr>
      <w:tr w14:paraId="42992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01B194BD">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5F60CB2D">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分包</w:t>
            </w:r>
          </w:p>
        </w:tc>
        <w:tc>
          <w:tcPr>
            <w:tcW w:w="6487" w:type="dxa"/>
            <w:tcBorders>
              <w:top w:val="single" w:color="000000" w:sz="8" w:space="0"/>
              <w:left w:val="single" w:color="000000" w:sz="2" w:space="0"/>
              <w:bottom w:val="single" w:color="000000" w:sz="8" w:space="0"/>
              <w:right w:val="single" w:color="000000" w:sz="8" w:space="0"/>
            </w:tcBorders>
            <w:vAlign w:val="top"/>
          </w:tcPr>
          <w:p w14:paraId="4C06419D">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☐A同意将非主体、非关键性的</w:t>
            </w:r>
            <w:r>
              <w:rPr>
                <w:rFonts w:hint="eastAsia" w:ascii="仿宋" w:hAnsi="仿宋" w:eastAsia="仿宋" w:cs="仿宋_GB2312"/>
                <w:b w:val="0"/>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工作分包。</w:t>
            </w:r>
          </w:p>
          <w:p w14:paraId="70DD7E3F">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☐B同意大型企业向小微企业、中型企业向小微企业、小 微企业向小微企业合理分包。</w:t>
            </w:r>
          </w:p>
          <w:p w14:paraId="2B2BE5A7">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drawing>
                <wp:inline distT="0" distB="0" distL="0" distR="0">
                  <wp:extent cx="122555" cy="117475"/>
                  <wp:effectExtent l="0" t="0" r="14605" b="4445"/>
                  <wp:docPr id="2" name="IM 6"/>
                  <wp:cNvGraphicFramePr/>
                  <a:graphic xmlns:a="http://schemas.openxmlformats.org/drawingml/2006/main">
                    <a:graphicData uri="http://schemas.openxmlformats.org/drawingml/2006/picture">
                      <pic:pic xmlns:pic="http://schemas.openxmlformats.org/drawingml/2006/picture">
                        <pic:nvPicPr>
                          <pic:cNvPr id="2" name="IM 6"/>
                          <pic:cNvPicPr/>
                        </pic:nvPicPr>
                        <pic:blipFill>
                          <a:blip r:embed="rId18"/>
                          <a:stretch>
                            <a:fillRect/>
                          </a:stretch>
                        </pic:blipFill>
                        <pic:spPr>
                          <a:xfrm>
                            <a:off x="0" y="0"/>
                            <a:ext cx="122986" cy="117805"/>
                          </a:xfrm>
                          <a:prstGeom prst="rect">
                            <a:avLst/>
                          </a:prstGeom>
                        </pic:spPr>
                      </pic:pic>
                    </a:graphicData>
                  </a:graphic>
                </wp:inline>
              </w:drawing>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C不同意分包。</w:t>
            </w:r>
          </w:p>
          <w:p w14:paraId="2732E2DA">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注：不得限制大中型企业向小微企业合理分包。</w:t>
            </w:r>
          </w:p>
        </w:tc>
      </w:tr>
      <w:tr w14:paraId="4D314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6ED2A2C6">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47EB0E94">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开标前答疑会或 现场考察</w:t>
            </w:r>
          </w:p>
        </w:tc>
        <w:tc>
          <w:tcPr>
            <w:tcW w:w="6487" w:type="dxa"/>
            <w:tcBorders>
              <w:top w:val="single" w:color="000000" w:sz="8" w:space="0"/>
              <w:left w:val="single" w:color="000000" w:sz="2" w:space="0"/>
              <w:bottom w:val="single" w:color="000000" w:sz="8" w:space="0"/>
              <w:right w:val="single" w:color="000000" w:sz="8" w:space="0"/>
            </w:tcBorders>
            <w:vAlign w:val="top"/>
          </w:tcPr>
          <w:p w14:paraId="75530779">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drawing>
                <wp:inline distT="0" distB="0" distL="0" distR="0">
                  <wp:extent cx="122555" cy="117475"/>
                  <wp:effectExtent l="0" t="0" r="14605" b="4445"/>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18"/>
                          <a:stretch>
                            <a:fillRect/>
                          </a:stretch>
                        </pic:blipFill>
                        <pic:spPr>
                          <a:xfrm>
                            <a:off x="0" y="0"/>
                            <a:ext cx="122986" cy="117805"/>
                          </a:xfrm>
                          <a:prstGeom prst="rect">
                            <a:avLst/>
                          </a:prstGeom>
                        </pic:spPr>
                      </pic:pic>
                    </a:graphicData>
                  </a:graphic>
                </wp:inline>
              </w:drawing>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A不组织。</w:t>
            </w:r>
          </w:p>
          <w:p w14:paraId="7F60F352">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☐B组织，时间：</w:t>
            </w:r>
            <w:r>
              <w:rPr>
                <w:rFonts w:hint="eastAsia" w:ascii="仿宋" w:hAnsi="仿宋" w:eastAsia="仿宋" w:cs="仿宋_GB2312"/>
                <w:b w:val="0"/>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地点：</w:t>
            </w:r>
            <w:r>
              <w:rPr>
                <w:rFonts w:hint="eastAsia" w:ascii="仿宋" w:hAnsi="仿宋" w:eastAsia="仿宋" w:cs="仿宋_GB2312"/>
                <w:b w:val="0"/>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联系人：</w:t>
            </w:r>
            <w:r>
              <w:rPr>
                <w:rFonts w:hint="eastAsia" w:ascii="仿宋" w:hAnsi="仿宋" w:eastAsia="仿宋" w:cs="仿宋_GB2312"/>
                <w:b w:val="0"/>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联系方式：</w:t>
            </w:r>
            <w:r>
              <w:rPr>
                <w:rFonts w:hint="eastAsia" w:ascii="仿宋" w:hAnsi="仿宋" w:eastAsia="仿宋" w:cs="仿宋_GB2312"/>
                <w:b w:val="0"/>
                <w:bCs/>
                <w:color w:val="000000" w:themeColor="text1"/>
                <w:sz w:val="24"/>
                <w:highlight w:val="none"/>
                <w:u w:val="single"/>
                <w:lang w:val="en-US" w:eastAsia="zh-CN"/>
                <w14:textFill>
                  <w14:solidFill>
                    <w14:schemeClr w14:val="tx1"/>
                  </w14:solidFill>
                </w14:textFill>
              </w:rPr>
              <w:t xml:space="preserve">       。</w:t>
            </w:r>
          </w:p>
        </w:tc>
      </w:tr>
      <w:tr w14:paraId="520A4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453E2DA6">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38463E02">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样品提供</w:t>
            </w:r>
          </w:p>
        </w:tc>
        <w:tc>
          <w:tcPr>
            <w:tcW w:w="6487" w:type="dxa"/>
            <w:tcBorders>
              <w:top w:val="single" w:color="000000" w:sz="8" w:space="0"/>
              <w:left w:val="single" w:color="000000" w:sz="2" w:space="0"/>
              <w:bottom w:val="single" w:color="000000" w:sz="8" w:space="0"/>
              <w:right w:val="single" w:color="000000" w:sz="8" w:space="0"/>
            </w:tcBorders>
            <w:vAlign w:val="top"/>
          </w:tcPr>
          <w:p w14:paraId="2E8EF1A3">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drawing>
                <wp:inline distT="0" distB="0" distL="0" distR="0">
                  <wp:extent cx="122555" cy="117475"/>
                  <wp:effectExtent l="0" t="0" r="14605" b="4445"/>
                  <wp:docPr id="5" name="IM 10"/>
                  <wp:cNvGraphicFramePr/>
                  <a:graphic xmlns:a="http://schemas.openxmlformats.org/drawingml/2006/main">
                    <a:graphicData uri="http://schemas.openxmlformats.org/drawingml/2006/picture">
                      <pic:pic xmlns:pic="http://schemas.openxmlformats.org/drawingml/2006/picture">
                        <pic:nvPicPr>
                          <pic:cNvPr id="5" name="IM 10"/>
                          <pic:cNvPicPr/>
                        </pic:nvPicPr>
                        <pic:blipFill>
                          <a:blip r:embed="rId19"/>
                          <a:stretch>
                            <a:fillRect/>
                          </a:stretch>
                        </pic:blipFill>
                        <pic:spPr>
                          <a:xfrm>
                            <a:off x="0" y="0"/>
                            <a:ext cx="122986" cy="117805"/>
                          </a:xfrm>
                          <a:prstGeom prst="rect">
                            <a:avLst/>
                          </a:prstGeom>
                        </pic:spPr>
                      </pic:pic>
                    </a:graphicData>
                  </a:graphic>
                </wp:inline>
              </w:drawing>
            </w: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A不要求提供。</w:t>
            </w:r>
          </w:p>
          <w:p w14:paraId="0EC7CA58">
            <w:pPr>
              <w:snapToGrid w:val="0"/>
              <w:spacing w:line="360" w:lineRule="auto"/>
              <w:jc w:val="left"/>
              <w:rPr>
                <w:rFonts w:hint="eastAsia" w:ascii="仿宋" w:hAnsi="仿宋" w:eastAsia="仿宋" w:cs="仿宋_GB2312"/>
                <w:b w:val="0"/>
                <w:bCs/>
                <w:color w:val="000000" w:themeColor="text1"/>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sz w:val="24"/>
                <w:highlight w:val="none"/>
                <w:lang w:val="en-US" w:eastAsia="zh-CN"/>
                <w14:textFill>
                  <w14:solidFill>
                    <w14:schemeClr w14:val="tx1"/>
                  </w14:solidFill>
                </w14:textFill>
              </w:rPr>
              <w:t>☐B要求提供。</w:t>
            </w:r>
          </w:p>
        </w:tc>
      </w:tr>
      <w:tr w14:paraId="20406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3392243F">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10</w:t>
            </w:r>
          </w:p>
        </w:tc>
        <w:tc>
          <w:tcPr>
            <w:tcW w:w="1968" w:type="dxa"/>
            <w:tcBorders>
              <w:top w:val="single" w:color="000000" w:sz="8" w:space="0"/>
              <w:left w:val="single" w:color="000000" w:sz="2" w:space="0"/>
              <w:bottom w:val="single" w:color="000000" w:sz="8" w:space="0"/>
              <w:right w:val="single" w:color="000000" w:sz="8" w:space="0"/>
            </w:tcBorders>
            <w:vAlign w:val="center"/>
          </w:tcPr>
          <w:p w14:paraId="3D8E7DEB">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方案讲解演示</w:t>
            </w:r>
          </w:p>
        </w:tc>
        <w:tc>
          <w:tcPr>
            <w:tcW w:w="6487" w:type="dxa"/>
            <w:tcBorders>
              <w:top w:val="single" w:color="000000" w:sz="8" w:space="0"/>
              <w:left w:val="single" w:color="000000" w:sz="2" w:space="0"/>
              <w:bottom w:val="single" w:color="000000" w:sz="8" w:space="0"/>
              <w:right w:val="single" w:color="000000" w:sz="8" w:space="0"/>
            </w:tcBorders>
            <w:vAlign w:val="top"/>
          </w:tcPr>
          <w:p w14:paraId="455119C3">
            <w:pPr>
              <w:pStyle w:val="504"/>
              <w:spacing w:before="117" w:line="223" w:lineRule="auto"/>
              <w:ind w:left="66"/>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drawing>
                <wp:inline distT="0" distB="0" distL="0" distR="0">
                  <wp:extent cx="122555" cy="117475"/>
                  <wp:effectExtent l="0" t="0" r="14605" b="4445"/>
                  <wp:docPr id="7" name="IM 12"/>
                  <wp:cNvGraphicFramePr/>
                  <a:graphic xmlns:a="http://schemas.openxmlformats.org/drawingml/2006/main">
                    <a:graphicData uri="http://schemas.openxmlformats.org/drawingml/2006/picture">
                      <pic:pic xmlns:pic="http://schemas.openxmlformats.org/drawingml/2006/picture">
                        <pic:nvPicPr>
                          <pic:cNvPr id="7" name="IM 12"/>
                          <pic:cNvPicPr/>
                        </pic:nvPicPr>
                        <pic:blipFill>
                          <a:blip r:embed="rId18"/>
                          <a:stretch>
                            <a:fillRect/>
                          </a:stretch>
                        </pic:blipFill>
                        <pic:spPr>
                          <a:xfrm>
                            <a:off x="0" y="0"/>
                            <a:ext cx="122986" cy="117805"/>
                          </a:xfrm>
                          <a:prstGeom prst="rect">
                            <a:avLst/>
                          </a:prstGeom>
                        </pic:spPr>
                      </pic:pic>
                    </a:graphicData>
                  </a:graphic>
                </wp:inline>
              </w:drawing>
            </w: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A不组织。</w:t>
            </w:r>
          </w:p>
          <w:p w14:paraId="47178F31">
            <w:pPr>
              <w:pStyle w:val="504"/>
              <w:spacing w:before="99" w:line="317" w:lineRule="exact"/>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☐B组织。</w:t>
            </w:r>
          </w:p>
          <w:p w14:paraId="3C70634B">
            <w:pPr>
              <w:pStyle w:val="504"/>
              <w:spacing w:before="61" w:line="263" w:lineRule="auto"/>
              <w:ind w:left="54" w:right="50" w:firstLine="12"/>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（1）在评审时安排每个供应商进行</w:t>
            </w:r>
            <w:r>
              <w:rPr>
                <w:rFonts w:hint="eastAsia" w:ascii="仿宋" w:hAnsi="仿宋" w:eastAsia="仿宋" w:cs="仿宋_GB2312"/>
                <w:b w:val="0"/>
                <w:bCs/>
                <w:color w:val="000000" w:themeColor="text1"/>
                <w:kern w:val="2"/>
                <w:sz w:val="24"/>
                <w:szCs w:val="24"/>
                <w:highlight w:val="none"/>
                <w:u w:val="single"/>
                <w:lang w:val="en-US" w:eastAsia="zh-CN" w:bidi="ar-SA"/>
                <w14:textFill>
                  <w14:solidFill>
                    <w14:schemeClr w14:val="tx1"/>
                  </w14:solidFill>
                </w14:textFill>
              </w:rPr>
              <w:t xml:space="preserve"> / </w:t>
            </w: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讲解。每个供应商时间不超过</w:t>
            </w:r>
            <w:r>
              <w:rPr>
                <w:rFonts w:hint="eastAsia" w:ascii="仿宋" w:hAnsi="仿宋" w:eastAsia="仿宋" w:cs="仿宋_GB2312"/>
                <w:b w:val="0"/>
                <w:bCs/>
                <w:color w:val="000000" w:themeColor="text1"/>
                <w:kern w:val="2"/>
                <w:sz w:val="24"/>
                <w:szCs w:val="24"/>
                <w:highlight w:val="none"/>
                <w:u w:val="single"/>
                <w:lang w:val="en-US" w:eastAsia="zh-CN" w:bidi="ar-SA"/>
                <w14:textFill>
                  <w14:solidFill>
                    <w14:schemeClr w14:val="tx1"/>
                  </w14:solidFill>
                </w14:textFill>
              </w:rPr>
              <w:t xml:space="preserve"> / </w:t>
            </w: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分钟，讲解次序以响应文件解密时间先后次序为准，讲解人员要求为</w:t>
            </w:r>
            <w:r>
              <w:rPr>
                <w:rFonts w:hint="eastAsia" w:ascii="仿宋" w:hAnsi="仿宋" w:eastAsia="仿宋" w:cs="仿宋_GB2312"/>
                <w:b w:val="0"/>
                <w:bCs/>
                <w:color w:val="000000" w:themeColor="text1"/>
                <w:kern w:val="2"/>
                <w:sz w:val="24"/>
                <w:szCs w:val="24"/>
                <w:highlight w:val="none"/>
                <w:u w:val="single"/>
                <w:lang w:val="en-US" w:eastAsia="zh-CN" w:bidi="ar-SA"/>
                <w14:textFill>
                  <w14:solidFill>
                    <w14:schemeClr w14:val="tx1"/>
                  </w14:solidFill>
                </w14:textFill>
              </w:rPr>
              <w:t xml:space="preserve"> / </w:t>
            </w: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。讲解演示结束后按要求解答评审小组提问。</w:t>
            </w:r>
          </w:p>
          <w:p w14:paraId="1B7D1268">
            <w:pPr>
              <w:pStyle w:val="504"/>
              <w:spacing w:before="73" w:line="220" w:lineRule="auto"/>
              <w:ind w:left="67"/>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（2）方案讲解演示按以下方式</w:t>
            </w:r>
            <w:r>
              <w:rPr>
                <w:rFonts w:hint="eastAsia" w:ascii="仿宋" w:hAnsi="仿宋" w:eastAsia="仿宋" w:cs="仿宋_GB2312"/>
                <w:b w:val="0"/>
                <w:bCs/>
                <w:color w:val="000000" w:themeColor="text1"/>
                <w:kern w:val="2"/>
                <w:sz w:val="24"/>
                <w:szCs w:val="24"/>
                <w:highlight w:val="none"/>
                <w:u w:val="single"/>
                <w:lang w:val="en-US" w:eastAsia="zh-CN" w:bidi="ar-SA"/>
                <w14:textFill>
                  <w14:solidFill>
                    <w14:schemeClr w14:val="tx1"/>
                  </w14:solidFill>
                </w14:textFill>
              </w:rPr>
              <w:t xml:space="preserve"> / </w:t>
            </w: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w:t>
            </w:r>
          </w:p>
          <w:p w14:paraId="346739F2">
            <w:pPr>
              <w:pStyle w:val="504"/>
              <w:spacing w:before="73" w:line="277" w:lineRule="auto"/>
              <w:ind w:left="56" w:right="53"/>
              <w:jc w:val="both"/>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方式一：政采云平台在线讲解演示。政采云平台在线讲解需供应商根据政采云平台操作要求做好准备工作，提前完善软硬件配置环境。</w:t>
            </w:r>
          </w:p>
          <w:p w14:paraId="70F1742D">
            <w:pPr>
              <w:pStyle w:val="504"/>
              <w:spacing w:before="4" w:line="276" w:lineRule="auto"/>
              <w:ind w:left="54" w:right="53" w:firstLine="1"/>
              <w:jc w:val="both"/>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 xml:space="preserve">方式二：代理机构评审场所现场讲解演示。现场讲解地点为  </w:t>
            </w:r>
            <w:r>
              <w:rPr>
                <w:rFonts w:hint="eastAsia" w:ascii="仿宋" w:hAnsi="仿宋" w:eastAsia="仿宋" w:cs="仿宋_GB2312"/>
                <w:b w:val="0"/>
                <w:bCs/>
                <w:color w:val="000000" w:themeColor="text1"/>
                <w:kern w:val="2"/>
                <w:sz w:val="24"/>
                <w:szCs w:val="24"/>
                <w:highlight w:val="none"/>
                <w:u w:val="single"/>
                <w:lang w:val="en-US" w:eastAsia="zh-CN" w:bidi="ar-SA"/>
                <w14:textFill>
                  <w14:solidFill>
                    <w14:schemeClr w14:val="tx1"/>
                  </w14:solidFill>
                </w14:textFill>
              </w:rPr>
              <w:t xml:space="preserve"> / </w:t>
            </w: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，讲解演示所用电脑等设备由供应商自备。现场讲解演示人员进场时提供讲解人员名单（加盖公章）及身份证明，否则不得讲解演示。</w:t>
            </w:r>
          </w:p>
          <w:p w14:paraId="3A94F238">
            <w:pPr>
              <w:pStyle w:val="504"/>
              <w:spacing w:before="6" w:line="276" w:lineRule="auto"/>
              <w:ind w:left="56" w:right="50"/>
              <w:jc w:val="both"/>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方式三：采用视频录制方式，用 U 盘介质储存快递或邮寄至代理机构（公告中列明的地址），视频中演示人应出示身份证。未派遣响应文件中的项目组人员进行演示讲解或未提供身份证明的，评分项不得分。若因U 盘损坏或打不开则按视为未提交。</w:t>
            </w:r>
          </w:p>
          <w:p w14:paraId="4EE59E86">
            <w:pPr>
              <w:pStyle w:val="504"/>
              <w:spacing w:before="79" w:line="279" w:lineRule="auto"/>
              <w:ind w:left="55" w:right="53" w:firstLine="1"/>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方式四：采用现场钉钉直播演示的。开启后，演示人请加钉钉号</w:t>
            </w:r>
            <w:r>
              <w:rPr>
                <w:rFonts w:hint="eastAsia" w:ascii="仿宋" w:hAnsi="仿宋" w:eastAsia="仿宋" w:cs="仿宋_GB2312"/>
                <w:b w:val="0"/>
                <w:bCs/>
                <w:color w:val="000000" w:themeColor="text1"/>
                <w:kern w:val="2"/>
                <w:sz w:val="24"/>
                <w:szCs w:val="24"/>
                <w:highlight w:val="none"/>
                <w:u w:val="single"/>
                <w:lang w:val="en-US" w:eastAsia="zh-CN" w:bidi="ar-SA"/>
                <w14:textFill>
                  <w14:solidFill>
                    <w14:schemeClr w14:val="tx1"/>
                  </w14:solidFill>
                </w14:textFill>
              </w:rPr>
              <w:t xml:space="preserve"> / </w:t>
            </w: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，请求发送后，代理工作人员将通过好友验证。直播演示前，首先演示人进行身份信息直播核对。未派遣符合要求的讲解演示人员进行直播演示讲解或未提供身份证明的，评分项不得分。</w:t>
            </w:r>
          </w:p>
          <w:p w14:paraId="01744A83">
            <w:pPr>
              <w:pStyle w:val="504"/>
              <w:spacing w:before="2" w:line="253" w:lineRule="auto"/>
              <w:ind w:left="55" w:leftChars="0"/>
              <w:jc w:val="both"/>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注：因供应商自身原因导致无法演示或者演示效果不理想 的，责任自负。因平台原因导致本项目方案讲解演示环节 无法顺利开展，按照《浙江省政府采购项目电子交易管理 暂行办法》相关规定执行。</w:t>
            </w:r>
          </w:p>
        </w:tc>
      </w:tr>
      <w:tr w14:paraId="38E41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71" w:type="dxa"/>
            <w:vMerge w:val="restart"/>
            <w:tcBorders>
              <w:top w:val="single" w:color="auto" w:sz="4" w:space="0"/>
              <w:left w:val="single" w:color="auto" w:sz="4" w:space="0"/>
              <w:right w:val="single" w:color="auto" w:sz="4" w:space="0"/>
            </w:tcBorders>
            <w:vAlign w:val="center"/>
          </w:tcPr>
          <w:p w14:paraId="1629009C">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11</w:t>
            </w:r>
          </w:p>
        </w:tc>
        <w:tc>
          <w:tcPr>
            <w:tcW w:w="1968" w:type="dxa"/>
            <w:vMerge w:val="restart"/>
            <w:tcBorders>
              <w:top w:val="single" w:color="auto" w:sz="4" w:space="0"/>
              <w:left w:val="single" w:color="auto" w:sz="4" w:space="0"/>
              <w:right w:val="single" w:color="auto" w:sz="4" w:space="0"/>
            </w:tcBorders>
            <w:vAlign w:val="center"/>
          </w:tcPr>
          <w:p w14:paraId="78815D48">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供应商应当提供</w:t>
            </w:r>
          </w:p>
          <w:p w14:paraId="1A9E566A">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的资格、资信证</w:t>
            </w:r>
          </w:p>
          <w:p w14:paraId="71A37941">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明文件</w:t>
            </w:r>
          </w:p>
        </w:tc>
        <w:tc>
          <w:tcPr>
            <w:tcW w:w="6487" w:type="dxa"/>
            <w:tcBorders>
              <w:top w:val="single" w:color="000000" w:sz="8" w:space="0"/>
              <w:left w:val="single" w:color="auto" w:sz="4" w:space="0"/>
              <w:bottom w:val="single" w:color="000000" w:sz="8" w:space="0"/>
              <w:right w:val="single" w:color="000000" w:sz="8" w:space="0"/>
            </w:tcBorders>
            <w:vAlign w:val="top"/>
          </w:tcPr>
          <w:p w14:paraId="52F5D0F6">
            <w:pPr>
              <w:pStyle w:val="504"/>
              <w:spacing w:before="2" w:line="253" w:lineRule="auto"/>
              <w:ind w:left="55" w:leftChars="0"/>
              <w:jc w:val="both"/>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（1）资格证明文件：见征集文件第二部分 11.1。</w:t>
            </w:r>
          </w:p>
          <w:p w14:paraId="6B1BAB8F">
            <w:pPr>
              <w:pStyle w:val="504"/>
              <w:spacing w:before="2" w:line="253" w:lineRule="auto"/>
              <w:ind w:left="55" w:leftChars="0"/>
              <w:jc w:val="both"/>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供应商未提供有效的资格证明文件的，视为供应商不具备征集文件中规定的资格要求，响应无效。</w:t>
            </w:r>
          </w:p>
        </w:tc>
      </w:tr>
      <w:tr w14:paraId="54AAA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71" w:type="dxa"/>
            <w:vMerge w:val="continue"/>
            <w:tcBorders>
              <w:left w:val="single" w:color="auto" w:sz="4" w:space="0"/>
              <w:bottom w:val="single" w:color="auto" w:sz="4" w:space="0"/>
              <w:right w:val="single" w:color="auto" w:sz="4" w:space="0"/>
            </w:tcBorders>
            <w:vAlign w:val="center"/>
          </w:tcPr>
          <w:p w14:paraId="4F090DF6">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1ADE31E5">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tc>
        <w:tc>
          <w:tcPr>
            <w:tcW w:w="6487" w:type="dxa"/>
            <w:tcBorders>
              <w:top w:val="single" w:color="000000" w:sz="8" w:space="0"/>
              <w:left w:val="single" w:color="auto" w:sz="4" w:space="0"/>
              <w:bottom w:val="single" w:color="000000" w:sz="8" w:space="0"/>
              <w:right w:val="single" w:color="000000" w:sz="8" w:space="0"/>
            </w:tcBorders>
            <w:vAlign w:val="top"/>
          </w:tcPr>
          <w:p w14:paraId="439A3075">
            <w:pPr>
              <w:pStyle w:val="504"/>
              <w:spacing w:before="2" w:line="253" w:lineRule="auto"/>
              <w:ind w:left="55" w:leftChars="0"/>
              <w:jc w:val="both"/>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（2）资信证明文件：根据征集文件第四部分评标标准提供。</w:t>
            </w:r>
          </w:p>
        </w:tc>
      </w:tr>
      <w:tr w14:paraId="073E0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tcBorders>
              <w:top w:val="single" w:color="auto" w:sz="4" w:space="0"/>
              <w:left w:val="single" w:color="auto" w:sz="4" w:space="0"/>
              <w:right w:val="single" w:color="auto" w:sz="4" w:space="0"/>
            </w:tcBorders>
            <w:vAlign w:val="center"/>
          </w:tcPr>
          <w:p w14:paraId="7FEC21A3">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12</w:t>
            </w:r>
          </w:p>
        </w:tc>
        <w:tc>
          <w:tcPr>
            <w:tcW w:w="1968" w:type="dxa"/>
            <w:tcBorders>
              <w:top w:val="single" w:color="auto" w:sz="4" w:space="0"/>
              <w:left w:val="single" w:color="auto" w:sz="4" w:space="0"/>
              <w:right w:val="single" w:color="auto" w:sz="4" w:space="0"/>
            </w:tcBorders>
            <w:vAlign w:val="center"/>
          </w:tcPr>
          <w:p w14:paraId="57AA5A9B">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节能产品、环境</w:t>
            </w:r>
          </w:p>
          <w:p w14:paraId="767D2C90">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标志产品（本项 目不适用）</w:t>
            </w:r>
          </w:p>
        </w:tc>
        <w:tc>
          <w:tcPr>
            <w:tcW w:w="6487" w:type="dxa"/>
            <w:tcBorders>
              <w:top w:val="single" w:color="000000" w:sz="8" w:space="0"/>
              <w:left w:val="single" w:color="auto" w:sz="4" w:space="0"/>
              <w:bottom w:val="single" w:color="000000" w:sz="8" w:space="0"/>
              <w:right w:val="single" w:color="000000" w:sz="8" w:space="0"/>
            </w:tcBorders>
            <w:vAlign w:val="top"/>
          </w:tcPr>
          <w:p w14:paraId="5214B366">
            <w:pPr>
              <w:pStyle w:val="504"/>
              <w:spacing w:before="116" w:line="284" w:lineRule="auto"/>
              <w:jc w:val="both"/>
              <w:rPr>
                <w:rFonts w:hint="eastAsia" w:ascii="仿宋" w:hAnsi="仿宋" w:eastAsia="仿宋"/>
                <w:snapToGrid w:val="0"/>
                <w:color w:val="000000" w:themeColor="text1"/>
                <w:kern w:val="28"/>
                <w:sz w:val="24"/>
                <w:highlight w:val="none"/>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征集人拟采购的产品属于品目清单范围的，征集人及其委托的采购代理机构将依据国家确定的认证机构出具的、处于有效期之内的节能产品、环境标志产品认证证书，对获得证书的产品实施政府优先采购或强制采购。</w:t>
            </w:r>
          </w:p>
        </w:tc>
      </w:tr>
      <w:tr w14:paraId="76661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vMerge w:val="restart"/>
            <w:tcBorders>
              <w:top w:val="single" w:color="auto" w:sz="4" w:space="0"/>
              <w:left w:val="single" w:color="auto" w:sz="4" w:space="0"/>
              <w:right w:val="single" w:color="auto" w:sz="4" w:space="0"/>
            </w:tcBorders>
            <w:vAlign w:val="top"/>
          </w:tcPr>
          <w:p w14:paraId="4D0F72F7">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434BC96B">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58833AB6">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072966FD">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7F27D538">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6A3B31BE">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13</w:t>
            </w:r>
          </w:p>
        </w:tc>
        <w:tc>
          <w:tcPr>
            <w:tcW w:w="1968" w:type="dxa"/>
            <w:vMerge w:val="restart"/>
            <w:tcBorders>
              <w:top w:val="single" w:color="auto" w:sz="4" w:space="0"/>
              <w:left w:val="single" w:color="auto" w:sz="4" w:space="0"/>
              <w:right w:val="single" w:color="auto" w:sz="4" w:space="0"/>
            </w:tcBorders>
            <w:vAlign w:val="top"/>
          </w:tcPr>
          <w:p w14:paraId="0BC0A5B4">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5A79681E">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3DA6D90D">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1F5269DD">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0450190A">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4C20D0F5">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中小企业信用融 资</w:t>
            </w:r>
          </w:p>
        </w:tc>
        <w:tc>
          <w:tcPr>
            <w:tcW w:w="6487" w:type="dxa"/>
            <w:tcBorders>
              <w:top w:val="single" w:color="000000" w:sz="8" w:space="0"/>
              <w:left w:val="single" w:color="auto" w:sz="4" w:space="0"/>
              <w:bottom w:val="single" w:color="000000" w:sz="8" w:space="0"/>
              <w:right w:val="single" w:color="000000" w:sz="8" w:space="0"/>
            </w:tcBorders>
            <w:vAlign w:val="top"/>
          </w:tcPr>
          <w:p w14:paraId="3E05D5A2">
            <w:pPr>
              <w:pStyle w:val="504"/>
              <w:spacing w:before="116" w:line="284" w:lineRule="auto"/>
              <w:jc w:val="both"/>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264C1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vMerge w:val="continue"/>
            <w:tcBorders>
              <w:left w:val="single" w:color="auto" w:sz="4" w:space="0"/>
              <w:bottom w:val="single" w:color="auto" w:sz="4" w:space="0"/>
              <w:right w:val="single" w:color="auto" w:sz="4" w:space="0"/>
            </w:tcBorders>
            <w:vAlign w:val="top"/>
          </w:tcPr>
          <w:p w14:paraId="639F3F2D">
            <w:pPr>
              <w:rPr>
                <w:rFonts w:ascii="仿宋" w:hAnsi="仿宋" w:eastAsia="仿宋" w:cs="仿宋_GB2312"/>
                <w:b/>
                <w:color w:val="000000" w:themeColor="text1"/>
                <w:sz w:val="24"/>
                <w:highlight w:val="none"/>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top"/>
          </w:tcPr>
          <w:p w14:paraId="195BA2F2">
            <w:pPr>
              <w:rPr>
                <w:rFonts w:ascii="仿宋" w:hAnsi="仿宋" w:eastAsia="仿宋" w:cs="仿宋_GB2312"/>
                <w:b/>
                <w:color w:val="000000" w:themeColor="text1"/>
                <w:sz w:val="24"/>
                <w:highlight w:val="none"/>
                <w14:textFill>
                  <w14:solidFill>
                    <w14:schemeClr w14:val="tx1"/>
                  </w14:solidFill>
                </w14:textFill>
              </w:rPr>
            </w:pPr>
          </w:p>
        </w:tc>
        <w:tc>
          <w:tcPr>
            <w:tcW w:w="6487" w:type="dxa"/>
            <w:tcBorders>
              <w:top w:val="single" w:color="000000" w:sz="8" w:space="0"/>
              <w:left w:val="single" w:color="auto" w:sz="4" w:space="0"/>
              <w:bottom w:val="single" w:color="000000" w:sz="8" w:space="0"/>
              <w:right w:val="single" w:color="000000" w:sz="8" w:space="0"/>
            </w:tcBorders>
            <w:vAlign w:val="top"/>
          </w:tcPr>
          <w:p w14:paraId="1C683689">
            <w:pPr>
              <w:pStyle w:val="504"/>
              <w:spacing w:before="116" w:line="284" w:lineRule="auto"/>
              <w:jc w:val="both"/>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kern w:val="2"/>
                <w:sz w:val="24"/>
                <w:szCs w:val="24"/>
                <w:highlight w:val="none"/>
                <w:lang w:val="en-US" w:eastAsia="zh-CN" w:bidi="ar-SA"/>
                <w14:textFill>
                  <w14:solidFill>
                    <w14:schemeClr w14:val="tx1"/>
                  </w14:solidFill>
                </w14:textFill>
              </w:rPr>
              <w:t>供应商入围后也可在“政采云 ”平台申请政采贷：操作路径：登录政采云平台-金融服务中心 -【融资服务】，可在热门申请中选择产品直接申请，也可点击云智贷匹配适合产品进行申请，或者在可申请项目中根据该项目进行申请。</w:t>
            </w:r>
          </w:p>
        </w:tc>
      </w:tr>
      <w:tr w14:paraId="479C7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2CE6AA23">
            <w:pPr>
              <w:snapToGrid w:val="0"/>
              <w:spacing w:line="360" w:lineRule="auto"/>
              <w:jc w:val="center"/>
              <w:rPr>
                <w:rFonts w:hint="default"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14</w:t>
            </w:r>
          </w:p>
        </w:tc>
        <w:tc>
          <w:tcPr>
            <w:tcW w:w="1968" w:type="dxa"/>
            <w:tcBorders>
              <w:top w:val="single" w:color="auto" w:sz="4" w:space="0"/>
              <w:left w:val="single" w:color="auto" w:sz="4" w:space="0"/>
              <w:bottom w:val="single" w:color="auto" w:sz="4" w:space="0"/>
              <w:right w:val="single" w:color="auto" w:sz="4" w:space="0"/>
            </w:tcBorders>
            <w:vAlign w:val="center"/>
          </w:tcPr>
          <w:p w14:paraId="1BF8E7FD">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备份响应文件送达地点和签收人员</w:t>
            </w:r>
          </w:p>
        </w:tc>
        <w:tc>
          <w:tcPr>
            <w:tcW w:w="6487" w:type="dxa"/>
            <w:tcBorders>
              <w:top w:val="single" w:color="000000" w:sz="8" w:space="0"/>
              <w:left w:val="single" w:color="auto" w:sz="4" w:space="0"/>
              <w:bottom w:val="single" w:color="000000" w:sz="8" w:space="0"/>
              <w:right w:val="single" w:color="000000" w:sz="8" w:space="0"/>
            </w:tcBorders>
            <w:vAlign w:val="center"/>
          </w:tcPr>
          <w:p w14:paraId="00A9A715">
            <w:pPr>
              <w:spacing w:line="360" w:lineRule="auto"/>
              <w:rPr>
                <w:rFonts w:ascii="仿宋" w:hAnsi="仿宋" w:eastAsia="仿宋"/>
                <w:snapToGrid w:val="0"/>
                <w:color w:val="000000" w:themeColor="text1"/>
                <w:kern w:val="28"/>
                <w:sz w:val="24"/>
                <w:highlight w:val="none"/>
                <w14:textFill>
                  <w14:solidFill>
                    <w14:schemeClr w14:val="tx1"/>
                  </w14:solidFill>
                </w14:textFill>
              </w:rPr>
            </w:pPr>
            <w:r>
              <w:rPr>
                <w:rFonts w:hint="eastAsia" w:ascii="仿宋" w:hAnsi="仿宋" w:eastAsia="仿宋"/>
                <w:color w:val="000000" w:themeColor="text1"/>
                <w:kern w:val="28"/>
                <w:sz w:val="24"/>
                <w:highlight w:val="none"/>
                <w14:textFill>
                  <w14:solidFill>
                    <w14:schemeClr w14:val="tx1"/>
                  </w14:solidFill>
                </w14:textFill>
              </w:rPr>
              <w:t>备份响应文件送达地点：</w:t>
            </w:r>
            <w:r>
              <w:rPr>
                <w:rFonts w:hint="eastAsia" w:ascii="仿宋" w:hAnsi="仿宋" w:eastAsia="仿宋" w:cs="仿宋"/>
                <w:color w:val="000000" w:themeColor="text1"/>
                <w:sz w:val="24"/>
                <w:highlight w:val="none"/>
                <w:lang w:eastAsia="zh-CN"/>
                <w14:textFill>
                  <w14:solidFill>
                    <w14:schemeClr w14:val="tx1"/>
                  </w14:solidFill>
                </w14:textFill>
              </w:rPr>
              <w:t>杭州市萧山区金城路185号商会大厦B座27层03室</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刘女士</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13634117509</w:t>
            </w:r>
            <w:r>
              <w:rPr>
                <w:rFonts w:hint="eastAsia" w:ascii="仿宋" w:hAnsi="仿宋" w:eastAsia="仿宋"/>
                <w:color w:val="000000" w:themeColor="text1"/>
                <w:kern w:val="28"/>
                <w:sz w:val="24"/>
                <w:highlight w:val="none"/>
                <w14:textFill>
                  <w14:solidFill>
                    <w14:schemeClr w14:val="tx1"/>
                  </w14:solidFill>
                </w14:textFill>
              </w:rPr>
              <w:t>。</w:t>
            </w:r>
            <w:r>
              <w:rPr>
                <w:rFonts w:hint="eastAsia" w:ascii="仿宋" w:hAnsi="仿宋" w:eastAsia="仿宋" w:cs="仿宋_GB2312"/>
                <w:b/>
                <w:color w:val="000000" w:themeColor="text1"/>
                <w:sz w:val="24"/>
                <w:highlight w:val="none"/>
                <w14:textFill>
                  <w14:solidFill>
                    <w14:schemeClr w14:val="tx1"/>
                  </w14:solidFill>
                </w14:textFill>
              </w:rPr>
              <w:t>征集人、采购代理机构不强制或变相强制供应商提交备份响应文件。</w:t>
            </w:r>
          </w:p>
        </w:tc>
      </w:tr>
      <w:tr w14:paraId="5D1D9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48750EAC">
            <w:pPr>
              <w:snapToGrid w:val="0"/>
              <w:spacing w:line="360" w:lineRule="auto"/>
              <w:jc w:val="center"/>
              <w:rPr>
                <w:rFonts w:hint="default"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15</w:t>
            </w:r>
          </w:p>
        </w:tc>
        <w:tc>
          <w:tcPr>
            <w:tcW w:w="1968" w:type="dxa"/>
            <w:tcBorders>
              <w:top w:val="single" w:color="auto" w:sz="4" w:space="0"/>
              <w:left w:val="single" w:color="auto" w:sz="4" w:space="0"/>
              <w:bottom w:val="single" w:color="auto" w:sz="4" w:space="0"/>
              <w:right w:val="single" w:color="auto" w:sz="4" w:space="0"/>
            </w:tcBorders>
            <w:vAlign w:val="center"/>
          </w:tcPr>
          <w:p w14:paraId="5B5F5DF6">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采购代理服务费</w:t>
            </w:r>
          </w:p>
        </w:tc>
        <w:tc>
          <w:tcPr>
            <w:tcW w:w="6487" w:type="dxa"/>
            <w:tcBorders>
              <w:top w:val="single" w:color="000000" w:sz="8" w:space="0"/>
              <w:left w:val="single" w:color="auto" w:sz="4" w:space="0"/>
              <w:bottom w:val="single" w:color="000000" w:sz="8" w:space="0"/>
              <w:right w:val="single" w:color="000000" w:sz="8" w:space="0"/>
            </w:tcBorders>
            <w:vAlign w:val="center"/>
          </w:tcPr>
          <w:p w14:paraId="3003C750">
            <w:pPr>
              <w:pStyle w:val="28"/>
              <w:spacing w:line="360" w:lineRule="auto"/>
              <w:ind w:hanging="4"/>
              <w:rPr>
                <w:rFonts w:hint="eastAsia" w:ascii="仿宋" w:hAnsi="仿宋" w:eastAsia="仿宋" w:cs="Times New Roman"/>
                <w:color w:val="000000" w:themeColor="text1"/>
                <w:kern w:val="28"/>
                <w:sz w:val="24"/>
                <w:highlight w:val="none"/>
                <w14:textFill>
                  <w14:solidFill>
                    <w14:schemeClr w14:val="tx1"/>
                  </w14:solidFill>
                </w14:textFill>
              </w:rPr>
            </w:pPr>
            <w:r>
              <w:rPr>
                <w:rFonts w:hint="eastAsia" w:ascii="仿宋" w:hAnsi="仿宋" w:eastAsia="仿宋"/>
                <w:color w:val="000000" w:themeColor="text1"/>
                <w:kern w:val="28"/>
                <w:sz w:val="24"/>
                <w:highlight w:val="none"/>
                <w14:textFill>
                  <w14:solidFill>
                    <w14:schemeClr w14:val="tx1"/>
                  </w14:solidFill>
                </w14:textFill>
              </w:rPr>
              <w:t>采购代理服务费：由每家入围供应商支付</w:t>
            </w:r>
            <w:r>
              <w:rPr>
                <w:rFonts w:hint="eastAsia" w:ascii="仿宋" w:hAnsi="仿宋" w:eastAsia="仿宋"/>
                <w:color w:val="000000" w:themeColor="text1"/>
                <w:kern w:val="28"/>
                <w:sz w:val="24"/>
                <w:highlight w:val="none"/>
                <w:lang w:val="en-US" w:eastAsia="zh-CN"/>
                <w14:textFill>
                  <w14:solidFill>
                    <w14:schemeClr w14:val="tx1"/>
                  </w14:solidFill>
                </w14:textFill>
              </w:rPr>
              <w:t>5</w:t>
            </w:r>
            <w:r>
              <w:rPr>
                <w:rFonts w:hint="eastAsia" w:ascii="仿宋" w:hAnsi="仿宋" w:eastAsia="仿宋"/>
                <w:color w:val="000000" w:themeColor="text1"/>
                <w:kern w:val="28"/>
                <w:sz w:val="24"/>
                <w:highlight w:val="none"/>
                <w14:textFill>
                  <w14:solidFill>
                    <w14:schemeClr w14:val="tx1"/>
                  </w14:solidFill>
                </w14:textFill>
              </w:rPr>
              <w:t>000元。</w:t>
            </w:r>
            <w:r>
              <w:rPr>
                <w:rFonts w:hint="eastAsia" w:ascii="仿宋" w:hAnsi="仿宋" w:eastAsia="仿宋" w:cs="Times New Roman"/>
                <w:b/>
                <w:bCs/>
                <w:color w:val="000000" w:themeColor="text1"/>
                <w:kern w:val="28"/>
                <w:sz w:val="24"/>
                <w:highlight w:val="none"/>
                <w14:textFill>
                  <w14:solidFill>
                    <w14:schemeClr w14:val="tx1"/>
                  </w14:solidFill>
                </w14:textFill>
              </w:rPr>
              <w:t>采购代理费由中标人在中标公告发出后10日内向采购代理机构支付。</w:t>
            </w:r>
            <w:r>
              <w:rPr>
                <w:rFonts w:hint="eastAsia" w:ascii="仿宋" w:hAnsi="仿宋" w:eastAsia="仿宋" w:cs="Times New Roman"/>
                <w:color w:val="000000" w:themeColor="text1"/>
                <w:kern w:val="28"/>
                <w:sz w:val="24"/>
                <w:highlight w:val="none"/>
                <w14:textFill>
                  <w14:solidFill>
                    <w14:schemeClr w14:val="tx1"/>
                  </w14:solidFill>
                </w14:textFill>
              </w:rPr>
              <w:t>汇入以下账户 ：</w:t>
            </w:r>
          </w:p>
          <w:p w14:paraId="119785F2">
            <w:pPr>
              <w:pStyle w:val="28"/>
              <w:spacing w:line="360" w:lineRule="auto"/>
              <w:ind w:hanging="4"/>
              <w:rPr>
                <w:rFonts w:hint="eastAsia" w:ascii="仿宋" w:hAnsi="仿宋" w:eastAsia="仿宋" w:cs="Times New Roman"/>
                <w:color w:val="000000" w:themeColor="text1"/>
                <w:kern w:val="28"/>
                <w:sz w:val="24"/>
                <w:highlight w:val="none"/>
                <w14:textFill>
                  <w14:solidFill>
                    <w14:schemeClr w14:val="tx1"/>
                  </w14:solidFill>
                </w14:textFill>
              </w:rPr>
            </w:pPr>
            <w:r>
              <w:rPr>
                <w:rFonts w:hint="eastAsia" w:ascii="仿宋" w:hAnsi="仿宋" w:eastAsia="仿宋" w:cs="Times New Roman"/>
                <w:color w:val="000000" w:themeColor="text1"/>
                <w:kern w:val="28"/>
                <w:sz w:val="24"/>
                <w:highlight w:val="none"/>
                <w14:textFill>
                  <w14:solidFill>
                    <w14:schemeClr w14:val="tx1"/>
                  </w14:solidFill>
                </w14:textFill>
              </w:rPr>
              <w:t>开户名称：浙江中跃科技咨询有限公司</w:t>
            </w:r>
          </w:p>
          <w:p w14:paraId="682D0C0D">
            <w:pPr>
              <w:pStyle w:val="28"/>
              <w:spacing w:line="360" w:lineRule="auto"/>
              <w:ind w:hanging="4"/>
              <w:rPr>
                <w:rFonts w:hint="eastAsia" w:ascii="仿宋" w:hAnsi="仿宋" w:eastAsia="仿宋" w:cs="Times New Roman"/>
                <w:color w:val="000000" w:themeColor="text1"/>
                <w:kern w:val="28"/>
                <w:sz w:val="24"/>
                <w:highlight w:val="none"/>
                <w14:textFill>
                  <w14:solidFill>
                    <w14:schemeClr w14:val="tx1"/>
                  </w14:solidFill>
                </w14:textFill>
              </w:rPr>
            </w:pPr>
            <w:r>
              <w:rPr>
                <w:rFonts w:hint="eastAsia" w:ascii="仿宋" w:hAnsi="仿宋" w:eastAsia="仿宋" w:cs="Times New Roman"/>
                <w:color w:val="000000" w:themeColor="text1"/>
                <w:kern w:val="28"/>
                <w:sz w:val="24"/>
                <w:highlight w:val="none"/>
                <w14:textFill>
                  <w14:solidFill>
                    <w14:schemeClr w14:val="tx1"/>
                  </w14:solidFill>
                </w14:textFill>
              </w:rPr>
              <w:t>开户银行：中国工商银行股份有限公司杭州金城路支行</w:t>
            </w:r>
          </w:p>
          <w:p w14:paraId="2D390175">
            <w:pPr>
              <w:spacing w:line="360" w:lineRule="auto"/>
              <w:rPr>
                <w:rFonts w:hint="eastAsia" w:ascii="仿宋" w:hAnsi="仿宋" w:eastAsia="仿宋"/>
                <w:color w:val="000000" w:themeColor="text1"/>
                <w:kern w:val="28"/>
                <w:sz w:val="24"/>
                <w:highlight w:val="none"/>
                <w14:textFill>
                  <w14:solidFill>
                    <w14:schemeClr w14:val="tx1"/>
                  </w14:solidFill>
                </w14:textFill>
              </w:rPr>
            </w:pPr>
            <w:r>
              <w:rPr>
                <w:rFonts w:hint="eastAsia" w:ascii="仿宋" w:hAnsi="仿宋" w:eastAsia="仿宋" w:cs="Times New Roman"/>
                <w:color w:val="000000" w:themeColor="text1"/>
                <w:kern w:val="28"/>
                <w:sz w:val="24"/>
                <w:highlight w:val="none"/>
                <w14:textFill>
                  <w14:solidFill>
                    <w14:schemeClr w14:val="tx1"/>
                  </w14:solidFill>
                </w14:textFill>
              </w:rPr>
              <w:t>银行账户：1202225409100258921</w:t>
            </w:r>
          </w:p>
        </w:tc>
      </w:tr>
      <w:tr w14:paraId="06336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7" w:hRule="atLeast"/>
          <w:tblHeader/>
        </w:trPr>
        <w:tc>
          <w:tcPr>
            <w:tcW w:w="671" w:type="dxa"/>
            <w:vMerge w:val="restart"/>
            <w:tcBorders>
              <w:top w:val="single" w:color="auto" w:sz="4" w:space="0"/>
              <w:left w:val="single" w:color="auto" w:sz="4" w:space="0"/>
              <w:right w:val="single" w:color="auto" w:sz="4" w:space="0"/>
            </w:tcBorders>
            <w:vAlign w:val="center"/>
          </w:tcPr>
          <w:p w14:paraId="73958077">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6D928F45">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7E8BF6AD">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67ABB3C7">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10D7897E">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615FA579">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16</w:t>
            </w:r>
          </w:p>
          <w:p w14:paraId="3B936875">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403E6FF2">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766B66EA">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3FA91DD3">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10BA91F6">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41FFEDE2">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37956F2A">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516E0A58">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51D6BA1B">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0DE2D77B">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71BDE5B4">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tc>
        <w:tc>
          <w:tcPr>
            <w:tcW w:w="1968" w:type="dxa"/>
            <w:vMerge w:val="restart"/>
            <w:tcBorders>
              <w:top w:val="single" w:color="auto" w:sz="4" w:space="0"/>
              <w:left w:val="single" w:color="auto" w:sz="4" w:space="0"/>
              <w:right w:val="single" w:color="auto" w:sz="4" w:space="0"/>
            </w:tcBorders>
            <w:vAlign w:val="center"/>
          </w:tcPr>
          <w:p w14:paraId="2F9CEA0E">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51D2AAAF">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7591B361">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5DC6936A">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693E5F71">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035BD299">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r>
              <w:rPr>
                <w:rFonts w:hint="eastAsia" w:ascii="仿宋" w:hAnsi="仿宋" w:eastAsia="仿宋" w:cs="仿宋_GB2312"/>
                <w:b/>
                <w:color w:val="000000" w:themeColor="text1"/>
                <w:sz w:val="24"/>
                <w:highlight w:val="none"/>
                <w:lang w:val="en-US" w:eastAsia="zh-CN"/>
                <w14:textFill>
                  <w14:solidFill>
                    <w14:schemeClr w14:val="tx1"/>
                  </w14:solidFill>
                </w14:textFill>
              </w:rPr>
              <w:t>特别说明</w:t>
            </w:r>
          </w:p>
          <w:p w14:paraId="21A5961C">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5575E676">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7861D9FD">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5A4DBDAE">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3BD58389">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45692B8F">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2F765936">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0E819493">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13F7CF95">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77FFC4EE">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p w14:paraId="43F0680A">
            <w:pPr>
              <w:snapToGrid w:val="0"/>
              <w:spacing w:line="360" w:lineRule="auto"/>
              <w:jc w:val="center"/>
              <w:rPr>
                <w:rFonts w:hint="eastAsia" w:ascii="仿宋" w:hAnsi="仿宋" w:eastAsia="仿宋" w:cs="仿宋_GB2312"/>
                <w:b/>
                <w:color w:val="000000" w:themeColor="text1"/>
                <w:sz w:val="24"/>
                <w:highlight w:val="none"/>
                <w:lang w:val="en-US" w:eastAsia="zh-CN"/>
                <w14:textFill>
                  <w14:solidFill>
                    <w14:schemeClr w14:val="tx1"/>
                  </w14:solidFill>
                </w14:textFill>
              </w:rPr>
            </w:pPr>
          </w:p>
        </w:tc>
        <w:tc>
          <w:tcPr>
            <w:tcW w:w="6487" w:type="dxa"/>
            <w:tcBorders>
              <w:top w:val="single" w:color="000000" w:sz="8" w:space="0"/>
              <w:left w:val="single" w:color="auto" w:sz="4" w:space="0"/>
              <w:bottom w:val="single" w:color="000000" w:sz="8" w:space="0"/>
              <w:right w:val="single" w:color="000000" w:sz="8" w:space="0"/>
            </w:tcBorders>
            <w:vAlign w:val="center"/>
          </w:tcPr>
          <w:p w14:paraId="00F7C035">
            <w:pPr>
              <w:spacing w:line="360" w:lineRule="auto"/>
              <w:rPr>
                <w:rFonts w:ascii="仿宋" w:hAnsi="仿宋" w:eastAsia="仿宋"/>
                <w:color w:val="000000" w:themeColor="text1"/>
                <w:kern w:val="28"/>
                <w:sz w:val="24"/>
                <w:highlight w:val="none"/>
                <w14:textFill>
                  <w14:solidFill>
                    <w14:schemeClr w14:val="tx1"/>
                  </w14:solidFill>
                </w14:textFill>
              </w:rPr>
            </w:pPr>
            <w:r>
              <w:rPr>
                <w:rFonts w:hint="eastAsia" w:ascii="仿宋" w:hAnsi="仿宋" w:eastAsia="仿宋"/>
                <w:color w:val="000000" w:themeColor="text1"/>
                <w:kern w:val="28"/>
                <w:sz w:val="24"/>
                <w:highlight w:val="none"/>
                <w14:textFill>
                  <w14:solidFill>
                    <w14:schemeClr w14:val="tx1"/>
                  </w14:solidFill>
                </w14:textFill>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_GB2312"/>
                <w:b/>
                <w:color w:val="000000" w:themeColor="text1"/>
                <w:sz w:val="24"/>
                <w:highlight w:val="none"/>
                <w:lang w:val="en-US" w:eastAsia="zh-CN"/>
                <w14:textFill>
                  <w14:solidFill>
                    <w14:schemeClr w14:val="tx1"/>
                  </w14:solidFill>
                </w14:textFill>
              </w:rPr>
              <w:t>（本项目不适用）</w:t>
            </w:r>
          </w:p>
        </w:tc>
      </w:tr>
      <w:tr w14:paraId="5700E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5" w:hRule="atLeast"/>
          <w:tblHeader/>
        </w:trPr>
        <w:tc>
          <w:tcPr>
            <w:tcW w:w="671" w:type="dxa"/>
            <w:vMerge w:val="continue"/>
            <w:tcBorders>
              <w:left w:val="single" w:color="auto" w:sz="4" w:space="0"/>
              <w:right w:val="single" w:color="auto" w:sz="4" w:space="0"/>
            </w:tcBorders>
            <w:vAlign w:val="center"/>
          </w:tcPr>
          <w:p w14:paraId="311C8A4C">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1968" w:type="dxa"/>
            <w:vMerge w:val="continue"/>
            <w:tcBorders>
              <w:left w:val="single" w:color="auto" w:sz="4" w:space="0"/>
              <w:right w:val="single" w:color="auto" w:sz="4" w:space="0"/>
            </w:tcBorders>
            <w:vAlign w:val="center"/>
          </w:tcPr>
          <w:p w14:paraId="154587F0">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p>
        </w:tc>
        <w:tc>
          <w:tcPr>
            <w:tcW w:w="6487" w:type="dxa"/>
            <w:tcBorders>
              <w:top w:val="single" w:color="000000" w:sz="8" w:space="0"/>
              <w:left w:val="single" w:color="auto" w:sz="4" w:space="0"/>
              <w:bottom w:val="single" w:color="000000" w:sz="8" w:space="0"/>
              <w:right w:val="single" w:color="000000" w:sz="8" w:space="0"/>
            </w:tcBorders>
            <w:vAlign w:val="center"/>
          </w:tcPr>
          <w:p w14:paraId="11AC5864">
            <w:pPr>
              <w:spacing w:line="360" w:lineRule="auto"/>
              <w:rPr>
                <w:rFonts w:ascii="仿宋" w:hAnsi="仿宋" w:eastAsia="仿宋"/>
                <w:color w:val="000000" w:themeColor="text1"/>
                <w:kern w:val="28"/>
                <w:sz w:val="24"/>
                <w:highlight w:val="none"/>
                <w14:textFill>
                  <w14:solidFill>
                    <w14:schemeClr w14:val="tx1"/>
                  </w14:solidFill>
                </w14:textFill>
              </w:rPr>
            </w:pPr>
            <w:sdt>
              <w:sdtPr>
                <w:rPr>
                  <w:rFonts w:hint="eastAsia" w:ascii="仿宋" w:hAnsi="仿宋" w:eastAsia="仿宋"/>
                  <w:color w:val="000000" w:themeColor="text1"/>
                  <w:kern w:val="28"/>
                  <w:sz w:val="24"/>
                  <w:highlight w:val="none"/>
                  <w14:textFill>
                    <w14:solidFill>
                      <w14:schemeClr w14:val="tx1"/>
                    </w14:solidFill>
                  </w14:textFill>
                </w:rPr>
                <w:id w:val="11632151"/>
              </w:sdtPr>
              <w:sdtEndPr>
                <w:rPr>
                  <w:rFonts w:hint="eastAsia" w:ascii="仿宋" w:hAnsi="仿宋" w:eastAsia="仿宋"/>
                  <w:color w:val="000000" w:themeColor="text1"/>
                  <w:kern w:val="28"/>
                  <w:sz w:val="24"/>
                  <w:highlight w:val="none"/>
                  <w14:textFill>
                    <w14:solidFill>
                      <w14:schemeClr w14:val="tx1"/>
                    </w14:solidFill>
                  </w14:textFill>
                </w:rPr>
              </w:sdtEndPr>
              <w:sdtContent>
                <w:r>
                  <w:rPr>
                    <w:rFonts w:hint="eastAsia" w:ascii="仿宋" w:hAnsi="仿宋" w:eastAsia="仿宋"/>
                    <w:color w:val="000000" w:themeColor="text1"/>
                    <w:kern w:val="28"/>
                    <w:sz w:val="24"/>
                    <w:highlight w:val="none"/>
                    <w14:textFill>
                      <w14:solidFill>
                        <w14:schemeClr w14:val="tx1"/>
                      </w14:solidFill>
                    </w14:textFill>
                  </w:rPr>
                  <w:t>☐</w:t>
                </w:r>
              </w:sdtContent>
            </w:sdt>
            <w:r>
              <w:rPr>
                <w:rFonts w:hint="eastAsia" w:ascii="仿宋" w:hAnsi="仿宋" w:eastAsia="仿宋"/>
                <w:color w:val="000000" w:themeColor="text1"/>
                <w:kern w:val="28"/>
                <w:sz w:val="24"/>
                <w:highlight w:val="none"/>
                <w14:textFill>
                  <w14:solidFill>
                    <w14:schemeClr w14:val="tx1"/>
                  </w14:solidFill>
                </w14:textFill>
              </w:rPr>
              <w:t>联合体投标的，联合体各方均需按征集文件第四部分评标标准要求提供资信证明文件，否则视为不符合相关要求。</w:t>
            </w:r>
            <w:r>
              <w:rPr>
                <w:rFonts w:hint="eastAsia" w:ascii="仿宋" w:hAnsi="仿宋" w:eastAsia="仿宋" w:cs="仿宋_GB2312"/>
                <w:b/>
                <w:color w:val="000000" w:themeColor="text1"/>
                <w:sz w:val="24"/>
                <w:highlight w:val="none"/>
                <w:lang w:val="en-US" w:eastAsia="zh-CN"/>
                <w14:textFill>
                  <w14:solidFill>
                    <w14:schemeClr w14:val="tx1"/>
                  </w14:solidFill>
                </w14:textFill>
              </w:rPr>
              <w:t>（本项目不适用）</w:t>
            </w:r>
          </w:p>
          <w:p w14:paraId="3E3885D9">
            <w:pPr>
              <w:spacing w:line="360" w:lineRule="auto"/>
              <w:rPr>
                <w:rFonts w:ascii="仿宋" w:hAnsi="仿宋" w:eastAsia="仿宋"/>
                <w:color w:val="000000" w:themeColor="text1"/>
                <w:kern w:val="28"/>
                <w:sz w:val="24"/>
                <w:highlight w:val="none"/>
                <w14:textFill>
                  <w14:solidFill>
                    <w14:schemeClr w14:val="tx1"/>
                  </w14:solidFill>
                </w14:textFill>
              </w:rPr>
            </w:pPr>
            <w:sdt>
              <w:sdtPr>
                <w:rPr>
                  <w:rFonts w:hint="eastAsia" w:ascii="仿宋" w:hAnsi="仿宋" w:eastAsia="仿宋"/>
                  <w:color w:val="000000" w:themeColor="text1"/>
                  <w:kern w:val="28"/>
                  <w:sz w:val="24"/>
                  <w:highlight w:val="none"/>
                  <w14:textFill>
                    <w14:solidFill>
                      <w14:schemeClr w14:val="tx1"/>
                    </w14:solidFill>
                  </w14:textFill>
                </w:rPr>
                <w:id w:val="1052570136"/>
              </w:sdtPr>
              <w:sdtEndPr>
                <w:rPr>
                  <w:rFonts w:hint="eastAsia" w:ascii="仿宋" w:hAnsi="仿宋" w:eastAsia="仿宋"/>
                  <w:color w:val="000000" w:themeColor="text1"/>
                  <w:kern w:val="28"/>
                  <w:sz w:val="24"/>
                  <w:highlight w:val="none"/>
                  <w14:textFill>
                    <w14:solidFill>
                      <w14:schemeClr w14:val="tx1"/>
                    </w14:solidFill>
                  </w14:textFill>
                </w:rPr>
              </w:sdtEndPr>
              <w:sdtContent>
                <w:sdt>
                  <w:sdtPr>
                    <w:rPr>
                      <w:rFonts w:hint="eastAsia" w:ascii="仿宋" w:hAnsi="仿宋" w:eastAsia="仿宋"/>
                      <w:color w:val="000000" w:themeColor="text1"/>
                      <w:kern w:val="28"/>
                      <w:sz w:val="24"/>
                      <w:highlight w:val="none"/>
                      <w14:textFill>
                        <w14:solidFill>
                          <w14:schemeClr w14:val="tx1"/>
                        </w14:solidFill>
                      </w14:textFill>
                    </w:rPr>
                    <w:id w:val="26556477"/>
                  </w:sdtPr>
                  <w:sdtEndPr>
                    <w:rPr>
                      <w:rFonts w:hint="eastAsia" w:ascii="仿宋" w:hAnsi="仿宋" w:eastAsia="仿宋"/>
                      <w:color w:val="000000" w:themeColor="text1"/>
                      <w:kern w:val="28"/>
                      <w:sz w:val="24"/>
                      <w:highlight w:val="none"/>
                      <w14:textFill>
                        <w14:solidFill>
                          <w14:schemeClr w14:val="tx1"/>
                        </w14:solidFill>
                      </w14:textFill>
                    </w:rPr>
                  </w:sdtEndPr>
                  <w:sdtContent>
                    <w:sdt>
                      <w:sdtPr>
                        <w:rPr>
                          <w:rFonts w:hint="eastAsia" w:ascii="仿宋" w:hAnsi="仿宋" w:eastAsia="仿宋"/>
                          <w:color w:val="000000" w:themeColor="text1"/>
                          <w:kern w:val="28"/>
                          <w:sz w:val="24"/>
                          <w:highlight w:val="none"/>
                          <w14:textFill>
                            <w14:solidFill>
                              <w14:schemeClr w14:val="tx1"/>
                            </w14:solidFill>
                          </w14:textFill>
                        </w:rPr>
                        <w:id w:val="147469073"/>
                      </w:sdtPr>
                      <w:sdtEndPr>
                        <w:rPr>
                          <w:rFonts w:hint="eastAsia" w:ascii="仿宋" w:hAnsi="仿宋" w:eastAsia="仿宋"/>
                          <w:color w:val="000000" w:themeColor="text1"/>
                          <w:kern w:val="28"/>
                          <w:sz w:val="24"/>
                          <w:highlight w:val="none"/>
                          <w14:textFill>
                            <w14:solidFill>
                              <w14:schemeClr w14:val="tx1"/>
                            </w14:solidFill>
                          </w14:textFill>
                        </w:rPr>
                      </w:sdtEndPr>
                      <w:sdtContent>
                        <w:r>
                          <w:rPr>
                            <w:rFonts w:hint="eastAsia" w:ascii="仿宋" w:hAnsi="仿宋" w:eastAsia="仿宋"/>
                            <w:color w:val="000000" w:themeColor="text1"/>
                            <w:kern w:val="28"/>
                            <w:sz w:val="24"/>
                            <w:highlight w:val="none"/>
                            <w14:textFill>
                              <w14:solidFill>
                                <w14:schemeClr w14:val="tx1"/>
                              </w14:solidFill>
                            </w14:textFill>
                          </w:rPr>
                          <w:t>☐</w:t>
                        </w:r>
                      </w:sdtContent>
                    </w:sdt>
                  </w:sdtContent>
                </w:sdt>
              </w:sdtContent>
            </w:sdt>
            <w:r>
              <w:rPr>
                <w:rFonts w:hint="eastAsia" w:ascii="仿宋" w:hAnsi="仿宋" w:eastAsia="仿宋"/>
                <w:color w:val="000000" w:themeColor="text1"/>
                <w:kern w:val="28"/>
                <w:sz w:val="24"/>
                <w:highlight w:val="none"/>
                <w14:textFill>
                  <w14:solidFill>
                    <w14:schemeClr w14:val="tx1"/>
                  </w14:solidFill>
                </w14:textFill>
              </w:rPr>
              <w:t>联合体投标的，联合体中有一方或者联合体成员根据分工按征集文件第四部分评标标准要求提供资信证明文件的，视为符合了相关要求。</w:t>
            </w:r>
            <w:r>
              <w:rPr>
                <w:rFonts w:hint="eastAsia" w:ascii="仿宋" w:hAnsi="仿宋" w:eastAsia="仿宋" w:cs="仿宋_GB2312"/>
                <w:b/>
                <w:color w:val="000000" w:themeColor="text1"/>
                <w:sz w:val="24"/>
                <w:highlight w:val="none"/>
                <w:lang w:val="en-US" w:eastAsia="zh-CN"/>
                <w14:textFill>
                  <w14:solidFill>
                    <w14:schemeClr w14:val="tx1"/>
                  </w14:solidFill>
                </w14:textFill>
              </w:rPr>
              <w:t>（本项目不适用）</w:t>
            </w:r>
          </w:p>
        </w:tc>
      </w:tr>
      <w:tr w14:paraId="55F8A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5" w:hRule="atLeast"/>
          <w:tblHeader/>
        </w:trPr>
        <w:tc>
          <w:tcPr>
            <w:tcW w:w="671" w:type="dxa"/>
            <w:vMerge w:val="continue"/>
            <w:tcBorders>
              <w:left w:val="single" w:color="auto" w:sz="4" w:space="0"/>
              <w:right w:val="single" w:color="auto" w:sz="4" w:space="0"/>
            </w:tcBorders>
            <w:vAlign w:val="top"/>
          </w:tcPr>
          <w:p w14:paraId="08790FEC">
            <w:pPr>
              <w:pStyle w:val="504"/>
              <w:spacing w:before="78"/>
              <w:ind w:left="215" w:leftChars="0"/>
              <w:rPr>
                <w:rFonts w:ascii="仿宋" w:hAnsi="仿宋" w:eastAsia="仿宋" w:cs="仿宋_GB2312"/>
                <w:b/>
                <w:color w:val="000000" w:themeColor="text1"/>
                <w:sz w:val="24"/>
                <w:highlight w:val="none"/>
                <w14:textFill>
                  <w14:solidFill>
                    <w14:schemeClr w14:val="tx1"/>
                  </w14:solidFill>
                </w14:textFill>
              </w:rPr>
            </w:pPr>
          </w:p>
        </w:tc>
        <w:tc>
          <w:tcPr>
            <w:tcW w:w="1968" w:type="dxa"/>
            <w:vMerge w:val="continue"/>
            <w:tcBorders>
              <w:left w:val="single" w:color="auto" w:sz="4" w:space="0"/>
              <w:right w:val="single" w:color="auto" w:sz="4" w:space="0"/>
            </w:tcBorders>
            <w:vAlign w:val="top"/>
          </w:tcPr>
          <w:p w14:paraId="3C6BED1D">
            <w:pPr>
              <w:pStyle w:val="504"/>
              <w:spacing w:before="78" w:line="220" w:lineRule="auto"/>
              <w:ind w:left="433" w:leftChars="0"/>
              <w:rPr>
                <w:rFonts w:ascii="仿宋" w:hAnsi="仿宋" w:eastAsia="仿宋" w:cs="仿宋_GB2312"/>
                <w:b/>
                <w:color w:val="000000" w:themeColor="text1"/>
                <w:sz w:val="24"/>
                <w:highlight w:val="none"/>
                <w14:textFill>
                  <w14:solidFill>
                    <w14:schemeClr w14:val="tx1"/>
                  </w14:solidFill>
                </w14:textFill>
              </w:rPr>
            </w:pPr>
          </w:p>
        </w:tc>
        <w:tc>
          <w:tcPr>
            <w:tcW w:w="6487" w:type="dxa"/>
            <w:tcBorders>
              <w:top w:val="single" w:color="000000" w:sz="8" w:space="0"/>
              <w:left w:val="single" w:color="auto" w:sz="4" w:space="0"/>
              <w:bottom w:val="single" w:color="000000" w:sz="8" w:space="0"/>
              <w:right w:val="single" w:color="000000" w:sz="8" w:space="0"/>
            </w:tcBorders>
            <w:vAlign w:val="top"/>
          </w:tcPr>
          <w:p w14:paraId="2A29FC5D">
            <w:pPr>
              <w:pStyle w:val="504"/>
              <w:spacing w:before="87" w:line="220" w:lineRule="auto"/>
              <w:ind w:left="73"/>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t>1.响应文件存在下列情况之一的，视为撤回：</w:t>
            </w:r>
          </w:p>
          <w:p w14:paraId="7B74A65C">
            <w:pPr>
              <w:pStyle w:val="504"/>
              <w:spacing w:before="74" w:line="220" w:lineRule="auto"/>
              <w:ind w:left="67"/>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t>（1）电子响应文件（含备份文件）无法解密的；</w:t>
            </w:r>
          </w:p>
          <w:p w14:paraId="6A40C99B">
            <w:pPr>
              <w:pStyle w:val="504"/>
              <w:spacing w:before="74" w:line="220" w:lineRule="auto"/>
              <w:ind w:left="67"/>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t>（2）响应文件未按时解密或备份文件无法成功导入的；</w:t>
            </w:r>
          </w:p>
          <w:p w14:paraId="40927F8C">
            <w:pPr>
              <w:pStyle w:val="504"/>
              <w:spacing w:before="72" w:line="259" w:lineRule="auto"/>
              <w:ind w:left="56" w:firstLine="10"/>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t>（3）响应截止时间前，供应商仅递交了“备份响应文件 ” 而未将“ 电子加密响应文件”成功上传至“政府采购云平台 ”的。</w:t>
            </w:r>
          </w:p>
          <w:p w14:paraId="521A05AE">
            <w:pPr>
              <w:pStyle w:val="504"/>
              <w:spacing w:before="72" w:line="248" w:lineRule="auto"/>
              <w:ind w:left="56" w:right="50" w:firstLine="1"/>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t>2.政采云平台如对电子化开启及评审程序有调整的，按调整后的程序操作。</w:t>
            </w:r>
          </w:p>
          <w:p w14:paraId="44457715">
            <w:pPr>
              <w:pStyle w:val="504"/>
              <w:spacing w:before="73" w:line="258" w:lineRule="auto"/>
              <w:ind w:left="56" w:right="50" w:firstLine="3"/>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t>3.入围供应商可以在杭州市政府采购网——监管平台上发起支付申请，具体操作详见《杭州市政府采购供应商支付申请操作手册》。</w:t>
            </w:r>
          </w:p>
          <w:p w14:paraId="74E53038">
            <w:pPr>
              <w:pStyle w:val="504"/>
              <w:spacing w:before="106" w:line="276" w:lineRule="auto"/>
              <w:ind w:left="52" w:leftChars="0" w:right="53" w:rightChars="0" w:firstLine="1" w:firstLineChars="0"/>
              <w:rPr>
                <w:rFonts w:hint="eastAsia" w:ascii="仿宋" w:hAnsi="仿宋" w:eastAsia="仿宋"/>
                <w:color w:val="000000" w:themeColor="text1"/>
                <w:kern w:val="28"/>
                <w:sz w:val="24"/>
                <w:highlight w:val="none"/>
                <w14:textFill>
                  <w14:solidFill>
                    <w14:schemeClr w14:val="tx1"/>
                  </w14:solidFill>
                </w14:textFill>
              </w:rPr>
            </w:pP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t xml:space="preserve">4.封闭式框架协议第一阶段供应商响应操作指南详见 </w:t>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fldChar w:fldCharType="begin"/>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instrText xml:space="preserve"> HYPERLINK "https://helpcenter.zcygov.cn/document/#/document/detail?siteCode=beijing&amp;manualId=251&amp;topicId=1447" </w:instrText>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fldChar w:fldCharType="separate"/>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t>https://helpcenter.zcygov.cn/document/#/document/d</w:t>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fldChar w:fldCharType="end"/>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t xml:space="preserve"> </w:t>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fldChar w:fldCharType="begin"/>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instrText xml:space="preserve"> HYPERLINK "https://helpcenter.zcygov.cn/document/#/document/detail?siteCode=beijing&amp;manualId=251&amp;topicId=1447" </w:instrText>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fldChar w:fldCharType="separate"/>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t>etail?siteCode=beijing&amp;manualId=251&amp;topicId=1447</w:t>
            </w:r>
            <w:r>
              <w:rPr>
                <w:rFonts w:hint="eastAsia" w:ascii="仿宋" w:hAnsi="仿宋" w:eastAsia="仿宋" w:cs="Times New Roman"/>
                <w:color w:val="000000" w:themeColor="text1"/>
                <w:kern w:val="28"/>
                <w:sz w:val="24"/>
                <w:szCs w:val="24"/>
                <w:highlight w:val="none"/>
                <w:lang w:val="en-US" w:eastAsia="zh-CN" w:bidi="ar-SA"/>
                <w14:textFill>
                  <w14:solidFill>
                    <w14:schemeClr w14:val="tx1"/>
                  </w14:solidFill>
                </w14:textFill>
              </w:rPr>
              <w:fldChar w:fldCharType="end"/>
            </w:r>
          </w:p>
        </w:tc>
      </w:tr>
    </w:tbl>
    <w:p w14:paraId="3E7408FD">
      <w:pPr>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32"/>
          <w:szCs w:val="20"/>
          <w:highlight w:val="none"/>
          <w14:textFill>
            <w14:solidFill>
              <w14:schemeClr w14:val="tx1"/>
            </w14:solidFill>
          </w14:textFill>
        </w:rPr>
        <w:br w:type="page"/>
      </w:r>
      <w:bookmarkEnd w:id="10"/>
      <w:bookmarkStart w:id="11" w:name="第三部分"/>
      <w:bookmarkStart w:id="12" w:name="_Toc164416483"/>
      <w:r>
        <w:rPr>
          <w:rFonts w:hint="eastAsia" w:ascii="仿宋" w:hAnsi="仿宋" w:eastAsia="仿宋" w:cs="宋体"/>
          <w:b/>
          <w:color w:val="000000" w:themeColor="text1"/>
          <w:sz w:val="32"/>
          <w:szCs w:val="20"/>
          <w:highlight w:val="none"/>
          <w14:textFill>
            <w14:solidFill>
              <w14:schemeClr w14:val="tx1"/>
            </w14:solidFill>
          </w14:textFill>
        </w:rPr>
        <w:t>一、总则</w:t>
      </w:r>
    </w:p>
    <w:p w14:paraId="09B643E0">
      <w:pPr>
        <w:snapToGrid w:val="0"/>
        <w:spacing w:line="360" w:lineRule="auto"/>
        <w:jc w:val="left"/>
        <w:outlineLvl w:val="1"/>
        <w:rPr>
          <w:rFonts w:ascii="仿宋" w:hAnsi="仿宋" w:eastAsia="仿宋"/>
          <w:b/>
          <w:color w:val="000000" w:themeColor="text1"/>
          <w:sz w:val="24"/>
          <w:highlight w:val="none"/>
          <w14:textFill>
            <w14:solidFill>
              <w14:schemeClr w14:val="tx1"/>
            </w14:solidFill>
          </w14:textFill>
        </w:rPr>
      </w:pPr>
      <w:bookmarkStart w:id="13" w:name="_Toc91899872"/>
      <w:bookmarkEnd w:id="13"/>
      <w:bookmarkStart w:id="14" w:name="_Hlt74730295"/>
      <w:bookmarkEnd w:id="14"/>
      <w:bookmarkStart w:id="15" w:name="_Hlt74730112"/>
      <w:bookmarkEnd w:id="15"/>
      <w:bookmarkStart w:id="16" w:name="_Hlt74730208"/>
      <w:bookmarkEnd w:id="16"/>
      <w:bookmarkStart w:id="17" w:name="_Hlt74714665"/>
      <w:bookmarkEnd w:id="17"/>
      <w:r>
        <w:rPr>
          <w:rFonts w:hint="eastAsia" w:ascii="仿宋" w:hAnsi="仿宋" w:eastAsia="仿宋"/>
          <w:b/>
          <w:color w:val="000000" w:themeColor="text1"/>
          <w:sz w:val="24"/>
          <w:highlight w:val="none"/>
          <w14:textFill>
            <w14:solidFill>
              <w14:schemeClr w14:val="tx1"/>
            </w14:solidFill>
          </w14:textFill>
        </w:rPr>
        <w:t>1.</w:t>
      </w:r>
      <w:r>
        <w:rPr>
          <w:rFonts w:ascii="仿宋" w:hAnsi="仿宋" w:eastAsia="仿宋"/>
          <w:b/>
          <w:color w:val="000000" w:themeColor="text1"/>
          <w:sz w:val="24"/>
          <w:highlight w:val="none"/>
          <w14:textFill>
            <w14:solidFill>
              <w14:schemeClr w14:val="tx1"/>
            </w14:solidFill>
          </w14:textFill>
        </w:rPr>
        <w:t>适用范围</w:t>
      </w:r>
    </w:p>
    <w:p w14:paraId="6DD1DD5E">
      <w:pPr>
        <w:snapToGrid w:val="0"/>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本征集文件适用于该项目的征集、投标、开标、资格审查及信用信息查询、评标、定标、合同、验收等行为（法律、法规另有规定的，从其规定）。</w:t>
      </w:r>
    </w:p>
    <w:p w14:paraId="45D73532">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 xml:space="preserve"> 2.定义</w:t>
      </w:r>
    </w:p>
    <w:p w14:paraId="2787E72F">
      <w:pPr>
        <w:spacing w:line="360" w:lineRule="auto"/>
        <w:ind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w:t>
      </w:r>
      <w:r>
        <w:rPr>
          <w:rFonts w:hint="eastAsia" w:ascii="仿宋" w:hAnsi="仿宋" w:eastAsia="仿宋"/>
          <w:color w:val="000000" w:themeColor="text1"/>
          <w:sz w:val="24"/>
          <w:highlight w:val="none"/>
          <w14:textFill>
            <w14:solidFill>
              <w14:schemeClr w14:val="tx1"/>
            </w14:solidFill>
          </w14:textFill>
        </w:rPr>
        <w:t>“征集人”系指征集公告中载明的本项目的征集人。</w:t>
      </w:r>
    </w:p>
    <w:p w14:paraId="47F63DC1">
      <w:pPr>
        <w:spacing w:line="360" w:lineRule="auto"/>
        <w:ind w:firstLine="600" w:firstLineChars="25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2.2“采购代理机构”系指征集公告中载明的本项目的采购代理机构。</w:t>
      </w:r>
    </w:p>
    <w:p w14:paraId="52047969">
      <w:pPr>
        <w:spacing w:line="360" w:lineRule="auto"/>
        <w:ind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3“供应商”系指是指响应征集、参加投标竞争的法人、其他组织或者自然人。</w:t>
      </w:r>
    </w:p>
    <w:p w14:paraId="7B7564D3">
      <w:pPr>
        <w:spacing w:line="360" w:lineRule="auto"/>
        <w:ind w:firstLine="600" w:firstLineChars="25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2.4“负责人”系指法人企业的法定负责人，或其他组织为</w:t>
      </w:r>
      <w:r>
        <w:rPr>
          <w:rFonts w:ascii="仿宋" w:hAnsi="仿宋" w:eastAsia="仿宋"/>
          <w:color w:val="000000" w:themeColor="text1"/>
          <w:sz w:val="24"/>
          <w:highlight w:val="none"/>
          <w14:textFill>
            <w14:solidFill>
              <w14:schemeClr w14:val="tx1"/>
            </w14:solidFill>
          </w14:textFill>
        </w:rPr>
        <w:t>法律、行政法规规定代表单位行使职权的主要负责人</w:t>
      </w:r>
      <w:r>
        <w:rPr>
          <w:rFonts w:hint="eastAsia" w:ascii="仿宋" w:hAnsi="仿宋" w:eastAsia="仿宋"/>
          <w:color w:val="000000" w:themeColor="text1"/>
          <w:sz w:val="24"/>
          <w:highlight w:val="none"/>
          <w14:textFill>
            <w14:solidFill>
              <w14:schemeClr w14:val="tx1"/>
            </w14:solidFill>
          </w14:textFill>
        </w:rPr>
        <w:t>，或自然人本人。</w:t>
      </w:r>
    </w:p>
    <w:p w14:paraId="31F57ACE">
      <w:pPr>
        <w:spacing w:line="360" w:lineRule="auto"/>
        <w:ind w:firstLine="600" w:firstLineChars="25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p>
    <w:p w14:paraId="7A57333D">
      <w:pPr>
        <w:spacing w:line="360" w:lineRule="auto"/>
        <w:ind w:firstLine="600" w:firstLineChars="25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2.6“电子交易平台”是指本项目政府采购活动所依托的政府采购云平台（https://www.zcygov.cn/）。</w:t>
      </w:r>
    </w:p>
    <w:p w14:paraId="5CBFDDD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2.7“▲”系指实质性要求条款，“★”系项重要技术指标条款，“</w:t>
      </w:r>
      <w:sdt>
        <w:sdtPr>
          <w:rPr>
            <w:rFonts w:hint="eastAsia" w:ascii="仿宋" w:hAnsi="仿宋" w:eastAsia="仿宋"/>
            <w:color w:val="000000" w:themeColor="text1"/>
            <w:sz w:val="24"/>
            <w:highlight w:val="none"/>
            <w14:textFill>
              <w14:solidFill>
                <w14:schemeClr w14:val="tx1"/>
              </w14:solidFill>
            </w14:textFill>
          </w:rPr>
          <w:id w:val="22263650"/>
        </w:sdtPr>
        <w:sdtEndPr>
          <w:rPr>
            <w:rFonts w:hint="eastAsia" w:ascii="仿宋" w:hAnsi="仿宋" w:eastAsia="仿宋"/>
            <w:color w:val="000000" w:themeColor="text1"/>
            <w:sz w:val="24"/>
            <w:highlight w:val="none"/>
            <w14:textFill>
              <w14:solidFill>
                <w14:schemeClr w14:val="tx1"/>
              </w14:solidFill>
            </w14:textFill>
          </w:rPr>
        </w:sdtEndPr>
        <w:sdtContent>
          <w:sdt>
            <w:sdtPr>
              <w:rPr>
                <w:rFonts w:hint="eastAsia" w:ascii="仿宋" w:hAnsi="仿宋" w:eastAsia="仿宋"/>
                <w:color w:val="000000" w:themeColor="text1"/>
                <w:kern w:val="28"/>
                <w:sz w:val="24"/>
                <w:highlight w:val="none"/>
                <w14:textFill>
                  <w14:solidFill>
                    <w14:schemeClr w14:val="tx1"/>
                  </w14:solidFill>
                </w14:textFill>
              </w:rPr>
              <w:id w:val="25188268"/>
            </w:sdtPr>
            <w:sdtEndPr>
              <w:rPr>
                <w:rFonts w:hint="eastAsia" w:ascii="仿宋" w:hAnsi="仿宋" w:eastAsia="仿宋"/>
                <w:color w:val="000000" w:themeColor="text1"/>
                <w:kern w:val="28"/>
                <w:sz w:val="24"/>
                <w:highlight w:val="none"/>
                <w14:textFill>
                  <w14:solidFill>
                    <w14:schemeClr w14:val="tx1"/>
                  </w14:solidFill>
                </w14:textFill>
              </w:rPr>
            </w:sdtEndPr>
            <w:sdtContent>
              <w:r>
                <w:rPr>
                  <w:rFonts w:hint="eastAsia" w:ascii="仿宋" w:hAnsi="仿宋" w:eastAsia="仿宋"/>
                  <w:color w:val="000000" w:themeColor="text1"/>
                  <w:kern w:val="28"/>
                  <w:sz w:val="24"/>
                  <w:highlight w:val="none"/>
                  <w14:textFill>
                    <w14:solidFill>
                      <w14:schemeClr w14:val="tx1"/>
                    </w14:solidFill>
                  </w14:textFill>
                </w:rPr>
                <w:sym w:font="Wingdings" w:char="F0FE"/>
              </w:r>
            </w:sdtContent>
          </w:sdt>
        </w:sdtContent>
      </w:sdt>
      <w:r>
        <w:rPr>
          <w:rFonts w:hint="eastAsia" w:ascii="仿宋" w:hAnsi="仿宋" w:eastAsia="仿宋"/>
          <w:color w:val="000000" w:themeColor="text1"/>
          <w:sz w:val="24"/>
          <w:highlight w:val="none"/>
          <w14:textFill>
            <w14:solidFill>
              <w14:schemeClr w14:val="tx1"/>
            </w14:solidFill>
          </w14:textFill>
        </w:rPr>
        <w:t>”系指适用本项目的要求，“</w:t>
      </w:r>
      <w:sdt>
        <w:sdtPr>
          <w:rPr>
            <w:rFonts w:hint="eastAsia" w:ascii="仿宋" w:hAnsi="仿宋" w:eastAsia="仿宋"/>
            <w:color w:val="000000" w:themeColor="text1"/>
            <w:sz w:val="24"/>
            <w:highlight w:val="none"/>
            <w14:textFill>
              <w14:solidFill>
                <w14:schemeClr w14:val="tx1"/>
              </w14:solidFill>
            </w14:textFill>
          </w:rPr>
          <w:id w:val="404888855"/>
        </w:sdtPr>
        <w:sdtEndPr>
          <w:rPr>
            <w:rFonts w:hint="eastAsia" w:ascii="仿宋" w:hAnsi="仿宋" w:eastAsia="仿宋"/>
            <w:color w:val="000000" w:themeColor="text1"/>
            <w:sz w:val="24"/>
            <w:highlight w:val="none"/>
            <w14:textFill>
              <w14:solidFill>
                <w14:schemeClr w14:val="tx1"/>
              </w14:solidFill>
            </w14:textFill>
          </w:rPr>
        </w:sdtEndPr>
        <w:sdtContent>
          <w:r>
            <w:rPr>
              <w:rFonts w:hint="eastAsia" w:ascii="仿宋" w:hAnsi="仿宋" w:eastAsia="仿宋"/>
              <w:color w:val="000000" w:themeColor="text1"/>
              <w:sz w:val="24"/>
              <w:highlight w:val="none"/>
              <w14:textFill>
                <w14:solidFill>
                  <w14:schemeClr w14:val="tx1"/>
                </w14:solidFill>
              </w14:textFill>
            </w:rPr>
            <w:t>☐</w:t>
          </w:r>
        </w:sdtContent>
      </w:sdt>
      <w:r>
        <w:rPr>
          <w:rFonts w:hint="eastAsia" w:ascii="仿宋" w:hAnsi="仿宋" w:eastAsia="仿宋"/>
          <w:color w:val="000000" w:themeColor="text1"/>
          <w:sz w:val="24"/>
          <w:highlight w:val="none"/>
          <w14:textFill>
            <w14:solidFill>
              <w14:schemeClr w14:val="tx1"/>
            </w14:solidFill>
          </w14:textFill>
        </w:rPr>
        <w:t>” 系指不适用本项目的要求。</w:t>
      </w:r>
    </w:p>
    <w:p w14:paraId="5166C635">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3.采购项目需要落实的政府采购政策</w:t>
      </w:r>
    </w:p>
    <w:p w14:paraId="1EA09913">
      <w:pPr>
        <w:spacing w:line="360" w:lineRule="auto"/>
        <w:ind w:firstLine="600" w:firstLineChars="25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3.1 本项目原则上采购本国生产的货物、工程和服务，不允许采购进口产品。除非征集人采购进口产品，已经在采购活动开始前向财政部门提出申请并获得财政部门审核同意，且在采购需求中明确规定可以采购进口产品（但如果因信息不对称等原因，仍有满足需求的国内产品要求参与采购竞争的，征集人、采购代理机构不会对其加以限制，仍将按照公平竞争原则实施采购）；优先采购向我国企业转让技术、与我国企业签订消化吸收再创新方案的供应商的进口产品。</w:t>
      </w:r>
    </w:p>
    <w:p w14:paraId="4570889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3.2 </w:t>
      </w:r>
      <w:r>
        <w:rPr>
          <w:rFonts w:hint="eastAsia" w:ascii="仿宋" w:hAnsi="仿宋" w:eastAsia="仿宋"/>
          <w:color w:val="000000" w:themeColor="text1"/>
          <w:sz w:val="24"/>
          <w:highlight w:val="none"/>
          <w14:textFill>
            <w14:solidFill>
              <w14:schemeClr w14:val="tx1"/>
            </w14:solidFill>
          </w14:textFill>
        </w:rPr>
        <w:t>支持绿色发展（本项目不适用）</w:t>
      </w:r>
    </w:p>
    <w:p w14:paraId="4B046379">
      <w:pPr>
        <w:spacing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3.2.1征集人拟采购的产品属于品目清单范围的，征集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olor w:val="000000" w:themeColor="text1"/>
          <w:sz w:val="24"/>
          <w:highlight w:val="none"/>
          <w14:textFill>
            <w14:solidFill>
              <w14:schemeClr w14:val="tx1"/>
            </w14:solidFill>
          </w14:textFill>
        </w:rPr>
        <w:t>供应商</w:t>
      </w:r>
      <w:r>
        <w:rPr>
          <w:rFonts w:ascii="仿宋" w:hAnsi="仿宋" w:eastAsia="仿宋"/>
          <w:color w:val="000000" w:themeColor="text1"/>
          <w:sz w:val="24"/>
          <w:highlight w:val="none"/>
          <w14:textFill>
            <w14:solidFill>
              <w14:schemeClr w14:val="tx1"/>
            </w14:solidFill>
          </w14:textFill>
        </w:rPr>
        <w:t>须按征集文件要求提供相关产品认证证书。▲</w:t>
      </w:r>
      <w:r>
        <w:rPr>
          <w:rFonts w:hint="eastAsia" w:ascii="仿宋" w:hAnsi="仿宋" w:eastAsia="仿宋"/>
          <w:b/>
          <w:color w:val="000000" w:themeColor="text1"/>
          <w:sz w:val="24"/>
          <w:highlight w:val="none"/>
          <w14:textFill>
            <w14:solidFill>
              <w14:schemeClr w14:val="tx1"/>
            </w14:solidFill>
          </w14:textFill>
        </w:rPr>
        <w:t>征集人拟采购的产品属于政府强制采购的节能产品品目清单范围的，供应商未按征集文件要求提供国家确定的认证机构出具的、处于有效期之内的节能产品认证证书的，投标无效。</w:t>
      </w:r>
    </w:p>
    <w:p w14:paraId="1605178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3.2.2 </w:t>
      </w:r>
      <w:r>
        <w:rPr>
          <w:rFonts w:hint="eastAsia" w:ascii="仿宋" w:hAnsi="仿宋" w:eastAsia="仿宋"/>
          <w:color w:val="000000" w:themeColor="text1"/>
          <w:sz w:val="24"/>
          <w:highlight w:val="none"/>
          <w14:textFill>
            <w14:solidFill>
              <w14:schemeClr w14:val="tx1"/>
            </w14:solidFill>
          </w14:textFill>
        </w:rPr>
        <w:t>纳入政府采购管理的修缮、装修类项目采购建材的，鼓励采购单位将绿色建材性能、指标等作为实质性条件纳入征集文件和合同，具体性能指标要求参考相关绿色建材政府采购需求标准。</w:t>
      </w:r>
    </w:p>
    <w:p w14:paraId="53842B1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3.2.3</w:t>
      </w:r>
      <w:r>
        <w:rPr>
          <w:rFonts w:hint="eastAsia" w:ascii="仿宋" w:hAnsi="仿宋" w:eastAsia="仿宋"/>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976470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18" w:name="_Hlk107568539"/>
      <w:r>
        <w:rPr>
          <w:rFonts w:hint="eastAsia" w:ascii="仿宋" w:hAnsi="仿宋" w:eastAsia="仿宋"/>
          <w:color w:val="000000" w:themeColor="text1"/>
          <w:sz w:val="24"/>
          <w:highlight w:val="none"/>
          <w14:textFill>
            <w14:solidFill>
              <w14:schemeClr w14:val="tx1"/>
            </w14:solidFill>
          </w14:textFill>
        </w:rPr>
        <w:t>优先采购绿色包装产品、绿色物流配送服务以及循环利用产品</w:t>
      </w:r>
      <w:bookmarkEnd w:id="18"/>
      <w:r>
        <w:rPr>
          <w:rFonts w:hint="eastAsia" w:ascii="仿宋" w:hAnsi="仿宋" w:eastAsia="仿宋"/>
          <w:color w:val="000000" w:themeColor="text1"/>
          <w:sz w:val="24"/>
          <w:highlight w:val="none"/>
          <w14:textFill>
            <w14:solidFill>
              <w14:schemeClr w14:val="tx1"/>
            </w14:solidFill>
          </w14:textFill>
        </w:rPr>
        <w:t>。</w:t>
      </w:r>
    </w:p>
    <w:p w14:paraId="101D33A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3.3支持中小企业发展</w:t>
      </w:r>
    </w:p>
    <w:p w14:paraId="449899D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5CFA2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符合中小企业划分标准的个体工商户，在政府采购活动中视同中小企业。</w:t>
      </w:r>
    </w:p>
    <w:p w14:paraId="3B49D79F">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在政府采购活动中，供应商提供的货物、工程或者服务符合下列情形的，享受中小企业扶持政策：</w:t>
      </w:r>
    </w:p>
    <w:p w14:paraId="315B0419">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14:paraId="6E2075E7">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3.3.2.2在工程采购项目中，工程由中小企业承建，即工程施工单位为中小企业；</w:t>
      </w:r>
    </w:p>
    <w:p w14:paraId="6B24374C">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14:paraId="62677DD0">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在货物采购项目中，供应商提供的货物既有中小企业制造货物，也有大型企业制造货物的，不享受中小企业扶持政策。</w:t>
      </w:r>
    </w:p>
    <w:p w14:paraId="44041A64">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EBEE7E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3.3.3</w:t>
      </w:r>
      <w:r>
        <w:rPr>
          <w:rFonts w:hint="eastAsia" w:ascii="仿宋" w:hAnsi="仿宋" w:eastAsia="仿宋"/>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对于未预留份额专门面向中小企业的政府采购货物或服务项目，以及预留份额政府采购货物或服务项目中的非预留部分标项，对小型和微型企业的响应报价给予20</w:t>
      </w:r>
      <w:r>
        <w:rPr>
          <w:rFonts w:ascii="仿宋" w:hAnsi="仿宋" w:eastAsia="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highlight w:val="none"/>
          <w14:textFill>
            <w14:solidFill>
              <w14:schemeClr w14:val="tx1"/>
            </w14:solidFill>
          </w14:textFill>
        </w:rPr>
        <w:t>政府</w:t>
      </w:r>
      <w:r>
        <w:rPr>
          <w:rFonts w:ascii="仿宋" w:hAnsi="仿宋" w:eastAsia="仿宋"/>
          <w:color w:val="000000" w:themeColor="text1"/>
          <w:sz w:val="24"/>
          <w:highlight w:val="none"/>
          <w14:textFill>
            <w14:solidFill>
              <w14:schemeClr w14:val="tx1"/>
            </w14:solidFill>
          </w14:textFill>
        </w:rPr>
        <w:t>采购</w:t>
      </w:r>
      <w:r>
        <w:rPr>
          <w:rFonts w:hint="eastAsia" w:ascii="仿宋" w:hAnsi="仿宋" w:eastAsia="仿宋"/>
          <w:color w:val="000000" w:themeColor="text1"/>
          <w:sz w:val="24"/>
          <w:highlight w:val="none"/>
          <w14:textFill>
            <w14:solidFill>
              <w14:schemeClr w14:val="tx1"/>
            </w14:solidFill>
          </w14:textFill>
        </w:rPr>
        <w:t>货物或服务</w:t>
      </w:r>
      <w:r>
        <w:rPr>
          <w:rFonts w:ascii="仿宋" w:hAnsi="仿宋" w:eastAsia="仿宋"/>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highlight w:val="none"/>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51B672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color w:val="000000" w:themeColor="text1"/>
          <w:sz w:val="24"/>
          <w:highlight w:val="none"/>
          <w14:textFill>
            <w14:solidFill>
              <w14:schemeClr w14:val="tx1"/>
            </w14:solidFill>
          </w14:textFill>
        </w:rPr>
        <w:t>。</w:t>
      </w:r>
    </w:p>
    <w:p w14:paraId="0C62699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1987D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3.3.6</w:t>
      </w:r>
      <w:r>
        <w:rPr>
          <w:rFonts w:hint="eastAsia" w:ascii="仿宋" w:hAnsi="仿宋" w:eastAsia="仿宋"/>
          <w:color w:val="000000" w:themeColor="text1"/>
          <w:sz w:val="24"/>
          <w:highlight w:val="none"/>
          <w14:textFill>
            <w14:solidFill>
              <w14:schemeClr w14:val="tx1"/>
            </w14:solidFill>
          </w14:textFill>
        </w:rPr>
        <w:t>可享受中小企业扶持政策的供应商应按照征集文件格式要求提供《中小企业声明函》，供应商提供的《中小企业声明函》与实际情况不符的，不享受中小企业扶持政策。声明内容不实的，属于提供虚假材料谋取中标、成交的，依法承担法律责任。</w:t>
      </w:r>
    </w:p>
    <w:p w14:paraId="7097412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 w:hAnsi="仿宋" w:eastAsia="仿宋"/>
          <w:color w:val="000000" w:themeColor="text1"/>
          <w:sz w:val="24"/>
          <w:highlight w:val="none"/>
          <w14:textFill>
            <w14:solidFill>
              <w14:schemeClr w14:val="tx1"/>
            </w14:solidFill>
          </w14:textFill>
        </w:rPr>
        <w:t>。</w:t>
      </w:r>
    </w:p>
    <w:p w14:paraId="24C8E76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3.4</w:t>
      </w:r>
      <w:r>
        <w:rPr>
          <w:rFonts w:hint="eastAsia" w:ascii="仿宋" w:hAnsi="仿宋" w:eastAsia="仿宋"/>
          <w:bCs/>
          <w:color w:val="000000" w:themeColor="text1"/>
          <w:sz w:val="24"/>
          <w:highlight w:val="none"/>
          <w14:textFill>
            <w14:solidFill>
              <w14:schemeClr w14:val="tx1"/>
            </w14:solidFill>
          </w14:textFill>
        </w:rPr>
        <w:t>支持创新发展（本项目不适用）</w:t>
      </w:r>
    </w:p>
    <w:p w14:paraId="0C5E6FB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3.4.1 征集人优先采购被认定</w:t>
      </w:r>
      <w:r>
        <w:rPr>
          <w:rFonts w:hint="eastAsia" w:ascii="仿宋" w:hAnsi="仿宋" w:eastAsia="仿宋"/>
          <w:color w:val="000000" w:themeColor="text1"/>
          <w:sz w:val="24"/>
          <w:highlight w:val="none"/>
          <w14:textFill>
            <w14:solidFill>
              <w14:schemeClr w14:val="tx1"/>
            </w14:solidFill>
          </w14:textFill>
        </w:rPr>
        <w:t>为首台套产品和“制造精品”的自主创新产品。</w:t>
      </w:r>
    </w:p>
    <w:p w14:paraId="616895F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3.4.2首台套产品</w:t>
      </w:r>
      <w:r>
        <w:rPr>
          <w:rFonts w:hint="eastAsia" w:ascii="仿宋" w:hAnsi="仿宋" w:eastAsia="仿宋"/>
          <w:color w:val="000000" w:themeColor="text1"/>
          <w:sz w:val="24"/>
          <w:highlight w:val="none"/>
          <w14:textFill>
            <w14:solidFill>
              <w14:schemeClr w14:val="tx1"/>
            </w14:solidFill>
          </w14:textFill>
        </w:rPr>
        <w:t>被纳入《首台套产品推广应用指导目录》之日起3</w:t>
      </w:r>
      <w:r>
        <w:rPr>
          <w:rFonts w:ascii="仿宋" w:hAnsi="仿宋" w:eastAsia="仿宋"/>
          <w:color w:val="000000" w:themeColor="text1"/>
          <w:sz w:val="24"/>
          <w:highlight w:val="none"/>
          <w14:textFill>
            <w14:solidFill>
              <w14:schemeClr w14:val="tx1"/>
            </w14:solidFill>
          </w14:textFill>
        </w:rPr>
        <w:t>年内，以及产品核心技术高于国内领先水平，并具有明晰自主知识产权的“制造精品”产品，</w:t>
      </w:r>
      <w:r>
        <w:rPr>
          <w:rFonts w:hint="eastAsia" w:ascii="仿宋" w:hAnsi="仿宋" w:eastAsia="仿宋"/>
          <w:color w:val="000000" w:themeColor="text1"/>
          <w:sz w:val="24"/>
          <w:highlight w:val="none"/>
          <w14:textFill>
            <w14:solidFill>
              <w14:schemeClr w14:val="tx1"/>
            </w14:solidFill>
          </w14:textFill>
        </w:rPr>
        <w:t>自认定之日起</w:t>
      </w:r>
      <w:r>
        <w:rPr>
          <w:rFonts w:ascii="仿宋" w:hAnsi="仿宋" w:eastAsia="仿宋"/>
          <w:color w:val="000000" w:themeColor="text1"/>
          <w:sz w:val="24"/>
          <w:highlight w:val="none"/>
          <w14:textFill>
            <w14:solidFill>
              <w14:schemeClr w14:val="tx1"/>
            </w14:solidFill>
          </w14:textFill>
        </w:rPr>
        <w:t>2年内视同已具备相应销售业绩，参加政府采购活动</w:t>
      </w:r>
      <w:r>
        <w:rPr>
          <w:rFonts w:hint="eastAsia" w:ascii="仿宋" w:hAnsi="仿宋" w:eastAsia="仿宋"/>
          <w:color w:val="000000" w:themeColor="text1"/>
          <w:sz w:val="24"/>
          <w:highlight w:val="none"/>
          <w14:textFill>
            <w14:solidFill>
              <w14:schemeClr w14:val="tx1"/>
            </w14:solidFill>
          </w14:textFill>
        </w:rPr>
        <w:t>时业绩分值为满分。</w:t>
      </w:r>
    </w:p>
    <w:p w14:paraId="70330E50">
      <w:pPr>
        <w:wordWrap w:val="0"/>
        <w:spacing w:line="360" w:lineRule="auto"/>
        <w:ind w:firstLine="480" w:firstLineChars="200"/>
        <w:jc w:val="left"/>
        <w:rPr>
          <w:rFonts w:ascii="仿宋" w:hAnsi="仿宋" w:eastAsia="仿宋" w:cs="微软雅黑"/>
          <w:color w:val="000000" w:themeColor="text1"/>
          <w:kern w:val="0"/>
          <w:sz w:val="24"/>
          <w:highlight w:val="none"/>
          <w:lang w:val="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3.5</w:t>
      </w:r>
      <w:r>
        <w:rPr>
          <w:rFonts w:ascii="仿宋" w:hAnsi="仿宋" w:eastAsia="仿宋" w:cs="微软雅黑"/>
          <w:color w:val="000000" w:themeColor="text1"/>
          <w:kern w:val="0"/>
          <w:sz w:val="24"/>
          <w:highlight w:val="none"/>
          <w:lang w:val="zh-CN"/>
          <w14:textFill>
            <w14:solidFill>
              <w14:schemeClr w14:val="tx1"/>
            </w14:solidFill>
          </w14:textFill>
        </w:rPr>
        <w:t>中小企业信用融资：为支持和促进中小企业发展，进一步发挥政府采购政策功能，</w:t>
      </w:r>
      <w:r>
        <w:rPr>
          <w:rFonts w:hint="eastAsia" w:ascii="仿宋" w:hAnsi="仿宋" w:eastAsia="仿宋" w:cs="微软雅黑"/>
          <w:color w:val="000000" w:themeColor="text1"/>
          <w:kern w:val="0"/>
          <w:sz w:val="24"/>
          <w:highlight w:val="none"/>
          <w:lang w:val="zh-CN"/>
          <w14:textFill>
            <w14:solidFill>
              <w14:schemeClr w14:val="tx1"/>
            </w14:solidFill>
          </w14:textFill>
        </w:rPr>
        <w:t>杭州市滨江区民政局</w:t>
      </w:r>
      <w:r>
        <w:rPr>
          <w:rFonts w:ascii="仿宋" w:hAnsi="仿宋" w:eastAsia="仿宋" w:cs="微软雅黑"/>
          <w:color w:val="000000" w:themeColor="text1"/>
          <w:kern w:val="0"/>
          <w:sz w:val="24"/>
          <w:highlight w:val="none"/>
          <w:lang w:val="zh-CN"/>
          <w14:textFill>
            <w14:solidFill>
              <w14:schemeClr w14:val="tx1"/>
            </w14:solidFill>
          </w14:textFill>
        </w:rPr>
        <w:t>出台了《</w:t>
      </w:r>
      <w:r>
        <w:rPr>
          <w:rFonts w:hint="eastAsia" w:ascii="仿宋" w:hAnsi="仿宋" w:eastAsia="仿宋" w:cs="微软雅黑"/>
          <w:color w:val="000000" w:themeColor="text1"/>
          <w:kern w:val="0"/>
          <w:sz w:val="24"/>
          <w:highlight w:val="none"/>
          <w:lang w:val="zh-CN"/>
          <w14:textFill>
            <w14:solidFill>
              <w14:schemeClr w14:val="tx1"/>
            </w14:solidFill>
          </w14:textFill>
        </w:rPr>
        <w:t>关于印发《杭州高新开发区（滨江）政府采购支持中小企业信用融资暂行办法》的通知</w:t>
      </w:r>
      <w:r>
        <w:rPr>
          <w:rFonts w:ascii="仿宋" w:hAnsi="仿宋" w:eastAsia="仿宋" w:cs="微软雅黑"/>
          <w:color w:val="000000" w:themeColor="text1"/>
          <w:kern w:val="0"/>
          <w:sz w:val="24"/>
          <w:highlight w:val="none"/>
          <w:lang w:val="zh-CN"/>
          <w14:textFill>
            <w14:solidFill>
              <w14:schemeClr w14:val="tx1"/>
            </w14:solidFill>
          </w14:textFill>
        </w:rPr>
        <w:t>》。</w:t>
      </w:r>
      <w:r>
        <w:rPr>
          <w:rFonts w:hint="eastAsia" w:ascii="仿宋" w:hAnsi="仿宋" w:eastAsia="仿宋" w:cs="微软雅黑"/>
          <w:color w:val="000000" w:themeColor="text1"/>
          <w:kern w:val="0"/>
          <w:sz w:val="24"/>
          <w:highlight w:val="none"/>
          <w:lang w:val="zh-CN"/>
          <w14:textFill>
            <w14:solidFill>
              <w14:schemeClr w14:val="tx1"/>
            </w14:solidFill>
          </w14:textFill>
        </w:rPr>
        <w:t>供应商中标后根据滨江区门户网站公示的滨江区政采贷合作银行及联系人信息表（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"http://www.hhtz.gov.cn/art/2022/1/11/art_1487037_59039349.html" </w:instrText>
      </w:r>
      <w:r>
        <w:rPr>
          <w:color w:val="000000" w:themeColor="text1"/>
          <w:highlight w:val="none"/>
          <w14:textFill>
            <w14:solidFill>
              <w14:schemeClr w14:val="tx1"/>
            </w14:solidFill>
          </w14:textFill>
        </w:rPr>
        <w:fldChar w:fldCharType="separate"/>
      </w:r>
      <w:r>
        <w:rPr>
          <w:rFonts w:ascii="仿宋" w:hAnsi="仿宋" w:eastAsia="仿宋" w:cs="微软雅黑"/>
          <w:snapToGrid w:val="0"/>
          <w:color w:val="000000" w:themeColor="text1"/>
          <w:kern w:val="0"/>
          <w:sz w:val="24"/>
          <w:highlight w:val="none"/>
          <w:lang w:val="zh-CN"/>
          <w14:textFill>
            <w14:solidFill>
              <w14:schemeClr w14:val="tx1"/>
            </w14:solidFill>
          </w14:textFill>
        </w:rPr>
        <w:t>http://www.hhtz.gov.cn/art/2022/1/11/art_1487037_59039349.html</w:t>
      </w:r>
      <w:r>
        <w:rPr>
          <w:rFonts w:ascii="仿宋" w:hAnsi="仿宋" w:eastAsia="仿宋" w:cs="微软雅黑"/>
          <w:snapToGrid w:val="0"/>
          <w:color w:val="000000" w:themeColor="text1"/>
          <w:kern w:val="0"/>
          <w:sz w:val="24"/>
          <w:highlight w:val="none"/>
          <w:lang w:val="zh-CN"/>
          <w14:textFill>
            <w14:solidFill>
              <w14:schemeClr w14:val="tx1"/>
            </w14:solidFill>
          </w14:textFill>
        </w:rPr>
        <w:fldChar w:fldCharType="end"/>
      </w:r>
      <w:r>
        <w:rPr>
          <w:rFonts w:ascii="仿宋" w:hAnsi="仿宋" w:eastAsia="仿宋" w:cs="微软雅黑"/>
          <w:color w:val="000000" w:themeColor="text1"/>
          <w:kern w:val="0"/>
          <w:sz w:val="24"/>
          <w:highlight w:val="none"/>
          <w:lang w:val="zh-CN"/>
          <w14:textFill>
            <w14:solidFill>
              <w14:schemeClr w14:val="tx1"/>
            </w14:solidFill>
          </w14:textFill>
        </w:rPr>
        <w:t>）获取联系方式，选择银行进行对接申请。</w:t>
      </w:r>
    </w:p>
    <w:p w14:paraId="68AC38F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3.6平等对待内外资企业和符合条件的破产重整企业</w:t>
      </w:r>
    </w:p>
    <w:p w14:paraId="433EA4D2">
      <w:pPr>
        <w:spacing w:line="360" w:lineRule="auto"/>
        <w:ind w:firstLine="360" w:firstLineChars="15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3CC3C771">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 询问、质疑、投诉</w:t>
      </w:r>
    </w:p>
    <w:p w14:paraId="5400D870">
      <w:pPr>
        <w:autoSpaceDE w:val="0"/>
        <w:autoSpaceDN w:val="0"/>
        <w:spacing w:line="360" w:lineRule="auto"/>
        <w:ind w:firstLine="240" w:firstLineChars="100"/>
        <w:jc w:val="left"/>
        <w:rPr>
          <w:rFonts w:hint="eastAsia" w:ascii="仿宋" w:hAnsi="仿宋" w:eastAsia="仿宋" w:cs="微软雅黑"/>
          <w:color w:val="000000" w:themeColor="text1"/>
          <w:kern w:val="0"/>
          <w:sz w:val="24"/>
          <w:highlight w:val="none"/>
          <w:lang w:val="en-US" w:eastAsia="zh-CN"/>
          <w14:textFill>
            <w14:solidFill>
              <w14:schemeClr w14:val="tx1"/>
            </w14:solidFill>
          </w14:textFill>
        </w:rPr>
      </w:pPr>
      <w:r>
        <w:rPr>
          <w:rFonts w:ascii="仿宋" w:hAnsi="仿宋" w:eastAsia="仿宋" w:cs="微软雅黑"/>
          <w:color w:val="000000" w:themeColor="text1"/>
          <w:kern w:val="0"/>
          <w:sz w:val="24"/>
          <w:highlight w:val="none"/>
          <w:lang w:val="zh-CN"/>
          <w14:textFill>
            <w14:solidFill>
              <w14:schemeClr w14:val="tx1"/>
            </w14:solidFill>
          </w14:textFill>
        </w:rPr>
        <w:t>4.1</w:t>
      </w:r>
      <w:r>
        <w:rPr>
          <w:rFonts w:hint="eastAsia" w:ascii="仿宋" w:hAnsi="仿宋" w:eastAsia="仿宋" w:cs="微软雅黑"/>
          <w:color w:val="000000" w:themeColor="text1"/>
          <w:kern w:val="0"/>
          <w:sz w:val="24"/>
          <w:highlight w:val="none"/>
          <w:lang w:val="zh-CN"/>
          <w14:textFill>
            <w14:solidFill>
              <w14:schemeClr w14:val="tx1"/>
            </w14:solidFill>
          </w14:textFill>
        </w:rPr>
        <w:t>在线询问、质疑、投诉。根据《浙江省财政厅关于进一步促进政府采购公平竞争打造最优营商环境的通知》（浙财采监（2021）22 号）文件关于“健全行政裁决机制 ”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483DB2">
      <w:pPr>
        <w:autoSpaceDE w:val="0"/>
        <w:autoSpaceDN w:val="0"/>
        <w:spacing w:line="360" w:lineRule="auto"/>
        <w:ind w:firstLine="240" w:firstLineChars="100"/>
        <w:jc w:val="left"/>
        <w:rPr>
          <w:rFonts w:ascii="仿宋" w:hAnsi="仿宋" w:eastAsia="仿宋" w:cs="微软雅黑"/>
          <w:color w:val="000000" w:themeColor="text1"/>
          <w:kern w:val="0"/>
          <w:sz w:val="24"/>
          <w:highlight w:val="none"/>
          <w:lang w:val="zh-CN"/>
          <w14:textFill>
            <w14:solidFill>
              <w14:schemeClr w14:val="tx1"/>
            </w14:solidFill>
          </w14:textFill>
        </w:rPr>
      </w:pPr>
      <w:r>
        <w:rPr>
          <w:rFonts w:hint="eastAsia" w:ascii="仿宋" w:hAnsi="仿宋" w:eastAsia="仿宋" w:cs="微软雅黑"/>
          <w:color w:val="000000" w:themeColor="text1"/>
          <w:kern w:val="0"/>
          <w:sz w:val="24"/>
          <w:highlight w:val="none"/>
          <w:lang w:val="zh-CN"/>
          <w14:textFill>
            <w14:solidFill>
              <w14:schemeClr w14:val="tx1"/>
            </w14:solidFill>
          </w14:textFill>
        </w:rPr>
        <w:t>4.2</w:t>
      </w:r>
      <w:r>
        <w:rPr>
          <w:rFonts w:ascii="仿宋" w:hAnsi="仿宋" w:eastAsia="仿宋" w:cs="微软雅黑"/>
          <w:color w:val="000000" w:themeColor="text1"/>
          <w:kern w:val="0"/>
          <w:sz w:val="24"/>
          <w:highlight w:val="none"/>
          <w:lang w:val="zh-CN"/>
          <w14:textFill>
            <w14:solidFill>
              <w14:schemeClr w14:val="tx1"/>
            </w14:solidFill>
          </w14:textFill>
        </w:rPr>
        <w:t>供应商询问</w:t>
      </w:r>
    </w:p>
    <w:p w14:paraId="74879444">
      <w:pPr>
        <w:autoSpaceDE w:val="0"/>
        <w:autoSpaceDN w:val="0"/>
        <w:spacing w:line="360" w:lineRule="auto"/>
        <w:ind w:firstLine="480" w:firstLineChars="200"/>
        <w:jc w:val="left"/>
        <w:rPr>
          <w:rFonts w:ascii="仿宋" w:hAnsi="仿宋" w:eastAsia="仿宋" w:cs="微软雅黑"/>
          <w:color w:val="000000" w:themeColor="text1"/>
          <w:kern w:val="0"/>
          <w:sz w:val="24"/>
          <w:highlight w:val="none"/>
          <w:lang w:val="zh-CN"/>
          <w14:textFill>
            <w14:solidFill>
              <w14:schemeClr w14:val="tx1"/>
            </w14:solidFill>
          </w14:textFill>
        </w:rPr>
      </w:pPr>
      <w:r>
        <w:rPr>
          <w:rFonts w:hint="eastAsia" w:ascii="仿宋" w:hAnsi="仿宋" w:eastAsia="仿宋" w:cs="微软雅黑"/>
          <w:color w:val="000000" w:themeColor="text1"/>
          <w:kern w:val="0"/>
          <w:sz w:val="24"/>
          <w:highlight w:val="none"/>
          <w:lang w:val="zh-CN"/>
          <w14:textFill>
            <w14:solidFill>
              <w14:schemeClr w14:val="tx1"/>
            </w14:solidFill>
          </w14:textFill>
        </w:rPr>
        <w:t>供应商对政府采购活动事项有疑问的，可以提出询问，征集人或者采购代理机构应当在</w:t>
      </w:r>
      <w:r>
        <w:rPr>
          <w:rFonts w:ascii="仿宋" w:hAnsi="仿宋" w:eastAsia="仿宋" w:cs="微软雅黑"/>
          <w:color w:val="000000" w:themeColor="text1"/>
          <w:kern w:val="0"/>
          <w:sz w:val="24"/>
          <w:highlight w:val="none"/>
          <w:lang w:val="zh-CN"/>
          <w14:textFill>
            <w14:solidFill>
              <w14:schemeClr w14:val="tx1"/>
            </w14:solidFill>
          </w14:textFill>
        </w:rPr>
        <w:t>3个工作日内对供应</w:t>
      </w:r>
      <w:r>
        <w:rPr>
          <w:rFonts w:hint="eastAsia" w:ascii="仿宋" w:hAnsi="仿宋" w:eastAsia="仿宋"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商依法提出的询问作出答复，但答复的内容不得涉及商业秘密。供应商提出的询问超出征集人对采购代理机构委托授权范围的，采购代理机构应当告知供应商向征集人提出。</w:t>
      </w:r>
    </w:p>
    <w:p w14:paraId="35E41A9C">
      <w:pPr>
        <w:autoSpaceDE w:val="0"/>
        <w:autoSpaceDN w:val="0"/>
        <w:spacing w:line="360" w:lineRule="auto"/>
        <w:ind w:firstLine="240" w:firstLineChars="100"/>
        <w:jc w:val="left"/>
        <w:rPr>
          <w:rFonts w:ascii="仿宋" w:hAnsi="仿宋" w:eastAsia="仿宋" w:cs="微软雅黑"/>
          <w:color w:val="000000" w:themeColor="text1"/>
          <w:kern w:val="0"/>
          <w:sz w:val="24"/>
          <w:highlight w:val="none"/>
          <w:lang w:val="zh-CN"/>
          <w14:textFill>
            <w14:solidFill>
              <w14:schemeClr w14:val="tx1"/>
            </w14:solidFill>
          </w14:textFill>
        </w:rPr>
      </w:pPr>
      <w:r>
        <w:rPr>
          <w:rFonts w:ascii="仿宋" w:hAnsi="仿宋" w:eastAsia="仿宋" w:cs="微软雅黑"/>
          <w:color w:val="000000" w:themeColor="text1"/>
          <w:kern w:val="0"/>
          <w:sz w:val="24"/>
          <w:highlight w:val="none"/>
          <w:lang w:val="zh-CN"/>
          <w14:textFill>
            <w14:solidFill>
              <w14:schemeClr w14:val="tx1"/>
            </w14:solidFill>
          </w14:textFill>
        </w:rPr>
        <w:t>4.</w:t>
      </w:r>
      <w:r>
        <w:rPr>
          <w:rFonts w:hint="eastAsia" w:ascii="仿宋" w:hAnsi="仿宋" w:eastAsia="仿宋" w:cs="微软雅黑"/>
          <w:color w:val="000000" w:themeColor="text1"/>
          <w:kern w:val="0"/>
          <w:sz w:val="24"/>
          <w:highlight w:val="none"/>
          <w:lang w:val="en-US" w:eastAsia="zh-CN"/>
          <w14:textFill>
            <w14:solidFill>
              <w14:schemeClr w14:val="tx1"/>
            </w14:solidFill>
          </w14:textFill>
        </w:rPr>
        <w:t>3</w:t>
      </w:r>
      <w:r>
        <w:rPr>
          <w:rFonts w:ascii="仿宋" w:hAnsi="仿宋" w:eastAsia="仿宋" w:cs="微软雅黑"/>
          <w:color w:val="000000" w:themeColor="text1"/>
          <w:kern w:val="0"/>
          <w:sz w:val="24"/>
          <w:highlight w:val="none"/>
          <w:lang w:val="zh-CN"/>
          <w14:textFill>
            <w14:solidFill>
              <w14:schemeClr w14:val="tx1"/>
            </w14:solidFill>
          </w14:textFill>
        </w:rPr>
        <w:t>供应商质疑</w:t>
      </w:r>
    </w:p>
    <w:p w14:paraId="2B3A3156">
      <w:pPr>
        <w:pStyle w:val="28"/>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微软雅黑"/>
          <w:color w:val="000000" w:themeColor="text1"/>
          <w:kern w:val="0"/>
          <w:sz w:val="24"/>
          <w:szCs w:val="24"/>
          <w:highlight w:val="none"/>
          <w:lang w:val="zh-CN"/>
          <w14:textFill>
            <w14:solidFill>
              <w14:schemeClr w14:val="tx1"/>
            </w14:solidFill>
          </w14:textFill>
        </w:rPr>
        <w:t>4.</w:t>
      </w:r>
      <w:r>
        <w:rPr>
          <w:rFonts w:hint="eastAsia" w:ascii="仿宋" w:hAnsi="仿宋" w:eastAsia="仿宋" w:cs="微软雅黑"/>
          <w:color w:val="000000" w:themeColor="text1"/>
          <w:kern w:val="0"/>
          <w:sz w:val="24"/>
          <w:szCs w:val="24"/>
          <w:highlight w:val="none"/>
          <w:lang w:val="en-US" w:eastAsia="zh-CN"/>
          <w14:textFill>
            <w14:solidFill>
              <w14:schemeClr w14:val="tx1"/>
            </w14:solidFill>
          </w14:textFill>
        </w:rPr>
        <w:t>3</w:t>
      </w:r>
      <w:r>
        <w:rPr>
          <w:rFonts w:ascii="仿宋" w:hAnsi="仿宋" w:eastAsia="仿宋"/>
          <w:color w:val="000000" w:themeColor="text1"/>
          <w:sz w:val="24"/>
          <w:szCs w:val="24"/>
          <w:highlight w:val="none"/>
          <w14:textFill>
            <w14:solidFill>
              <w14:schemeClr w14:val="tx1"/>
            </w14:solidFill>
          </w14:textFill>
        </w:rPr>
        <w:t>.1提出质疑的供应商应当是参与所质疑项目采购活动的供应商。潜在供应商已依法获取其可质疑的征集文件的，可以对该文件提出质疑。</w:t>
      </w:r>
    </w:p>
    <w:p w14:paraId="38363041">
      <w:pPr>
        <w:pStyle w:val="28"/>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微软雅黑"/>
          <w:color w:val="000000" w:themeColor="text1"/>
          <w:kern w:val="0"/>
          <w:sz w:val="24"/>
          <w:szCs w:val="24"/>
          <w:highlight w:val="none"/>
          <w:lang w:val="zh-CN"/>
          <w14:textFill>
            <w14:solidFill>
              <w14:schemeClr w14:val="tx1"/>
            </w14:solidFill>
          </w14:textFill>
        </w:rPr>
        <w:t>4.</w:t>
      </w:r>
      <w:r>
        <w:rPr>
          <w:rFonts w:hint="eastAsia" w:ascii="仿宋" w:hAnsi="仿宋" w:eastAsia="仿宋" w:cs="微软雅黑"/>
          <w:color w:val="000000" w:themeColor="text1"/>
          <w:kern w:val="0"/>
          <w:sz w:val="24"/>
          <w:szCs w:val="24"/>
          <w:highlight w:val="none"/>
          <w:lang w:val="en-US" w:eastAsia="zh-CN"/>
          <w14:textFill>
            <w14:solidFill>
              <w14:schemeClr w14:val="tx1"/>
            </w14:solidFill>
          </w14:textFill>
        </w:rPr>
        <w:t>3</w:t>
      </w:r>
      <w:r>
        <w:rPr>
          <w:rFonts w:ascii="仿宋" w:hAnsi="仿宋" w:eastAsia="仿宋"/>
          <w:color w:val="000000" w:themeColor="text1"/>
          <w:sz w:val="24"/>
          <w:szCs w:val="24"/>
          <w:highlight w:val="none"/>
          <w14:textFill>
            <w14:solidFill>
              <w14:schemeClr w14:val="tx1"/>
            </w14:solidFill>
          </w14:textFill>
        </w:rPr>
        <w:t>.2供应商认为征集文件、采购过程和中标结果使自己的权益受到损害的，可以在知道或者应知其权益受到损害之日起七个工作日内，以书面形式向征集人或者</w:t>
      </w:r>
      <w:r>
        <w:rPr>
          <w:rFonts w:hint="eastAsia" w:ascii="仿宋" w:hAnsi="仿宋" w:eastAsia="仿宋"/>
          <w:color w:val="000000" w:themeColor="text1"/>
          <w:sz w:val="24"/>
          <w:szCs w:val="24"/>
          <w:highlight w:val="none"/>
          <w14:textFill>
            <w14:solidFill>
              <w14:schemeClr w14:val="tx1"/>
            </w14:solidFill>
          </w14:textFill>
        </w:rPr>
        <w:t>采购代理机构</w:t>
      </w:r>
      <w:r>
        <w:rPr>
          <w:rFonts w:ascii="仿宋" w:hAnsi="仿宋" w:eastAsia="仿宋"/>
          <w:color w:val="000000" w:themeColor="text1"/>
          <w:sz w:val="24"/>
          <w:szCs w:val="24"/>
          <w:highlight w:val="none"/>
          <w14:textFill>
            <w14:solidFill>
              <w14:schemeClr w14:val="tx1"/>
            </w14:solidFill>
          </w14:textFill>
        </w:rPr>
        <w:t>提出质疑，否则，征集人或者</w:t>
      </w:r>
      <w:r>
        <w:rPr>
          <w:rFonts w:hint="eastAsia" w:ascii="仿宋" w:hAnsi="仿宋" w:eastAsia="仿宋"/>
          <w:color w:val="000000" w:themeColor="text1"/>
          <w:sz w:val="24"/>
          <w:szCs w:val="24"/>
          <w:highlight w:val="none"/>
          <w14:textFill>
            <w14:solidFill>
              <w14:schemeClr w14:val="tx1"/>
            </w14:solidFill>
          </w14:textFill>
        </w:rPr>
        <w:t>采购代理机构</w:t>
      </w:r>
      <w:r>
        <w:rPr>
          <w:rFonts w:ascii="仿宋" w:hAnsi="仿宋" w:eastAsia="仿宋"/>
          <w:color w:val="000000" w:themeColor="text1"/>
          <w:sz w:val="24"/>
          <w:szCs w:val="24"/>
          <w:highlight w:val="none"/>
          <w14:textFill>
            <w14:solidFill>
              <w14:schemeClr w14:val="tx1"/>
            </w14:solidFill>
          </w14:textFill>
        </w:rPr>
        <w:t>不予受理。</w:t>
      </w:r>
    </w:p>
    <w:p w14:paraId="1FA65DA4">
      <w:pPr>
        <w:pStyle w:val="13"/>
        <w:spacing w:line="360" w:lineRule="auto"/>
        <w:ind w:firstLine="720" w:firstLineChars="300"/>
        <w:rPr>
          <w:rFonts w:ascii="仿宋" w:hAnsi="仿宋" w:eastAsia="仿宋"/>
          <w:snapToGrid/>
          <w:color w:val="000000" w:themeColor="text1"/>
          <w:kern w:val="2"/>
          <w:sz w:val="24"/>
          <w:szCs w:val="24"/>
          <w:highlight w:val="none"/>
          <w14:textFill>
            <w14:solidFill>
              <w14:schemeClr w14:val="tx1"/>
            </w14:solidFill>
          </w14:textFill>
        </w:rPr>
      </w:pPr>
      <w:r>
        <w:rPr>
          <w:rFonts w:ascii="仿宋" w:hAnsi="仿宋" w:eastAsia="仿宋"/>
          <w:snapToGrid/>
          <w:color w:val="000000" w:themeColor="text1"/>
          <w:kern w:val="2"/>
          <w:sz w:val="24"/>
          <w:szCs w:val="24"/>
          <w:highlight w:val="none"/>
          <w14:textFill>
            <w14:solidFill>
              <w14:schemeClr w14:val="tx1"/>
            </w14:solidFill>
          </w14:textFill>
        </w:rPr>
        <w:t>4.</w:t>
      </w:r>
      <w:r>
        <w:rPr>
          <w:rFonts w:hint="eastAsia" w:ascii="仿宋" w:hAnsi="仿宋" w:eastAsia="仿宋"/>
          <w:snapToGrid/>
          <w:color w:val="000000" w:themeColor="text1"/>
          <w:kern w:val="2"/>
          <w:sz w:val="24"/>
          <w:szCs w:val="24"/>
          <w:highlight w:val="none"/>
          <w:lang w:val="en-US" w:eastAsia="zh-CN"/>
          <w14:textFill>
            <w14:solidFill>
              <w14:schemeClr w14:val="tx1"/>
            </w14:solidFill>
          </w14:textFill>
        </w:rPr>
        <w:t>3</w:t>
      </w:r>
      <w:r>
        <w:rPr>
          <w:rFonts w:ascii="仿宋" w:hAnsi="仿宋" w:eastAsia="仿宋"/>
          <w:snapToGrid/>
          <w:color w:val="000000" w:themeColor="text1"/>
          <w:kern w:val="2"/>
          <w:sz w:val="24"/>
          <w:szCs w:val="24"/>
          <w:highlight w:val="none"/>
          <w14:textFill>
            <w14:solidFill>
              <w14:schemeClr w14:val="tx1"/>
            </w14:solidFill>
          </w14:textFill>
        </w:rPr>
        <w:t>.2.1对征集文件提出质疑的，质疑期限为供应商获得征集文件之日或者征集文件公告期限届满之日起计算。</w:t>
      </w:r>
    </w:p>
    <w:p w14:paraId="01AB2CE9">
      <w:pPr>
        <w:pStyle w:val="28"/>
        <w:spacing w:line="360" w:lineRule="auto"/>
        <w:ind w:firstLine="720" w:firstLineChars="3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4.</w:t>
      </w:r>
      <w:r>
        <w:rPr>
          <w:rFonts w:hint="eastAsia" w:ascii="仿宋" w:hAnsi="仿宋" w:eastAsia="仿宋"/>
          <w:color w:val="000000" w:themeColor="text1"/>
          <w:sz w:val="24"/>
          <w:szCs w:val="24"/>
          <w:highlight w:val="none"/>
          <w:lang w:val="en-US" w:eastAsia="zh-CN"/>
          <w14:textFill>
            <w14:solidFill>
              <w14:schemeClr w14:val="tx1"/>
            </w14:solidFill>
          </w14:textFill>
        </w:rPr>
        <w:t>3</w:t>
      </w:r>
      <w:r>
        <w:rPr>
          <w:rFonts w:ascii="仿宋" w:hAnsi="仿宋" w:eastAsia="仿宋"/>
          <w:color w:val="000000" w:themeColor="text1"/>
          <w:sz w:val="24"/>
          <w:szCs w:val="24"/>
          <w:highlight w:val="none"/>
          <w14:textFill>
            <w14:solidFill>
              <w14:schemeClr w14:val="tx1"/>
            </w14:solidFill>
          </w14:textFill>
        </w:rPr>
        <w:t>.2.2对采购过程提出质疑的，质疑期限为各采购程序环节结束之日起计算。对同一采购程序环节的质疑，供应商须一次性提出。</w:t>
      </w:r>
    </w:p>
    <w:p w14:paraId="5432D4BE">
      <w:pPr>
        <w:pStyle w:val="28"/>
        <w:spacing w:line="360" w:lineRule="auto"/>
        <w:ind w:firstLine="720" w:firstLineChars="3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4.</w:t>
      </w:r>
      <w:r>
        <w:rPr>
          <w:rFonts w:hint="eastAsia" w:ascii="仿宋" w:hAnsi="仿宋" w:eastAsia="仿宋"/>
          <w:color w:val="000000" w:themeColor="text1"/>
          <w:sz w:val="24"/>
          <w:szCs w:val="24"/>
          <w:highlight w:val="none"/>
          <w:lang w:val="en-US" w:eastAsia="zh-CN"/>
          <w14:textFill>
            <w14:solidFill>
              <w14:schemeClr w14:val="tx1"/>
            </w14:solidFill>
          </w14:textFill>
        </w:rPr>
        <w:t>3</w:t>
      </w:r>
      <w:r>
        <w:rPr>
          <w:rFonts w:ascii="仿宋" w:hAnsi="仿宋" w:eastAsia="仿宋"/>
          <w:color w:val="000000" w:themeColor="text1"/>
          <w:sz w:val="24"/>
          <w:szCs w:val="24"/>
          <w:highlight w:val="none"/>
          <w14:textFill>
            <w14:solidFill>
              <w14:schemeClr w14:val="tx1"/>
            </w14:solidFill>
          </w14:textFill>
        </w:rPr>
        <w:t>.2.3对采购结果提出质疑的，质疑期限自采购结果公告期限届满之日起计算。</w:t>
      </w:r>
    </w:p>
    <w:p w14:paraId="50BA367B">
      <w:pPr>
        <w:pStyle w:val="28"/>
        <w:spacing w:line="360" w:lineRule="auto"/>
        <w:ind w:firstLine="480" w:firstLineChars="200"/>
        <w:rPr>
          <w:rFonts w:ascii="仿宋" w:hAnsi="仿宋" w:eastAsia="仿宋" w:cs="微软雅黑"/>
          <w:color w:val="000000" w:themeColor="text1"/>
          <w:kern w:val="0"/>
          <w:sz w:val="24"/>
          <w:szCs w:val="24"/>
          <w:highlight w:val="none"/>
          <w:lang w:val="zh-CN"/>
          <w14:textFill>
            <w14:solidFill>
              <w14:schemeClr w14:val="tx1"/>
            </w14:solidFill>
          </w14:textFill>
        </w:rPr>
      </w:pPr>
      <w:r>
        <w:rPr>
          <w:rFonts w:ascii="仿宋" w:hAnsi="仿宋" w:eastAsia="仿宋" w:cs="微软雅黑"/>
          <w:color w:val="000000" w:themeColor="text1"/>
          <w:kern w:val="0"/>
          <w:sz w:val="24"/>
          <w:szCs w:val="24"/>
          <w:highlight w:val="none"/>
          <w:lang w:val="zh-CN"/>
          <w14:textFill>
            <w14:solidFill>
              <w14:schemeClr w14:val="tx1"/>
            </w14:solidFill>
          </w14:textFill>
        </w:rPr>
        <w:t>4.</w:t>
      </w:r>
      <w:r>
        <w:rPr>
          <w:rFonts w:hint="eastAsia" w:ascii="仿宋" w:hAnsi="仿宋" w:eastAsia="仿宋" w:cs="微软雅黑"/>
          <w:color w:val="000000" w:themeColor="text1"/>
          <w:kern w:val="0"/>
          <w:sz w:val="24"/>
          <w:szCs w:val="24"/>
          <w:highlight w:val="none"/>
          <w:lang w:val="en-US" w:eastAsia="zh-CN"/>
          <w14:textFill>
            <w14:solidFill>
              <w14:schemeClr w14:val="tx1"/>
            </w14:solidFill>
          </w14:textFill>
        </w:rPr>
        <w:t>3</w:t>
      </w:r>
      <w:r>
        <w:rPr>
          <w:rFonts w:ascii="仿宋" w:hAnsi="仿宋" w:eastAsia="仿宋" w:cs="微软雅黑"/>
          <w:color w:val="000000" w:themeColor="text1"/>
          <w:kern w:val="0"/>
          <w:sz w:val="24"/>
          <w:szCs w:val="24"/>
          <w:highlight w:val="none"/>
          <w:lang w:val="zh-CN"/>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供应商提出质疑应当提交质疑函和必要的证明材料。质疑函应当包括下列内容：</w:t>
      </w:r>
    </w:p>
    <w:p w14:paraId="4751ABB6">
      <w:pPr>
        <w:pStyle w:val="28"/>
        <w:spacing w:line="360" w:lineRule="auto"/>
        <w:ind w:firstLine="480" w:firstLineChars="200"/>
        <w:rPr>
          <w:rFonts w:ascii="仿宋" w:hAnsi="仿宋" w:eastAsia="仿宋" w:cs="微软雅黑"/>
          <w:color w:val="000000" w:themeColor="text1"/>
          <w:kern w:val="0"/>
          <w:sz w:val="24"/>
          <w:szCs w:val="24"/>
          <w:highlight w:val="none"/>
          <w:lang w:val="zh-CN"/>
          <w14:textFill>
            <w14:solidFill>
              <w14:schemeClr w14:val="tx1"/>
            </w14:solidFill>
          </w14:textFill>
        </w:rPr>
      </w:pPr>
      <w:r>
        <w:rPr>
          <w:rFonts w:ascii="仿宋" w:hAnsi="仿宋" w:eastAsia="仿宋" w:cs="微软雅黑"/>
          <w:color w:val="000000" w:themeColor="text1"/>
          <w:kern w:val="0"/>
          <w:sz w:val="24"/>
          <w:szCs w:val="24"/>
          <w:highlight w:val="none"/>
          <w:lang w:val="zh-CN"/>
          <w14:textFill>
            <w14:solidFill>
              <w14:schemeClr w14:val="tx1"/>
            </w14:solidFill>
          </w14:textFill>
        </w:rPr>
        <w:t>4.</w:t>
      </w:r>
      <w:r>
        <w:rPr>
          <w:rFonts w:hint="eastAsia" w:ascii="仿宋" w:hAnsi="仿宋" w:eastAsia="仿宋" w:cs="微软雅黑"/>
          <w:color w:val="000000" w:themeColor="text1"/>
          <w:kern w:val="0"/>
          <w:sz w:val="24"/>
          <w:szCs w:val="24"/>
          <w:highlight w:val="none"/>
          <w:lang w:val="en-US" w:eastAsia="zh-CN"/>
          <w14:textFill>
            <w14:solidFill>
              <w14:schemeClr w14:val="tx1"/>
            </w14:solidFill>
          </w14:textFill>
        </w:rPr>
        <w:t>3</w:t>
      </w:r>
      <w:r>
        <w:rPr>
          <w:rFonts w:ascii="仿宋" w:hAnsi="仿宋" w:eastAsia="仿宋" w:cs="微软雅黑"/>
          <w:color w:val="000000" w:themeColor="text1"/>
          <w:kern w:val="0"/>
          <w:sz w:val="24"/>
          <w:szCs w:val="24"/>
          <w:highlight w:val="none"/>
          <w:lang w:val="zh-CN"/>
          <w14:textFill>
            <w14:solidFill>
              <w14:schemeClr w14:val="tx1"/>
            </w14:solidFill>
          </w14:textFill>
        </w:rPr>
        <w:t>.3.1</w:t>
      </w:r>
      <w:r>
        <w:rPr>
          <w:rFonts w:hint="eastAsia" w:ascii="仿宋" w:hAnsi="仿宋" w:eastAsia="仿宋" w:cs="微软雅黑"/>
          <w:color w:val="000000" w:themeColor="text1"/>
          <w:kern w:val="0"/>
          <w:sz w:val="24"/>
          <w:szCs w:val="24"/>
          <w:highlight w:val="none"/>
          <w:lang w:val="zh-CN"/>
          <w14:textFill>
            <w14:solidFill>
              <w14:schemeClr w14:val="tx1"/>
            </w14:solidFill>
          </w14:textFill>
        </w:rPr>
        <w:t>供应商的姓名或者名称、地址、邮编、联系人及联系电话；</w:t>
      </w:r>
    </w:p>
    <w:p w14:paraId="59389EBE">
      <w:pPr>
        <w:pStyle w:val="28"/>
        <w:spacing w:line="360" w:lineRule="auto"/>
        <w:ind w:firstLine="480" w:firstLineChars="200"/>
        <w:rPr>
          <w:rFonts w:ascii="仿宋" w:hAnsi="仿宋" w:eastAsia="仿宋" w:cs="微软雅黑"/>
          <w:color w:val="000000" w:themeColor="text1"/>
          <w:kern w:val="0"/>
          <w:sz w:val="24"/>
          <w:szCs w:val="24"/>
          <w:highlight w:val="none"/>
          <w:lang w:val="zh-CN"/>
          <w14:textFill>
            <w14:solidFill>
              <w14:schemeClr w14:val="tx1"/>
            </w14:solidFill>
          </w14:textFill>
        </w:rPr>
      </w:pPr>
      <w:r>
        <w:rPr>
          <w:rFonts w:hint="eastAsia" w:ascii="仿宋" w:hAnsi="仿宋" w:eastAsia="仿宋" w:cs="微软雅黑"/>
          <w:color w:val="000000" w:themeColor="text1"/>
          <w:kern w:val="0"/>
          <w:sz w:val="24"/>
          <w:szCs w:val="24"/>
          <w:highlight w:val="none"/>
          <w:lang w:val="zh-CN"/>
          <w14:textFill>
            <w14:solidFill>
              <w14:schemeClr w14:val="tx1"/>
            </w14:solidFill>
          </w14:textFill>
        </w:rPr>
        <w:t>　　</w:t>
      </w:r>
      <w:r>
        <w:rPr>
          <w:rFonts w:ascii="仿宋" w:hAnsi="仿宋" w:eastAsia="仿宋" w:cs="微软雅黑"/>
          <w:color w:val="000000" w:themeColor="text1"/>
          <w:kern w:val="0"/>
          <w:sz w:val="24"/>
          <w:szCs w:val="24"/>
          <w:highlight w:val="none"/>
          <w:lang w:val="zh-CN"/>
          <w14:textFill>
            <w14:solidFill>
              <w14:schemeClr w14:val="tx1"/>
            </w14:solidFill>
          </w14:textFill>
        </w:rPr>
        <w:t>4.</w:t>
      </w:r>
      <w:r>
        <w:rPr>
          <w:rFonts w:hint="eastAsia" w:ascii="仿宋" w:hAnsi="仿宋" w:eastAsia="仿宋" w:cs="微软雅黑"/>
          <w:color w:val="000000" w:themeColor="text1"/>
          <w:kern w:val="0"/>
          <w:sz w:val="24"/>
          <w:szCs w:val="24"/>
          <w:highlight w:val="none"/>
          <w:lang w:val="en-US" w:eastAsia="zh-CN"/>
          <w14:textFill>
            <w14:solidFill>
              <w14:schemeClr w14:val="tx1"/>
            </w14:solidFill>
          </w14:textFill>
        </w:rPr>
        <w:t>3</w:t>
      </w:r>
      <w:r>
        <w:rPr>
          <w:rFonts w:ascii="仿宋" w:hAnsi="仿宋" w:eastAsia="仿宋" w:cs="微软雅黑"/>
          <w:color w:val="000000" w:themeColor="text1"/>
          <w:kern w:val="0"/>
          <w:sz w:val="24"/>
          <w:szCs w:val="24"/>
          <w:highlight w:val="none"/>
          <w:lang w:val="zh-CN"/>
          <w14:textFill>
            <w14:solidFill>
              <w14:schemeClr w14:val="tx1"/>
            </w14:solidFill>
          </w14:textFill>
        </w:rPr>
        <w:t>.3.2</w:t>
      </w:r>
      <w:r>
        <w:rPr>
          <w:rFonts w:hint="eastAsia" w:ascii="仿宋" w:hAnsi="仿宋" w:eastAsia="仿宋" w:cs="微软雅黑"/>
          <w:color w:val="000000" w:themeColor="text1"/>
          <w:kern w:val="0"/>
          <w:sz w:val="24"/>
          <w:szCs w:val="24"/>
          <w:highlight w:val="none"/>
          <w:lang w:val="zh-CN"/>
          <w14:textFill>
            <w14:solidFill>
              <w14:schemeClr w14:val="tx1"/>
            </w14:solidFill>
          </w14:textFill>
        </w:rPr>
        <w:t>质疑项目的名称、编号；</w:t>
      </w:r>
    </w:p>
    <w:p w14:paraId="02E946F4">
      <w:pPr>
        <w:pStyle w:val="28"/>
        <w:spacing w:line="360" w:lineRule="auto"/>
        <w:ind w:firstLine="480" w:firstLineChars="200"/>
        <w:rPr>
          <w:rFonts w:ascii="仿宋" w:hAnsi="仿宋" w:eastAsia="仿宋" w:cs="微软雅黑"/>
          <w:color w:val="000000" w:themeColor="text1"/>
          <w:kern w:val="0"/>
          <w:sz w:val="24"/>
          <w:szCs w:val="24"/>
          <w:highlight w:val="none"/>
          <w:lang w:val="zh-CN"/>
          <w14:textFill>
            <w14:solidFill>
              <w14:schemeClr w14:val="tx1"/>
            </w14:solidFill>
          </w14:textFill>
        </w:rPr>
      </w:pPr>
      <w:r>
        <w:rPr>
          <w:rFonts w:hint="eastAsia" w:ascii="仿宋" w:hAnsi="仿宋" w:eastAsia="仿宋" w:cs="微软雅黑"/>
          <w:color w:val="000000" w:themeColor="text1"/>
          <w:kern w:val="0"/>
          <w:sz w:val="24"/>
          <w:szCs w:val="24"/>
          <w:highlight w:val="none"/>
          <w:lang w:val="zh-CN"/>
          <w14:textFill>
            <w14:solidFill>
              <w14:schemeClr w14:val="tx1"/>
            </w14:solidFill>
          </w14:textFill>
        </w:rPr>
        <w:t>　　</w:t>
      </w:r>
      <w:r>
        <w:rPr>
          <w:rFonts w:ascii="仿宋" w:hAnsi="仿宋" w:eastAsia="仿宋" w:cs="微软雅黑"/>
          <w:color w:val="000000" w:themeColor="text1"/>
          <w:kern w:val="0"/>
          <w:sz w:val="24"/>
          <w:szCs w:val="24"/>
          <w:highlight w:val="none"/>
          <w:lang w:val="zh-CN"/>
          <w14:textFill>
            <w14:solidFill>
              <w14:schemeClr w14:val="tx1"/>
            </w14:solidFill>
          </w14:textFill>
        </w:rPr>
        <w:t>4.</w:t>
      </w:r>
      <w:r>
        <w:rPr>
          <w:rFonts w:hint="eastAsia" w:ascii="仿宋" w:hAnsi="仿宋" w:eastAsia="仿宋" w:cs="微软雅黑"/>
          <w:color w:val="000000" w:themeColor="text1"/>
          <w:kern w:val="0"/>
          <w:sz w:val="24"/>
          <w:szCs w:val="24"/>
          <w:highlight w:val="none"/>
          <w:lang w:val="en-US" w:eastAsia="zh-CN"/>
          <w14:textFill>
            <w14:solidFill>
              <w14:schemeClr w14:val="tx1"/>
            </w14:solidFill>
          </w14:textFill>
        </w:rPr>
        <w:t>3</w:t>
      </w:r>
      <w:r>
        <w:rPr>
          <w:rFonts w:ascii="仿宋" w:hAnsi="仿宋" w:eastAsia="仿宋" w:cs="微软雅黑"/>
          <w:color w:val="000000" w:themeColor="text1"/>
          <w:kern w:val="0"/>
          <w:sz w:val="24"/>
          <w:szCs w:val="24"/>
          <w:highlight w:val="none"/>
          <w:lang w:val="zh-CN"/>
          <w14:textFill>
            <w14:solidFill>
              <w14:schemeClr w14:val="tx1"/>
            </w14:solidFill>
          </w14:textFill>
        </w:rPr>
        <w:t>.3.3</w:t>
      </w:r>
      <w:r>
        <w:rPr>
          <w:rFonts w:hint="eastAsia" w:ascii="仿宋" w:hAnsi="仿宋" w:eastAsia="仿宋" w:cs="微软雅黑"/>
          <w:color w:val="000000" w:themeColor="text1"/>
          <w:kern w:val="0"/>
          <w:sz w:val="24"/>
          <w:szCs w:val="24"/>
          <w:highlight w:val="none"/>
          <w:lang w:val="zh-CN"/>
          <w14:textFill>
            <w14:solidFill>
              <w14:schemeClr w14:val="tx1"/>
            </w14:solidFill>
          </w14:textFill>
        </w:rPr>
        <w:t>具体、明确的质疑事项和与质疑事项相关的请求；</w:t>
      </w:r>
    </w:p>
    <w:p w14:paraId="35808721">
      <w:pPr>
        <w:pStyle w:val="28"/>
        <w:spacing w:line="360" w:lineRule="auto"/>
        <w:ind w:firstLine="480" w:firstLineChars="200"/>
        <w:rPr>
          <w:rFonts w:ascii="仿宋" w:hAnsi="仿宋" w:eastAsia="仿宋" w:cs="微软雅黑"/>
          <w:color w:val="000000" w:themeColor="text1"/>
          <w:kern w:val="0"/>
          <w:sz w:val="24"/>
          <w:szCs w:val="24"/>
          <w:highlight w:val="none"/>
          <w:lang w:val="zh-CN"/>
          <w14:textFill>
            <w14:solidFill>
              <w14:schemeClr w14:val="tx1"/>
            </w14:solidFill>
          </w14:textFill>
        </w:rPr>
      </w:pPr>
      <w:r>
        <w:rPr>
          <w:rFonts w:hint="eastAsia" w:ascii="仿宋" w:hAnsi="仿宋" w:eastAsia="仿宋" w:cs="微软雅黑"/>
          <w:color w:val="000000" w:themeColor="text1"/>
          <w:kern w:val="0"/>
          <w:sz w:val="24"/>
          <w:szCs w:val="24"/>
          <w:highlight w:val="none"/>
          <w:lang w:val="zh-CN"/>
          <w14:textFill>
            <w14:solidFill>
              <w14:schemeClr w14:val="tx1"/>
            </w14:solidFill>
          </w14:textFill>
        </w:rPr>
        <w:t>　　</w:t>
      </w:r>
      <w:r>
        <w:rPr>
          <w:rFonts w:ascii="仿宋" w:hAnsi="仿宋" w:eastAsia="仿宋" w:cs="微软雅黑"/>
          <w:color w:val="000000" w:themeColor="text1"/>
          <w:kern w:val="0"/>
          <w:sz w:val="24"/>
          <w:szCs w:val="24"/>
          <w:highlight w:val="none"/>
          <w:lang w:val="zh-CN"/>
          <w14:textFill>
            <w14:solidFill>
              <w14:schemeClr w14:val="tx1"/>
            </w14:solidFill>
          </w14:textFill>
        </w:rPr>
        <w:t>4.</w:t>
      </w:r>
      <w:r>
        <w:rPr>
          <w:rFonts w:hint="eastAsia" w:ascii="仿宋" w:hAnsi="仿宋" w:eastAsia="仿宋" w:cs="微软雅黑"/>
          <w:color w:val="000000" w:themeColor="text1"/>
          <w:kern w:val="0"/>
          <w:sz w:val="24"/>
          <w:szCs w:val="24"/>
          <w:highlight w:val="none"/>
          <w:lang w:val="en-US" w:eastAsia="zh-CN"/>
          <w14:textFill>
            <w14:solidFill>
              <w14:schemeClr w14:val="tx1"/>
            </w14:solidFill>
          </w14:textFill>
        </w:rPr>
        <w:t>3</w:t>
      </w:r>
      <w:r>
        <w:rPr>
          <w:rFonts w:ascii="仿宋" w:hAnsi="仿宋" w:eastAsia="仿宋" w:cs="微软雅黑"/>
          <w:color w:val="000000" w:themeColor="text1"/>
          <w:kern w:val="0"/>
          <w:sz w:val="24"/>
          <w:szCs w:val="24"/>
          <w:highlight w:val="none"/>
          <w:lang w:val="zh-CN"/>
          <w14:textFill>
            <w14:solidFill>
              <w14:schemeClr w14:val="tx1"/>
            </w14:solidFill>
          </w14:textFill>
        </w:rPr>
        <w:t>.3.4</w:t>
      </w:r>
      <w:r>
        <w:rPr>
          <w:rFonts w:hint="eastAsia" w:ascii="仿宋" w:hAnsi="仿宋" w:eastAsia="仿宋" w:cs="微软雅黑"/>
          <w:color w:val="000000" w:themeColor="text1"/>
          <w:kern w:val="0"/>
          <w:sz w:val="24"/>
          <w:szCs w:val="24"/>
          <w:highlight w:val="none"/>
          <w:lang w:val="zh-CN"/>
          <w14:textFill>
            <w14:solidFill>
              <w14:schemeClr w14:val="tx1"/>
            </w14:solidFill>
          </w14:textFill>
        </w:rPr>
        <w:t>事实依据；</w:t>
      </w:r>
    </w:p>
    <w:p w14:paraId="0EA56297">
      <w:pPr>
        <w:pStyle w:val="28"/>
        <w:spacing w:line="360" w:lineRule="auto"/>
        <w:ind w:firstLine="480" w:firstLineChars="200"/>
        <w:rPr>
          <w:rFonts w:ascii="仿宋" w:hAnsi="仿宋" w:eastAsia="仿宋" w:cs="微软雅黑"/>
          <w:color w:val="000000" w:themeColor="text1"/>
          <w:kern w:val="0"/>
          <w:sz w:val="24"/>
          <w:szCs w:val="24"/>
          <w:highlight w:val="none"/>
          <w:lang w:val="zh-CN"/>
          <w14:textFill>
            <w14:solidFill>
              <w14:schemeClr w14:val="tx1"/>
            </w14:solidFill>
          </w14:textFill>
        </w:rPr>
      </w:pPr>
      <w:r>
        <w:rPr>
          <w:rFonts w:hint="eastAsia" w:ascii="仿宋" w:hAnsi="仿宋" w:eastAsia="仿宋" w:cs="微软雅黑"/>
          <w:color w:val="000000" w:themeColor="text1"/>
          <w:kern w:val="0"/>
          <w:sz w:val="24"/>
          <w:szCs w:val="24"/>
          <w:highlight w:val="none"/>
          <w:lang w:val="zh-CN"/>
          <w14:textFill>
            <w14:solidFill>
              <w14:schemeClr w14:val="tx1"/>
            </w14:solidFill>
          </w14:textFill>
        </w:rPr>
        <w:t>　　</w:t>
      </w:r>
      <w:r>
        <w:rPr>
          <w:rFonts w:ascii="仿宋" w:hAnsi="仿宋" w:eastAsia="仿宋" w:cs="微软雅黑"/>
          <w:color w:val="000000" w:themeColor="text1"/>
          <w:kern w:val="0"/>
          <w:sz w:val="24"/>
          <w:szCs w:val="24"/>
          <w:highlight w:val="none"/>
          <w:lang w:val="zh-CN"/>
          <w14:textFill>
            <w14:solidFill>
              <w14:schemeClr w14:val="tx1"/>
            </w14:solidFill>
          </w14:textFill>
        </w:rPr>
        <w:t>4.</w:t>
      </w:r>
      <w:r>
        <w:rPr>
          <w:rFonts w:hint="eastAsia" w:ascii="仿宋" w:hAnsi="仿宋" w:eastAsia="仿宋" w:cs="微软雅黑"/>
          <w:color w:val="000000" w:themeColor="text1"/>
          <w:kern w:val="0"/>
          <w:sz w:val="24"/>
          <w:szCs w:val="24"/>
          <w:highlight w:val="none"/>
          <w:lang w:val="en-US" w:eastAsia="zh-CN"/>
          <w14:textFill>
            <w14:solidFill>
              <w14:schemeClr w14:val="tx1"/>
            </w14:solidFill>
          </w14:textFill>
        </w:rPr>
        <w:t>3</w:t>
      </w:r>
      <w:r>
        <w:rPr>
          <w:rFonts w:ascii="仿宋" w:hAnsi="仿宋" w:eastAsia="仿宋" w:cs="微软雅黑"/>
          <w:color w:val="000000" w:themeColor="text1"/>
          <w:kern w:val="0"/>
          <w:sz w:val="24"/>
          <w:szCs w:val="24"/>
          <w:highlight w:val="none"/>
          <w:lang w:val="zh-CN"/>
          <w14:textFill>
            <w14:solidFill>
              <w14:schemeClr w14:val="tx1"/>
            </w14:solidFill>
          </w14:textFill>
        </w:rPr>
        <w:t>.3.5</w:t>
      </w:r>
      <w:r>
        <w:rPr>
          <w:rFonts w:hint="eastAsia" w:ascii="仿宋" w:hAnsi="仿宋" w:eastAsia="仿宋" w:cs="微软雅黑"/>
          <w:color w:val="000000" w:themeColor="text1"/>
          <w:kern w:val="0"/>
          <w:sz w:val="24"/>
          <w:szCs w:val="24"/>
          <w:highlight w:val="none"/>
          <w:lang w:val="zh-CN"/>
          <w14:textFill>
            <w14:solidFill>
              <w14:schemeClr w14:val="tx1"/>
            </w14:solidFill>
          </w14:textFill>
        </w:rPr>
        <w:t>必要的法律依据；</w:t>
      </w:r>
    </w:p>
    <w:p w14:paraId="1A50C8D5">
      <w:pPr>
        <w:pStyle w:val="28"/>
        <w:spacing w:line="360" w:lineRule="auto"/>
        <w:ind w:firstLine="960" w:firstLineChars="400"/>
        <w:rPr>
          <w:rFonts w:ascii="仿宋" w:hAnsi="仿宋" w:eastAsia="仿宋" w:cs="微软雅黑"/>
          <w:color w:val="000000" w:themeColor="text1"/>
          <w:kern w:val="0"/>
          <w:sz w:val="24"/>
          <w:szCs w:val="24"/>
          <w:highlight w:val="none"/>
          <w:lang w:val="zh-CN"/>
          <w14:textFill>
            <w14:solidFill>
              <w14:schemeClr w14:val="tx1"/>
            </w14:solidFill>
          </w14:textFill>
        </w:rPr>
      </w:pPr>
      <w:r>
        <w:rPr>
          <w:rFonts w:ascii="仿宋" w:hAnsi="仿宋" w:eastAsia="仿宋" w:cs="微软雅黑"/>
          <w:color w:val="000000" w:themeColor="text1"/>
          <w:kern w:val="0"/>
          <w:sz w:val="24"/>
          <w:szCs w:val="24"/>
          <w:highlight w:val="none"/>
          <w:lang w:val="zh-CN"/>
          <w14:textFill>
            <w14:solidFill>
              <w14:schemeClr w14:val="tx1"/>
            </w14:solidFill>
          </w14:textFill>
        </w:rPr>
        <w:t>4.</w:t>
      </w:r>
      <w:r>
        <w:rPr>
          <w:rFonts w:hint="eastAsia" w:ascii="仿宋" w:hAnsi="仿宋" w:eastAsia="仿宋" w:cs="微软雅黑"/>
          <w:color w:val="000000" w:themeColor="text1"/>
          <w:kern w:val="0"/>
          <w:sz w:val="24"/>
          <w:szCs w:val="24"/>
          <w:highlight w:val="none"/>
          <w:lang w:val="en-US" w:eastAsia="zh-CN"/>
          <w14:textFill>
            <w14:solidFill>
              <w14:schemeClr w14:val="tx1"/>
            </w14:solidFill>
          </w14:textFill>
        </w:rPr>
        <w:t>3</w:t>
      </w:r>
      <w:r>
        <w:rPr>
          <w:rFonts w:ascii="仿宋" w:hAnsi="仿宋" w:eastAsia="仿宋" w:cs="微软雅黑"/>
          <w:color w:val="000000" w:themeColor="text1"/>
          <w:kern w:val="0"/>
          <w:sz w:val="24"/>
          <w:szCs w:val="24"/>
          <w:highlight w:val="none"/>
          <w:lang w:val="zh-CN"/>
          <w14:textFill>
            <w14:solidFill>
              <w14:schemeClr w14:val="tx1"/>
            </w14:solidFill>
          </w14:textFill>
        </w:rPr>
        <w:t>.3.6</w:t>
      </w:r>
      <w:r>
        <w:rPr>
          <w:rFonts w:hint="eastAsia" w:ascii="仿宋" w:hAnsi="仿宋" w:eastAsia="仿宋" w:cs="微软雅黑"/>
          <w:color w:val="000000" w:themeColor="text1"/>
          <w:kern w:val="0"/>
          <w:sz w:val="24"/>
          <w:szCs w:val="24"/>
          <w:highlight w:val="none"/>
          <w:lang w:val="zh-CN"/>
          <w14:textFill>
            <w14:solidFill>
              <w14:schemeClr w14:val="tx1"/>
            </w14:solidFill>
          </w14:textFill>
        </w:rPr>
        <w:t>提出质疑的日期。</w:t>
      </w:r>
    </w:p>
    <w:p w14:paraId="183D2F28">
      <w:pPr>
        <w:pStyle w:val="720"/>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19E9690">
      <w:pPr>
        <w:pStyle w:val="720"/>
        <w:shd w:val="clear" w:color="auto" w:fill="FFFFFF"/>
        <w:snapToGrid w:val="0"/>
        <w:spacing w:after="240" w:afterAutospacing="0" w:line="360" w:lineRule="auto"/>
        <w:ind w:firstLine="518" w:firstLineChars="216"/>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w:t>
      </w:r>
      <w:r>
        <w:rPr>
          <w:rFonts w:ascii="仿宋" w:hAnsi="仿宋" w:eastAsia="仿宋"/>
          <w:color w:val="000000" w:themeColor="text1"/>
          <w:highlight w:val="none"/>
          <w14:textFill>
            <w14:solidFill>
              <w14:schemeClr w14:val="tx1"/>
            </w14:solidFill>
          </w14:textFill>
        </w:rPr>
        <w:t>2。</w:t>
      </w:r>
    </w:p>
    <w:p w14:paraId="238AB2C1">
      <w:pPr>
        <w:pStyle w:val="720"/>
        <w:shd w:val="clear" w:color="auto" w:fill="FFFFFF"/>
        <w:snapToGrid w:val="0"/>
        <w:spacing w:after="120" w:afterAutospacing="0" w:line="360" w:lineRule="auto"/>
        <w:ind w:firstLine="518" w:firstLineChars="216"/>
        <w:contextualSpacing/>
        <w:rPr>
          <w:rFonts w:ascii="仿宋" w:hAnsi="仿宋" w:eastAsia="仿宋" w:cs="微软雅黑"/>
          <w:color w:val="000000" w:themeColor="text1"/>
          <w:highlight w:val="none"/>
          <w:lang w:val="zh-CN"/>
          <w14:textFill>
            <w14:solidFill>
              <w14:schemeClr w14:val="tx1"/>
            </w14:solidFill>
          </w14:textFill>
        </w:rPr>
      </w:pPr>
      <w:r>
        <w:rPr>
          <w:rFonts w:hint="eastAsia" w:ascii="仿宋" w:hAnsi="仿宋" w:eastAsia="仿宋" w:cs="微软雅黑"/>
          <w:color w:val="000000" w:themeColor="text1"/>
          <w:highlight w:val="none"/>
          <w:lang w:val="zh-CN"/>
          <w14:textFill>
            <w14:solidFill>
              <w14:schemeClr w14:val="tx1"/>
            </w14:solidFill>
          </w14:textFill>
        </w:rPr>
        <w:t>4.</w:t>
      </w:r>
      <w:r>
        <w:rPr>
          <w:rFonts w:hint="eastAsia" w:ascii="仿宋" w:hAnsi="仿宋" w:eastAsia="仿宋" w:cs="微软雅黑"/>
          <w:color w:val="000000" w:themeColor="text1"/>
          <w:highlight w:val="none"/>
          <w:lang w:val="en-US" w:eastAsia="zh-CN"/>
          <w14:textFill>
            <w14:solidFill>
              <w14:schemeClr w14:val="tx1"/>
            </w14:solidFill>
          </w14:textFill>
        </w:rPr>
        <w:t>3</w:t>
      </w:r>
      <w:r>
        <w:rPr>
          <w:rFonts w:hint="eastAsia" w:ascii="仿宋" w:hAnsi="仿宋" w:eastAsia="仿宋" w:cs="微软雅黑"/>
          <w:color w:val="000000" w:themeColor="text1"/>
          <w:highlight w:val="none"/>
          <w:lang w:val="zh-CN"/>
          <w14:textFill>
            <w14:solidFill>
              <w14:schemeClr w14:val="tx1"/>
            </w14:solidFill>
          </w14:textFill>
        </w:rPr>
        <w:t>.4对同一采购程序环节的质疑，供应商须在法定质疑期内一次性提出。</w:t>
      </w:r>
    </w:p>
    <w:p w14:paraId="5EFEDF77">
      <w:pPr>
        <w:pStyle w:val="720"/>
        <w:shd w:val="clear" w:color="auto" w:fill="FFFFFF"/>
        <w:snapToGrid w:val="0"/>
        <w:spacing w:after="240" w:afterAutospacing="0" w:line="360" w:lineRule="auto"/>
        <w:ind w:firstLine="518" w:firstLineChars="216"/>
        <w:contextualSpacing/>
        <w:rPr>
          <w:rFonts w:ascii="仿宋" w:hAnsi="仿宋" w:eastAsia="仿宋"/>
          <w:color w:val="000000" w:themeColor="text1"/>
          <w:highlight w:val="none"/>
          <w14:textFill>
            <w14:solidFill>
              <w14:schemeClr w14:val="tx1"/>
            </w14:solidFill>
          </w14:textFill>
        </w:rPr>
      </w:pPr>
      <w:r>
        <w:rPr>
          <w:rFonts w:ascii="仿宋" w:hAnsi="仿宋" w:eastAsia="仿宋" w:cs="微软雅黑"/>
          <w:color w:val="000000" w:themeColor="text1"/>
          <w:highlight w:val="none"/>
          <w:lang w:val="zh-CN"/>
          <w14:textFill>
            <w14:solidFill>
              <w14:schemeClr w14:val="tx1"/>
            </w14:solidFill>
          </w14:textFill>
        </w:rPr>
        <w:t>4.</w:t>
      </w:r>
      <w:r>
        <w:rPr>
          <w:rFonts w:hint="eastAsia" w:ascii="仿宋" w:hAnsi="仿宋" w:eastAsia="仿宋" w:cs="微软雅黑"/>
          <w:color w:val="000000" w:themeColor="text1"/>
          <w:highlight w:val="none"/>
          <w:lang w:val="en-US" w:eastAsia="zh-CN"/>
          <w14:textFill>
            <w14:solidFill>
              <w14:schemeClr w14:val="tx1"/>
            </w14:solidFill>
          </w14:textFill>
        </w:rPr>
        <w:t>3</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5征集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000000" w:themeColor="text1"/>
          <w:highlight w:val="none"/>
          <w14:textFill>
            <w14:solidFill>
              <w14:schemeClr w14:val="tx1"/>
            </w14:solidFill>
          </w14:textFill>
        </w:rPr>
        <w:t>2021〕17号）,</w:t>
      </w:r>
      <w:r>
        <w:rPr>
          <w:rFonts w:hint="eastAsia" w:ascii="仿宋" w:hAnsi="仿宋" w:eastAsia="仿宋"/>
          <w:color w:val="000000" w:themeColor="text1"/>
          <w:highlight w:val="none"/>
          <w14:textFill>
            <w14:solidFill>
              <w14:schemeClr w14:val="tx1"/>
            </w14:solidFill>
          </w14:textFill>
        </w:rPr>
        <w:t>征集人或者采购代理机构在质疑回复后</w:t>
      </w:r>
      <w:r>
        <w:rPr>
          <w:rFonts w:ascii="仿宋" w:hAnsi="仿宋" w:eastAsia="仿宋"/>
          <w:color w:val="000000" w:themeColor="text1"/>
          <w:highlight w:val="none"/>
          <w14:textFill>
            <w14:solidFill>
              <w14:schemeClr w14:val="tx1"/>
            </w14:solidFill>
          </w14:textFill>
        </w:rPr>
        <w:t>5个工作日内，在浙江政府采购网的“其他公告”栏目公开质疑答复，答复内容应当完整。</w:t>
      </w:r>
      <w:r>
        <w:rPr>
          <w:rFonts w:hint="eastAsia" w:ascii="仿宋" w:hAnsi="仿宋" w:eastAsia="仿宋"/>
          <w:color w:val="000000" w:themeColor="text1"/>
          <w:highlight w:val="none"/>
          <w14:textFill>
            <w14:solidFill>
              <w14:schemeClr w14:val="tx1"/>
            </w14:solidFill>
          </w14:textFill>
        </w:rPr>
        <w:t>质疑答复公告时，如对征集文件质疑的，不公布质疑单位名称。涉及国家秘密、个人隐私、商业秘密以及法律法规规定应予保密的信息不公开。</w:t>
      </w:r>
      <w:r>
        <w:rPr>
          <w:rFonts w:ascii="仿宋" w:hAnsi="仿宋" w:eastAsia="仿宋"/>
          <w:color w:val="000000" w:themeColor="text1"/>
          <w:highlight w:val="none"/>
          <w14:textFill>
            <w14:solidFill>
              <w14:schemeClr w14:val="tx1"/>
            </w14:solidFill>
          </w14:textFill>
        </w:rPr>
        <w:t>质疑</w:t>
      </w:r>
      <w:r>
        <w:rPr>
          <w:rFonts w:hint="eastAsia" w:ascii="仿宋" w:hAnsi="仿宋" w:eastAsia="仿宋"/>
          <w:color w:val="000000" w:themeColor="text1"/>
          <w:highlight w:val="none"/>
          <w14:textFill>
            <w14:solidFill>
              <w14:schemeClr w14:val="tx1"/>
            </w14:solidFill>
          </w14:textFill>
        </w:rPr>
        <w:t>函作为附件上传。</w:t>
      </w:r>
    </w:p>
    <w:p w14:paraId="7200CF4D">
      <w:pPr>
        <w:pStyle w:val="720"/>
        <w:shd w:val="clear" w:color="auto" w:fill="FFFFFF"/>
        <w:snapToGrid w:val="0"/>
        <w:spacing w:after="240" w:afterAutospacing="0" w:line="360" w:lineRule="auto"/>
        <w:ind w:firstLine="518" w:firstLineChars="216"/>
        <w:contextualSpacing/>
        <w:rPr>
          <w:rFonts w:ascii="仿宋" w:hAnsi="仿宋" w:eastAsia="仿宋"/>
          <w:color w:val="000000" w:themeColor="text1"/>
          <w:highlight w:val="none"/>
          <w14:textFill>
            <w14:solidFill>
              <w14:schemeClr w14:val="tx1"/>
            </w14:solidFill>
          </w14:textFill>
        </w:rPr>
      </w:pPr>
      <w:r>
        <w:rPr>
          <w:rFonts w:ascii="仿宋" w:hAnsi="仿宋" w:eastAsia="仿宋" w:cs="微软雅黑"/>
          <w:color w:val="000000" w:themeColor="text1"/>
          <w:highlight w:val="none"/>
          <w:lang w:val="zh-CN"/>
          <w14:textFill>
            <w14:solidFill>
              <w14:schemeClr w14:val="tx1"/>
            </w14:solidFill>
          </w14:textFill>
        </w:rPr>
        <w:t>4.</w:t>
      </w:r>
      <w:r>
        <w:rPr>
          <w:rFonts w:hint="eastAsia" w:ascii="仿宋" w:hAnsi="仿宋" w:eastAsia="仿宋" w:cs="微软雅黑"/>
          <w:color w:val="000000" w:themeColor="text1"/>
          <w:highlight w:val="none"/>
          <w:lang w:val="en-US" w:eastAsia="zh-CN"/>
          <w14:textFill>
            <w14:solidFill>
              <w14:schemeClr w14:val="tx1"/>
            </w14:solidFill>
          </w14:textFill>
        </w:rPr>
        <w:t>3</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6</w:t>
      </w:r>
      <w:r>
        <w:rPr>
          <w:rFonts w:ascii="仿宋" w:hAnsi="仿宋" w:eastAsia="仿宋"/>
          <w:color w:val="000000" w:themeColor="text1"/>
          <w:highlight w:val="none"/>
          <w14:textFill>
            <w14:solidFill>
              <w14:schemeClr w14:val="tx1"/>
            </w14:solidFill>
          </w14:textFill>
        </w:rPr>
        <w:t>询问或者质疑事项可能影响采购结果的，征集人应当暂停签订合同，已经签订合同的，应当中止履行合同。</w:t>
      </w:r>
    </w:p>
    <w:p w14:paraId="19F4D228">
      <w:pPr>
        <w:pStyle w:val="720"/>
        <w:shd w:val="clear" w:color="auto" w:fill="FFFFFF"/>
        <w:snapToGrid w:val="0"/>
        <w:spacing w:after="240" w:afterAutospacing="0" w:line="360" w:lineRule="auto"/>
        <w:ind w:firstLine="240" w:firstLineChars="100"/>
        <w:contextualSpacing/>
        <w:rPr>
          <w:rFonts w:ascii="仿宋" w:hAnsi="仿宋" w:eastAsia="仿宋" w:cs="微软雅黑"/>
          <w:color w:val="000000" w:themeColor="text1"/>
          <w:highlight w:val="none"/>
          <w:lang w:val="zh-CN"/>
          <w14:textFill>
            <w14:solidFill>
              <w14:schemeClr w14:val="tx1"/>
            </w14:solidFill>
          </w14:textFill>
        </w:rPr>
      </w:pPr>
      <w:r>
        <w:rPr>
          <w:rFonts w:ascii="仿宋" w:hAnsi="仿宋" w:eastAsia="仿宋" w:cs="微软雅黑"/>
          <w:color w:val="000000" w:themeColor="text1"/>
          <w:highlight w:val="none"/>
          <w:lang w:val="zh-CN"/>
          <w14:textFill>
            <w14:solidFill>
              <w14:schemeClr w14:val="tx1"/>
            </w14:solidFill>
          </w14:textFill>
        </w:rPr>
        <w:t>4.</w:t>
      </w:r>
      <w:r>
        <w:rPr>
          <w:rFonts w:hint="eastAsia" w:ascii="仿宋" w:hAnsi="仿宋" w:eastAsia="仿宋" w:cs="微软雅黑"/>
          <w:color w:val="000000" w:themeColor="text1"/>
          <w:highlight w:val="none"/>
          <w:lang w:val="en-US" w:eastAsia="zh-CN"/>
          <w14:textFill>
            <w14:solidFill>
              <w14:schemeClr w14:val="tx1"/>
            </w14:solidFill>
          </w14:textFill>
        </w:rPr>
        <w:t>4</w:t>
      </w:r>
      <w:r>
        <w:rPr>
          <w:rFonts w:ascii="仿宋" w:hAnsi="仿宋" w:eastAsia="仿宋" w:cs="微软雅黑"/>
          <w:color w:val="000000" w:themeColor="text1"/>
          <w:highlight w:val="none"/>
          <w:lang w:val="zh-CN"/>
          <w14:textFill>
            <w14:solidFill>
              <w14:schemeClr w14:val="tx1"/>
            </w14:solidFill>
          </w14:textFill>
        </w:rPr>
        <w:t>供应商投诉</w:t>
      </w:r>
    </w:p>
    <w:p w14:paraId="7D1F41B0">
      <w:pPr>
        <w:pStyle w:val="720"/>
        <w:shd w:val="clear" w:color="auto" w:fill="FFFFFF"/>
        <w:snapToGrid w:val="0"/>
        <w:spacing w:after="240" w:afterAutospacing="0" w:line="360" w:lineRule="auto"/>
        <w:ind w:firstLine="518" w:firstLineChars="216"/>
        <w:contextualSpacing/>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lang w:val="en-US" w:eastAsia="zh-CN"/>
          <w14:textFill>
            <w14:solidFill>
              <w14:schemeClr w14:val="tx1"/>
            </w14:solidFill>
          </w14:textFill>
        </w:rPr>
        <w:t>4</w:t>
      </w:r>
      <w:r>
        <w:rPr>
          <w:rFonts w:ascii="仿宋" w:hAnsi="仿宋" w:eastAsia="仿宋"/>
          <w:color w:val="000000" w:themeColor="text1"/>
          <w:highlight w:val="none"/>
          <w14:textFill>
            <w14:solidFill>
              <w14:schemeClr w14:val="tx1"/>
            </w14:solidFill>
          </w14:textFill>
        </w:rPr>
        <w:t>.1质疑供应商对征集人、</w:t>
      </w:r>
      <w:r>
        <w:rPr>
          <w:rFonts w:hint="eastAsia" w:ascii="仿宋" w:hAnsi="仿宋" w:eastAsia="仿宋"/>
          <w:color w:val="000000" w:themeColor="text1"/>
          <w:highlight w:val="none"/>
          <w14:textFill>
            <w14:solidFill>
              <w14:schemeClr w14:val="tx1"/>
            </w14:solidFill>
          </w14:textFill>
        </w:rPr>
        <w:t>采购代理机构</w:t>
      </w:r>
      <w:r>
        <w:rPr>
          <w:rFonts w:ascii="仿宋" w:hAnsi="仿宋" w:eastAsia="仿宋"/>
          <w:color w:val="000000" w:themeColor="text1"/>
          <w:highlight w:val="none"/>
          <w14:textFill>
            <w14:solidFill>
              <w14:schemeClr w14:val="tx1"/>
            </w14:solidFill>
          </w14:textFill>
        </w:rPr>
        <w:t>的答复不满意或者征集人、</w:t>
      </w:r>
      <w:r>
        <w:rPr>
          <w:rFonts w:hint="eastAsia" w:ascii="仿宋" w:hAnsi="仿宋" w:eastAsia="仿宋"/>
          <w:color w:val="000000" w:themeColor="text1"/>
          <w:highlight w:val="none"/>
          <w14:textFill>
            <w14:solidFill>
              <w14:schemeClr w14:val="tx1"/>
            </w14:solidFill>
          </w14:textFill>
        </w:rPr>
        <w:t>采购代理机构</w:t>
      </w:r>
      <w:r>
        <w:rPr>
          <w:rFonts w:ascii="仿宋" w:hAnsi="仿宋" w:eastAsia="仿宋"/>
          <w:color w:val="000000" w:themeColor="text1"/>
          <w:highlight w:val="none"/>
          <w14:textFill>
            <w14:solidFill>
              <w14:schemeClr w14:val="tx1"/>
            </w14:solidFill>
          </w14:textFill>
        </w:rPr>
        <w:t>未在规定的时间内</w:t>
      </w:r>
      <w:r>
        <w:rPr>
          <w:rFonts w:hint="eastAsia" w:ascii="仿宋" w:hAnsi="仿宋" w:eastAsia="仿宋"/>
          <w:color w:val="000000" w:themeColor="text1"/>
          <w:highlight w:val="none"/>
          <w14:textFill>
            <w14:solidFill>
              <w14:schemeClr w14:val="tx1"/>
            </w14:solidFill>
          </w14:textFill>
        </w:rPr>
        <w:t>作出答复的，可以在答复期满后十五个工作日内向同级政府采购监督管理部门提出投诉。</w:t>
      </w:r>
    </w:p>
    <w:p w14:paraId="3A884BAE">
      <w:pPr>
        <w:pStyle w:val="720"/>
        <w:shd w:val="clear" w:color="auto" w:fill="FFFFFF"/>
        <w:snapToGrid w:val="0"/>
        <w:spacing w:after="240" w:afterAutospacing="0" w:line="360" w:lineRule="auto"/>
        <w:ind w:firstLine="518" w:firstLineChars="216"/>
        <w:contextualSpacing/>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lang w:val="en-US" w:eastAsia="zh-CN"/>
          <w14:textFill>
            <w14:solidFill>
              <w14:schemeClr w14:val="tx1"/>
            </w14:solidFill>
          </w14:textFill>
        </w:rPr>
        <w:t>4</w:t>
      </w:r>
      <w:r>
        <w:rPr>
          <w:rFonts w:ascii="仿宋" w:hAnsi="仿宋" w:eastAsia="仿宋"/>
          <w:color w:val="000000" w:themeColor="text1"/>
          <w:highlight w:val="none"/>
          <w14:textFill>
            <w14:solidFill>
              <w14:schemeClr w14:val="tx1"/>
            </w14:solidFill>
          </w14:textFill>
        </w:rPr>
        <w:t>.</w:t>
      </w:r>
      <w:r>
        <w:rPr>
          <w:rFonts w:ascii="仿宋" w:hAnsi="仿宋" w:eastAsia="仿宋" w:cs="微软雅黑"/>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454CEADA">
      <w:pPr>
        <w:pStyle w:val="720"/>
        <w:shd w:val="clear" w:color="auto" w:fill="FFFFFF"/>
        <w:snapToGrid w:val="0"/>
        <w:spacing w:after="240" w:afterAutospacing="0" w:line="360" w:lineRule="auto"/>
        <w:ind w:firstLine="518" w:firstLineChars="216"/>
        <w:contextualSpacing/>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lang w:val="en-US" w:eastAsia="zh-CN"/>
          <w14:textFill>
            <w14:solidFill>
              <w14:schemeClr w14:val="tx1"/>
            </w14:solidFill>
          </w14:textFill>
        </w:rPr>
        <w:t>4</w:t>
      </w:r>
      <w:r>
        <w:rPr>
          <w:rFonts w:ascii="仿宋" w:hAnsi="仿宋" w:eastAsia="仿宋"/>
          <w:color w:val="000000" w:themeColor="text1"/>
          <w:highlight w:val="none"/>
          <w14:textFill>
            <w14:solidFill>
              <w14:schemeClr w14:val="tx1"/>
            </w14:solidFill>
          </w14:textFill>
        </w:rPr>
        <w:t>.3供应</w:t>
      </w:r>
      <w:r>
        <w:rPr>
          <w:rFonts w:hint="eastAsia" w:ascii="仿宋" w:hAnsi="仿宋" w:eastAsia="仿宋"/>
          <w:color w:val="000000" w:themeColor="text1"/>
          <w:highlight w:val="none"/>
          <w14:textFill>
            <w14:solidFill>
              <w14:schemeClr w14:val="tx1"/>
            </w14:solidFill>
          </w14:textFill>
        </w:rPr>
        <w:t>商投诉应当有明确的请求和必要的证明材料。</w:t>
      </w:r>
    </w:p>
    <w:p w14:paraId="232D31FE">
      <w:pPr>
        <w:pStyle w:val="720"/>
        <w:shd w:val="clear" w:color="auto" w:fill="FFFFFF"/>
        <w:snapToGrid w:val="0"/>
        <w:spacing w:after="240" w:afterAutospacing="0" w:line="360" w:lineRule="auto"/>
        <w:ind w:firstLine="518" w:firstLineChars="216"/>
        <w:contextualSpacing/>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lang w:val="en-US" w:eastAsia="zh-CN"/>
          <w14:textFill>
            <w14:solidFill>
              <w14:schemeClr w14:val="tx1"/>
            </w14:solidFill>
          </w14:textFill>
        </w:rPr>
        <w:t>4</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4以联合体形式参加政府采购活动的，其投诉应当由组成联合体的所有供应商共同提出。</w:t>
      </w:r>
    </w:p>
    <w:p w14:paraId="68C495B0">
      <w:pPr>
        <w:pStyle w:val="720"/>
        <w:shd w:val="clear" w:color="auto" w:fill="FFFFFF"/>
        <w:snapToGrid w:val="0"/>
        <w:spacing w:after="240" w:afterAutospacing="0" w:line="360" w:lineRule="auto"/>
        <w:ind w:firstLine="518" w:firstLineChars="216"/>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w:t>
      </w:r>
      <w:r>
        <w:rPr>
          <w:rFonts w:ascii="仿宋" w:hAnsi="仿宋" w:eastAsia="仿宋"/>
          <w:color w:val="000000" w:themeColor="text1"/>
          <w:highlight w:val="none"/>
          <w14:textFill>
            <w14:solidFill>
              <w14:schemeClr w14:val="tx1"/>
            </w14:solidFill>
          </w14:textFill>
        </w:rPr>
        <w:t>3。</w:t>
      </w:r>
    </w:p>
    <w:p w14:paraId="50E9191C">
      <w:pPr>
        <w:pStyle w:val="720"/>
        <w:shd w:val="clear" w:color="auto" w:fill="FFFFFF"/>
        <w:snapToGrid w:val="0"/>
        <w:spacing w:after="240" w:afterAutospacing="0" w:line="360" w:lineRule="auto"/>
        <w:ind w:firstLine="518" w:firstLineChars="216"/>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lang w:val="en-US" w:eastAsia="zh-CN"/>
          <w14:textFill>
            <w14:solidFill>
              <w14:schemeClr w14:val="tx1"/>
            </w14:solidFill>
          </w14:textFill>
        </w:rPr>
        <w:t>5</w:t>
      </w:r>
      <w:r>
        <w:rPr>
          <w:rFonts w:hint="eastAsia" w:ascii="仿宋" w:hAnsi="仿宋" w:eastAsia="仿宋"/>
          <w:color w:val="000000" w:themeColor="text1"/>
          <w:highlight w:val="none"/>
          <w14:textFill>
            <w14:solidFill>
              <w14:schemeClr w14:val="tx1"/>
            </w14:solidFill>
          </w14:textFill>
        </w:rPr>
        <w:t>在线质疑、投诉。</w:t>
      </w:r>
    </w:p>
    <w:p w14:paraId="0D7DF936">
      <w:pPr>
        <w:pStyle w:val="720"/>
        <w:shd w:val="clear" w:color="auto" w:fill="FFFFFF"/>
        <w:snapToGrid w:val="0"/>
        <w:spacing w:after="240" w:afterAutospacing="0" w:line="360" w:lineRule="auto"/>
        <w:ind w:firstLine="518" w:firstLineChars="216"/>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A3F758">
      <w:pPr>
        <w:adjustRightInd/>
        <w:spacing w:line="360" w:lineRule="auto"/>
        <w:jc w:val="center"/>
        <w:outlineLvl w:val="0"/>
        <w:rPr>
          <w:rFonts w:ascii="仿宋" w:hAnsi="仿宋" w:eastAsia="仿宋" w:cs="仿宋_GB2312"/>
          <w:b/>
          <w:color w:val="000000" w:themeColor="text1"/>
          <w:sz w:val="32"/>
          <w:szCs w:val="20"/>
          <w:highlight w:val="none"/>
          <w14:textFill>
            <w14:solidFill>
              <w14:schemeClr w14:val="tx1"/>
            </w14:solidFill>
          </w14:textFill>
        </w:rPr>
      </w:pPr>
      <w:bookmarkStart w:id="19" w:name="_Hlt68072990"/>
      <w:bookmarkEnd w:id="19"/>
      <w:bookmarkStart w:id="20" w:name="_Hlt75236290"/>
      <w:bookmarkEnd w:id="20"/>
      <w:bookmarkStart w:id="21" w:name="_Hlt68057669"/>
      <w:bookmarkEnd w:id="21"/>
      <w:bookmarkStart w:id="22" w:name="_Hlt74707468"/>
      <w:bookmarkEnd w:id="22"/>
      <w:bookmarkStart w:id="23" w:name="_Hlt74729768"/>
      <w:bookmarkEnd w:id="23"/>
      <w:bookmarkStart w:id="24" w:name="_Toc91899879"/>
      <w:r>
        <w:rPr>
          <w:rFonts w:hint="eastAsia" w:ascii="仿宋" w:hAnsi="仿宋" w:eastAsia="仿宋" w:cs="仿宋_GB2312"/>
          <w:b/>
          <w:color w:val="000000" w:themeColor="text1"/>
          <w:sz w:val="32"/>
          <w:szCs w:val="20"/>
          <w:highlight w:val="none"/>
          <w14:textFill>
            <w14:solidFill>
              <w14:schemeClr w14:val="tx1"/>
            </w14:solidFill>
          </w14:textFill>
        </w:rPr>
        <w:t>二、征集文件</w:t>
      </w:r>
      <w:bookmarkEnd w:id="24"/>
      <w:r>
        <w:rPr>
          <w:rFonts w:hint="eastAsia" w:ascii="仿宋" w:hAnsi="仿宋" w:eastAsia="仿宋" w:cs="仿宋_GB2312"/>
          <w:b/>
          <w:color w:val="000000" w:themeColor="text1"/>
          <w:sz w:val="32"/>
          <w:szCs w:val="20"/>
          <w:highlight w:val="none"/>
          <w14:textFill>
            <w14:solidFill>
              <w14:schemeClr w14:val="tx1"/>
            </w14:solidFill>
          </w14:textFill>
        </w:rPr>
        <w:t>的构成、澄清、修改</w:t>
      </w:r>
    </w:p>
    <w:p w14:paraId="538B916D">
      <w:pPr>
        <w:pStyle w:val="28"/>
        <w:spacing w:line="360" w:lineRule="auto"/>
        <w:rPr>
          <w:rFonts w:ascii="仿宋" w:hAnsi="仿宋" w:eastAsia="仿宋" w:cs="仿宋_GB2312"/>
          <w:b/>
          <w:color w:val="000000" w:themeColor="text1"/>
          <w:sz w:val="24"/>
          <w:szCs w:val="24"/>
          <w:highlight w:val="none"/>
          <w14:textFill>
            <w14:solidFill>
              <w14:schemeClr w14:val="tx1"/>
            </w14:solidFill>
          </w14:textFill>
        </w:rPr>
      </w:pPr>
      <w:bookmarkStart w:id="25" w:name="_Toc91899880"/>
      <w:bookmarkStart w:id="26" w:name="_Hlt74730307"/>
      <w:r>
        <w:rPr>
          <w:rFonts w:hint="eastAsia" w:ascii="仿宋" w:hAnsi="仿宋" w:eastAsia="仿宋" w:cs="仿宋_GB2312"/>
          <w:b/>
          <w:color w:val="000000" w:themeColor="text1"/>
          <w:sz w:val="24"/>
          <w:szCs w:val="24"/>
          <w:highlight w:val="none"/>
          <w14:textFill>
            <w14:solidFill>
              <w14:schemeClr w14:val="tx1"/>
            </w14:solidFill>
          </w14:textFill>
        </w:rPr>
        <w:t>5．征集文件的构成</w:t>
      </w:r>
      <w:bookmarkEnd w:id="25"/>
    </w:p>
    <w:bookmarkEnd w:id="26"/>
    <w:p w14:paraId="3DEC0611">
      <w:pPr>
        <w:pStyle w:val="28"/>
        <w:spacing w:line="360" w:lineRule="auto"/>
        <w:ind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5.1 征集文件包括下列文件及附件</w:t>
      </w:r>
    </w:p>
    <w:p w14:paraId="1EEEB673">
      <w:pPr>
        <w:pStyle w:val="28"/>
        <w:numPr>
          <w:ilvl w:val="0"/>
          <w:numId w:val="2"/>
        </w:numPr>
        <w:spacing w:line="360" w:lineRule="auto"/>
        <w:ind w:left="839"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第一部分征集公告</w:t>
      </w:r>
    </w:p>
    <w:p w14:paraId="00388024">
      <w:pPr>
        <w:pStyle w:val="28"/>
        <w:numPr>
          <w:ilvl w:val="0"/>
          <w:numId w:val="2"/>
        </w:numPr>
        <w:spacing w:line="360" w:lineRule="auto"/>
        <w:ind w:left="839"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第二部分供应商须知</w:t>
      </w:r>
    </w:p>
    <w:p w14:paraId="4A5B60A0">
      <w:pPr>
        <w:pStyle w:val="28"/>
        <w:numPr>
          <w:ilvl w:val="0"/>
          <w:numId w:val="2"/>
        </w:numPr>
        <w:spacing w:line="360" w:lineRule="auto"/>
        <w:ind w:left="839"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第三部分采购需求</w:t>
      </w:r>
    </w:p>
    <w:p w14:paraId="0466052C">
      <w:pPr>
        <w:pStyle w:val="28"/>
        <w:numPr>
          <w:ilvl w:val="0"/>
          <w:numId w:val="2"/>
        </w:numPr>
        <w:spacing w:line="360" w:lineRule="auto"/>
        <w:ind w:left="839"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第四部分评标方法</w:t>
      </w:r>
    </w:p>
    <w:p w14:paraId="44B77907">
      <w:pPr>
        <w:pStyle w:val="28"/>
        <w:numPr>
          <w:ilvl w:val="0"/>
          <w:numId w:val="2"/>
        </w:numPr>
        <w:spacing w:line="360" w:lineRule="auto"/>
        <w:ind w:left="839"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第五部分</w:t>
      </w:r>
      <w:r>
        <w:rPr>
          <w:rFonts w:hint="eastAsia" w:ascii="仿宋" w:hAnsi="仿宋" w:eastAsia="仿宋" w:cs="仿宋_GB2312"/>
          <w:color w:val="000000" w:themeColor="text1"/>
          <w:sz w:val="24"/>
          <w:szCs w:val="24"/>
          <w:highlight w:val="none"/>
          <w:lang w:eastAsia="zh-CN"/>
          <w14:textFill>
            <w14:solidFill>
              <w14:schemeClr w14:val="tx1"/>
            </w14:solidFill>
          </w14:textFill>
        </w:rPr>
        <w:t>拟签订的框架协议文本和采购合同文本</w:t>
      </w:r>
    </w:p>
    <w:p w14:paraId="58E21D66">
      <w:pPr>
        <w:pStyle w:val="28"/>
        <w:numPr>
          <w:ilvl w:val="0"/>
          <w:numId w:val="2"/>
        </w:numPr>
        <w:spacing w:line="360" w:lineRule="auto"/>
        <w:ind w:left="839"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第六部分应提交的有关格式范例</w:t>
      </w:r>
    </w:p>
    <w:p w14:paraId="5B9D81DC">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5.2与本项目有关的</w:t>
      </w:r>
      <w:r>
        <w:rPr>
          <w:rFonts w:hint="eastAsia" w:ascii="仿宋" w:hAnsi="仿宋" w:eastAsia="仿宋"/>
          <w:bCs/>
          <w:color w:val="000000" w:themeColor="text1"/>
          <w:sz w:val="24"/>
          <w:highlight w:val="none"/>
          <w14:textFill>
            <w14:solidFill>
              <w14:schemeClr w14:val="tx1"/>
            </w14:solidFill>
          </w14:textFill>
        </w:rPr>
        <w:t>澄清或者修改的内容为征集文件的组成部分</w:t>
      </w:r>
      <w:r>
        <w:rPr>
          <w:rFonts w:hint="eastAsia" w:ascii="仿宋" w:hAnsi="仿宋" w:eastAsia="仿宋" w:cs="仿宋_GB2312"/>
          <w:color w:val="000000" w:themeColor="text1"/>
          <w:sz w:val="24"/>
          <w:highlight w:val="none"/>
          <w14:textFill>
            <w14:solidFill>
              <w14:schemeClr w14:val="tx1"/>
            </w14:solidFill>
          </w14:textFill>
        </w:rPr>
        <w:t>。</w:t>
      </w:r>
    </w:p>
    <w:p w14:paraId="6BFDF38B">
      <w:pPr>
        <w:pStyle w:val="28"/>
        <w:spacing w:line="360" w:lineRule="auto"/>
        <w:rPr>
          <w:rFonts w:ascii="仿宋" w:hAnsi="仿宋" w:eastAsia="仿宋" w:cs="仿宋_GB2312"/>
          <w:b/>
          <w:color w:val="000000" w:themeColor="text1"/>
          <w:sz w:val="24"/>
          <w:szCs w:val="24"/>
          <w:highlight w:val="none"/>
          <w14:textFill>
            <w14:solidFill>
              <w14:schemeClr w14:val="tx1"/>
            </w14:solidFill>
          </w14:textFill>
        </w:rPr>
      </w:pPr>
      <w:r>
        <w:rPr>
          <w:rFonts w:hint="eastAsia" w:ascii="仿宋" w:hAnsi="仿宋" w:eastAsia="仿宋" w:cs="仿宋_GB2312"/>
          <w:b/>
          <w:color w:val="000000" w:themeColor="text1"/>
          <w:sz w:val="24"/>
          <w:szCs w:val="24"/>
          <w:highlight w:val="none"/>
          <w14:textFill>
            <w14:solidFill>
              <w14:schemeClr w14:val="tx1"/>
            </w14:solidFill>
          </w14:textFill>
        </w:rPr>
        <w:t>6. 征集文件的澄清、修改</w:t>
      </w:r>
    </w:p>
    <w:p w14:paraId="7CECFFC8">
      <w:pPr>
        <w:pStyle w:val="97"/>
        <w:snapToGrid w:val="0"/>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6.1已获取征集文件的潜在供应商，若有问题需要澄清，应于投标截止时间前，以书面形式向采购代理机构提出。</w:t>
      </w:r>
    </w:p>
    <w:p w14:paraId="64FB968F">
      <w:pPr>
        <w:pStyle w:val="97"/>
        <w:snapToGrid w:val="0"/>
        <w:spacing w:before="0"/>
        <w:ind w:firstLine="48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6.2 采购代理机构对征集文件进行澄清或修改的，将同时通过电子交易平台通知已获取征集文件的潜在供应商。依法应当公告的，将按规定公告，同时视情况延长投标截止时间和开标时间。该澄清或者修改的内容为征集文件的组成部分。</w:t>
      </w:r>
    </w:p>
    <w:p w14:paraId="7F02A550">
      <w:pPr>
        <w:pStyle w:val="20"/>
        <w:rPr>
          <w:rFonts w:ascii="仿宋" w:hAnsi="仿宋" w:eastAsia="仿宋" w:cs="仿宋_GB2312"/>
          <w:color w:val="000000" w:themeColor="text1"/>
          <w:sz w:val="18"/>
          <w:szCs w:val="18"/>
          <w:highlight w:val="none"/>
          <w:lang w:val="en-US"/>
          <w14:textFill>
            <w14:solidFill>
              <w14:schemeClr w14:val="tx1"/>
            </w14:solidFill>
          </w14:textFill>
        </w:rPr>
      </w:pPr>
    </w:p>
    <w:p w14:paraId="5CC74C12">
      <w:pPr>
        <w:adjustRightInd/>
        <w:spacing w:line="360" w:lineRule="auto"/>
        <w:jc w:val="center"/>
        <w:outlineLvl w:val="0"/>
        <w:rPr>
          <w:rFonts w:ascii="仿宋" w:hAnsi="仿宋" w:eastAsia="仿宋" w:cs="仿宋_GB2312"/>
          <w:b/>
          <w:color w:val="000000" w:themeColor="text1"/>
          <w:sz w:val="30"/>
          <w:szCs w:val="20"/>
          <w:highlight w:val="none"/>
          <w14:textFill>
            <w14:solidFill>
              <w14:schemeClr w14:val="tx1"/>
            </w14:solidFill>
          </w14:textFill>
        </w:rPr>
      </w:pPr>
      <w:bookmarkStart w:id="27" w:name="_Hlt75236011"/>
      <w:bookmarkEnd w:id="27"/>
      <w:bookmarkStart w:id="28" w:name="_Toc91899884"/>
      <w:r>
        <w:rPr>
          <w:rFonts w:hint="eastAsia" w:ascii="仿宋" w:hAnsi="仿宋" w:eastAsia="仿宋" w:cs="仿宋_GB2312"/>
          <w:b/>
          <w:color w:val="000000" w:themeColor="text1"/>
          <w:sz w:val="30"/>
          <w:szCs w:val="20"/>
          <w:highlight w:val="none"/>
          <w14:textFill>
            <w14:solidFill>
              <w14:schemeClr w14:val="tx1"/>
            </w14:solidFill>
          </w14:textFill>
        </w:rPr>
        <w:t>三、投标</w:t>
      </w:r>
      <w:bookmarkEnd w:id="28"/>
    </w:p>
    <w:p w14:paraId="45009140">
      <w:pPr>
        <w:pStyle w:val="28"/>
        <w:spacing w:line="360" w:lineRule="auto"/>
        <w:rPr>
          <w:rFonts w:ascii="仿宋" w:hAnsi="仿宋" w:eastAsia="仿宋" w:cs="仿宋_GB2312"/>
          <w:b/>
          <w:color w:val="000000" w:themeColor="text1"/>
          <w:sz w:val="24"/>
          <w:szCs w:val="24"/>
          <w:highlight w:val="none"/>
          <w14:textFill>
            <w14:solidFill>
              <w14:schemeClr w14:val="tx1"/>
            </w14:solidFill>
          </w14:textFill>
        </w:rPr>
      </w:pPr>
      <w:bookmarkStart w:id="29" w:name="_Toc91899892"/>
      <w:bookmarkStart w:id="30" w:name="_Toc86216991"/>
      <w:r>
        <w:rPr>
          <w:rFonts w:hint="eastAsia" w:ascii="仿宋" w:hAnsi="仿宋" w:eastAsia="仿宋" w:cs="仿宋_GB2312"/>
          <w:b/>
          <w:color w:val="000000" w:themeColor="text1"/>
          <w:sz w:val="24"/>
          <w:szCs w:val="24"/>
          <w:highlight w:val="none"/>
          <w14:textFill>
            <w14:solidFill>
              <w14:schemeClr w14:val="tx1"/>
            </w14:solidFill>
          </w14:textFill>
        </w:rPr>
        <w:t>7. 征集文件的获取</w:t>
      </w:r>
    </w:p>
    <w:p w14:paraId="449C2C74">
      <w:pPr>
        <w:spacing w:line="360" w:lineRule="auto"/>
        <w:ind w:firstLine="480" w:firstLineChars="200"/>
        <w:rPr>
          <w:rFonts w:ascii="仿宋" w:hAnsi="仿宋" w:eastAsia="仿宋" w:cs="仿宋_GB2312"/>
          <w:snapToGrid w:val="0"/>
          <w:color w:val="000000" w:themeColor="text1"/>
          <w:kern w:val="28"/>
          <w:sz w:val="24"/>
          <w:highlight w:val="none"/>
          <w14:textFill>
            <w14:solidFill>
              <w14:schemeClr w14:val="tx1"/>
            </w14:solidFill>
          </w14:textFill>
        </w:rPr>
      </w:pPr>
      <w:r>
        <w:rPr>
          <w:rFonts w:hint="eastAsia" w:ascii="仿宋" w:hAnsi="仿宋" w:eastAsia="仿宋" w:cs="仿宋_GB2312"/>
          <w:snapToGrid w:val="0"/>
          <w:color w:val="000000" w:themeColor="text1"/>
          <w:kern w:val="28"/>
          <w:sz w:val="24"/>
          <w:highlight w:val="none"/>
          <w14:textFill>
            <w14:solidFill>
              <w14:schemeClr w14:val="tx1"/>
            </w14:solidFill>
          </w14:textFill>
        </w:rPr>
        <w:t>详见征集公告中获取征集文件的时间期限、地点、方式及征集文件售价。</w:t>
      </w:r>
    </w:p>
    <w:p w14:paraId="5BA02457">
      <w:pPr>
        <w:pStyle w:val="28"/>
        <w:spacing w:line="360" w:lineRule="auto"/>
        <w:rPr>
          <w:rFonts w:ascii="仿宋" w:hAnsi="仿宋" w:eastAsia="仿宋" w:cs="仿宋_GB2312"/>
          <w:b/>
          <w:color w:val="000000" w:themeColor="text1"/>
          <w:sz w:val="24"/>
          <w:szCs w:val="24"/>
          <w:highlight w:val="none"/>
          <w14:textFill>
            <w14:solidFill>
              <w14:schemeClr w14:val="tx1"/>
            </w14:solidFill>
          </w14:textFill>
        </w:rPr>
      </w:pPr>
      <w:r>
        <w:rPr>
          <w:rFonts w:hint="eastAsia" w:ascii="仿宋" w:hAnsi="仿宋" w:eastAsia="仿宋" w:cs="仿宋_GB2312"/>
          <w:b/>
          <w:color w:val="000000" w:themeColor="text1"/>
          <w:sz w:val="24"/>
          <w:szCs w:val="24"/>
          <w:highlight w:val="none"/>
          <w14:textFill>
            <w14:solidFill>
              <w14:schemeClr w14:val="tx1"/>
            </w14:solidFill>
          </w14:textFill>
        </w:rPr>
        <w:t>8.开标前答疑会或现场考察</w:t>
      </w:r>
    </w:p>
    <w:p w14:paraId="4E87030F">
      <w:pPr>
        <w:pStyle w:val="28"/>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征集人组织潜在供应商现场考察或者召开开标前答疑会的，潜在供应商按前附表的规定参加现场考察或者开标前答疑会。</w:t>
      </w:r>
    </w:p>
    <w:p w14:paraId="1BC002F3">
      <w:pPr>
        <w:pStyle w:val="28"/>
        <w:spacing w:line="360" w:lineRule="auto"/>
        <w:rPr>
          <w:rFonts w:ascii="仿宋" w:hAnsi="仿宋" w:eastAsia="仿宋" w:cs="仿宋_GB2312"/>
          <w:b/>
          <w:color w:val="000000" w:themeColor="text1"/>
          <w:szCs w:val="24"/>
          <w:highlight w:val="none"/>
          <w14:textFill>
            <w14:solidFill>
              <w14:schemeClr w14:val="tx1"/>
            </w14:solidFill>
          </w14:textFill>
        </w:rPr>
      </w:pPr>
      <w:r>
        <w:rPr>
          <w:rFonts w:hint="eastAsia" w:ascii="仿宋" w:hAnsi="仿宋" w:eastAsia="仿宋"/>
          <w:b/>
          <w:color w:val="000000" w:themeColor="text1"/>
          <w:kern w:val="28"/>
          <w:sz w:val="24"/>
          <w:szCs w:val="24"/>
          <w:highlight w:val="none"/>
          <w14:textFill>
            <w14:solidFill>
              <w14:schemeClr w14:val="tx1"/>
            </w14:solidFill>
          </w14:textFill>
        </w:rPr>
        <w:t>9.投标保证金</w:t>
      </w:r>
    </w:p>
    <w:p w14:paraId="3D4DE1CD">
      <w:pPr>
        <w:pStyle w:val="13"/>
        <w:spacing w:line="360" w:lineRule="auto"/>
        <w:ind w:firstLine="470" w:firstLineChars="196"/>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本项目不需要</w:t>
      </w:r>
      <w:r>
        <w:rPr>
          <w:rFonts w:hint="eastAsia" w:ascii="仿宋" w:hAnsi="仿宋" w:eastAsia="仿宋" w:cs="仿宋_GB2312"/>
          <w:color w:val="000000" w:themeColor="text1"/>
          <w:sz w:val="24"/>
          <w:highlight w:val="none"/>
          <w:lang w:eastAsia="zh-CN"/>
          <w14:textFill>
            <w14:solidFill>
              <w14:schemeClr w14:val="tx1"/>
            </w14:solidFill>
          </w14:textFill>
        </w:rPr>
        <w:t>缴纳</w:t>
      </w:r>
      <w:r>
        <w:rPr>
          <w:rFonts w:hint="eastAsia" w:ascii="仿宋" w:hAnsi="仿宋" w:eastAsia="仿宋" w:cs="仿宋_GB2312"/>
          <w:color w:val="000000" w:themeColor="text1"/>
          <w:sz w:val="24"/>
          <w:highlight w:val="none"/>
          <w14:textFill>
            <w14:solidFill>
              <w14:schemeClr w14:val="tx1"/>
            </w14:solidFill>
          </w14:textFill>
        </w:rPr>
        <w:t>投标保证金。</w:t>
      </w:r>
    </w:p>
    <w:p w14:paraId="306544F6">
      <w:pPr>
        <w:pStyle w:val="28"/>
        <w:spacing w:line="360" w:lineRule="auto"/>
        <w:rPr>
          <w:rFonts w:ascii="仿宋" w:hAnsi="仿宋" w:eastAsia="仿宋" w:cs="仿宋_GB2312"/>
          <w:b/>
          <w:color w:val="000000" w:themeColor="text1"/>
          <w:sz w:val="24"/>
          <w:szCs w:val="24"/>
          <w:highlight w:val="none"/>
          <w14:textFill>
            <w14:solidFill>
              <w14:schemeClr w14:val="tx1"/>
            </w14:solidFill>
          </w14:textFill>
        </w:rPr>
      </w:pPr>
      <w:r>
        <w:rPr>
          <w:rFonts w:hint="eastAsia" w:ascii="仿宋" w:hAnsi="仿宋" w:eastAsia="仿宋" w:cs="仿宋_GB2312"/>
          <w:b/>
          <w:color w:val="000000" w:themeColor="text1"/>
          <w:sz w:val="24"/>
          <w:szCs w:val="24"/>
          <w:highlight w:val="none"/>
          <w14:textFill>
            <w14:solidFill>
              <w14:schemeClr w14:val="tx1"/>
            </w14:solidFill>
          </w14:textFill>
        </w:rPr>
        <w:t>10. 响应文件的语言</w:t>
      </w:r>
    </w:p>
    <w:p w14:paraId="7B0A7F27">
      <w:pPr>
        <w:autoSpaceDE w:val="0"/>
        <w:autoSpaceDN w:val="0"/>
        <w:spacing w:line="360" w:lineRule="auto"/>
        <w:ind w:firstLine="480" w:firstLineChars="200"/>
        <w:rPr>
          <w:rFonts w:ascii="仿宋" w:hAnsi="仿宋" w:eastAsia="仿宋" w:cs="仿宋_GB2312"/>
          <w:color w:val="000000" w:themeColor="text1"/>
          <w:sz w:val="24"/>
          <w:highlight w:val="none"/>
          <w:lang w:val="zh-CN"/>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响应文件及供应商与采购有关的来往通知、函件和文件均应使用中文。</w:t>
      </w:r>
    </w:p>
    <w:p w14:paraId="4609E477">
      <w:pPr>
        <w:pStyle w:val="28"/>
        <w:spacing w:line="360" w:lineRule="auto"/>
        <w:rPr>
          <w:rFonts w:ascii="仿宋" w:hAnsi="仿宋" w:eastAsia="仿宋" w:cs="仿宋_GB2312"/>
          <w:b/>
          <w:color w:val="000000" w:themeColor="text1"/>
          <w:sz w:val="24"/>
          <w:szCs w:val="24"/>
          <w:highlight w:val="none"/>
          <w14:textFill>
            <w14:solidFill>
              <w14:schemeClr w14:val="tx1"/>
            </w14:solidFill>
          </w14:textFill>
        </w:rPr>
      </w:pPr>
      <w:r>
        <w:rPr>
          <w:rFonts w:hint="eastAsia" w:ascii="仿宋" w:hAnsi="仿宋" w:eastAsia="仿宋" w:cs="仿宋_GB2312"/>
          <w:b/>
          <w:color w:val="000000" w:themeColor="text1"/>
          <w:sz w:val="24"/>
          <w:szCs w:val="24"/>
          <w:highlight w:val="none"/>
          <w14:textFill>
            <w14:solidFill>
              <w14:schemeClr w14:val="tx1"/>
            </w14:solidFill>
          </w14:textFill>
        </w:rPr>
        <w:t>11. 响应文件的组成</w:t>
      </w:r>
    </w:p>
    <w:p w14:paraId="6801D88B">
      <w:pPr>
        <w:snapToGrid w:val="0"/>
        <w:spacing w:line="360" w:lineRule="auto"/>
        <w:ind w:firstLine="482" w:firstLineChars="200"/>
        <w:rPr>
          <w:rFonts w:ascii="仿宋" w:hAnsi="仿宋" w:eastAsia="仿宋" w:cs="仿宋_GB2312"/>
          <w:b/>
          <w:color w:val="000000" w:themeColor="text1"/>
          <w:sz w:val="24"/>
          <w:highlight w:val="none"/>
          <w14:textFill>
            <w14:solidFill>
              <w14:schemeClr w14:val="tx1"/>
            </w14:solidFill>
          </w14:textFill>
        </w:rPr>
      </w:pPr>
      <w:r>
        <w:rPr>
          <w:rFonts w:ascii="仿宋" w:hAnsi="仿宋" w:eastAsia="仿宋" w:cs="仿宋_GB2312"/>
          <w:b/>
          <w:color w:val="000000" w:themeColor="text1"/>
          <w:sz w:val="24"/>
          <w:highlight w:val="none"/>
          <w14:textFill>
            <w14:solidFill>
              <w14:schemeClr w14:val="tx1"/>
            </w14:solidFill>
          </w14:textFill>
        </w:rPr>
        <w:t>11.1</w:t>
      </w:r>
      <w:r>
        <w:rPr>
          <w:rFonts w:hint="eastAsia" w:ascii="仿宋" w:hAnsi="仿宋" w:eastAsia="仿宋" w:cs="仿宋_GB2312"/>
          <w:b/>
          <w:color w:val="000000" w:themeColor="text1"/>
          <w:sz w:val="24"/>
          <w:highlight w:val="none"/>
          <w14:textFill>
            <w14:solidFill>
              <w14:schemeClr w14:val="tx1"/>
            </w14:solidFill>
          </w14:textFill>
        </w:rPr>
        <w:t>资格文件：</w:t>
      </w:r>
    </w:p>
    <w:p w14:paraId="797675A9">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11.1.1符合参加政府采购活动应当具备的一般条件的承诺函；</w:t>
      </w:r>
    </w:p>
    <w:p w14:paraId="6EABEB94">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w:t>
      </w:r>
      <w:r>
        <w:rPr>
          <w:rFonts w:ascii="仿宋" w:hAnsi="仿宋" w:eastAsia="仿宋" w:cs="仿宋_GB2312"/>
          <w:color w:val="000000" w:themeColor="text1"/>
          <w:sz w:val="24"/>
          <w:highlight w:val="none"/>
          <w14:textFill>
            <w14:solidFill>
              <w14:schemeClr w14:val="tx1"/>
            </w14:solidFill>
          </w14:textFill>
        </w:rPr>
        <w:t>1.1.2</w:t>
      </w:r>
      <w:bookmarkStart w:id="31" w:name="_Hlk101259339"/>
      <w:r>
        <w:rPr>
          <w:rFonts w:hint="eastAsia" w:ascii="仿宋" w:hAnsi="仿宋" w:eastAsia="仿宋" w:cs="仿宋_GB2312"/>
          <w:color w:val="000000" w:themeColor="text1"/>
          <w:sz w:val="24"/>
          <w:highlight w:val="none"/>
          <w14:textFill>
            <w14:solidFill>
              <w14:schemeClr w14:val="tx1"/>
            </w14:solidFill>
          </w14:textFill>
        </w:rPr>
        <w:t>联合协议</w:t>
      </w:r>
      <w:bookmarkStart w:id="32" w:name="_Hlk101257010"/>
      <w:r>
        <w:rPr>
          <w:rFonts w:hint="eastAsia" w:ascii="仿宋" w:hAnsi="仿宋" w:eastAsia="仿宋" w:cs="仿宋_GB2312"/>
          <w:color w:val="000000" w:themeColor="text1"/>
          <w:sz w:val="24"/>
          <w:highlight w:val="none"/>
          <w14:textFill>
            <w14:solidFill>
              <w14:schemeClr w14:val="tx1"/>
            </w14:solidFill>
          </w14:textFill>
        </w:rPr>
        <w:t>（如果有)</w:t>
      </w:r>
      <w:bookmarkEnd w:id="31"/>
      <w:bookmarkEnd w:id="32"/>
      <w:r>
        <w:rPr>
          <w:rFonts w:hint="eastAsia" w:ascii="仿宋" w:hAnsi="仿宋" w:eastAsia="仿宋" w:cs="仿宋_GB2312"/>
          <w:color w:val="000000" w:themeColor="text1"/>
          <w:sz w:val="24"/>
          <w:highlight w:val="none"/>
          <w14:textFill>
            <w14:solidFill>
              <w14:schemeClr w14:val="tx1"/>
            </w14:solidFill>
          </w14:textFill>
        </w:rPr>
        <w:t>；</w:t>
      </w:r>
    </w:p>
    <w:p w14:paraId="6EDFF5B0">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11.1.</w:t>
      </w:r>
      <w:r>
        <w:rPr>
          <w:rFonts w:hint="eastAsia" w:ascii="仿宋" w:hAnsi="仿宋" w:eastAsia="仿宋" w:cs="仿宋_GB2312"/>
          <w:color w:val="000000" w:themeColor="text1"/>
          <w:sz w:val="24"/>
          <w:highlight w:val="none"/>
          <w14:textFill>
            <w14:solidFill>
              <w14:schemeClr w14:val="tx1"/>
            </w14:solidFill>
          </w14:textFill>
        </w:rPr>
        <w:t>3</w:t>
      </w:r>
      <w:r>
        <w:rPr>
          <w:rFonts w:ascii="仿宋" w:hAnsi="仿宋" w:eastAsia="仿宋" w:cs="仿宋_GB2312"/>
          <w:color w:val="000000" w:themeColor="text1"/>
          <w:sz w:val="24"/>
          <w:highlight w:val="none"/>
          <w14:textFill>
            <w14:solidFill>
              <w14:schemeClr w14:val="tx1"/>
            </w14:solidFill>
          </w14:textFill>
        </w:rPr>
        <w:t>落实政府采购政策需满足的资格要求（如果有）；</w:t>
      </w:r>
    </w:p>
    <w:p w14:paraId="5EC23FAE">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11.1.</w:t>
      </w:r>
      <w:r>
        <w:rPr>
          <w:rFonts w:hint="eastAsia" w:ascii="仿宋" w:hAnsi="仿宋" w:eastAsia="仿宋" w:cs="仿宋_GB2312"/>
          <w:color w:val="000000" w:themeColor="text1"/>
          <w:sz w:val="24"/>
          <w:highlight w:val="none"/>
          <w14:textFill>
            <w14:solidFill>
              <w14:schemeClr w14:val="tx1"/>
            </w14:solidFill>
          </w14:textFill>
        </w:rPr>
        <w:t>4</w:t>
      </w:r>
      <w:r>
        <w:rPr>
          <w:rFonts w:ascii="仿宋" w:hAnsi="仿宋" w:eastAsia="仿宋" w:cs="仿宋_GB2312"/>
          <w:color w:val="000000" w:themeColor="text1"/>
          <w:sz w:val="24"/>
          <w:highlight w:val="none"/>
          <w14:textFill>
            <w14:solidFill>
              <w14:schemeClr w14:val="tx1"/>
            </w14:solidFill>
          </w14:textFill>
        </w:rPr>
        <w:t>本项目的特定资格要求（如果有）。</w:t>
      </w:r>
    </w:p>
    <w:p w14:paraId="4EB2E3F6">
      <w:pPr>
        <w:snapToGrid w:val="0"/>
        <w:spacing w:line="360" w:lineRule="auto"/>
        <w:ind w:firstLine="482" w:firstLineChars="200"/>
        <w:rPr>
          <w:rFonts w:ascii="仿宋" w:hAnsi="仿宋" w:eastAsia="仿宋" w:cs="仿宋_GB2312"/>
          <w:b/>
          <w:color w:val="000000" w:themeColor="text1"/>
          <w:sz w:val="24"/>
          <w:highlight w:val="none"/>
          <w:lang w:val="zh-CN"/>
          <w14:textFill>
            <w14:solidFill>
              <w14:schemeClr w14:val="tx1"/>
            </w14:solidFill>
          </w14:textFill>
        </w:rPr>
      </w:pPr>
      <w:r>
        <w:rPr>
          <w:rFonts w:ascii="仿宋" w:hAnsi="仿宋" w:eastAsia="仿宋" w:cs="仿宋_GB2312"/>
          <w:b/>
          <w:color w:val="000000" w:themeColor="text1"/>
          <w:sz w:val="24"/>
          <w:highlight w:val="none"/>
          <w:lang w:val="zh-CN"/>
          <w14:textFill>
            <w14:solidFill>
              <w14:schemeClr w14:val="tx1"/>
            </w14:solidFill>
          </w14:textFill>
        </w:rPr>
        <w:t>11.</w:t>
      </w:r>
      <w:r>
        <w:rPr>
          <w:rFonts w:ascii="仿宋" w:hAnsi="仿宋" w:eastAsia="仿宋" w:cs="仿宋_GB2312"/>
          <w:b/>
          <w:color w:val="000000" w:themeColor="text1"/>
          <w:sz w:val="24"/>
          <w:highlight w:val="none"/>
          <w14:textFill>
            <w14:solidFill>
              <w14:schemeClr w14:val="tx1"/>
            </w14:solidFill>
          </w14:textFill>
        </w:rPr>
        <w:t>2</w:t>
      </w:r>
      <w:r>
        <w:rPr>
          <w:rFonts w:hint="eastAsia" w:ascii="仿宋" w:hAnsi="仿宋" w:eastAsia="仿宋" w:cs="仿宋_GB2312"/>
          <w:b/>
          <w:color w:val="000000" w:themeColor="text1"/>
          <w:sz w:val="24"/>
          <w:highlight w:val="none"/>
          <w14:textFill>
            <w14:solidFill>
              <w14:schemeClr w14:val="tx1"/>
            </w14:solidFill>
          </w14:textFill>
        </w:rPr>
        <w:t>商务技术</w:t>
      </w:r>
      <w:r>
        <w:rPr>
          <w:rFonts w:hint="eastAsia" w:ascii="仿宋" w:hAnsi="仿宋" w:eastAsia="仿宋" w:cs="仿宋_GB2312"/>
          <w:b/>
          <w:color w:val="000000" w:themeColor="text1"/>
          <w:sz w:val="24"/>
          <w:highlight w:val="none"/>
          <w:lang w:val="zh-CN"/>
          <w14:textFill>
            <w14:solidFill>
              <w14:schemeClr w14:val="tx1"/>
            </w14:solidFill>
          </w14:textFill>
        </w:rPr>
        <w:t>文件：</w:t>
      </w:r>
    </w:p>
    <w:p w14:paraId="540DA7A5">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11.2.1投标函；</w:t>
      </w:r>
    </w:p>
    <w:p w14:paraId="43D21DD3">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11.2.2授权委托书或法定代表人（单位负责人、自然人本人）身份证明；</w:t>
      </w:r>
    </w:p>
    <w:p w14:paraId="36FC7297">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11.2.</w:t>
      </w:r>
      <w:r>
        <w:rPr>
          <w:rFonts w:hint="eastAsia" w:ascii="仿宋" w:hAnsi="仿宋" w:eastAsia="仿宋" w:cs="仿宋_GB2312"/>
          <w:color w:val="000000" w:themeColor="text1"/>
          <w:sz w:val="24"/>
          <w:highlight w:val="none"/>
          <w14:textFill>
            <w14:solidFill>
              <w14:schemeClr w14:val="tx1"/>
            </w14:solidFill>
          </w14:textFill>
        </w:rPr>
        <w:t>3</w:t>
      </w:r>
      <w:r>
        <w:rPr>
          <w:rFonts w:ascii="仿宋" w:hAnsi="仿宋" w:eastAsia="仿宋" w:cs="仿宋_GB2312"/>
          <w:color w:val="000000" w:themeColor="text1"/>
          <w:sz w:val="24"/>
          <w:highlight w:val="none"/>
          <w14:textFill>
            <w14:solidFill>
              <w14:schemeClr w14:val="tx1"/>
            </w14:solidFill>
          </w14:textFill>
        </w:rPr>
        <w:t>分包意向协议（如果有）；</w:t>
      </w:r>
    </w:p>
    <w:p w14:paraId="5A108FE8">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11.2.</w:t>
      </w:r>
      <w:r>
        <w:rPr>
          <w:rFonts w:hint="eastAsia" w:ascii="仿宋" w:hAnsi="仿宋" w:eastAsia="仿宋" w:cs="仿宋_GB2312"/>
          <w:color w:val="000000" w:themeColor="text1"/>
          <w:sz w:val="24"/>
          <w:highlight w:val="none"/>
          <w14:textFill>
            <w14:solidFill>
              <w14:schemeClr w14:val="tx1"/>
            </w14:solidFill>
          </w14:textFill>
        </w:rPr>
        <w:t>4</w:t>
      </w:r>
      <w:r>
        <w:rPr>
          <w:rFonts w:ascii="仿宋" w:hAnsi="仿宋" w:eastAsia="仿宋" w:cs="仿宋_GB2312"/>
          <w:color w:val="000000" w:themeColor="text1"/>
          <w:sz w:val="24"/>
          <w:highlight w:val="none"/>
          <w14:textFill>
            <w14:solidFill>
              <w14:schemeClr w14:val="tx1"/>
            </w14:solidFill>
          </w14:textFill>
        </w:rPr>
        <w:t>符合性审查资料；</w:t>
      </w:r>
    </w:p>
    <w:p w14:paraId="1C521FB3">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11.2.</w:t>
      </w:r>
      <w:r>
        <w:rPr>
          <w:rFonts w:hint="eastAsia" w:ascii="仿宋" w:hAnsi="仿宋" w:eastAsia="仿宋" w:cs="仿宋_GB2312"/>
          <w:color w:val="000000" w:themeColor="text1"/>
          <w:sz w:val="24"/>
          <w:highlight w:val="none"/>
          <w14:textFill>
            <w14:solidFill>
              <w14:schemeClr w14:val="tx1"/>
            </w14:solidFill>
          </w14:textFill>
        </w:rPr>
        <w:t>5</w:t>
      </w:r>
      <w:r>
        <w:rPr>
          <w:rFonts w:ascii="仿宋" w:hAnsi="仿宋" w:eastAsia="仿宋" w:cs="仿宋_GB2312"/>
          <w:color w:val="000000" w:themeColor="text1"/>
          <w:sz w:val="24"/>
          <w:highlight w:val="none"/>
          <w14:textFill>
            <w14:solidFill>
              <w14:schemeClr w14:val="tx1"/>
            </w14:solidFill>
          </w14:textFill>
        </w:rPr>
        <w:t>评标标准相应的商务技术资料；</w:t>
      </w:r>
    </w:p>
    <w:p w14:paraId="46258EC4">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11.2.</w:t>
      </w:r>
      <w:r>
        <w:rPr>
          <w:rFonts w:ascii="仿宋" w:hAnsi="仿宋" w:eastAsia="仿宋" w:cs="仿宋_GB2312"/>
          <w:color w:val="000000" w:themeColor="text1"/>
          <w:sz w:val="24"/>
          <w:highlight w:val="none"/>
          <w14:textFill>
            <w14:solidFill>
              <w14:schemeClr w14:val="tx1"/>
            </w14:solidFill>
          </w14:textFill>
        </w:rPr>
        <w:t>6</w:t>
      </w:r>
      <w:r>
        <w:rPr>
          <w:rFonts w:hint="eastAsia" w:ascii="仿宋" w:hAnsi="仿宋" w:eastAsia="仿宋" w:cs="仿宋_GB2312"/>
          <w:color w:val="000000" w:themeColor="text1"/>
          <w:sz w:val="24"/>
          <w:highlight w:val="none"/>
          <w14:textFill>
            <w14:solidFill>
              <w14:schemeClr w14:val="tx1"/>
            </w14:solidFill>
          </w14:textFill>
        </w:rPr>
        <w:t>投标标的清单（如果有）；</w:t>
      </w:r>
    </w:p>
    <w:p w14:paraId="4903048A">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11.2.</w:t>
      </w:r>
      <w:r>
        <w:rPr>
          <w:rFonts w:hint="eastAsia" w:ascii="仿宋" w:hAnsi="仿宋" w:eastAsia="仿宋" w:cs="仿宋_GB2312"/>
          <w:color w:val="000000" w:themeColor="text1"/>
          <w:sz w:val="24"/>
          <w:highlight w:val="none"/>
          <w14:textFill>
            <w14:solidFill>
              <w14:schemeClr w14:val="tx1"/>
            </w14:solidFill>
          </w14:textFill>
        </w:rPr>
        <w:t>7</w:t>
      </w:r>
      <w:r>
        <w:rPr>
          <w:rFonts w:ascii="仿宋" w:hAnsi="仿宋" w:eastAsia="仿宋" w:cs="仿宋_GB2312"/>
          <w:color w:val="000000" w:themeColor="text1"/>
          <w:sz w:val="24"/>
          <w:highlight w:val="none"/>
          <w14:textFill>
            <w14:solidFill>
              <w14:schemeClr w14:val="tx1"/>
            </w14:solidFill>
          </w14:textFill>
        </w:rPr>
        <w:t>商务技术偏离表；</w:t>
      </w:r>
    </w:p>
    <w:p w14:paraId="1EBB6A56">
      <w:pPr>
        <w:snapToGrid w:val="0"/>
        <w:spacing w:line="360" w:lineRule="auto"/>
        <w:ind w:firstLine="960" w:firstLineChars="400"/>
        <w:rPr>
          <w:rFonts w:hint="eastAsia" w:ascii="仿宋" w:hAnsi="仿宋" w:eastAsia="仿宋" w:cs="仿宋_GB2312"/>
          <w:color w:val="000000" w:themeColor="text1"/>
          <w:sz w:val="24"/>
          <w:highlight w:val="none"/>
          <w:lang w:val="zh-CN"/>
          <w14:textFill>
            <w14:solidFill>
              <w14:schemeClr w14:val="tx1"/>
            </w14:solidFill>
          </w14:textFill>
        </w:rPr>
      </w:pPr>
      <w:r>
        <w:rPr>
          <w:rFonts w:ascii="仿宋" w:hAnsi="仿宋" w:eastAsia="仿宋" w:cs="仿宋_GB2312"/>
          <w:color w:val="000000" w:themeColor="text1"/>
          <w:sz w:val="24"/>
          <w:highlight w:val="none"/>
          <w:lang w:val="zh-CN"/>
          <w14:textFill>
            <w14:solidFill>
              <w14:schemeClr w14:val="tx1"/>
            </w14:solidFill>
          </w14:textFill>
        </w:rPr>
        <w:t>11.</w:t>
      </w:r>
      <w:r>
        <w:rPr>
          <w:rFonts w:ascii="仿宋" w:hAnsi="仿宋" w:eastAsia="仿宋" w:cs="仿宋_GB2312"/>
          <w:color w:val="000000" w:themeColor="text1"/>
          <w:sz w:val="24"/>
          <w:highlight w:val="none"/>
          <w14:textFill>
            <w14:solidFill>
              <w14:schemeClr w14:val="tx1"/>
            </w14:solidFill>
          </w14:textFill>
        </w:rPr>
        <w:t>2</w:t>
      </w:r>
      <w:r>
        <w:rPr>
          <w:rFonts w:ascii="仿宋" w:hAnsi="仿宋" w:eastAsia="仿宋" w:cs="仿宋_GB2312"/>
          <w:color w:val="000000" w:themeColor="text1"/>
          <w:sz w:val="24"/>
          <w:highlight w:val="none"/>
          <w:lang w:val="zh-CN"/>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8</w:t>
      </w:r>
      <w:r>
        <w:rPr>
          <w:rFonts w:hint="eastAsia" w:ascii="仿宋" w:hAnsi="仿宋" w:eastAsia="仿宋" w:cs="仿宋_GB2312"/>
          <w:color w:val="000000" w:themeColor="text1"/>
          <w:sz w:val="24"/>
          <w:highlight w:val="none"/>
          <w:lang w:val="zh-CN"/>
          <w14:textFill>
            <w14:solidFill>
              <w14:schemeClr w14:val="tx1"/>
            </w14:solidFill>
          </w14:textFill>
        </w:rPr>
        <w:t>政府采购供应商廉洁自律承诺书；</w:t>
      </w:r>
    </w:p>
    <w:p w14:paraId="20124DA5">
      <w:pPr>
        <w:snapToGrid w:val="0"/>
        <w:spacing w:line="360" w:lineRule="auto"/>
        <w:ind w:firstLine="482" w:firstLineChars="200"/>
        <w:rPr>
          <w:rFonts w:ascii="仿宋" w:hAnsi="仿宋" w:eastAsia="仿宋" w:cs="仿宋_GB2312"/>
          <w:b/>
          <w:color w:val="000000" w:themeColor="text1"/>
          <w:sz w:val="24"/>
          <w:highlight w:val="none"/>
          <w:u w:val="single"/>
          <w:lang w:val="zh-CN"/>
          <w14:textFill>
            <w14:solidFill>
              <w14:schemeClr w14:val="tx1"/>
            </w14:solidFill>
          </w14:textFill>
        </w:rPr>
      </w:pPr>
      <w:r>
        <w:rPr>
          <w:rFonts w:ascii="仿宋" w:hAnsi="仿宋" w:eastAsia="仿宋" w:cs="仿宋_GB2312"/>
          <w:b/>
          <w:color w:val="000000" w:themeColor="text1"/>
          <w:kern w:val="0"/>
          <w:sz w:val="24"/>
          <w:highlight w:val="none"/>
          <w:lang w:val="zh-CN"/>
          <w14:textFill>
            <w14:solidFill>
              <w14:schemeClr w14:val="tx1"/>
            </w14:solidFill>
          </w14:textFill>
        </w:rPr>
        <w:t>11.</w:t>
      </w:r>
      <w:r>
        <w:rPr>
          <w:rFonts w:ascii="仿宋" w:hAnsi="仿宋" w:eastAsia="仿宋" w:cs="仿宋_GB2312"/>
          <w:b/>
          <w:color w:val="000000" w:themeColor="text1"/>
          <w:kern w:val="0"/>
          <w:sz w:val="24"/>
          <w:highlight w:val="none"/>
          <w14:textFill>
            <w14:solidFill>
              <w14:schemeClr w14:val="tx1"/>
            </w14:solidFill>
          </w14:textFill>
        </w:rPr>
        <w:t>3</w:t>
      </w:r>
      <w:r>
        <w:rPr>
          <w:rFonts w:hint="eastAsia" w:ascii="仿宋" w:hAnsi="仿宋" w:eastAsia="仿宋" w:cs="仿宋_GB2312"/>
          <w:b/>
          <w:color w:val="000000" w:themeColor="text1"/>
          <w:sz w:val="24"/>
          <w:highlight w:val="none"/>
          <w14:textFill>
            <w14:solidFill>
              <w14:schemeClr w14:val="tx1"/>
            </w14:solidFill>
          </w14:textFill>
        </w:rPr>
        <w:t>报价文件：</w:t>
      </w:r>
    </w:p>
    <w:p w14:paraId="75E26BA9">
      <w:pPr>
        <w:snapToGrid w:val="0"/>
        <w:spacing w:line="360" w:lineRule="auto"/>
        <w:ind w:firstLine="960" w:firstLineChars="4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11.3.1</w:t>
      </w:r>
      <w:r>
        <w:rPr>
          <w:rFonts w:hint="eastAsia" w:ascii="仿宋" w:hAnsi="仿宋" w:eastAsia="仿宋" w:cs="仿宋_GB2312"/>
          <w:color w:val="000000" w:themeColor="text1"/>
          <w:sz w:val="24"/>
          <w:highlight w:val="none"/>
          <w:lang w:val="zh-CN"/>
          <w14:textFill>
            <w14:solidFill>
              <w14:schemeClr w14:val="tx1"/>
            </w14:solidFill>
          </w14:textFill>
        </w:rPr>
        <w:t>投标</w:t>
      </w:r>
      <w:r>
        <w:rPr>
          <w:rFonts w:ascii="仿宋" w:hAnsi="仿宋" w:eastAsia="仿宋" w:cs="仿宋_GB2312"/>
          <w:color w:val="000000" w:themeColor="text1"/>
          <w:sz w:val="24"/>
          <w:highlight w:val="none"/>
          <w:lang w:val="zh-CN"/>
          <w14:textFill>
            <w14:solidFill>
              <w14:schemeClr w14:val="tx1"/>
            </w14:solidFill>
          </w14:textFill>
        </w:rPr>
        <w:t>(开标)一览表</w:t>
      </w:r>
      <w:r>
        <w:rPr>
          <w:rFonts w:ascii="仿宋" w:hAnsi="仿宋" w:eastAsia="仿宋" w:cs="仿宋_GB2312"/>
          <w:color w:val="000000" w:themeColor="text1"/>
          <w:sz w:val="24"/>
          <w:highlight w:val="none"/>
          <w14:textFill>
            <w14:solidFill>
              <w14:schemeClr w14:val="tx1"/>
            </w14:solidFill>
          </w14:textFill>
        </w:rPr>
        <w:t>；</w:t>
      </w:r>
    </w:p>
    <w:p w14:paraId="1E7ADC70">
      <w:pPr>
        <w:snapToGrid w:val="0"/>
        <w:spacing w:line="360" w:lineRule="auto"/>
        <w:ind w:firstLine="960" w:firstLineChars="400"/>
        <w:rPr>
          <w:rFonts w:hint="eastAsia" w:ascii="仿宋" w:hAnsi="仿宋" w:eastAsia="仿宋" w:cs="仿宋_GB2312"/>
          <w:color w:val="000000" w:themeColor="text1"/>
          <w:sz w:val="24"/>
          <w:highlight w:val="none"/>
          <w:lang w:eastAsia="zh-CN"/>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11.3.2中小企业声明函</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_GB2312"/>
          <w:color w:val="000000" w:themeColor="text1"/>
          <w:sz w:val="24"/>
          <w:highlight w:val="none"/>
          <w:lang w:val="zh-CN"/>
          <w14:textFill>
            <w14:solidFill>
              <w14:schemeClr w14:val="tx1"/>
            </w14:solidFill>
          </w14:textFill>
        </w:rPr>
        <w:t>（如果有）</w:t>
      </w:r>
    </w:p>
    <w:p w14:paraId="45FF4D42">
      <w:pPr>
        <w:spacing w:line="360" w:lineRule="auto"/>
        <w:ind w:firstLine="723" w:firstLineChars="3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响应文件含有征集人不能接受的附加条件的，投标无效；</w:t>
      </w:r>
    </w:p>
    <w:p w14:paraId="2C5F784E">
      <w:pPr>
        <w:spacing w:line="360" w:lineRule="auto"/>
        <w:ind w:firstLine="723" w:firstLineChars="300"/>
        <w:rPr>
          <w:rFonts w:ascii="仿宋" w:hAnsi="仿宋" w:eastAsia="仿宋" w:cs="仿宋_GB2312"/>
          <w:b/>
          <w:color w:val="000000" w:themeColor="text1"/>
          <w:sz w:val="24"/>
          <w:szCs w:val="21"/>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供应商提供虚假材料投标的，投标无效。</w:t>
      </w:r>
    </w:p>
    <w:p w14:paraId="41D8DC93">
      <w:pPr>
        <w:pStyle w:val="97"/>
        <w:snapToGrid w:val="0"/>
        <w:spacing w:before="0"/>
        <w:ind w:firstLine="0" w:firstLineChars="0"/>
        <w:outlineLvl w:val="0"/>
        <w:rPr>
          <w:rFonts w:ascii="仿宋" w:hAnsi="仿宋" w:eastAsia="仿宋" w:cs="仿宋_GB2312"/>
          <w:b/>
          <w:color w:val="000000" w:themeColor="text1"/>
          <w:szCs w:val="24"/>
          <w:highlight w:val="none"/>
          <w14:textFill>
            <w14:solidFill>
              <w14:schemeClr w14:val="tx1"/>
            </w14:solidFill>
          </w14:textFill>
        </w:rPr>
      </w:pPr>
      <w:bookmarkStart w:id="33" w:name="_Toc91899887"/>
      <w:r>
        <w:rPr>
          <w:rFonts w:hint="eastAsia" w:ascii="仿宋" w:hAnsi="仿宋" w:eastAsia="仿宋" w:cs="仿宋_GB2312"/>
          <w:b/>
          <w:color w:val="000000" w:themeColor="text1"/>
          <w:szCs w:val="24"/>
          <w:highlight w:val="none"/>
          <w14:textFill>
            <w14:solidFill>
              <w14:schemeClr w14:val="tx1"/>
            </w14:solidFill>
          </w14:textFill>
        </w:rPr>
        <w:t>12</w:t>
      </w:r>
      <w:r>
        <w:rPr>
          <w:rFonts w:hint="eastAsia" w:ascii="仿宋" w:hAnsi="仿宋" w:eastAsia="仿宋" w:cs="仿宋_GB2312"/>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_GB2312"/>
          <w:b/>
          <w:color w:val="000000" w:themeColor="text1"/>
          <w:szCs w:val="24"/>
          <w:highlight w:val="none"/>
          <w14:textFill>
            <w14:solidFill>
              <w14:schemeClr w14:val="tx1"/>
            </w14:solidFill>
          </w14:textFill>
        </w:rPr>
        <w:t>响应文件的编制</w:t>
      </w:r>
    </w:p>
    <w:p w14:paraId="1E2A2698">
      <w:pPr>
        <w:spacing w:line="360" w:lineRule="auto"/>
        <w:ind w:firstLine="480" w:firstLineChars="200"/>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12.1响应文件分为资格文件、商务技术文件、报价文件三部分。各供应商在编制响应文件时请按照征集文件第六部分规定的格式进行，混乱的编排导致响应文件被误读或评标委员会查找不到有效文件是供应商的风险。</w:t>
      </w:r>
    </w:p>
    <w:p w14:paraId="51EF65ED">
      <w:pPr>
        <w:spacing w:line="360" w:lineRule="auto"/>
        <w:ind w:firstLine="480" w:firstLineChars="200"/>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12.2供应商进行电子投标应安装客户端软件</w:t>
      </w:r>
      <w:r>
        <w:rPr>
          <w:rFonts w:ascii="仿宋" w:hAnsi="仿宋" w:eastAsia="仿宋" w:cs="仿宋_GB2312"/>
          <w:color w:val="000000" w:themeColor="text1"/>
          <w:kern w:val="0"/>
          <w:sz w:val="24"/>
          <w:highlight w:val="none"/>
          <w:lang w:val="zh-CN"/>
          <w14:textFill>
            <w14:solidFill>
              <w14:schemeClr w14:val="tx1"/>
            </w14:solidFill>
          </w14:textFill>
        </w:rPr>
        <w:t>—</w:t>
      </w:r>
      <w:r>
        <w:rPr>
          <w:rFonts w:hint="eastAsia" w:ascii="仿宋" w:hAnsi="仿宋" w:eastAsia="仿宋" w:cs="仿宋_GB2312"/>
          <w:color w:val="000000" w:themeColor="text1"/>
          <w:kern w:val="0"/>
          <w:sz w:val="24"/>
          <w:highlight w:val="none"/>
          <w:lang w:val="zh-CN"/>
          <w14:textFill>
            <w14:solidFill>
              <w14:schemeClr w14:val="tx1"/>
            </w14:solidFill>
          </w14:textFill>
        </w:rPr>
        <w:t>“政采云电子交易客户端”，并按照征集文件和电子交易平台的要求编制并加密响应文件。供应商未按规定加密的响应文件，电子交易平台将拒收并提示。</w:t>
      </w:r>
    </w:p>
    <w:p w14:paraId="25779E21">
      <w:pPr>
        <w:spacing w:line="360" w:lineRule="auto"/>
        <w:ind w:firstLine="480" w:firstLineChars="200"/>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3"/>
    <w:p w14:paraId="6F8C2CE8">
      <w:pPr>
        <w:snapToGrid w:val="0"/>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13.响应文件的签署、盖章</w:t>
      </w:r>
    </w:p>
    <w:p w14:paraId="1B29BD68">
      <w:pPr>
        <w:pStyle w:val="97"/>
        <w:snapToGrid w:val="0"/>
        <w:spacing w:before="0"/>
        <w:ind w:firstLine="480"/>
        <w:rPr>
          <w:rFonts w:ascii="仿宋" w:hAnsi="仿宋" w:eastAsia="仿宋" w:cs="仿宋_GB2312"/>
          <w:b/>
          <w:color w:val="000000" w:themeColor="text1"/>
          <w:highlight w:val="none"/>
          <w14:textFill>
            <w14:solidFill>
              <w14:schemeClr w14:val="tx1"/>
            </w14:solidFill>
          </w14:textFill>
        </w:rPr>
      </w:pPr>
      <w:r>
        <w:rPr>
          <w:rFonts w:hint="eastAsia" w:ascii="仿宋" w:hAnsi="仿宋" w:eastAsia="仿宋" w:cs="仿宋_GB2312"/>
          <w:color w:val="000000" w:themeColor="text1"/>
          <w:szCs w:val="24"/>
          <w:highlight w:val="none"/>
          <w14:textFill>
            <w14:solidFill>
              <w14:schemeClr w14:val="tx1"/>
            </w14:solidFill>
          </w14:textFill>
        </w:rPr>
        <w:t>13.1响应文件按照征集文件第六部分格式要</w:t>
      </w:r>
      <w:r>
        <w:rPr>
          <w:rFonts w:hint="eastAsia" w:ascii="仿宋" w:hAnsi="仿宋" w:eastAsia="仿宋" w:cs="仿宋_GB2312"/>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w:t>
      </w:r>
      <w:r>
        <w:rPr>
          <w:rFonts w:hint="eastAsia" w:ascii="仿宋" w:hAnsi="仿宋" w:eastAsia="仿宋" w:cs="仿宋_GB2312"/>
          <w:b/>
          <w:color w:val="000000" w:themeColor="text1"/>
          <w:highlight w:val="none"/>
          <w14:textFill>
            <w14:solidFill>
              <w14:schemeClr w14:val="tx1"/>
            </w14:solidFill>
          </w14:textFill>
        </w:rPr>
        <w:t>供应商的响应文件未按照征集文件要求签署、盖章的，其投标无效</w:t>
      </w:r>
      <w:r>
        <w:rPr>
          <w:rFonts w:hint="eastAsia" w:ascii="仿宋" w:hAnsi="仿宋" w:eastAsia="仿宋" w:cs="仿宋_GB2312"/>
          <w:color w:val="000000" w:themeColor="text1"/>
          <w:szCs w:val="24"/>
          <w:highlight w:val="none"/>
          <w14:textFill>
            <w14:solidFill>
              <w14:schemeClr w14:val="tx1"/>
            </w14:solidFill>
          </w14:textFill>
        </w:rPr>
        <w:t>。</w:t>
      </w:r>
    </w:p>
    <w:p w14:paraId="235ECBD1">
      <w:pPr>
        <w:pStyle w:val="97"/>
        <w:snapToGrid w:val="0"/>
        <w:spacing w:before="0"/>
        <w:ind w:firstLine="480"/>
        <w:rPr>
          <w:rFonts w:ascii="仿宋" w:hAnsi="仿宋" w:eastAsia="仿宋" w:cs="仿宋_GB2312"/>
          <w:b/>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3F6A9D18">
      <w:pPr>
        <w:pStyle w:val="97"/>
        <w:snapToGrid w:val="0"/>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13.3征集文件对响应文件签署、盖章的要求适用于电子签名。</w:t>
      </w:r>
    </w:p>
    <w:p w14:paraId="151E8214">
      <w:pPr>
        <w:pStyle w:val="97"/>
        <w:spacing w:before="0"/>
        <w:ind w:firstLine="0" w:firstLineChars="0"/>
        <w:rPr>
          <w:rFonts w:ascii="仿宋" w:hAnsi="仿宋" w:eastAsia="仿宋" w:cs="仿宋_GB2312"/>
          <w:b/>
          <w:color w:val="000000" w:themeColor="text1"/>
          <w:szCs w:val="24"/>
          <w:highlight w:val="none"/>
          <w14:textFill>
            <w14:solidFill>
              <w14:schemeClr w14:val="tx1"/>
            </w14:solidFill>
          </w14:textFill>
        </w:rPr>
      </w:pPr>
      <w:r>
        <w:rPr>
          <w:rFonts w:hint="eastAsia" w:ascii="仿宋" w:hAnsi="仿宋" w:eastAsia="仿宋" w:cs="仿宋_GB2312"/>
          <w:b/>
          <w:color w:val="000000" w:themeColor="text1"/>
          <w:szCs w:val="24"/>
          <w:highlight w:val="none"/>
          <w14:textFill>
            <w14:solidFill>
              <w14:schemeClr w14:val="tx1"/>
            </w14:solidFill>
          </w14:textFill>
        </w:rPr>
        <w:t>14. 响应文件的提交、补充、修改、撤回</w:t>
      </w:r>
    </w:p>
    <w:p w14:paraId="6EA49CBE">
      <w:pPr>
        <w:pStyle w:val="97"/>
        <w:ind w:firstLine="480"/>
        <w:rPr>
          <w:rFonts w:ascii="仿宋" w:hAnsi="仿宋" w:eastAsia="仿宋" w:cs="仿宋_GB2312"/>
          <w:color w:val="000000" w:themeColor="text1"/>
          <w:szCs w:val="24"/>
          <w:highlight w:val="none"/>
          <w14:textFill>
            <w14:solidFill>
              <w14:schemeClr w14:val="tx1"/>
            </w14:solidFill>
          </w14:textFill>
        </w:rPr>
      </w:pPr>
      <w:r>
        <w:rPr>
          <w:rFonts w:hint="eastAsia" w:ascii="仿宋" w:hAnsi="仿宋" w:eastAsia="仿宋" w:cs="仿宋_GB2312"/>
          <w:color w:val="000000" w:themeColor="text1"/>
          <w:szCs w:val="24"/>
          <w:highlight w:val="none"/>
          <w14:textFill>
            <w14:solidFill>
              <w14:schemeClr w14:val="tx1"/>
            </w14:solidFill>
          </w14:textFill>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54A92474">
      <w:pPr>
        <w:pStyle w:val="97"/>
        <w:spacing w:before="0"/>
        <w:ind w:firstLine="480"/>
        <w:rPr>
          <w:rFonts w:ascii="仿宋" w:hAnsi="仿宋" w:eastAsia="仿宋" w:cs="仿宋_GB2312"/>
          <w:color w:val="000000" w:themeColor="text1"/>
          <w:szCs w:val="24"/>
          <w:highlight w:val="none"/>
          <w14:textFill>
            <w14:solidFill>
              <w14:schemeClr w14:val="tx1"/>
            </w14:solidFill>
          </w14:textFill>
        </w:rPr>
      </w:pPr>
      <w:r>
        <w:rPr>
          <w:rFonts w:hint="eastAsia" w:ascii="仿宋" w:hAnsi="仿宋" w:eastAsia="仿宋" w:cs="仿宋_GB2312"/>
          <w:color w:val="000000" w:themeColor="text1"/>
          <w:szCs w:val="24"/>
          <w:highlight w:val="none"/>
          <w14:textFill>
            <w14:solidFill>
              <w14:schemeClr w14:val="tx1"/>
            </w14:solidFill>
          </w14:textFill>
        </w:rPr>
        <w:t>14.2电子交易平台收到响应文件，将妥善保存并即时向供应商发出确认回执通知。在投标截止时间前，除供应商补充、修改或者撤回响应文件外，任何单位和个人不得解密或提取响应文件。</w:t>
      </w:r>
    </w:p>
    <w:p w14:paraId="40DF87EC">
      <w:pPr>
        <w:pStyle w:val="97"/>
        <w:spacing w:before="0"/>
        <w:ind w:firstLine="480"/>
        <w:rPr>
          <w:rFonts w:ascii="仿宋" w:hAnsi="仿宋" w:eastAsia="仿宋" w:cs="仿宋_GB2312"/>
          <w:color w:val="000000" w:themeColor="text1"/>
          <w:szCs w:val="24"/>
          <w:highlight w:val="none"/>
          <w14:textFill>
            <w14:solidFill>
              <w14:schemeClr w14:val="tx1"/>
            </w14:solidFill>
          </w14:textFill>
        </w:rPr>
      </w:pPr>
      <w:r>
        <w:rPr>
          <w:rFonts w:hint="eastAsia" w:ascii="仿宋" w:hAnsi="仿宋" w:eastAsia="仿宋" w:cs="仿宋_GB2312"/>
          <w:color w:val="000000" w:themeColor="text1"/>
          <w:szCs w:val="24"/>
          <w:highlight w:val="none"/>
          <w14:textFill>
            <w14:solidFill>
              <w14:schemeClr w14:val="tx1"/>
            </w14:solidFill>
          </w14:textFill>
        </w:rPr>
        <w:t>14.3采购代理机构可以视情况延长响应文件提交的截止时间。在上述情况下，采购代理机构与供应商以前在投标截止期方面的全部权利、责任和义务，将适用于延长至新的投标截止期。</w:t>
      </w:r>
    </w:p>
    <w:p w14:paraId="654D958A">
      <w:pPr>
        <w:pStyle w:val="28"/>
        <w:spacing w:line="360" w:lineRule="auto"/>
        <w:rPr>
          <w:rFonts w:ascii="仿宋" w:hAnsi="仿宋" w:eastAsia="仿宋" w:cs="仿宋_GB2312"/>
          <w:b/>
          <w:color w:val="000000" w:themeColor="text1"/>
          <w:sz w:val="24"/>
          <w:szCs w:val="24"/>
          <w:highlight w:val="none"/>
          <w14:textFill>
            <w14:solidFill>
              <w14:schemeClr w14:val="tx1"/>
            </w14:solidFill>
          </w14:textFill>
        </w:rPr>
      </w:pPr>
      <w:r>
        <w:rPr>
          <w:rFonts w:hint="eastAsia" w:ascii="仿宋" w:hAnsi="仿宋" w:eastAsia="仿宋" w:cs="仿宋_GB2312"/>
          <w:b/>
          <w:color w:val="000000" w:themeColor="text1"/>
          <w:sz w:val="24"/>
          <w:szCs w:val="24"/>
          <w:highlight w:val="none"/>
          <w14:textFill>
            <w14:solidFill>
              <w14:schemeClr w14:val="tx1"/>
            </w14:solidFill>
          </w14:textFill>
        </w:rPr>
        <w:t>15.备份响应文件</w:t>
      </w:r>
    </w:p>
    <w:p w14:paraId="47B1F13A">
      <w:pPr>
        <w:pStyle w:val="28"/>
        <w:spacing w:line="360" w:lineRule="auto"/>
        <w:ind w:firstLine="480" w:firstLineChars="200"/>
        <w:rPr>
          <w:rFonts w:ascii="仿宋" w:hAnsi="仿宋" w:eastAsia="仿宋" w:cs="仿宋_GB2312"/>
          <w:b/>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 xml:space="preserve"> 15.1供应商在电子交易平台传输递交响应文件后，还可以在投标截止时间前直接提交或者以邮政快递方式递交备份响应文件1份，</w:t>
      </w:r>
      <w:r>
        <w:rPr>
          <w:rFonts w:hint="eastAsia" w:ascii="仿宋" w:hAnsi="仿宋" w:eastAsia="仿宋" w:cs="仿宋_GB2312"/>
          <w:b/>
          <w:color w:val="000000" w:themeColor="text1"/>
          <w:sz w:val="24"/>
          <w:szCs w:val="24"/>
          <w:highlight w:val="none"/>
          <w14:textFill>
            <w14:solidFill>
              <w14:schemeClr w14:val="tx1"/>
            </w14:solidFill>
          </w14:textFill>
        </w:rPr>
        <w:t>但征集人、采购代理机构不强制或变相强制供应商提交备份响应文件。</w:t>
      </w:r>
    </w:p>
    <w:p w14:paraId="06C93822">
      <w:pPr>
        <w:pStyle w:val="28"/>
        <w:spacing w:line="360" w:lineRule="auto"/>
        <w:ind w:firstLine="480" w:firstLineChars="200"/>
        <w:rPr>
          <w:rFonts w:ascii="仿宋" w:hAnsi="仿宋" w:eastAsia="仿宋" w:cs="仿宋_GB2312"/>
          <w:b/>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15.2备份响应文件须在“政采云投标客户端”制作生成，并储存在U</w:t>
      </w:r>
      <w:r>
        <w:rPr>
          <w:rFonts w:hint="eastAsia" w:ascii="仿宋" w:hAnsi="仿宋" w:eastAsia="仿宋"/>
          <w:color w:val="000000" w:themeColor="text1"/>
          <w:sz w:val="24"/>
          <w:highlight w:val="none"/>
          <w14:textFill>
            <w14:solidFill>
              <w14:schemeClr w14:val="tx1"/>
            </w14:solidFill>
          </w14:textFill>
        </w:rPr>
        <w:t>盘</w:t>
      </w:r>
      <w:r>
        <w:rPr>
          <w:rFonts w:hint="eastAsia" w:ascii="仿宋" w:hAnsi="仿宋" w:eastAsia="仿宋" w:cs="仿宋_GB2312"/>
          <w:color w:val="000000" w:themeColor="text1"/>
          <w:sz w:val="24"/>
          <w:szCs w:val="24"/>
          <w:highlight w:val="none"/>
          <w14:textFill>
            <w14:solidFill>
              <w14:schemeClr w14:val="tx1"/>
            </w14:solidFill>
          </w14:textFill>
        </w:rPr>
        <w:t>中。备份响应文件应当密封包装并在包装上加盖公章并注明投标项目名称，供应商名称(联合体投标的，包装物封面需注明联合体投标，并注明联合体成员各方的名称和联合体协议中约定的牵头人的名称)</w:t>
      </w:r>
      <w:r>
        <w:rPr>
          <w:rFonts w:hint="eastAsia" w:ascii="仿宋" w:hAnsi="仿宋" w:eastAsia="仿宋"/>
          <w:b/>
          <w:color w:val="000000" w:themeColor="text1"/>
          <w:sz w:val="24"/>
          <w:highlight w:val="none"/>
          <w14:textFill>
            <w14:solidFill>
              <w14:schemeClr w14:val="tx1"/>
            </w14:solidFill>
          </w14:textFill>
        </w:rPr>
        <w:t>▲不符合上述制作、</w:t>
      </w:r>
      <w:r>
        <w:rPr>
          <w:rFonts w:hint="eastAsia" w:ascii="仿宋" w:hAnsi="仿宋" w:eastAsia="仿宋" w:cs="仿宋_GB2312"/>
          <w:b/>
          <w:color w:val="000000" w:themeColor="text1"/>
          <w:sz w:val="24"/>
          <w:szCs w:val="24"/>
          <w:highlight w:val="none"/>
          <w14:textFill>
            <w14:solidFill>
              <w14:schemeClr w14:val="tx1"/>
            </w14:solidFill>
          </w14:textFill>
        </w:rPr>
        <w:t>存储、密封规定的备份响应文件将被视为无效或者被拒绝接收。</w:t>
      </w:r>
    </w:p>
    <w:p w14:paraId="13793934">
      <w:pPr>
        <w:pStyle w:val="28"/>
        <w:spacing w:line="360" w:lineRule="auto"/>
        <w:ind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15.3直接提交备份响应文件的，供应商应于投标截止时间前在征集公告中载明的开标地点将备份响应文件提交给采购代理机构，</w:t>
      </w:r>
      <w:r>
        <w:rPr>
          <w:rFonts w:hint="eastAsia" w:ascii="仿宋" w:hAnsi="仿宋" w:eastAsia="仿宋" w:cs="仿宋_GB2312"/>
          <w:b/>
          <w:bCs/>
          <w:color w:val="000000" w:themeColor="text1"/>
          <w:sz w:val="24"/>
          <w:szCs w:val="24"/>
          <w:highlight w:val="none"/>
          <w14:textFill>
            <w14:solidFill>
              <w14:schemeClr w14:val="tx1"/>
            </w14:solidFill>
          </w14:textFill>
        </w:rPr>
        <w:t>采购代理机构将拒绝接受逾期送达的备份响应文件。</w:t>
      </w:r>
    </w:p>
    <w:p w14:paraId="3B7DE084">
      <w:pPr>
        <w:pStyle w:val="28"/>
        <w:spacing w:line="360" w:lineRule="auto"/>
        <w:ind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hint="eastAsia" w:ascii="仿宋" w:hAnsi="仿宋" w:eastAsia="仿宋" w:cs="仿宋_GB2312"/>
          <w:color w:val="000000" w:themeColor="text1"/>
          <w:sz w:val="24"/>
          <w:szCs w:val="24"/>
          <w:highlight w:val="none"/>
          <w14:textFill>
            <w14:solidFill>
              <w14:schemeClr w14:val="tx1"/>
            </w14:solidFill>
          </w14:textFill>
        </w:rPr>
        <w:t>15.4以邮政快递方式递交备份响应文件的，供应商应先将备份响应文件按要求密封和标记，再进行邮政快递包装后邮寄。备份响应文件须在投标截止时间前一天送达</w:t>
      </w:r>
      <w:r>
        <w:rPr>
          <w:rFonts w:hint="eastAsia" w:ascii="仿宋" w:hAnsi="仿宋" w:eastAsia="仿宋" w:cs="仿宋_GB2312"/>
          <w:color w:val="000000" w:themeColor="text1"/>
          <w:sz w:val="24"/>
          <w:highlight w:val="none"/>
          <w14:textFill>
            <w14:solidFill>
              <w14:schemeClr w14:val="tx1"/>
            </w14:solidFill>
          </w14:textFill>
        </w:rPr>
        <w:t>采购代理机构</w:t>
      </w:r>
      <w:r>
        <w:rPr>
          <w:rFonts w:hint="eastAsia" w:ascii="仿宋" w:hAnsi="仿宋" w:eastAsia="仿宋" w:cs="仿宋_GB2312"/>
          <w:color w:val="000000" w:themeColor="text1"/>
          <w:sz w:val="24"/>
          <w:szCs w:val="24"/>
          <w:highlight w:val="none"/>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7A3E7BF5">
      <w:pPr>
        <w:pStyle w:val="28"/>
        <w:spacing w:line="360" w:lineRule="auto"/>
        <w:ind w:firstLine="361" w:firstLineChars="150"/>
        <w:rPr>
          <w:rFonts w:ascii="仿宋" w:hAnsi="仿宋" w:eastAsia="仿宋" w:cs="仿宋_GB2312"/>
          <w:b/>
          <w:color w:val="000000" w:themeColor="text1"/>
          <w:sz w:val="24"/>
          <w:szCs w:val="24"/>
          <w:highlight w:val="none"/>
          <w14:textFill>
            <w14:solidFill>
              <w14:schemeClr w14:val="tx1"/>
            </w14:solidFill>
          </w14:textFill>
        </w:rPr>
      </w:pPr>
      <w:r>
        <w:rPr>
          <w:rFonts w:hint="eastAsia" w:ascii="仿宋" w:hAnsi="仿宋" w:eastAsia="仿宋" w:cs="仿宋_GB2312"/>
          <w:b/>
          <w:color w:val="000000" w:themeColor="text1"/>
          <w:sz w:val="24"/>
          <w:szCs w:val="24"/>
          <w:highlight w:val="none"/>
          <w14:textFill>
            <w14:solidFill>
              <w14:schemeClr w14:val="tx1"/>
            </w14:solidFill>
          </w14:textFill>
        </w:rPr>
        <w:t>15.5供应商仅提交备份响应文件，没有在电子交易平台传输递交响应文件的，投标无效。</w:t>
      </w:r>
    </w:p>
    <w:bookmarkEnd w:id="29"/>
    <w:bookmarkEnd w:id="30"/>
    <w:p w14:paraId="328BC0E1">
      <w:pPr>
        <w:pStyle w:val="97"/>
        <w:spacing w:before="0"/>
        <w:ind w:firstLine="0" w:firstLineChars="0"/>
        <w:rPr>
          <w:rFonts w:ascii="仿宋" w:hAnsi="仿宋" w:eastAsia="仿宋" w:cs="仿宋_GB2312"/>
          <w:b/>
          <w:color w:val="000000" w:themeColor="text1"/>
          <w:szCs w:val="24"/>
          <w:highlight w:val="none"/>
          <w14:textFill>
            <w14:solidFill>
              <w14:schemeClr w14:val="tx1"/>
            </w14:solidFill>
          </w14:textFill>
        </w:rPr>
      </w:pPr>
      <w:r>
        <w:rPr>
          <w:rFonts w:hint="eastAsia" w:ascii="仿宋" w:hAnsi="仿宋" w:eastAsia="仿宋" w:cs="仿宋_GB2312"/>
          <w:b/>
          <w:color w:val="000000" w:themeColor="text1"/>
          <w:szCs w:val="24"/>
          <w:highlight w:val="none"/>
          <w14:textFill>
            <w14:solidFill>
              <w14:schemeClr w14:val="tx1"/>
            </w14:solidFill>
          </w14:textFill>
        </w:rPr>
        <w:t>16.响应文件的无效处理</w:t>
      </w:r>
    </w:p>
    <w:p w14:paraId="095BC5A3">
      <w:pPr>
        <w:pStyle w:val="21"/>
        <w:spacing w:line="360" w:lineRule="auto"/>
        <w:ind w:firstLine="360" w:firstLineChars="150"/>
        <w:rPr>
          <w:rFonts w:ascii="仿宋" w:hAnsi="仿宋" w:eastAsia="仿宋" w:cs="仿宋_GB2312"/>
          <w:color w:val="000000" w:themeColor="text1"/>
          <w:szCs w:val="21"/>
          <w:highlight w:val="none"/>
          <w14:textFill>
            <w14:solidFill>
              <w14:schemeClr w14:val="tx1"/>
            </w14:solidFill>
          </w14:textFill>
        </w:rPr>
      </w:pPr>
      <w:r>
        <w:rPr>
          <w:rFonts w:hint="eastAsia" w:ascii="仿宋" w:hAnsi="仿宋" w:eastAsia="仿宋" w:cs="仿宋_GB2312"/>
          <w:color w:val="000000" w:themeColor="text1"/>
          <w:szCs w:val="21"/>
          <w:highlight w:val="none"/>
          <w14:textFill>
            <w14:solidFill>
              <w14:schemeClr w14:val="tx1"/>
            </w14:solidFill>
          </w14:textFill>
        </w:rPr>
        <w:t>有征集文件第四部分</w:t>
      </w:r>
      <w:r>
        <w:rPr>
          <w:rFonts w:hint="eastAsia" w:ascii="仿宋" w:hAnsi="仿宋" w:eastAsia="仿宋"/>
          <w:color w:val="000000" w:themeColor="text1"/>
          <w:highlight w:val="none"/>
          <w14:textFill>
            <w14:solidFill>
              <w14:schemeClr w14:val="tx1"/>
            </w14:solidFill>
          </w14:textFill>
        </w:rPr>
        <w:t>第4.2项规定</w:t>
      </w:r>
      <w:r>
        <w:rPr>
          <w:rFonts w:hint="eastAsia" w:ascii="仿宋" w:hAnsi="仿宋" w:eastAsia="仿宋" w:cs="仿宋_GB2312"/>
          <w:color w:val="000000" w:themeColor="text1"/>
          <w:szCs w:val="21"/>
          <w:highlight w:val="none"/>
          <w14:textFill>
            <w14:solidFill>
              <w14:schemeClr w14:val="tx1"/>
            </w14:solidFill>
          </w14:textFill>
        </w:rPr>
        <w:t>的情形之一的，投标无效：</w:t>
      </w:r>
    </w:p>
    <w:p w14:paraId="5E75348B">
      <w:pPr>
        <w:pStyle w:val="97"/>
        <w:spacing w:before="0"/>
        <w:ind w:firstLine="0" w:firstLineChars="0"/>
        <w:rPr>
          <w:rFonts w:ascii="仿宋" w:hAnsi="仿宋" w:eastAsia="仿宋" w:cs="仿宋_GB2312"/>
          <w:b/>
          <w:color w:val="000000" w:themeColor="text1"/>
          <w:szCs w:val="24"/>
          <w:highlight w:val="none"/>
          <w14:textFill>
            <w14:solidFill>
              <w14:schemeClr w14:val="tx1"/>
            </w14:solidFill>
          </w14:textFill>
        </w:rPr>
      </w:pPr>
      <w:r>
        <w:rPr>
          <w:rFonts w:hint="eastAsia" w:ascii="仿宋" w:hAnsi="仿宋" w:eastAsia="仿宋" w:cs="仿宋_GB2312"/>
          <w:b/>
          <w:color w:val="000000" w:themeColor="text1"/>
          <w:szCs w:val="24"/>
          <w:highlight w:val="none"/>
          <w14:textFill>
            <w14:solidFill>
              <w14:schemeClr w14:val="tx1"/>
            </w14:solidFill>
          </w14:textFill>
        </w:rPr>
        <w:t>17.投标有效期</w:t>
      </w:r>
    </w:p>
    <w:p w14:paraId="154264DF">
      <w:pPr>
        <w:spacing w:line="360" w:lineRule="auto"/>
        <w:ind w:firstLine="480" w:firstLineChars="200"/>
        <w:rPr>
          <w:rFonts w:ascii="仿宋" w:hAnsi="仿宋" w:eastAsia="仿宋" w:cs="仿宋_GB2312"/>
          <w:b/>
          <w:color w:val="000000" w:themeColor="text1"/>
          <w:sz w:val="24"/>
          <w:szCs w:val="21"/>
          <w:highlight w:val="none"/>
          <w14:textFill>
            <w14:solidFill>
              <w14:schemeClr w14:val="tx1"/>
            </w14:solidFill>
          </w14:textFill>
        </w:rPr>
      </w:pPr>
      <w:r>
        <w:rPr>
          <w:rFonts w:hint="eastAsia" w:ascii="仿宋" w:hAnsi="仿宋" w:eastAsia="仿宋" w:cs="仿宋_GB2312"/>
          <w:color w:val="000000" w:themeColor="text1"/>
          <w:sz w:val="24"/>
          <w:szCs w:val="20"/>
          <w:highlight w:val="none"/>
          <w14:textFill>
            <w14:solidFill>
              <w14:schemeClr w14:val="tx1"/>
            </w14:solidFill>
          </w14:textFill>
        </w:rPr>
        <w:t>17.1投标有效期为从提交响应文件的截止之日起</w:t>
      </w:r>
      <w:r>
        <w:rPr>
          <w:rFonts w:hint="eastAsia" w:ascii="仿宋" w:hAnsi="仿宋" w:eastAsia="仿宋"/>
          <w:color w:val="000000" w:themeColor="text1"/>
          <w:sz w:val="24"/>
          <w:highlight w:val="none"/>
          <w14:textFill>
            <w14:solidFill>
              <w14:schemeClr w14:val="tx1"/>
            </w14:solidFill>
          </w14:textFill>
        </w:rPr>
        <w:t>90</w:t>
      </w:r>
      <w:r>
        <w:rPr>
          <w:rFonts w:hint="eastAsia" w:ascii="仿宋" w:hAnsi="仿宋" w:eastAsia="仿宋" w:cs="仿宋_GB2312"/>
          <w:color w:val="000000" w:themeColor="text1"/>
          <w:sz w:val="24"/>
          <w:szCs w:val="20"/>
          <w:highlight w:val="none"/>
          <w14:textFill>
            <w14:solidFill>
              <w14:schemeClr w14:val="tx1"/>
            </w14:solidFill>
          </w14:textFill>
        </w:rPr>
        <w:t>天。▲</w:t>
      </w:r>
      <w:r>
        <w:rPr>
          <w:rFonts w:hint="eastAsia" w:ascii="仿宋" w:hAnsi="仿宋" w:eastAsia="仿宋" w:cs="仿宋_GB2312"/>
          <w:b/>
          <w:color w:val="000000" w:themeColor="text1"/>
          <w:sz w:val="24"/>
          <w:szCs w:val="20"/>
          <w:highlight w:val="none"/>
          <w14:textFill>
            <w14:solidFill>
              <w14:schemeClr w14:val="tx1"/>
            </w14:solidFill>
          </w14:textFill>
        </w:rPr>
        <w:t>供应商的响应文件中承</w:t>
      </w:r>
      <w:r>
        <w:rPr>
          <w:rFonts w:hint="eastAsia" w:ascii="仿宋" w:hAnsi="仿宋" w:eastAsia="仿宋" w:cs="仿宋_GB2312"/>
          <w:b/>
          <w:color w:val="000000" w:themeColor="text1"/>
          <w:sz w:val="24"/>
          <w:szCs w:val="21"/>
          <w:highlight w:val="none"/>
          <w14:textFill>
            <w14:solidFill>
              <w14:schemeClr w14:val="tx1"/>
            </w14:solidFill>
          </w14:textFill>
        </w:rPr>
        <w:t>诺的投标有效期少于征集文件中载明的投标有效期的，投标无效。</w:t>
      </w:r>
    </w:p>
    <w:p w14:paraId="1B2B0795">
      <w:pPr>
        <w:pStyle w:val="97"/>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17.2响应文件合格投递后，自投标截止日期起，在投标有效期内有效。</w:t>
      </w:r>
    </w:p>
    <w:p w14:paraId="2D4F5435">
      <w:pPr>
        <w:pStyle w:val="97"/>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17.3在原定投标有效期满之前，如果出现特殊情况，采购代理机构可以以书面形式通知供应商延长投标有效期。供应商同意延长的，不得要求或被允许修改其响应文件，供应商拒绝延长的，其投标无效。</w:t>
      </w:r>
    </w:p>
    <w:p w14:paraId="5E81A76A">
      <w:pPr>
        <w:pStyle w:val="97"/>
        <w:spacing w:before="0"/>
        <w:ind w:firstLine="643"/>
        <w:rPr>
          <w:rFonts w:ascii="仿宋" w:hAnsi="仿宋" w:eastAsia="仿宋" w:cs="仿宋_GB2312"/>
          <w:b/>
          <w:color w:val="000000" w:themeColor="text1"/>
          <w:sz w:val="32"/>
          <w:highlight w:val="none"/>
          <w14:textFill>
            <w14:solidFill>
              <w14:schemeClr w14:val="tx1"/>
            </w14:solidFill>
          </w14:textFill>
        </w:rPr>
      </w:pPr>
      <w:bookmarkStart w:id="34" w:name="_Toc91899897"/>
    </w:p>
    <w:p w14:paraId="76D875B1">
      <w:pPr>
        <w:pStyle w:val="97"/>
        <w:spacing w:before="0"/>
        <w:ind w:firstLine="1928" w:firstLineChars="600"/>
        <w:rPr>
          <w:rFonts w:ascii="仿宋" w:hAnsi="仿宋" w:eastAsia="仿宋" w:cs="仿宋_GB2312"/>
          <w:b/>
          <w:color w:val="000000" w:themeColor="text1"/>
          <w:sz w:val="32"/>
          <w:highlight w:val="none"/>
          <w14:textFill>
            <w14:solidFill>
              <w14:schemeClr w14:val="tx1"/>
            </w14:solidFill>
          </w14:textFill>
        </w:rPr>
      </w:pPr>
      <w:r>
        <w:rPr>
          <w:rFonts w:hint="eastAsia" w:ascii="仿宋" w:hAnsi="仿宋" w:eastAsia="仿宋" w:cs="仿宋_GB2312"/>
          <w:b/>
          <w:color w:val="000000" w:themeColor="text1"/>
          <w:sz w:val="32"/>
          <w:highlight w:val="none"/>
          <w14:textFill>
            <w14:solidFill>
              <w14:schemeClr w14:val="tx1"/>
            </w14:solidFill>
          </w14:textFill>
        </w:rPr>
        <w:t>四、开标</w:t>
      </w:r>
      <w:bookmarkEnd w:id="34"/>
      <w:r>
        <w:rPr>
          <w:rFonts w:hint="eastAsia" w:ascii="仿宋" w:hAnsi="仿宋" w:eastAsia="仿宋" w:cs="仿宋_GB2312"/>
          <w:b/>
          <w:color w:val="000000" w:themeColor="text1"/>
          <w:sz w:val="32"/>
          <w:highlight w:val="none"/>
          <w14:textFill>
            <w14:solidFill>
              <w14:schemeClr w14:val="tx1"/>
            </w14:solidFill>
          </w14:textFill>
        </w:rPr>
        <w:t>、资格审查与信用信息查询</w:t>
      </w:r>
    </w:p>
    <w:p w14:paraId="7AE1A75E">
      <w:pPr>
        <w:pStyle w:val="482"/>
        <w:spacing w:before="0" w:line="360" w:lineRule="auto"/>
        <w:ind w:left="0" w:firstLine="241" w:firstLineChars="100"/>
        <w:contextualSpacing/>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szCs w:val="24"/>
          <w:highlight w:val="none"/>
          <w14:textFill>
            <w14:solidFill>
              <w14:schemeClr w14:val="tx1"/>
            </w14:solidFill>
          </w14:textFill>
        </w:rPr>
        <w:t>18.开标</w:t>
      </w:r>
    </w:p>
    <w:p w14:paraId="66C0479A">
      <w:pPr>
        <w:pStyle w:val="482"/>
        <w:spacing w:before="0" w:line="360" w:lineRule="auto"/>
        <w:ind w:left="0" w:firstLine="480" w:firstLineChars="200"/>
        <w:contextualSpacing/>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18.1采购代理机构按照征集文件规定的时间通过电子交易平台组织开标，所有供应商均应当准时在线参加</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供应商不足3家的，不得开标。</w:t>
      </w:r>
    </w:p>
    <w:p w14:paraId="60B72361">
      <w:pPr>
        <w:pStyle w:val="482"/>
        <w:spacing w:before="0" w:line="360" w:lineRule="auto"/>
        <w:ind w:left="0" w:firstLine="240" w:firstLineChars="100"/>
        <w:contextualSpacing/>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w:t>
      </w:r>
      <w:r>
        <w:rPr>
          <w:rFonts w:hint="eastAsia" w:ascii="仿宋" w:hAnsi="仿宋" w:eastAsia="仿宋" w:cs="仿宋_GB2312"/>
          <w:color w:val="000000" w:themeColor="text1"/>
          <w:sz w:val="24"/>
          <w:highlight w:val="none"/>
          <w14:textFill>
            <w14:solidFill>
              <w14:schemeClr w14:val="tx1"/>
            </w14:solidFill>
          </w14:textFill>
        </w:rPr>
        <w:t>18.2开标时，电子交易平台按开标时间自动提取所有响应文件。采购代理机构依托电子交易平台发起开始解密指令，供应商按照平台提示和征集文件的规定在半小时内完成在线解密。</w:t>
      </w:r>
    </w:p>
    <w:p w14:paraId="5B3810A4">
      <w:pPr>
        <w:pStyle w:val="482"/>
        <w:spacing w:before="0" w:line="360" w:lineRule="auto"/>
        <w:ind w:left="0" w:firstLine="240" w:firstLineChars="100"/>
        <w:contextualSpacing/>
        <w:rPr>
          <w:rFonts w:ascii="仿宋" w:hAnsi="仿宋" w:eastAsia="仿宋" w:cs="仿宋_GB2312"/>
          <w:b/>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w:t>
      </w:r>
      <w:r>
        <w:rPr>
          <w:rFonts w:hint="eastAsia" w:ascii="仿宋" w:hAnsi="仿宋" w:eastAsia="仿宋" w:cs="仿宋_GB2312"/>
          <w:color w:val="000000" w:themeColor="text1"/>
          <w:sz w:val="24"/>
          <w:highlight w:val="none"/>
          <w14:textFill>
            <w14:solidFill>
              <w14:schemeClr w14:val="tx1"/>
            </w14:solidFill>
          </w14:textFill>
        </w:rPr>
        <w:t>18.3</w:t>
      </w:r>
      <w:r>
        <w:rPr>
          <w:rFonts w:hint="eastAsia" w:ascii="仿宋" w:hAnsi="仿宋" w:eastAsia="仿宋" w:cs="仿宋_GB2312"/>
          <w:b/>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78F3519F">
      <w:pPr>
        <w:widowControl/>
        <w:spacing w:before="100" w:beforeAutospacing="1" w:after="240" w:line="360" w:lineRule="auto"/>
        <w:jc w:val="left"/>
        <w:rPr>
          <w:rFonts w:ascii="仿宋" w:hAnsi="仿宋" w:eastAsia="仿宋" w:cs="仿宋_GB2312"/>
          <w:b/>
          <w:color w:val="000000" w:themeColor="text1"/>
          <w:sz w:val="24"/>
          <w:szCs w:val="20"/>
          <w:highlight w:val="none"/>
          <w14:textFill>
            <w14:solidFill>
              <w14:schemeClr w14:val="tx1"/>
            </w14:solidFill>
          </w14:textFill>
        </w:rPr>
      </w:pPr>
      <w:r>
        <w:rPr>
          <w:rFonts w:ascii="仿宋" w:hAnsi="仿宋" w:eastAsia="仿宋" w:cs="仿宋_GB2312"/>
          <w:b/>
          <w:color w:val="000000" w:themeColor="text1"/>
          <w:sz w:val="24"/>
          <w:szCs w:val="20"/>
          <w:highlight w:val="none"/>
          <w14:textFill>
            <w14:solidFill>
              <w14:schemeClr w14:val="tx1"/>
            </w14:solidFill>
          </w14:textFill>
        </w:rPr>
        <w:t>　</w:t>
      </w:r>
      <w:r>
        <w:rPr>
          <w:rFonts w:hint="eastAsia" w:ascii="仿宋" w:hAnsi="仿宋" w:eastAsia="仿宋" w:cs="仿宋_GB2312"/>
          <w:b/>
          <w:color w:val="000000" w:themeColor="text1"/>
          <w:sz w:val="24"/>
          <w:szCs w:val="20"/>
          <w:highlight w:val="none"/>
          <w14:textFill>
            <w14:solidFill>
              <w14:schemeClr w14:val="tx1"/>
            </w14:solidFill>
          </w14:textFill>
        </w:rPr>
        <w:t>19、资格审查</w:t>
      </w:r>
    </w:p>
    <w:p w14:paraId="44F362F5">
      <w:pPr>
        <w:pStyle w:val="97"/>
        <w:spacing w:before="0"/>
        <w:ind w:firstLine="480"/>
        <w:rPr>
          <w:rFonts w:ascii="仿宋" w:hAnsi="仿宋" w:eastAsia="仿宋" w:cs="Arial"/>
          <w:color w:val="000000" w:themeColor="text1"/>
          <w:kern w:val="0"/>
          <w:szCs w:val="24"/>
          <w:highlight w:val="none"/>
          <w14:textFill>
            <w14:solidFill>
              <w14:schemeClr w14:val="tx1"/>
            </w14:solidFill>
          </w14:textFill>
        </w:rPr>
      </w:pPr>
      <w:r>
        <w:rPr>
          <w:rFonts w:hint="eastAsia" w:ascii="仿宋" w:hAnsi="仿宋" w:eastAsia="仿宋" w:cs="Arial"/>
          <w:color w:val="000000" w:themeColor="text1"/>
          <w:kern w:val="0"/>
          <w:szCs w:val="24"/>
          <w:highlight w:val="none"/>
          <w14:textFill>
            <w14:solidFill>
              <w14:schemeClr w14:val="tx1"/>
            </w14:solidFill>
          </w14:textFill>
        </w:rPr>
        <w:t>19.1开标后，征集人或采购代理机构将依法对供应商的资格进行审查。</w:t>
      </w:r>
    </w:p>
    <w:p w14:paraId="770E9507">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19.2</w:t>
      </w:r>
      <w:r>
        <w:rPr>
          <w:rFonts w:hint="eastAsia" w:ascii="仿宋" w:hAnsi="仿宋" w:eastAsia="仿宋" w:cs="仿宋_GB2312"/>
          <w:color w:val="000000" w:themeColor="text1"/>
          <w:sz w:val="24"/>
          <w:highlight w:val="none"/>
          <w14:textFill>
            <w14:solidFill>
              <w14:schemeClr w14:val="tx1"/>
            </w14:solidFill>
          </w14:textFill>
        </w:rPr>
        <w:t>征集人或采购代理机构依据法律法规和征集文件的规定，对供应商的基本资格条件、特定资格条件进行审查。</w:t>
      </w:r>
    </w:p>
    <w:p w14:paraId="7F2D69C9">
      <w:pPr>
        <w:pStyle w:val="97"/>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Arial"/>
          <w:color w:val="000000" w:themeColor="text1"/>
          <w:kern w:val="0"/>
          <w:szCs w:val="24"/>
          <w:highlight w:val="none"/>
          <w14:textFill>
            <w14:solidFill>
              <w14:schemeClr w14:val="tx1"/>
            </w14:solidFill>
          </w14:textFill>
        </w:rPr>
        <w:t>19.3供应商未按照征集文件要求提供与</w:t>
      </w:r>
      <w:r>
        <w:rPr>
          <w:rFonts w:hint="eastAsia" w:ascii="仿宋" w:hAnsi="仿宋" w:eastAsia="仿宋" w:cs="仿宋_GB2312"/>
          <w:color w:val="000000" w:themeColor="text1"/>
          <w:highlight w:val="none"/>
          <w14:textFill>
            <w14:solidFill>
              <w14:schemeClr w14:val="tx1"/>
            </w14:solidFill>
          </w14:textFill>
        </w:rPr>
        <w:t>基本资格条件、特定资格条件相应的</w:t>
      </w:r>
      <w:r>
        <w:rPr>
          <w:rFonts w:hint="eastAsia" w:ascii="仿宋" w:hAnsi="仿宋" w:eastAsia="仿宋" w:cs="Arial"/>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_GB2312"/>
          <w:color w:val="000000" w:themeColor="text1"/>
          <w:highlight w:val="none"/>
          <w14:textFill>
            <w14:solidFill>
              <w14:schemeClr w14:val="tx1"/>
            </w14:solidFill>
          </w14:textFill>
        </w:rPr>
        <w:t>供应商不具备征集文件中规定的资格要求，其投标无效。</w:t>
      </w:r>
    </w:p>
    <w:p w14:paraId="02692CB2">
      <w:pPr>
        <w:pStyle w:val="97"/>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Arial"/>
          <w:color w:val="000000" w:themeColor="text1"/>
          <w:kern w:val="0"/>
          <w:szCs w:val="24"/>
          <w:highlight w:val="none"/>
          <w14:textFill>
            <w14:solidFill>
              <w14:schemeClr w14:val="tx1"/>
            </w14:solidFill>
          </w14:textFill>
        </w:rPr>
        <w:t>19.</w:t>
      </w:r>
      <w:r>
        <w:rPr>
          <w:rFonts w:hint="eastAsia" w:ascii="仿宋" w:hAnsi="仿宋" w:eastAsia="仿宋" w:cs="仿宋_GB2312"/>
          <w:color w:val="000000" w:themeColor="text1"/>
          <w:highlight w:val="none"/>
          <w14:textFill>
            <w14:solidFill>
              <w14:schemeClr w14:val="tx1"/>
            </w14:solidFill>
          </w14:textFill>
        </w:rPr>
        <w:t>4对未通过资格审查的供应商，征集人或采购代理机构告知其未通过的原因。</w:t>
      </w:r>
    </w:p>
    <w:p w14:paraId="34E660B2">
      <w:pPr>
        <w:pStyle w:val="97"/>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Arial"/>
          <w:color w:val="000000" w:themeColor="text1"/>
          <w:kern w:val="0"/>
          <w:szCs w:val="24"/>
          <w:highlight w:val="none"/>
          <w14:textFill>
            <w14:solidFill>
              <w14:schemeClr w14:val="tx1"/>
            </w14:solidFill>
          </w14:textFill>
        </w:rPr>
        <w:t>19.</w:t>
      </w:r>
      <w:r>
        <w:rPr>
          <w:rFonts w:hint="eastAsia" w:ascii="仿宋" w:hAnsi="仿宋" w:eastAsia="仿宋" w:cs="仿宋_GB2312"/>
          <w:color w:val="000000" w:themeColor="text1"/>
          <w:highlight w:val="none"/>
          <w14:textFill>
            <w14:solidFill>
              <w14:schemeClr w14:val="tx1"/>
            </w14:solidFill>
          </w14:textFill>
        </w:rPr>
        <w:t>5合格供应商不足3家的，不再评标。</w:t>
      </w:r>
    </w:p>
    <w:p w14:paraId="4D2D3144">
      <w:pPr>
        <w:pStyle w:val="97"/>
        <w:spacing w:before="0"/>
        <w:ind w:firstLine="0" w:firstLineChars="0"/>
        <w:rPr>
          <w:rFonts w:ascii="仿宋" w:hAnsi="仿宋" w:eastAsia="仿宋" w:cs="仿宋_GB2312"/>
          <w:b/>
          <w:color w:val="000000" w:themeColor="text1"/>
          <w:szCs w:val="24"/>
          <w:highlight w:val="none"/>
          <w14:textFill>
            <w14:solidFill>
              <w14:schemeClr w14:val="tx1"/>
            </w14:solidFill>
          </w14:textFill>
        </w:rPr>
      </w:pPr>
      <w:r>
        <w:rPr>
          <w:rFonts w:hint="eastAsia" w:ascii="仿宋" w:hAnsi="仿宋" w:eastAsia="仿宋" w:cs="仿宋_GB2312"/>
          <w:b/>
          <w:color w:val="000000" w:themeColor="text1"/>
          <w:szCs w:val="24"/>
          <w:highlight w:val="none"/>
          <w14:textFill>
            <w14:solidFill>
              <w14:schemeClr w14:val="tx1"/>
            </w14:solidFill>
          </w14:textFill>
        </w:rPr>
        <w:t>20、信用信息查询</w:t>
      </w:r>
    </w:p>
    <w:p w14:paraId="77E725C4">
      <w:pPr>
        <w:pStyle w:val="97"/>
        <w:spacing w:before="0"/>
        <w:ind w:firstLine="495" w:firstLineChars="0"/>
        <w:rPr>
          <w:rFonts w:ascii="仿宋" w:hAnsi="仿宋" w:eastAsia="仿宋" w:cs="Arial"/>
          <w:color w:val="000000" w:themeColor="text1"/>
          <w:kern w:val="0"/>
          <w:szCs w:val="24"/>
          <w:highlight w:val="none"/>
          <w14:textFill>
            <w14:solidFill>
              <w14:schemeClr w14:val="tx1"/>
            </w14:solidFill>
          </w14:textFill>
        </w:rPr>
      </w:pPr>
      <w:r>
        <w:rPr>
          <w:rFonts w:ascii="仿宋" w:hAnsi="仿宋" w:eastAsia="仿宋" w:cs="Arial"/>
          <w:color w:val="000000" w:themeColor="text1"/>
          <w:kern w:val="0"/>
          <w:szCs w:val="24"/>
          <w:highlight w:val="none"/>
          <w14:textFill>
            <w14:solidFill>
              <w14:schemeClr w14:val="tx1"/>
            </w14:solidFill>
          </w14:textFill>
        </w:rPr>
        <w:t>20</w:t>
      </w:r>
      <w:r>
        <w:rPr>
          <w:rFonts w:hint="eastAsia" w:ascii="仿宋" w:hAnsi="仿宋" w:eastAsia="仿宋" w:cs="Arial"/>
          <w:color w:val="000000" w:themeColor="text1"/>
          <w:kern w:val="0"/>
          <w:szCs w:val="24"/>
          <w:highlight w:val="none"/>
          <w14:textFill>
            <w14:solidFill>
              <w14:schemeClr w14:val="tx1"/>
            </w14:solidFill>
          </w14:textFill>
        </w:rPr>
        <w:t>.1信用信息查询渠道及截止时间：采购代理机构将通过“信用中国”网站(www.creditchina.gov.cn)、中国政府采购网(www.ccgp.gov.cn)渠道查询供应商投标截止时间当天的信用记录。</w:t>
      </w:r>
    </w:p>
    <w:p w14:paraId="4E87D612">
      <w:pPr>
        <w:pStyle w:val="97"/>
        <w:spacing w:before="0"/>
        <w:ind w:firstLine="495" w:firstLineChars="0"/>
        <w:rPr>
          <w:rFonts w:ascii="仿宋" w:hAnsi="仿宋" w:eastAsia="仿宋" w:cs="Arial"/>
          <w:color w:val="000000" w:themeColor="text1"/>
          <w:kern w:val="0"/>
          <w:szCs w:val="24"/>
          <w:highlight w:val="none"/>
          <w14:textFill>
            <w14:solidFill>
              <w14:schemeClr w14:val="tx1"/>
            </w14:solidFill>
          </w14:textFill>
        </w:rPr>
      </w:pPr>
      <w:r>
        <w:rPr>
          <w:rFonts w:ascii="仿宋" w:hAnsi="仿宋" w:eastAsia="仿宋" w:cs="Arial"/>
          <w:color w:val="000000" w:themeColor="text1"/>
          <w:kern w:val="0"/>
          <w:szCs w:val="24"/>
          <w:highlight w:val="none"/>
          <w14:textFill>
            <w14:solidFill>
              <w14:schemeClr w14:val="tx1"/>
            </w14:solidFill>
          </w14:textFill>
        </w:rPr>
        <w:t>20</w:t>
      </w:r>
      <w:r>
        <w:rPr>
          <w:rFonts w:hint="eastAsia" w:ascii="仿宋" w:hAnsi="仿宋" w:eastAsia="仿宋" w:cs="Arial"/>
          <w:color w:val="000000" w:themeColor="text1"/>
          <w:kern w:val="0"/>
          <w:szCs w:val="24"/>
          <w:highlight w:val="none"/>
          <w14:textFill>
            <w14:solidFill>
              <w14:schemeClr w14:val="tx1"/>
            </w14:solidFill>
          </w14:textFill>
        </w:rPr>
        <w:t>.2信用信息查询记录和证据留存的具体方式：现场查询的供应商的信用记录、查询结果经确认后将与征集文件一起存档。</w:t>
      </w:r>
    </w:p>
    <w:p w14:paraId="21DA6588">
      <w:pPr>
        <w:pStyle w:val="97"/>
        <w:spacing w:before="0"/>
        <w:ind w:firstLine="495" w:firstLineChars="0"/>
        <w:rPr>
          <w:rFonts w:ascii="仿宋" w:hAnsi="仿宋" w:eastAsia="仿宋" w:cs="Arial"/>
          <w:color w:val="000000" w:themeColor="text1"/>
          <w:kern w:val="0"/>
          <w:szCs w:val="24"/>
          <w:highlight w:val="none"/>
          <w14:textFill>
            <w14:solidFill>
              <w14:schemeClr w14:val="tx1"/>
            </w14:solidFill>
          </w14:textFill>
        </w:rPr>
      </w:pPr>
      <w:r>
        <w:rPr>
          <w:rFonts w:ascii="仿宋" w:hAnsi="仿宋" w:eastAsia="仿宋" w:cs="Arial"/>
          <w:color w:val="000000" w:themeColor="text1"/>
          <w:kern w:val="0"/>
          <w:szCs w:val="24"/>
          <w:highlight w:val="none"/>
          <w14:textFill>
            <w14:solidFill>
              <w14:schemeClr w14:val="tx1"/>
            </w14:solidFill>
          </w14:textFill>
        </w:rPr>
        <w:t>20</w:t>
      </w:r>
      <w:r>
        <w:rPr>
          <w:rFonts w:hint="eastAsia" w:ascii="仿宋" w:hAnsi="仿宋" w:eastAsia="仿宋" w:cs="Arial"/>
          <w:color w:val="000000" w:themeColor="text1"/>
          <w:kern w:val="0"/>
          <w:szCs w:val="24"/>
          <w:highlight w:val="none"/>
          <w14:textFill>
            <w14:solidFill>
              <w14:schemeClr w14:val="tx1"/>
            </w14:solidFill>
          </w14:textFill>
        </w:rPr>
        <w:t>.3信用信息的使用规则：经查询列入失信被执行人名单、重大税收违法案件当事人名单、政府采购严重违法失信行为记录名单的供应商将被拒绝参与政府采购活动。</w:t>
      </w:r>
    </w:p>
    <w:p w14:paraId="368B56DA">
      <w:pPr>
        <w:pStyle w:val="97"/>
        <w:spacing w:before="0"/>
        <w:ind w:firstLine="480"/>
        <w:rPr>
          <w:rFonts w:ascii="仿宋" w:hAnsi="仿宋" w:eastAsia="仿宋" w:cs="仿宋_GB2312"/>
          <w:color w:val="000000" w:themeColor="text1"/>
          <w:highlight w:val="none"/>
          <w14:textFill>
            <w14:solidFill>
              <w14:schemeClr w14:val="tx1"/>
            </w14:solidFill>
          </w14:textFill>
        </w:rPr>
      </w:pPr>
      <w:r>
        <w:rPr>
          <w:rFonts w:ascii="仿宋" w:hAnsi="仿宋" w:eastAsia="仿宋" w:cs="Arial"/>
          <w:color w:val="000000" w:themeColor="text1"/>
          <w:kern w:val="0"/>
          <w:szCs w:val="24"/>
          <w:highlight w:val="none"/>
          <w14:textFill>
            <w14:solidFill>
              <w14:schemeClr w14:val="tx1"/>
            </w14:solidFill>
          </w14:textFill>
        </w:rPr>
        <w:t>20</w:t>
      </w:r>
      <w:r>
        <w:rPr>
          <w:rFonts w:hint="eastAsia" w:ascii="仿宋" w:hAnsi="仿宋" w:eastAsia="仿宋" w:cs="Arial"/>
          <w:color w:val="000000" w:themeColor="text1"/>
          <w:kern w:val="0"/>
          <w:szCs w:val="24"/>
          <w:highlight w:val="none"/>
          <w14:textFill>
            <w14:solidFill>
              <w14:schemeClr w14:val="tx1"/>
            </w14:solidFill>
          </w14:textFill>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themeColor="text1"/>
          <w:highlight w:val="none"/>
          <w14:textFill>
            <w14:solidFill>
              <w14:schemeClr w14:val="tx1"/>
            </w14:solidFill>
          </w14:textFill>
        </w:rPr>
        <w:t>。</w:t>
      </w:r>
    </w:p>
    <w:p w14:paraId="44CD187C">
      <w:pPr>
        <w:pStyle w:val="97"/>
        <w:spacing w:before="0"/>
        <w:ind w:firstLine="0" w:firstLineChars="0"/>
        <w:rPr>
          <w:rFonts w:ascii="仿宋" w:hAnsi="仿宋" w:eastAsia="仿宋" w:cs="Arial"/>
          <w:color w:val="000000" w:themeColor="text1"/>
          <w:kern w:val="0"/>
          <w:szCs w:val="24"/>
          <w:highlight w:val="none"/>
          <w14:textFill>
            <w14:solidFill>
              <w14:schemeClr w14:val="tx1"/>
            </w14:solidFill>
          </w14:textFill>
        </w:rPr>
      </w:pPr>
    </w:p>
    <w:p w14:paraId="38E6F3D8">
      <w:pPr>
        <w:snapToGrid w:val="0"/>
        <w:spacing w:line="360" w:lineRule="auto"/>
        <w:jc w:val="center"/>
        <w:outlineLvl w:val="0"/>
        <w:rPr>
          <w:rFonts w:ascii="仿宋" w:hAnsi="仿宋" w:eastAsia="仿宋" w:cs="仿宋_GB2312"/>
          <w:b/>
          <w:color w:val="000000" w:themeColor="text1"/>
          <w:sz w:val="36"/>
          <w:szCs w:val="36"/>
          <w:highlight w:val="none"/>
          <w14:textFill>
            <w14:solidFill>
              <w14:schemeClr w14:val="tx1"/>
            </w14:solidFill>
          </w14:textFill>
        </w:rPr>
      </w:pPr>
      <w:bookmarkStart w:id="35" w:name="_Hlt75236101"/>
      <w:bookmarkEnd w:id="35"/>
      <w:bookmarkStart w:id="36" w:name="_Toc91899902"/>
      <w:r>
        <w:rPr>
          <w:rFonts w:hint="eastAsia" w:ascii="仿宋" w:hAnsi="仿宋" w:eastAsia="仿宋" w:cs="仿宋_GB2312"/>
          <w:b/>
          <w:color w:val="000000" w:themeColor="text1"/>
          <w:sz w:val="36"/>
          <w:szCs w:val="36"/>
          <w:highlight w:val="none"/>
          <w14:textFill>
            <w14:solidFill>
              <w14:schemeClr w14:val="tx1"/>
            </w14:solidFill>
          </w14:textFill>
        </w:rPr>
        <w:t>五、评标</w:t>
      </w:r>
      <w:bookmarkEnd w:id="36"/>
    </w:p>
    <w:p w14:paraId="69ED3B64">
      <w:pPr>
        <w:spacing w:line="360" w:lineRule="auto"/>
        <w:rPr>
          <w:rFonts w:hint="eastAsia" w:ascii="仿宋" w:hAnsi="仿宋" w:eastAsia="仿宋" w:cs="仿宋_GB2312"/>
          <w:b/>
          <w:color w:val="000000" w:themeColor="text1"/>
          <w:sz w:val="24"/>
          <w:highlight w:val="none"/>
          <w14:textFill>
            <w14:solidFill>
              <w14:schemeClr w14:val="tx1"/>
            </w14:solidFill>
          </w14:textFill>
        </w:rPr>
      </w:pPr>
      <w:bookmarkStart w:id="37" w:name="_Toc91899903"/>
      <w:r>
        <w:rPr>
          <w:rFonts w:hint="eastAsia" w:ascii="仿宋" w:hAnsi="仿宋" w:eastAsia="仿宋" w:cs="仿宋_GB2312"/>
          <w:b/>
          <w:color w:val="000000" w:themeColor="text1"/>
          <w:sz w:val="24"/>
          <w:highlight w:val="none"/>
          <w14:textFill>
            <w14:solidFill>
              <w14:schemeClr w14:val="tx1"/>
            </w14:solidFill>
          </w14:textFill>
        </w:rPr>
        <w:t>21.</w:t>
      </w:r>
      <w:r>
        <w:rPr>
          <w:rFonts w:hint="eastAsia" w:ascii="仿宋" w:hAnsi="仿宋" w:eastAsia="仿宋" w:cs="仿宋_GB2312"/>
          <w:color w:val="000000" w:themeColor="text1"/>
          <w:sz w:val="24"/>
          <w:highlight w:val="none"/>
          <w14:textFill>
            <w14:solidFill>
              <w14:schemeClr w14:val="tx1"/>
            </w14:solidFill>
          </w14:textFill>
        </w:rPr>
        <w:t>评标委员会将根据征集文件和有关规定，履行评标工作职责，并按照评标方法及评分标准，全面衡量各供应商对征集文件的响应情况。对实质上响应征集文件的供应商，按照评审因素的量化指标排出推荐中标的供应商的先后顺序，并按顺序提出授标建议。</w:t>
      </w:r>
      <w:r>
        <w:rPr>
          <w:rFonts w:hint="eastAsia" w:ascii="仿宋" w:hAnsi="仿宋" w:eastAsia="仿宋" w:cs="仿宋_GB2312"/>
          <w:b/>
          <w:color w:val="000000" w:themeColor="text1"/>
          <w:sz w:val="24"/>
          <w:highlight w:val="none"/>
          <w14:textFill>
            <w14:solidFill>
              <w14:schemeClr w14:val="tx1"/>
            </w14:solidFill>
          </w14:textFill>
        </w:rPr>
        <w:t>详见征集文件第四部分“评标方法”</w:t>
      </w:r>
    </w:p>
    <w:p w14:paraId="224B1334">
      <w:pPr>
        <w:pStyle w:val="2"/>
        <w:rPr>
          <w:rFonts w:hint="eastAsia" w:ascii="仿宋" w:hAnsi="仿宋" w:eastAsia="仿宋" w:cs="仿宋_GB2312"/>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bCs w:val="0"/>
          <w:color w:val="000000" w:themeColor="text1"/>
          <w:kern w:val="2"/>
          <w:sz w:val="24"/>
          <w:szCs w:val="24"/>
          <w:highlight w:val="none"/>
          <w:lang w:val="en-US" w:eastAsia="zh-CN" w:bidi="ar-SA"/>
          <w14:textFill>
            <w14:solidFill>
              <w14:schemeClr w14:val="tx1"/>
            </w14:solidFill>
          </w14:textFill>
        </w:rPr>
        <w:t>22.第一阶段淘汰比例</w:t>
      </w:r>
    </w:p>
    <w:p w14:paraId="361FE41C">
      <w:pPr>
        <w:pStyle w:val="2"/>
        <w:rPr>
          <w:rFonts w:hint="eastAsia" w:ascii="仿宋" w:hAnsi="仿宋" w:eastAsia="仿宋" w:cs="仿宋_GB2312"/>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b/>
          <w:bCs w:val="0"/>
          <w:color w:val="000000" w:themeColor="text1"/>
          <w:kern w:val="2"/>
          <w:sz w:val="24"/>
          <w:szCs w:val="24"/>
          <w:highlight w:val="none"/>
          <w:lang w:val="en-US" w:eastAsia="zh-CN" w:bidi="ar-SA"/>
          <w14:textFill>
            <w14:solidFill>
              <w14:schemeClr w14:val="tx1"/>
            </w14:solidFill>
          </w14:textFill>
        </w:rPr>
        <w:t>详见前附表。</w:t>
      </w:r>
    </w:p>
    <w:p w14:paraId="0E70C1E2">
      <w:pPr>
        <w:spacing w:line="360" w:lineRule="auto"/>
        <w:rPr>
          <w:rFonts w:ascii="仿宋" w:hAnsi="仿宋" w:eastAsia="仿宋" w:cs="仿宋_GB2312"/>
          <w:b/>
          <w:color w:val="000000" w:themeColor="text1"/>
          <w:sz w:val="24"/>
          <w:highlight w:val="none"/>
          <w14:textFill>
            <w14:solidFill>
              <w14:schemeClr w14:val="tx1"/>
            </w14:solidFill>
          </w14:textFill>
        </w:rPr>
      </w:pPr>
    </w:p>
    <w:p w14:paraId="3786AE60">
      <w:pPr>
        <w:snapToGrid w:val="0"/>
        <w:spacing w:line="360" w:lineRule="auto"/>
        <w:jc w:val="center"/>
        <w:outlineLvl w:val="0"/>
        <w:rPr>
          <w:rFonts w:ascii="仿宋" w:hAnsi="仿宋" w:eastAsia="仿宋" w:cs="仿宋_GB2312"/>
          <w:b/>
          <w:color w:val="000000" w:themeColor="text1"/>
          <w:sz w:val="36"/>
          <w:szCs w:val="36"/>
          <w:highlight w:val="none"/>
          <w14:textFill>
            <w14:solidFill>
              <w14:schemeClr w14:val="tx1"/>
            </w14:solidFill>
          </w14:textFill>
        </w:rPr>
      </w:pPr>
      <w:r>
        <w:rPr>
          <w:rFonts w:hint="eastAsia" w:ascii="仿宋" w:hAnsi="仿宋" w:eastAsia="仿宋" w:cs="仿宋_GB2312"/>
          <w:b/>
          <w:color w:val="000000" w:themeColor="text1"/>
          <w:sz w:val="36"/>
          <w:szCs w:val="36"/>
          <w:highlight w:val="none"/>
          <w14:textFill>
            <w14:solidFill>
              <w14:schemeClr w14:val="tx1"/>
            </w14:solidFill>
          </w14:textFill>
        </w:rPr>
        <w:t>六、定标</w:t>
      </w:r>
    </w:p>
    <w:p w14:paraId="38D00AF4">
      <w:pPr>
        <w:pStyle w:val="21"/>
        <w:spacing w:line="360" w:lineRule="auto"/>
        <w:ind w:left="479" w:hanging="479" w:hangingChars="199"/>
        <w:rPr>
          <w:rFonts w:ascii="仿宋" w:hAnsi="仿宋" w:eastAsia="仿宋" w:cs="仿宋_GB2312"/>
          <w:b/>
          <w:color w:val="000000" w:themeColor="text1"/>
          <w:highlight w:val="none"/>
          <w14:textFill>
            <w14:solidFill>
              <w14:schemeClr w14:val="tx1"/>
            </w14:solidFill>
          </w14:textFill>
        </w:rPr>
      </w:pPr>
      <w:r>
        <w:rPr>
          <w:rFonts w:hint="eastAsia" w:ascii="仿宋" w:hAnsi="仿宋" w:eastAsia="仿宋" w:cs="仿宋_GB2312"/>
          <w:b/>
          <w:color w:val="000000" w:themeColor="text1"/>
          <w:highlight w:val="none"/>
          <w14:textFill>
            <w14:solidFill>
              <w14:schemeClr w14:val="tx1"/>
            </w14:solidFill>
          </w14:textFill>
        </w:rPr>
        <w:t>2</w:t>
      </w:r>
      <w:r>
        <w:rPr>
          <w:rFonts w:hint="eastAsia" w:ascii="仿宋" w:hAnsi="仿宋" w:eastAsia="仿宋" w:cs="仿宋_GB2312"/>
          <w:b/>
          <w:color w:val="000000" w:themeColor="text1"/>
          <w:highlight w:val="none"/>
          <w:lang w:val="en-US" w:eastAsia="zh-CN"/>
          <w14:textFill>
            <w14:solidFill>
              <w14:schemeClr w14:val="tx1"/>
            </w14:solidFill>
          </w14:textFill>
        </w:rPr>
        <w:t>3</w:t>
      </w:r>
      <w:r>
        <w:rPr>
          <w:rFonts w:hint="eastAsia" w:ascii="仿宋" w:hAnsi="仿宋" w:eastAsia="仿宋" w:cs="仿宋_GB2312"/>
          <w:b/>
          <w:color w:val="000000" w:themeColor="text1"/>
          <w:highlight w:val="none"/>
          <w14:textFill>
            <w14:solidFill>
              <w14:schemeClr w14:val="tx1"/>
            </w14:solidFill>
          </w14:textFill>
        </w:rPr>
        <w:t>. 确定入围供应商</w:t>
      </w:r>
    </w:p>
    <w:p w14:paraId="361293CA">
      <w:pPr>
        <w:pStyle w:val="97"/>
        <w:snapToGrid w:val="0"/>
        <w:spacing w:before="0"/>
        <w:ind w:firstLine="480"/>
        <w:rPr>
          <w:rFonts w:ascii="仿宋" w:hAnsi="仿宋" w:eastAsia="仿宋" w:cs="仿宋_GB2312"/>
          <w:color w:val="000000" w:themeColor="text1"/>
          <w:szCs w:val="24"/>
          <w:highlight w:val="none"/>
          <w14:textFill>
            <w14:solidFill>
              <w14:schemeClr w14:val="tx1"/>
            </w14:solidFill>
          </w14:textFill>
        </w:rPr>
      </w:pPr>
      <w:r>
        <w:rPr>
          <w:rFonts w:hint="eastAsia" w:ascii="仿宋" w:hAnsi="仿宋" w:eastAsia="仿宋" w:cs="仿宋_GB2312"/>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征集人。采购单位应当自收到评审报告之日起2个工作日内在线确定中标或者成交供应商。中标、成交通知书和中标、成交结果公告应当在规定时间内同时发出。</w:t>
      </w:r>
    </w:p>
    <w:p w14:paraId="4501325C">
      <w:pPr>
        <w:pStyle w:val="97"/>
        <w:snapToGrid w:val="0"/>
        <w:spacing w:before="0"/>
        <w:ind w:firstLine="0" w:firstLineChars="0"/>
        <w:rPr>
          <w:rFonts w:ascii="仿宋" w:hAnsi="仿宋" w:eastAsia="仿宋" w:cs="仿宋_GB2312"/>
          <w:b/>
          <w:color w:val="000000" w:themeColor="text1"/>
          <w:szCs w:val="24"/>
          <w:highlight w:val="none"/>
          <w14:textFill>
            <w14:solidFill>
              <w14:schemeClr w14:val="tx1"/>
            </w14:solidFill>
          </w14:textFill>
        </w:rPr>
      </w:pPr>
      <w:r>
        <w:rPr>
          <w:rFonts w:hint="eastAsia" w:ascii="仿宋" w:hAnsi="仿宋" w:eastAsia="仿宋" w:cs="仿宋_GB2312"/>
          <w:b/>
          <w:color w:val="000000" w:themeColor="text1"/>
          <w:szCs w:val="24"/>
          <w:highlight w:val="none"/>
          <w14:textFill>
            <w14:solidFill>
              <w14:schemeClr w14:val="tx1"/>
            </w14:solidFill>
          </w14:textFill>
        </w:rPr>
        <w:t>2</w:t>
      </w:r>
      <w:r>
        <w:rPr>
          <w:rFonts w:hint="eastAsia" w:ascii="仿宋" w:hAnsi="仿宋" w:eastAsia="仿宋" w:cs="仿宋_GB2312"/>
          <w:b/>
          <w:color w:val="000000" w:themeColor="text1"/>
          <w:szCs w:val="24"/>
          <w:highlight w:val="none"/>
          <w:lang w:val="en-US" w:eastAsia="zh-CN"/>
          <w14:textFill>
            <w14:solidFill>
              <w14:schemeClr w14:val="tx1"/>
            </w14:solidFill>
          </w14:textFill>
        </w:rPr>
        <w:t>4</w:t>
      </w:r>
      <w:r>
        <w:rPr>
          <w:rFonts w:hint="eastAsia" w:ascii="仿宋" w:hAnsi="仿宋" w:eastAsia="仿宋" w:cs="仿宋_GB2312"/>
          <w:b/>
          <w:color w:val="000000" w:themeColor="text1"/>
          <w:szCs w:val="24"/>
          <w:highlight w:val="none"/>
          <w14:textFill>
            <w14:solidFill>
              <w14:schemeClr w14:val="tx1"/>
            </w14:solidFill>
          </w14:textFill>
        </w:rPr>
        <w:t>. 入围通知与入围结果公告</w:t>
      </w:r>
    </w:p>
    <w:p w14:paraId="6827B3EF">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w:t>
      </w:r>
      <w:r>
        <w:rPr>
          <w:rFonts w:hint="eastAsia" w:ascii="仿宋" w:hAnsi="仿宋" w:eastAsia="仿宋" w:cs="仿宋_GB2312"/>
          <w:color w:val="000000" w:themeColor="text1"/>
          <w:sz w:val="24"/>
          <w:highlight w:val="none"/>
          <w:lang w:val="en-US" w:eastAsia="zh-CN"/>
          <w14:textFill>
            <w14:solidFill>
              <w14:schemeClr w14:val="tx1"/>
            </w14:solidFill>
          </w14:textFill>
        </w:rPr>
        <w:t>4</w:t>
      </w:r>
      <w:r>
        <w:rPr>
          <w:rFonts w:hint="eastAsia" w:ascii="仿宋" w:hAnsi="仿宋" w:eastAsia="仿宋" w:cs="仿宋_GB2312"/>
          <w:color w:val="000000" w:themeColor="text1"/>
          <w:sz w:val="24"/>
          <w:highlight w:val="none"/>
          <w14:textFill>
            <w14:solidFill>
              <w14:schemeClr w14:val="tx1"/>
            </w14:solidFill>
          </w14:textFill>
        </w:rPr>
        <w:t>.1自入围供应商确定之日起2个工作日内，采购代理机构通过电子交易平台向入围供应商发出为入围通知书，同时编制发布入围结果公告。采购代理机构也可以以纸质形式进行入围通知。</w:t>
      </w:r>
    </w:p>
    <w:p w14:paraId="38733F15">
      <w:pPr>
        <w:widowControl/>
        <w:shd w:val="clear" w:color="auto" w:fill="FFFFFF"/>
        <w:spacing w:line="360" w:lineRule="auto"/>
        <w:ind w:firstLine="480"/>
        <w:jc w:val="left"/>
        <w:rPr>
          <w:rFonts w:hint="eastAsia"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w:t>
      </w:r>
      <w:r>
        <w:rPr>
          <w:rFonts w:hint="eastAsia" w:ascii="仿宋" w:hAnsi="仿宋" w:eastAsia="仿宋" w:cs="仿宋_GB2312"/>
          <w:color w:val="000000" w:themeColor="text1"/>
          <w:sz w:val="24"/>
          <w:highlight w:val="none"/>
          <w:lang w:val="en-US" w:eastAsia="zh-CN"/>
          <w14:textFill>
            <w14:solidFill>
              <w14:schemeClr w14:val="tx1"/>
            </w14:solidFill>
          </w14:textFill>
        </w:rPr>
        <w:t>4</w:t>
      </w:r>
      <w:r>
        <w:rPr>
          <w:rFonts w:ascii="仿宋" w:hAnsi="仿宋" w:eastAsia="仿宋" w:cs="仿宋_GB2312"/>
          <w:color w:val="000000" w:themeColor="text1"/>
          <w:sz w:val="24"/>
          <w:highlight w:val="none"/>
          <w14:textFill>
            <w14:solidFill>
              <w14:schemeClr w14:val="tx1"/>
            </w14:solidFill>
          </w14:textFill>
        </w:rPr>
        <w:t>.2</w:t>
      </w:r>
      <w:r>
        <w:rPr>
          <w:rFonts w:hint="eastAsia" w:ascii="仿宋" w:hAnsi="仿宋" w:eastAsia="仿宋" w:cs="仿宋_GB2312"/>
          <w:color w:val="000000" w:themeColor="text1"/>
          <w:sz w:val="24"/>
          <w:highlight w:val="none"/>
          <w14:textFill>
            <w14:solidFill>
              <w14:schemeClr w14:val="tx1"/>
            </w14:solidFill>
          </w14:textFill>
        </w:rPr>
        <w:t>入围结果公告内容包括征集人及其委托的采购代理机构的名称、地址、联系</w:t>
      </w:r>
    </w:p>
    <w:p w14:paraId="4507E55C">
      <w:pPr>
        <w:widowControl/>
        <w:shd w:val="clear" w:color="auto" w:fill="FFFFFF"/>
        <w:spacing w:line="360" w:lineRule="auto"/>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方式，项目名称和项目编号，入围供应商名称、地址及排序，最高入围价格或者最低入围分值，入围产品名称、规格型号或者主要服务内容及服务标准，入围单价，未中标情况说明、中标公告期限以及评审专家名单。</w:t>
      </w:r>
    </w:p>
    <w:p w14:paraId="1C69675F">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w:t>
      </w:r>
      <w:r>
        <w:rPr>
          <w:rFonts w:hint="eastAsia" w:ascii="仿宋" w:hAnsi="仿宋" w:eastAsia="仿宋" w:cs="仿宋_GB2312"/>
          <w:color w:val="000000" w:themeColor="text1"/>
          <w:sz w:val="24"/>
          <w:highlight w:val="none"/>
          <w:lang w:val="en-US" w:eastAsia="zh-CN"/>
          <w14:textFill>
            <w14:solidFill>
              <w14:schemeClr w14:val="tx1"/>
            </w14:solidFill>
          </w14:textFill>
        </w:rPr>
        <w:t>4</w:t>
      </w:r>
      <w:r>
        <w:rPr>
          <w:rFonts w:hint="eastAsia" w:ascii="仿宋" w:hAnsi="仿宋" w:eastAsia="仿宋" w:cs="仿宋_GB2312"/>
          <w:color w:val="000000" w:themeColor="text1"/>
          <w:sz w:val="24"/>
          <w:highlight w:val="none"/>
          <w14:textFill>
            <w14:solidFill>
              <w14:schemeClr w14:val="tx1"/>
            </w14:solidFill>
          </w14:textFill>
        </w:rPr>
        <w:t>.3</w:t>
      </w:r>
      <w:r>
        <w:rPr>
          <w:rFonts w:ascii="仿宋" w:hAnsi="仿宋" w:eastAsia="仿宋" w:cs="仿宋_GB2312"/>
          <w:color w:val="000000" w:themeColor="text1"/>
          <w:sz w:val="24"/>
          <w:highlight w:val="none"/>
          <w14:textFill>
            <w14:solidFill>
              <w14:schemeClr w14:val="tx1"/>
            </w14:solidFill>
          </w14:textFill>
        </w:rPr>
        <w:t>公告期限为1个工作日。</w:t>
      </w:r>
    </w:p>
    <w:p w14:paraId="1B4BE036">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w:t>
      </w:r>
      <w:r>
        <w:rPr>
          <w:rFonts w:hint="eastAsia" w:ascii="仿宋" w:hAnsi="仿宋" w:eastAsia="仿宋" w:cs="仿宋_GB2312"/>
          <w:color w:val="000000" w:themeColor="text1"/>
          <w:sz w:val="24"/>
          <w:highlight w:val="none"/>
          <w:lang w:val="en-US" w:eastAsia="zh-CN"/>
          <w14:textFill>
            <w14:solidFill>
              <w14:schemeClr w14:val="tx1"/>
            </w14:solidFill>
          </w14:textFill>
        </w:rPr>
        <w:t>4</w:t>
      </w:r>
      <w:r>
        <w:rPr>
          <w:rFonts w:hint="eastAsia" w:ascii="仿宋" w:hAnsi="仿宋" w:eastAsia="仿宋" w:cs="仿宋_GB2312"/>
          <w:color w:val="000000" w:themeColor="text1"/>
          <w:sz w:val="24"/>
          <w:highlight w:val="none"/>
          <w14:textFill>
            <w14:solidFill>
              <w14:schemeClr w14:val="tx1"/>
            </w14:solidFill>
          </w14:textFill>
        </w:rPr>
        <w:t>.4入围供应商的清退和补充规则</w:t>
      </w:r>
    </w:p>
    <w:p w14:paraId="3B25A50C">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在下列情形下甲方有权清退入围供应商，而不需要承担任何责任：</w:t>
      </w:r>
    </w:p>
    <w:p w14:paraId="6AA82195">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1）入围供应商实质性违反本协议约定的；</w:t>
      </w:r>
    </w:p>
    <w:p w14:paraId="24CA8EAE">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2）入围供应商有违反合同约定或其职责、义务的行为，在征集人指定期限内未予以纠正或补救的；</w:t>
      </w:r>
    </w:p>
    <w:p w14:paraId="79D52B0B">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3）入围供应商资质吊销或注销的；</w:t>
      </w:r>
    </w:p>
    <w:p w14:paraId="5FB82018">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4）入围供应商泄漏委托方的秘密或与第三方串通损害征集人利益的；由此造成的经济损失，入围方应予赔偿；存在违法违规行为的，由相关部门进行处理；</w:t>
      </w:r>
    </w:p>
    <w:p w14:paraId="0DBABEE5">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5）征集人针对项目服务时限、质量有权提出要求，由于入围供应商原因，项目服务时限超出委托时限或质量不合格的；</w:t>
      </w:r>
    </w:p>
    <w:p w14:paraId="6CDEABD2">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6）入围供应商与项目相关单位或个人私下交易，接受财物、吃请等违纪行为经查实的；存在违法违规行为的，由相关部门进行处理；</w:t>
      </w:r>
    </w:p>
    <w:p w14:paraId="385BC771">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7）入围供应商在评审过程中将评审资料丢失的；由此造成的经济损失，入围供应商应予赔偿；存在违法违规行为的，由相关部门进行处理；</w:t>
      </w:r>
    </w:p>
    <w:p w14:paraId="4CB1A6D2">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8）在入围供应商违约情形下，征集人有权对本项目合同进行必要的变更。 因入围供应商违约导致合同解除的，入围供应商应按本项目正常计算酬金的 20%支付违约金。</w:t>
      </w:r>
    </w:p>
    <w:p w14:paraId="38FD0084">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9）入围供应商提供服务时，需按委托人要求时限完成，无正当理由，未按时完成的将解除合同。</w:t>
      </w:r>
    </w:p>
    <w:p w14:paraId="59C28E6D">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10）执行纠错机制，即因评审项目结果存在较大争议，相关单位提出投诉，并确认入围供应商为责任方的，征集人有权终止合同。</w:t>
      </w:r>
    </w:p>
    <w:p w14:paraId="501573DD">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11）确定入围供应商后，征集人有权对入围供应商提供的人员名单、注册证明、执业资格、人事关系、业绩材料等相关资料到相关部门进行核实，如投标文件存在虚假情况，则取消中标候选人的中标资格，存在违法违规行为的，由相关部门进行处理；</w:t>
      </w:r>
    </w:p>
    <w:p w14:paraId="3A429E65">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12）如遇到政策变化或者其他不可抗力因素，本协议自动解除。</w:t>
      </w:r>
    </w:p>
    <w:p w14:paraId="71B039E6">
      <w:pPr>
        <w:widowControl/>
        <w:shd w:val="clear" w:color="auto" w:fill="FFFFFF"/>
        <w:spacing w:line="360" w:lineRule="auto"/>
        <w:ind w:firstLine="480"/>
        <w:jc w:val="lef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除剩余入围供应商不足入围供应商总数70%且影响框架协议执行的情形外，框架协议有效期内，征集人不得补充征集供应商。</w:t>
      </w:r>
    </w:p>
    <w:p w14:paraId="74FBC48A">
      <w:pPr>
        <w:snapToGrid w:val="0"/>
        <w:spacing w:line="360" w:lineRule="auto"/>
        <w:ind w:left="120" w:leftChars="57" w:firstLine="482" w:firstLineChars="150"/>
        <w:jc w:val="center"/>
        <w:rPr>
          <w:rFonts w:ascii="仿宋" w:hAnsi="仿宋" w:eastAsia="仿宋" w:cs="仿宋_GB2312"/>
          <w:b/>
          <w:color w:val="000000" w:themeColor="text1"/>
          <w:sz w:val="32"/>
          <w:highlight w:val="none"/>
          <w14:textFill>
            <w14:solidFill>
              <w14:schemeClr w14:val="tx1"/>
            </w14:solidFill>
          </w14:textFill>
        </w:rPr>
      </w:pPr>
    </w:p>
    <w:p w14:paraId="49EAD152">
      <w:pPr>
        <w:snapToGrid w:val="0"/>
        <w:spacing w:line="360" w:lineRule="auto"/>
        <w:ind w:left="120" w:leftChars="57" w:firstLine="482" w:firstLineChars="150"/>
        <w:jc w:val="center"/>
        <w:rPr>
          <w:rFonts w:ascii="仿宋" w:hAnsi="仿宋" w:eastAsia="仿宋" w:cs="仿宋_GB2312"/>
          <w:b/>
          <w:color w:val="000000" w:themeColor="text1"/>
          <w:sz w:val="32"/>
          <w:highlight w:val="none"/>
          <w14:textFill>
            <w14:solidFill>
              <w14:schemeClr w14:val="tx1"/>
            </w14:solidFill>
          </w14:textFill>
        </w:rPr>
      </w:pPr>
      <w:r>
        <w:rPr>
          <w:rFonts w:hint="eastAsia" w:ascii="仿宋" w:hAnsi="仿宋" w:eastAsia="仿宋" w:cs="仿宋_GB2312"/>
          <w:b/>
          <w:color w:val="000000" w:themeColor="text1"/>
          <w:sz w:val="32"/>
          <w:highlight w:val="none"/>
          <w14:textFill>
            <w14:solidFill>
              <w14:schemeClr w14:val="tx1"/>
            </w14:solidFill>
          </w14:textFill>
        </w:rPr>
        <w:t>七、框架协议签订</w:t>
      </w:r>
    </w:p>
    <w:p w14:paraId="298682A2">
      <w:pPr>
        <w:pStyle w:val="21"/>
        <w:spacing w:line="360" w:lineRule="auto"/>
        <w:ind w:left="479" w:hanging="479" w:hangingChars="199"/>
        <w:rPr>
          <w:rFonts w:ascii="仿宋" w:hAnsi="仿宋" w:eastAsia="仿宋" w:cs="仿宋_GB2312"/>
          <w:b/>
          <w:color w:val="000000" w:themeColor="text1"/>
          <w:highlight w:val="none"/>
          <w14:textFill>
            <w14:solidFill>
              <w14:schemeClr w14:val="tx1"/>
            </w14:solidFill>
          </w14:textFill>
        </w:rPr>
      </w:pPr>
      <w:r>
        <w:rPr>
          <w:rFonts w:hint="eastAsia" w:ascii="仿宋" w:hAnsi="仿宋" w:eastAsia="仿宋" w:cs="仿宋_GB2312"/>
          <w:b/>
          <w:color w:val="000000" w:themeColor="text1"/>
          <w:highlight w:val="none"/>
          <w14:textFill>
            <w14:solidFill>
              <w14:schemeClr w14:val="tx1"/>
            </w14:solidFill>
          </w14:textFill>
        </w:rPr>
        <w:t>2</w:t>
      </w:r>
      <w:r>
        <w:rPr>
          <w:rFonts w:hint="eastAsia" w:ascii="仿宋" w:hAnsi="仿宋" w:eastAsia="仿宋" w:cs="仿宋_GB2312"/>
          <w:b/>
          <w:color w:val="000000" w:themeColor="text1"/>
          <w:highlight w:val="none"/>
          <w:lang w:val="en-US" w:eastAsia="zh-CN"/>
          <w14:textFill>
            <w14:solidFill>
              <w14:schemeClr w14:val="tx1"/>
            </w14:solidFill>
          </w14:textFill>
        </w:rPr>
        <w:t>5</w:t>
      </w:r>
      <w:r>
        <w:rPr>
          <w:rFonts w:hint="eastAsia" w:ascii="仿宋" w:hAnsi="仿宋" w:eastAsia="仿宋" w:cs="仿宋_GB2312"/>
          <w:b/>
          <w:color w:val="000000" w:themeColor="text1"/>
          <w:highlight w:val="none"/>
          <w14:textFill>
            <w14:solidFill>
              <w14:schemeClr w14:val="tx1"/>
            </w14:solidFill>
          </w14:textFill>
        </w:rPr>
        <w:t xml:space="preserve">. </w:t>
      </w:r>
      <w:r>
        <w:rPr>
          <w:rFonts w:hint="eastAsia" w:ascii="仿宋" w:hAnsi="仿宋" w:eastAsia="仿宋" w:cs="仿宋_GB2312"/>
          <w:color w:val="000000" w:themeColor="text1"/>
          <w:highlight w:val="none"/>
          <w14:textFill>
            <w14:solidFill>
              <w14:schemeClr w14:val="tx1"/>
            </w14:solidFill>
          </w14:textFill>
        </w:rPr>
        <w:t>框架协议签订主要条款详见第五部分</w:t>
      </w:r>
      <w:r>
        <w:rPr>
          <w:rFonts w:hint="eastAsia" w:ascii="仿宋" w:hAnsi="仿宋" w:eastAsia="仿宋" w:cs="仿宋_GB2312"/>
          <w:color w:val="000000" w:themeColor="text1"/>
          <w:highlight w:val="none"/>
          <w:lang w:eastAsia="zh-CN"/>
          <w14:textFill>
            <w14:solidFill>
              <w14:schemeClr w14:val="tx1"/>
            </w14:solidFill>
          </w14:textFill>
        </w:rPr>
        <w:t>拟签订的框架协议文本和采购合同文本</w:t>
      </w:r>
      <w:r>
        <w:rPr>
          <w:rFonts w:hint="eastAsia" w:ascii="仿宋" w:hAnsi="仿宋" w:eastAsia="仿宋" w:cs="仿宋_GB2312"/>
          <w:color w:val="000000" w:themeColor="text1"/>
          <w:highlight w:val="none"/>
          <w14:textFill>
            <w14:solidFill>
              <w14:schemeClr w14:val="tx1"/>
            </w14:solidFill>
          </w14:textFill>
        </w:rPr>
        <w:t>。</w:t>
      </w:r>
    </w:p>
    <w:p w14:paraId="39445294">
      <w:pPr>
        <w:pStyle w:val="21"/>
        <w:spacing w:line="360" w:lineRule="auto"/>
        <w:ind w:left="479" w:hanging="479" w:hangingChars="199"/>
        <w:rPr>
          <w:rFonts w:ascii="仿宋" w:hAnsi="仿宋" w:eastAsia="仿宋" w:cs="仿宋_GB2312"/>
          <w:b/>
          <w:color w:val="000000" w:themeColor="text1"/>
          <w:highlight w:val="none"/>
          <w14:textFill>
            <w14:solidFill>
              <w14:schemeClr w14:val="tx1"/>
            </w14:solidFill>
          </w14:textFill>
        </w:rPr>
      </w:pPr>
      <w:r>
        <w:rPr>
          <w:rFonts w:hint="eastAsia" w:ascii="仿宋" w:hAnsi="仿宋" w:eastAsia="仿宋" w:cs="仿宋_GB2312"/>
          <w:b/>
          <w:color w:val="000000" w:themeColor="text1"/>
          <w:highlight w:val="none"/>
          <w14:textFill>
            <w14:solidFill>
              <w14:schemeClr w14:val="tx1"/>
            </w14:solidFill>
          </w14:textFill>
        </w:rPr>
        <w:t>2</w:t>
      </w:r>
      <w:r>
        <w:rPr>
          <w:rFonts w:hint="eastAsia" w:ascii="仿宋" w:hAnsi="仿宋" w:eastAsia="仿宋" w:cs="仿宋_GB2312"/>
          <w:b/>
          <w:color w:val="000000" w:themeColor="text1"/>
          <w:highlight w:val="none"/>
          <w:lang w:val="en-US" w:eastAsia="zh-CN"/>
          <w14:textFill>
            <w14:solidFill>
              <w14:schemeClr w14:val="tx1"/>
            </w14:solidFill>
          </w14:textFill>
        </w:rPr>
        <w:t>6</w:t>
      </w:r>
      <w:r>
        <w:rPr>
          <w:rFonts w:hint="eastAsia" w:ascii="仿宋" w:hAnsi="仿宋" w:eastAsia="仿宋" w:cs="仿宋_GB2312"/>
          <w:b/>
          <w:color w:val="000000" w:themeColor="text1"/>
          <w:highlight w:val="none"/>
          <w14:textFill>
            <w14:solidFill>
              <w14:schemeClr w14:val="tx1"/>
            </w14:solidFill>
          </w14:textFill>
        </w:rPr>
        <w:t>. 框架协议的签订</w:t>
      </w:r>
    </w:p>
    <w:p w14:paraId="724A63E1">
      <w:pPr>
        <w:pStyle w:val="97"/>
        <w:snapToGrid w:val="0"/>
        <w:spacing w:before="0"/>
        <w:ind w:firstLine="480"/>
        <w:rPr>
          <w:rFonts w:ascii="仿宋" w:hAnsi="仿宋" w:eastAsia="仿宋" w:cs="仿宋_GB2312"/>
          <w:color w:val="000000" w:themeColor="text1"/>
          <w:kern w:val="0"/>
          <w:highlight w:val="none"/>
          <w:lang w:val="zh-CN"/>
          <w14:textFill>
            <w14:solidFill>
              <w14:schemeClr w14:val="tx1"/>
            </w14:solidFill>
          </w14:textFill>
        </w:rPr>
      </w:pPr>
      <w:r>
        <w:rPr>
          <w:rFonts w:hint="eastAsia" w:ascii="仿宋" w:hAnsi="仿宋" w:eastAsia="仿宋" w:cs="仿宋_GB2312"/>
          <w:color w:val="000000" w:themeColor="text1"/>
          <w:kern w:val="0"/>
          <w:highlight w:val="none"/>
          <w:lang w:val="zh-CN"/>
          <w14:textFill>
            <w14:solidFill>
              <w14:schemeClr w14:val="tx1"/>
            </w14:solidFill>
          </w14:textFill>
        </w:rPr>
        <w:t>2</w:t>
      </w:r>
      <w:r>
        <w:rPr>
          <w:rFonts w:hint="eastAsia" w:ascii="仿宋" w:hAnsi="仿宋" w:eastAsia="仿宋" w:cs="仿宋_GB2312"/>
          <w:color w:val="000000" w:themeColor="text1"/>
          <w:kern w:val="0"/>
          <w:highlight w:val="none"/>
          <w:lang w:val="en-US" w:eastAsia="zh-CN"/>
          <w14:textFill>
            <w14:solidFill>
              <w14:schemeClr w14:val="tx1"/>
            </w14:solidFill>
          </w14:textFill>
        </w:rPr>
        <w:t>6</w:t>
      </w:r>
      <w:r>
        <w:rPr>
          <w:rFonts w:hint="eastAsia" w:ascii="仿宋" w:hAnsi="仿宋" w:eastAsia="仿宋" w:cs="仿宋_GB2312"/>
          <w:color w:val="000000" w:themeColor="text1"/>
          <w:kern w:val="0"/>
          <w:highlight w:val="none"/>
          <w:lang w:val="zh-CN"/>
          <w14:textFill>
            <w14:solidFill>
              <w14:schemeClr w14:val="tx1"/>
            </w14:solidFill>
          </w14:textFill>
        </w:rPr>
        <w:t>.1 征集人与入围供应商应当通过电子交易平台在入围通知书发出之日起三十日内，按照征集文件确定的事项签订框架协议，并在签订之日起2个工作日内将框架协议在浙江政府采购网上公告。鼓励有条件的征集人视情缩减采购合同签订时限，提高采购效率，杜绝“冷、硬、横、推 ”等不当行为。除不可抗力等特殊情况外，原则上应当在入围通知书发出之日起10个工作日内， 与入围供应商按照征集文件确定的事项签订框架协议。</w:t>
      </w:r>
    </w:p>
    <w:p w14:paraId="0B4CBE10">
      <w:pPr>
        <w:pStyle w:val="97"/>
        <w:snapToGrid w:val="0"/>
        <w:spacing w:before="0"/>
        <w:ind w:firstLine="480"/>
        <w:rPr>
          <w:rFonts w:ascii="仿宋" w:hAnsi="仿宋" w:eastAsia="仿宋"/>
          <w:color w:val="000000" w:themeColor="text1"/>
          <w:kern w:val="0"/>
          <w:highlight w:val="none"/>
          <w14:textFill>
            <w14:solidFill>
              <w14:schemeClr w14:val="tx1"/>
            </w14:solidFill>
          </w14:textFill>
        </w:rPr>
      </w:pPr>
      <w:r>
        <w:rPr>
          <w:rFonts w:hint="eastAsia" w:ascii="仿宋" w:hAnsi="仿宋" w:eastAsia="仿宋" w:cs="仿宋_GB2312"/>
          <w:color w:val="000000" w:themeColor="text1"/>
          <w:kern w:val="0"/>
          <w:highlight w:val="none"/>
          <w:lang w:val="zh-CN"/>
          <w14:textFill>
            <w14:solidFill>
              <w14:schemeClr w14:val="tx1"/>
            </w14:solidFill>
          </w14:textFill>
        </w:rPr>
        <w:t>2</w:t>
      </w:r>
      <w:r>
        <w:rPr>
          <w:rFonts w:hint="eastAsia" w:ascii="仿宋" w:hAnsi="仿宋" w:eastAsia="仿宋" w:cs="仿宋_GB2312"/>
          <w:color w:val="000000" w:themeColor="text1"/>
          <w:kern w:val="0"/>
          <w:highlight w:val="none"/>
          <w:lang w:val="en-US" w:eastAsia="zh-CN"/>
          <w14:textFill>
            <w14:solidFill>
              <w14:schemeClr w14:val="tx1"/>
            </w14:solidFill>
          </w14:textFill>
        </w:rPr>
        <w:t>6</w:t>
      </w:r>
      <w:r>
        <w:rPr>
          <w:rFonts w:hint="eastAsia" w:ascii="仿宋" w:hAnsi="仿宋" w:eastAsia="仿宋" w:cs="仿宋_GB2312"/>
          <w:color w:val="000000" w:themeColor="text1"/>
          <w:kern w:val="0"/>
          <w:highlight w:val="none"/>
          <w:lang w:val="zh-CN"/>
          <w14:textFill>
            <w14:solidFill>
              <w14:schemeClr w14:val="tx1"/>
            </w14:solidFill>
          </w14:textFill>
        </w:rPr>
        <w:t>.2入围供应商按规定的日期、时间、地点，由法定代表人或其授权代表与征集人代表签订框架协议。如入围供应商为联合体的，由联合体成员各方法定代表人或其授权代表与征集人代表签订框架协议</w:t>
      </w:r>
      <w:r>
        <w:rPr>
          <w:rFonts w:hint="eastAsia" w:ascii="仿宋" w:hAnsi="仿宋" w:eastAsia="仿宋"/>
          <w:color w:val="000000" w:themeColor="text1"/>
          <w:kern w:val="0"/>
          <w:highlight w:val="none"/>
          <w:lang w:val="zh-CN"/>
          <w14:textFill>
            <w14:solidFill>
              <w14:schemeClr w14:val="tx1"/>
            </w14:solidFill>
          </w14:textFill>
        </w:rPr>
        <w:t>。</w:t>
      </w:r>
    </w:p>
    <w:p w14:paraId="3A9E78FA">
      <w:pPr>
        <w:pStyle w:val="97"/>
        <w:snapToGrid w:val="0"/>
        <w:spacing w:before="0"/>
        <w:ind w:firstLine="480"/>
        <w:rPr>
          <w:rFonts w:ascii="仿宋" w:hAnsi="仿宋" w:eastAsia="仿宋"/>
          <w:color w:val="000000" w:themeColor="text1"/>
          <w:kern w:val="0"/>
          <w:highlight w:val="none"/>
          <w:lang w:val="zh-CN"/>
          <w14:textFill>
            <w14:solidFill>
              <w14:schemeClr w14:val="tx1"/>
            </w14:solidFill>
          </w14:textFill>
        </w:rPr>
      </w:pPr>
      <w:r>
        <w:rPr>
          <w:rFonts w:hint="eastAsia" w:ascii="仿宋" w:hAnsi="仿宋" w:eastAsia="仿宋"/>
          <w:color w:val="000000" w:themeColor="text1"/>
          <w:kern w:val="0"/>
          <w:highlight w:val="none"/>
          <w:lang w:val="zh-CN"/>
          <w14:textFill>
            <w14:solidFill>
              <w14:schemeClr w14:val="tx1"/>
            </w14:solidFill>
          </w14:textFill>
        </w:rPr>
        <w:t>2</w:t>
      </w:r>
      <w:r>
        <w:rPr>
          <w:rFonts w:hint="eastAsia" w:ascii="仿宋" w:hAnsi="仿宋" w:eastAsia="仿宋"/>
          <w:color w:val="000000" w:themeColor="text1"/>
          <w:kern w:val="0"/>
          <w:highlight w:val="none"/>
          <w:lang w:val="en-US" w:eastAsia="zh-CN"/>
          <w14:textFill>
            <w14:solidFill>
              <w14:schemeClr w14:val="tx1"/>
            </w14:solidFill>
          </w14:textFill>
        </w:rPr>
        <w:t>6</w:t>
      </w:r>
      <w:r>
        <w:rPr>
          <w:rFonts w:hint="eastAsia" w:ascii="仿宋" w:hAnsi="仿宋" w:eastAsia="仿宋"/>
          <w:color w:val="000000" w:themeColor="text1"/>
          <w:kern w:val="0"/>
          <w:highlight w:val="none"/>
          <w:lang w:val="zh-CN"/>
          <w14:textFill>
            <w14:solidFill>
              <w14:schemeClr w14:val="tx1"/>
            </w14:solidFill>
          </w14:textFill>
        </w:rPr>
        <w:t>.3如签订框架协议并生效后，供应商无故拒绝或延期，除按照框架协议条款处理外，列入不良行为记录一次，并给予通报。</w:t>
      </w:r>
    </w:p>
    <w:p w14:paraId="4E3F3245">
      <w:pPr>
        <w:pStyle w:val="97"/>
        <w:snapToGrid w:val="0"/>
        <w:spacing w:before="0"/>
        <w:ind w:firstLine="480"/>
        <w:rPr>
          <w:rFonts w:hint="eastAsia" w:ascii="仿宋" w:hAnsi="仿宋" w:eastAsia="仿宋"/>
          <w:color w:val="000000" w:themeColor="text1"/>
          <w:kern w:val="0"/>
          <w:highlight w:val="none"/>
          <w:lang w:val="zh-CN"/>
          <w14:textFill>
            <w14:solidFill>
              <w14:schemeClr w14:val="tx1"/>
            </w14:solidFill>
          </w14:textFill>
        </w:rPr>
      </w:pPr>
      <w:r>
        <w:rPr>
          <w:rFonts w:hint="eastAsia" w:ascii="仿宋" w:hAnsi="仿宋" w:eastAsia="仿宋"/>
          <w:color w:val="000000" w:themeColor="text1"/>
          <w:kern w:val="0"/>
          <w:highlight w:val="none"/>
          <w:lang w:val="zh-CN"/>
          <w14:textFill>
            <w14:solidFill>
              <w14:schemeClr w14:val="tx1"/>
            </w14:solidFill>
          </w14:textFill>
        </w:rPr>
        <w:t>2</w:t>
      </w:r>
      <w:r>
        <w:rPr>
          <w:rFonts w:hint="eastAsia" w:ascii="仿宋" w:hAnsi="仿宋" w:eastAsia="仿宋"/>
          <w:color w:val="000000" w:themeColor="text1"/>
          <w:kern w:val="0"/>
          <w:highlight w:val="none"/>
          <w:lang w:val="en-US" w:eastAsia="zh-CN"/>
          <w14:textFill>
            <w14:solidFill>
              <w14:schemeClr w14:val="tx1"/>
            </w14:solidFill>
          </w14:textFill>
        </w:rPr>
        <w:t>6</w:t>
      </w:r>
      <w:r>
        <w:rPr>
          <w:rFonts w:hint="eastAsia" w:ascii="仿宋" w:hAnsi="仿宋" w:eastAsia="仿宋"/>
          <w:color w:val="000000" w:themeColor="text1"/>
          <w:kern w:val="0"/>
          <w:highlight w:val="none"/>
          <w:lang w:val="zh-CN"/>
          <w14:textFill>
            <w14:solidFill>
              <w14:schemeClr w14:val="tx1"/>
            </w14:solidFill>
          </w14:textFill>
        </w:rPr>
        <w:t>.4入围供应商拒绝与征集人签订框架协议的，征集人可以按照评审报告推荐的</w:t>
      </w:r>
    </w:p>
    <w:p w14:paraId="2A028750">
      <w:pPr>
        <w:pStyle w:val="97"/>
        <w:snapToGrid w:val="0"/>
        <w:spacing w:before="0"/>
        <w:ind w:left="0" w:leftChars="0" w:firstLine="0" w:firstLineChars="0"/>
        <w:rPr>
          <w:rFonts w:ascii="仿宋" w:hAnsi="仿宋" w:eastAsia="仿宋"/>
          <w:color w:val="000000" w:themeColor="text1"/>
          <w:kern w:val="0"/>
          <w:highlight w:val="none"/>
          <w:lang w:val="zh-CN"/>
          <w14:textFill>
            <w14:solidFill>
              <w14:schemeClr w14:val="tx1"/>
            </w14:solidFill>
          </w14:textFill>
        </w:rPr>
      </w:pPr>
      <w:r>
        <w:rPr>
          <w:rFonts w:hint="eastAsia" w:ascii="仿宋" w:hAnsi="仿宋" w:eastAsia="仿宋"/>
          <w:color w:val="000000" w:themeColor="text1"/>
          <w:kern w:val="0"/>
          <w:highlight w:val="none"/>
          <w:lang w:val="zh-CN"/>
          <w14:textFill>
            <w14:solidFill>
              <w14:schemeClr w14:val="tx1"/>
            </w14:solidFill>
          </w14:textFill>
        </w:rPr>
        <w:t>入围候选人名单排序，确定下一候选人为入围供应商，也可以重新开展政府采购活动。</w:t>
      </w:r>
    </w:p>
    <w:p w14:paraId="4DC8F66B">
      <w:pPr>
        <w:pStyle w:val="97"/>
        <w:snapToGrid w:val="0"/>
        <w:spacing w:before="0"/>
        <w:ind w:firstLine="480"/>
        <w:rPr>
          <w:rFonts w:ascii="仿宋" w:hAnsi="仿宋" w:eastAsia="仿宋" w:cs="仿宋_GB2312"/>
          <w:color w:val="000000" w:themeColor="text1"/>
          <w:highlight w:val="none"/>
          <w14:textFill>
            <w14:solidFill>
              <w14:schemeClr w14:val="tx1"/>
            </w14:solidFill>
          </w14:textFill>
        </w:rPr>
      </w:pPr>
      <w:r>
        <w:rPr>
          <w:rFonts w:ascii="仿宋" w:hAnsi="仿宋" w:eastAsia="仿宋" w:cs="仿宋_GB2312"/>
          <w:color w:val="000000" w:themeColor="text1"/>
          <w:highlight w:val="none"/>
          <w14:textFill>
            <w14:solidFill>
              <w14:schemeClr w14:val="tx1"/>
            </w14:solidFill>
          </w14:textFill>
        </w:rPr>
        <w:t>2</w:t>
      </w:r>
      <w:r>
        <w:rPr>
          <w:rFonts w:hint="eastAsia" w:ascii="仿宋" w:hAnsi="仿宋" w:eastAsia="仿宋" w:cs="仿宋_GB2312"/>
          <w:color w:val="000000" w:themeColor="text1"/>
          <w:highlight w:val="none"/>
          <w:lang w:val="en-US" w:eastAsia="zh-CN"/>
          <w14:textFill>
            <w14:solidFill>
              <w14:schemeClr w14:val="tx1"/>
            </w14:solidFill>
          </w14:textFill>
        </w:rPr>
        <w:t>6</w:t>
      </w:r>
      <w:r>
        <w:rPr>
          <w:rFonts w:ascii="仿宋" w:hAnsi="仿宋" w:eastAsia="仿宋" w:cs="仿宋_GB2312"/>
          <w:color w:val="000000" w:themeColor="text1"/>
          <w:highlight w:val="none"/>
          <w14:textFill>
            <w14:solidFill>
              <w14:schemeClr w14:val="tx1"/>
            </w14:solidFill>
          </w14:textFill>
        </w:rPr>
        <w:t>.5</w:t>
      </w:r>
      <w:r>
        <w:rPr>
          <w:rFonts w:hint="eastAsia" w:ascii="仿宋" w:hAnsi="仿宋" w:eastAsia="仿宋" w:cs="仿宋_GB2312"/>
          <w:color w:val="000000" w:themeColor="text1"/>
          <w:highlight w:val="none"/>
          <w14:textFill>
            <w14:solidFill>
              <w14:schemeClr w14:val="tx1"/>
            </w14:solidFill>
          </w14:textFill>
        </w:rPr>
        <w:t>签订框架协议</w:t>
      </w:r>
      <w:r>
        <w:rPr>
          <w:rFonts w:ascii="仿宋" w:hAnsi="仿宋" w:eastAsia="仿宋" w:cs="仿宋_GB2312"/>
          <w:color w:val="000000" w:themeColor="text1"/>
          <w:highlight w:val="none"/>
          <w14:textFill>
            <w14:solidFill>
              <w14:schemeClr w14:val="tx1"/>
            </w14:solidFill>
          </w14:textFill>
        </w:rPr>
        <w:t>由征集人与</w:t>
      </w:r>
      <w:r>
        <w:rPr>
          <w:rFonts w:hint="eastAsia" w:ascii="仿宋" w:hAnsi="仿宋" w:eastAsia="仿宋" w:cs="仿宋_GB2312"/>
          <w:color w:val="000000" w:themeColor="text1"/>
          <w:highlight w:val="none"/>
          <w:lang w:val="en-US" w:eastAsia="zh-CN"/>
          <w14:textFill>
            <w14:solidFill>
              <w14:schemeClr w14:val="tx1"/>
            </w14:solidFill>
          </w14:textFill>
        </w:rPr>
        <w:t>入围</w:t>
      </w:r>
      <w:r>
        <w:rPr>
          <w:rFonts w:ascii="仿宋" w:hAnsi="仿宋" w:eastAsia="仿宋" w:cs="仿宋_GB2312"/>
          <w:color w:val="000000" w:themeColor="text1"/>
          <w:highlight w:val="none"/>
          <w14:textFill>
            <w14:solidFill>
              <w14:schemeClr w14:val="tx1"/>
            </w14:solidFill>
          </w14:textFill>
        </w:rPr>
        <w:t>供应商根据</w:t>
      </w:r>
      <w:r>
        <w:rPr>
          <w:rFonts w:hint="eastAsia" w:ascii="仿宋" w:hAnsi="仿宋" w:eastAsia="仿宋" w:cs="仿宋_GB2312"/>
          <w:color w:val="000000" w:themeColor="text1"/>
          <w:highlight w:val="none"/>
          <w14:textFill>
            <w14:solidFill>
              <w14:schemeClr w14:val="tx1"/>
            </w14:solidFill>
          </w14:textFill>
        </w:rPr>
        <w:t>征集文件、响应文件等内容通过政府采购电子交易平台在线签订，自动备案。</w:t>
      </w:r>
    </w:p>
    <w:p w14:paraId="581989B7">
      <w:pPr>
        <w:pStyle w:val="21"/>
        <w:spacing w:line="360" w:lineRule="auto"/>
        <w:ind w:left="479" w:hanging="479" w:hangingChars="199"/>
        <w:rPr>
          <w:rFonts w:ascii="仿宋" w:hAnsi="仿宋" w:eastAsia="仿宋" w:cs="仿宋_GB2312"/>
          <w:b/>
          <w:color w:val="000000" w:themeColor="text1"/>
          <w:highlight w:val="none"/>
          <w14:textFill>
            <w14:solidFill>
              <w14:schemeClr w14:val="tx1"/>
            </w14:solidFill>
          </w14:textFill>
        </w:rPr>
      </w:pPr>
      <w:r>
        <w:rPr>
          <w:rFonts w:hint="eastAsia" w:ascii="仿宋" w:hAnsi="仿宋" w:eastAsia="仿宋" w:cs="仿宋_GB2312"/>
          <w:b/>
          <w:color w:val="000000" w:themeColor="text1"/>
          <w:highlight w:val="none"/>
          <w14:textFill>
            <w14:solidFill>
              <w14:schemeClr w14:val="tx1"/>
            </w14:solidFill>
          </w14:textFill>
        </w:rPr>
        <w:t>2</w:t>
      </w:r>
      <w:r>
        <w:rPr>
          <w:rFonts w:hint="eastAsia" w:ascii="仿宋" w:hAnsi="仿宋" w:eastAsia="仿宋" w:cs="仿宋_GB2312"/>
          <w:b/>
          <w:color w:val="000000" w:themeColor="text1"/>
          <w:highlight w:val="none"/>
          <w:lang w:val="en-US" w:eastAsia="zh-CN"/>
          <w14:textFill>
            <w14:solidFill>
              <w14:schemeClr w14:val="tx1"/>
            </w14:solidFill>
          </w14:textFill>
        </w:rPr>
        <w:t>7</w:t>
      </w:r>
      <w:r>
        <w:rPr>
          <w:rFonts w:hint="eastAsia" w:ascii="仿宋" w:hAnsi="仿宋" w:eastAsia="仿宋" w:cs="仿宋_GB2312"/>
          <w:b/>
          <w:color w:val="000000" w:themeColor="text1"/>
          <w:highlight w:val="none"/>
          <w14:textFill>
            <w14:solidFill>
              <w14:schemeClr w14:val="tx1"/>
            </w14:solidFill>
          </w14:textFill>
        </w:rPr>
        <w:t>. 履约保证金（本项目不适用）</w:t>
      </w:r>
    </w:p>
    <w:p w14:paraId="6367F9BD">
      <w:pPr>
        <w:tabs>
          <w:tab w:val="left" w:pos="0"/>
        </w:tabs>
        <w:spacing w:line="360" w:lineRule="auto"/>
        <w:ind w:firstLine="482"/>
        <w:rPr>
          <w:rFonts w:ascii="仿宋" w:hAnsi="仿宋" w:eastAsia="仿宋" w:cs="仿宋_GB2312"/>
          <w:color w:val="000000" w:themeColor="text1"/>
          <w:sz w:val="24"/>
          <w:szCs w:val="20"/>
          <w:highlight w:val="none"/>
          <w14:textFill>
            <w14:solidFill>
              <w14:schemeClr w14:val="tx1"/>
            </w14:solidFill>
          </w14:textFill>
        </w:rPr>
      </w:pPr>
      <w:r>
        <w:rPr>
          <w:rFonts w:hint="eastAsia" w:ascii="仿宋" w:hAnsi="仿宋" w:eastAsia="仿宋" w:cs="仿宋_GB2312"/>
          <w:color w:val="000000" w:themeColor="text1"/>
          <w:sz w:val="24"/>
          <w:szCs w:val="20"/>
          <w:highlight w:val="none"/>
          <w:lang w:eastAsia="zh-CN"/>
          <w14:textFill>
            <w14:solidFill>
              <w14:schemeClr w14:val="tx1"/>
            </w14:solidFill>
          </w14:textFill>
        </w:rPr>
        <w:t>拟签订的框架协议文本和采购合同文本</w:t>
      </w:r>
      <w:r>
        <w:rPr>
          <w:rFonts w:hint="eastAsia" w:ascii="仿宋" w:hAnsi="仿宋" w:eastAsia="仿宋" w:cs="仿宋_GB2312"/>
          <w:color w:val="000000" w:themeColor="text1"/>
          <w:sz w:val="24"/>
          <w:szCs w:val="20"/>
          <w:highlight w:val="none"/>
          <w14:textFill>
            <w14:solidFill>
              <w14:schemeClr w14:val="tx1"/>
            </w14:solidFill>
          </w14:textFill>
        </w:rPr>
        <w:t>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征集人不得拒收履约保函，项目验收结束后应及时退还，延迟退还的，应当按照合同约定和法律规定承担相应的赔偿责任。</w:t>
      </w:r>
    </w:p>
    <w:p w14:paraId="645938A1">
      <w:pPr>
        <w:tabs>
          <w:tab w:val="left" w:pos="0"/>
        </w:tabs>
        <w:spacing w:line="360" w:lineRule="auto"/>
        <w:ind w:firstLine="482"/>
        <w:rPr>
          <w:rFonts w:ascii="仿宋" w:hAnsi="仿宋" w:eastAsia="仿宋" w:cs="仿宋_GB2312"/>
          <w:color w:val="000000" w:themeColor="text1"/>
          <w:sz w:val="24"/>
          <w:szCs w:val="20"/>
          <w:highlight w:val="none"/>
          <w14:textFill>
            <w14:solidFill>
              <w14:schemeClr w14:val="tx1"/>
            </w14:solidFill>
          </w14:textFill>
        </w:rPr>
      </w:pPr>
      <w:r>
        <w:rPr>
          <w:rFonts w:hint="eastAsia" w:ascii="仿宋" w:hAnsi="仿宋" w:eastAsia="仿宋" w:cs="仿宋_GB2312"/>
          <w:color w:val="000000" w:themeColor="text1"/>
          <w:sz w:val="24"/>
          <w:szCs w:val="20"/>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w:t>
      </w:r>
    </w:p>
    <w:p w14:paraId="5C79110C">
      <w:pPr>
        <w:tabs>
          <w:tab w:val="left" w:pos="0"/>
        </w:tabs>
        <w:spacing w:line="360" w:lineRule="auto"/>
        <w:rPr>
          <w:rFonts w:ascii="仿宋" w:hAnsi="仿宋" w:eastAsia="仿宋" w:cs="Helvetica"/>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供应商提供保函可以根据杭州市滨江区门户网站公示的滨江区政采贷合作银行及联系人信息表（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"http://www.hhtz.gov.cn/art/2022/1/11/art_1487037_59039349.html" </w:instrText>
      </w:r>
      <w:r>
        <w:rPr>
          <w:color w:val="000000" w:themeColor="text1"/>
          <w:highlight w:val="none"/>
          <w14:textFill>
            <w14:solidFill>
              <w14:schemeClr w14:val="tx1"/>
            </w14:solidFill>
          </w14:textFill>
        </w:rPr>
        <w:fldChar w:fldCharType="separate"/>
      </w:r>
      <w:r>
        <w:rPr>
          <w:rStyle w:val="57"/>
          <w:rFonts w:ascii="仿宋" w:hAnsi="仿宋" w:eastAsia="仿宋"/>
          <w:color w:val="000000" w:themeColor="text1"/>
          <w:sz w:val="24"/>
          <w:highlight w:val="none"/>
          <w14:textFill>
            <w14:solidFill>
              <w14:schemeClr w14:val="tx1"/>
            </w14:solidFill>
          </w14:textFill>
        </w:rPr>
        <w:t>http://www.hhtz.gov.cn/art/2022/1/11/art_1487037_59039349.html</w:t>
      </w:r>
      <w:r>
        <w:rPr>
          <w:rStyle w:val="57"/>
          <w:rFonts w:ascii="仿宋" w:hAnsi="仿宋" w:eastAsia="仿宋"/>
          <w:color w:val="000000" w:themeColor="text1"/>
          <w:sz w:val="24"/>
          <w:highlight w:val="none"/>
          <w14:textFill>
            <w14:solidFill>
              <w14:schemeClr w14:val="tx1"/>
            </w14:solidFill>
          </w14:textFill>
        </w:rPr>
        <w:fldChar w:fldCharType="end"/>
      </w:r>
      <w:r>
        <w:rPr>
          <w:rFonts w:ascii="仿宋" w:hAnsi="仿宋" w:eastAsia="仿宋"/>
          <w:snapToGrid w:val="0"/>
          <w:color w:val="000000" w:themeColor="text1"/>
          <w:kern w:val="28"/>
          <w:sz w:val="24"/>
          <w:highlight w:val="none"/>
          <w14:textFill>
            <w14:solidFill>
              <w14:schemeClr w14:val="tx1"/>
            </w14:solidFill>
          </w14:textFill>
        </w:rPr>
        <w:t>）获取联系方式选择银行、对接申请提供保函服务。还可以</w:t>
      </w:r>
      <w:r>
        <w:rPr>
          <w:rFonts w:hint="eastAsia" w:ascii="仿宋" w:hAnsi="仿宋" w:eastAsia="仿宋" w:cs="Helvetica"/>
          <w:color w:val="000000" w:themeColor="text1"/>
          <w:kern w:val="0"/>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7B9CB91">
      <w:pPr>
        <w:tabs>
          <w:tab w:val="left" w:pos="0"/>
        </w:tabs>
        <w:spacing w:line="360" w:lineRule="auto"/>
        <w:rPr>
          <w:rFonts w:ascii="仿宋" w:hAnsi="仿宋" w:eastAsia="仿宋"/>
          <w:color w:val="000000" w:themeColor="text1"/>
          <w:sz w:val="24"/>
          <w:highlight w:val="none"/>
          <w14:textFill>
            <w14:solidFill>
              <w14:schemeClr w14:val="tx1"/>
            </w14:solidFill>
          </w14:textFill>
        </w:rPr>
      </w:pPr>
    </w:p>
    <w:p w14:paraId="306077FF">
      <w:pPr>
        <w:numPr>
          <w:ilvl w:val="0"/>
          <w:numId w:val="3"/>
        </w:numPr>
        <w:snapToGrid w:val="0"/>
        <w:spacing w:line="360" w:lineRule="auto"/>
        <w:ind w:left="-3357" w:leftChars="0" w:firstLine="3357" w:firstLineChars="0"/>
        <w:rPr>
          <w:rFonts w:hint="eastAsia" w:ascii="仿宋" w:hAnsi="仿宋" w:eastAsia="仿宋" w:cs="仿宋_GB2312"/>
          <w:b/>
          <w:color w:val="000000" w:themeColor="text1"/>
          <w:sz w:val="32"/>
          <w:highlight w:val="none"/>
          <w14:textFill>
            <w14:solidFill>
              <w14:schemeClr w14:val="tx1"/>
            </w14:solidFill>
          </w14:textFill>
        </w:rPr>
      </w:pPr>
      <w:r>
        <w:rPr>
          <w:rFonts w:hint="eastAsia" w:ascii="仿宋" w:hAnsi="仿宋" w:eastAsia="仿宋" w:cs="仿宋_GB2312"/>
          <w:b/>
          <w:color w:val="000000" w:themeColor="text1"/>
          <w:sz w:val="32"/>
          <w:highlight w:val="none"/>
          <w14:textFill>
            <w14:solidFill>
              <w14:schemeClr w14:val="tx1"/>
            </w14:solidFill>
          </w14:textFill>
        </w:rPr>
        <w:t>采购合同授予</w:t>
      </w:r>
    </w:p>
    <w:p w14:paraId="014C7342">
      <w:pPr>
        <w:pStyle w:val="21"/>
        <w:spacing w:line="360" w:lineRule="auto"/>
        <w:ind w:left="479" w:hanging="479" w:hangingChars="199"/>
        <w:rPr>
          <w:rFonts w:hint="eastAsia" w:ascii="仿宋" w:hAnsi="仿宋" w:eastAsia="仿宋" w:cs="仿宋_GB2312"/>
          <w:b/>
          <w:color w:val="000000" w:themeColor="text1"/>
          <w:highlight w:val="none"/>
          <w:lang w:val="en-US" w:eastAsia="zh-CN"/>
          <w14:textFill>
            <w14:solidFill>
              <w14:schemeClr w14:val="tx1"/>
            </w14:solidFill>
          </w14:textFill>
        </w:rPr>
      </w:pPr>
      <w:r>
        <w:rPr>
          <w:rFonts w:hint="eastAsia" w:ascii="仿宋" w:hAnsi="仿宋" w:eastAsia="仿宋" w:cs="仿宋_GB2312"/>
          <w:b/>
          <w:color w:val="000000" w:themeColor="text1"/>
          <w:highlight w:val="none"/>
          <w:lang w:val="en-US" w:eastAsia="zh-CN"/>
          <w14:textFill>
            <w14:solidFill>
              <w14:schemeClr w14:val="tx1"/>
            </w14:solidFill>
          </w14:textFill>
        </w:rPr>
        <w:t>28. 适用框架协议的征集人或服务对象</w:t>
      </w:r>
    </w:p>
    <w:p w14:paraId="5732140D">
      <w:pPr>
        <w:pStyle w:val="2"/>
        <w:numPr>
          <w:ilvl w:val="0"/>
          <w:numId w:val="0"/>
        </w:numPr>
        <w:ind w:leftChars="0" w:firstLine="480" w:firstLineChars="200"/>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杭州市滨江区民政局。</w:t>
      </w:r>
    </w:p>
    <w:p w14:paraId="5EA64436">
      <w:pPr>
        <w:pStyle w:val="21"/>
        <w:spacing w:line="360" w:lineRule="auto"/>
        <w:ind w:left="479" w:hanging="479" w:hangingChars="199"/>
        <w:rPr>
          <w:rFonts w:hint="eastAsia" w:ascii="仿宋" w:hAnsi="仿宋" w:eastAsia="仿宋" w:cs="仿宋_GB2312"/>
          <w:b/>
          <w:color w:val="000000" w:themeColor="text1"/>
          <w:highlight w:val="none"/>
          <w:lang w:val="en-US" w:eastAsia="zh-CN"/>
          <w14:textFill>
            <w14:solidFill>
              <w14:schemeClr w14:val="tx1"/>
            </w14:solidFill>
          </w14:textFill>
        </w:rPr>
      </w:pPr>
      <w:r>
        <w:rPr>
          <w:rFonts w:hint="eastAsia" w:ascii="仿宋" w:hAnsi="仿宋" w:eastAsia="仿宋" w:cs="仿宋_GB2312"/>
          <w:b/>
          <w:color w:val="000000" w:themeColor="text1"/>
          <w:highlight w:val="none"/>
          <w:lang w:val="en-US" w:eastAsia="zh-CN"/>
          <w14:textFill>
            <w14:solidFill>
              <w14:schemeClr w14:val="tx1"/>
            </w14:solidFill>
          </w14:textFill>
        </w:rPr>
        <w:t>29. 第二阶段成交</w:t>
      </w:r>
    </w:p>
    <w:p w14:paraId="1F4F744B">
      <w:pPr>
        <w:pStyle w:val="2"/>
        <w:numPr>
          <w:ilvl w:val="0"/>
          <w:numId w:val="0"/>
        </w:numPr>
        <w:ind w:leftChars="0" w:firstLine="480" w:firstLineChars="200"/>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29.1.本项目确定第二阶段成交供应商的方式采用：直接选定方式，由征集人由采购人或者服务对象依据入围产品价格、质量以及服务便利性、用户评价等因素从第一阶段入围供应商中直接选定。</w:t>
      </w:r>
    </w:p>
    <w:p w14:paraId="4A500D9D">
      <w:pPr>
        <w:pStyle w:val="2"/>
        <w:numPr>
          <w:ilvl w:val="0"/>
          <w:numId w:val="0"/>
        </w:numPr>
        <w:ind w:leftChars="0" w:firstLine="480" w:firstLineChars="200"/>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29.2. 成交结果公告</w:t>
      </w:r>
    </w:p>
    <w:p w14:paraId="03547EA6">
      <w:pPr>
        <w:pStyle w:val="2"/>
        <w:numPr>
          <w:ilvl w:val="0"/>
          <w:numId w:val="0"/>
        </w:numPr>
        <w:ind w:leftChars="0" w:firstLine="480" w:firstLineChars="200"/>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征集人在确定成交供应商后 2 个工作日内通过电子交易平台发布成交结果公告。</w:t>
      </w:r>
    </w:p>
    <w:p w14:paraId="46B4F486">
      <w:pPr>
        <w:pStyle w:val="21"/>
        <w:spacing w:line="360" w:lineRule="auto"/>
        <w:ind w:left="479" w:hanging="479" w:hangingChars="199"/>
        <w:rPr>
          <w:rFonts w:hint="eastAsia" w:ascii="仿宋" w:hAnsi="仿宋" w:eastAsia="仿宋" w:cs="仿宋_GB2312"/>
          <w:b/>
          <w:color w:val="000000" w:themeColor="text1"/>
          <w:highlight w:val="none"/>
          <w:lang w:val="en-US" w:eastAsia="zh-CN"/>
          <w14:textFill>
            <w14:solidFill>
              <w14:schemeClr w14:val="tx1"/>
            </w14:solidFill>
          </w14:textFill>
        </w:rPr>
      </w:pPr>
      <w:r>
        <w:rPr>
          <w:rFonts w:hint="eastAsia" w:ascii="仿宋" w:hAnsi="仿宋" w:eastAsia="仿宋" w:cs="仿宋_GB2312"/>
          <w:b/>
          <w:color w:val="000000" w:themeColor="text1"/>
          <w:highlight w:val="none"/>
          <w:lang w:val="en-US" w:eastAsia="zh-CN"/>
          <w14:textFill>
            <w14:solidFill>
              <w14:schemeClr w14:val="tx1"/>
            </w14:solidFill>
          </w14:textFill>
        </w:rPr>
        <w:t>30. 签订采购合同</w:t>
      </w:r>
    </w:p>
    <w:p w14:paraId="24DAEB24">
      <w:pPr>
        <w:pStyle w:val="2"/>
        <w:numPr>
          <w:ilvl w:val="0"/>
          <w:numId w:val="0"/>
        </w:numPr>
        <w:ind w:leftChars="0" w:firstLine="480" w:firstLineChars="200"/>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30.1. 合同条款详见征集文件中第五部分</w:t>
      </w:r>
      <w:r>
        <w:rPr>
          <w:rFonts w:hint="eastAsia" w:ascii="仿宋" w:eastAsia="仿宋" w:cs="仿宋_GB2312"/>
          <w:b w:val="0"/>
          <w:bCs w:val="0"/>
          <w:color w:val="000000" w:themeColor="text1"/>
          <w:kern w:val="2"/>
          <w:sz w:val="24"/>
          <w:szCs w:val="20"/>
          <w:highlight w:val="none"/>
          <w:lang w:val="en-US" w:eastAsia="zh-CN" w:bidi="ar-SA"/>
          <w14:textFill>
            <w14:solidFill>
              <w14:schemeClr w14:val="tx1"/>
            </w14:solidFill>
          </w14:textFill>
        </w:rPr>
        <w:t>拟签订的框架协议文本和采购合同文本</w:t>
      </w: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w:t>
      </w:r>
    </w:p>
    <w:p w14:paraId="001CACC1">
      <w:pPr>
        <w:pStyle w:val="2"/>
        <w:numPr>
          <w:ilvl w:val="0"/>
          <w:numId w:val="0"/>
        </w:numPr>
        <w:ind w:leftChars="0" w:firstLine="480" w:firstLineChars="200"/>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30.2. 成交供应商按规定的日期、时间、地点，由法定代表人或其授权代表与征集人或服务对象代表签订合同。如成交供应商为联合体的，由联合体成员各方法定代表人或其授权代表与征集人或服务对象代表签订合同。</w:t>
      </w:r>
    </w:p>
    <w:p w14:paraId="23B58FDB">
      <w:pPr>
        <w:pStyle w:val="2"/>
        <w:numPr>
          <w:ilvl w:val="0"/>
          <w:numId w:val="0"/>
        </w:numPr>
        <w:ind w:leftChars="0" w:firstLine="480" w:firstLineChars="200"/>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30.3. 如成交供应商无正当理由拒绝签订合同的，解除框架协议，上报财政监管部门。如成交供应商签订合同并生效后，供应商无正当理由拒绝或延期，除按照合同条款处理外，解除框架协议，上报财政监管部门。</w:t>
      </w:r>
    </w:p>
    <w:p w14:paraId="5F82145F">
      <w:pPr>
        <w:pStyle w:val="2"/>
        <w:numPr>
          <w:ilvl w:val="0"/>
          <w:numId w:val="0"/>
        </w:numPr>
        <w:ind w:leftChars="0" w:firstLine="480" w:firstLineChars="200"/>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p>
    <w:p w14:paraId="4ECD7E9E">
      <w:pPr>
        <w:numPr>
          <w:ilvl w:val="0"/>
          <w:numId w:val="3"/>
        </w:numPr>
        <w:snapToGrid w:val="0"/>
        <w:spacing w:line="360" w:lineRule="auto"/>
        <w:ind w:left="-3357" w:leftChars="0" w:firstLine="3357" w:firstLineChars="0"/>
        <w:jc w:val="center"/>
        <w:rPr>
          <w:rFonts w:hint="eastAsia" w:ascii="仿宋" w:hAnsi="仿宋" w:eastAsia="仿宋" w:cs="仿宋_GB2312"/>
          <w:b/>
          <w:color w:val="000000" w:themeColor="text1"/>
          <w:sz w:val="32"/>
          <w:highlight w:val="none"/>
          <w14:textFill>
            <w14:solidFill>
              <w14:schemeClr w14:val="tx1"/>
            </w14:solidFill>
          </w14:textFill>
        </w:rPr>
      </w:pPr>
      <w:r>
        <w:rPr>
          <w:rFonts w:hint="eastAsia" w:ascii="仿宋" w:hAnsi="仿宋" w:eastAsia="仿宋" w:cs="仿宋_GB2312"/>
          <w:b/>
          <w:color w:val="000000" w:themeColor="text1"/>
          <w:sz w:val="32"/>
          <w:highlight w:val="none"/>
          <w14:textFill>
            <w14:solidFill>
              <w14:schemeClr w14:val="tx1"/>
            </w14:solidFill>
          </w14:textFill>
        </w:rPr>
        <w:t>入围供应商清退和补充规则</w:t>
      </w:r>
    </w:p>
    <w:p w14:paraId="4F82A8BB">
      <w:pPr>
        <w:pStyle w:val="21"/>
        <w:numPr>
          <w:ilvl w:val="0"/>
          <w:numId w:val="4"/>
        </w:numPr>
        <w:spacing w:line="360" w:lineRule="auto"/>
        <w:ind w:left="479" w:hanging="479" w:hangingChars="199"/>
        <w:rPr>
          <w:rFonts w:hint="eastAsia" w:ascii="仿宋" w:hAnsi="仿宋" w:eastAsia="仿宋" w:cs="仿宋_GB2312"/>
          <w:b/>
          <w:color w:val="000000" w:themeColor="text1"/>
          <w:highlight w:val="none"/>
          <w:lang w:val="en-US" w:eastAsia="zh-CN"/>
          <w14:textFill>
            <w14:solidFill>
              <w14:schemeClr w14:val="tx1"/>
            </w14:solidFill>
          </w14:textFill>
        </w:rPr>
      </w:pPr>
      <w:r>
        <w:rPr>
          <w:rFonts w:hint="eastAsia" w:ascii="仿宋" w:hAnsi="仿宋" w:eastAsia="仿宋" w:cs="仿宋_GB2312"/>
          <w:b/>
          <w:color w:val="000000" w:themeColor="text1"/>
          <w:highlight w:val="none"/>
          <w:lang w:val="en-US" w:eastAsia="zh-CN"/>
          <w14:textFill>
            <w14:solidFill>
              <w14:schemeClr w14:val="tx1"/>
            </w14:solidFill>
          </w14:textFill>
        </w:rPr>
        <w:t>清退</w:t>
      </w:r>
    </w:p>
    <w:p w14:paraId="601EFED6">
      <w:pPr>
        <w:pStyle w:val="21"/>
        <w:numPr>
          <w:ilvl w:val="0"/>
          <w:numId w:val="0"/>
        </w:numPr>
        <w:spacing w:line="360" w:lineRule="auto"/>
        <w:ind w:leftChars="-199" w:firstLine="720" w:firstLineChars="300"/>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入围供应商有下列情形之一，尚未签订框架协议的，取消其入围资格；已经签订框架协议的，解除与其签订的框架协议：</w:t>
      </w:r>
    </w:p>
    <w:p w14:paraId="2EACBD52">
      <w:pPr>
        <w:pStyle w:val="21"/>
        <w:numPr>
          <w:ilvl w:val="0"/>
          <w:numId w:val="0"/>
        </w:numPr>
        <w:spacing w:line="360" w:lineRule="auto"/>
        <w:ind w:leftChars="101"/>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1.恶意串通谋取入围或者合同成交的；</w:t>
      </w:r>
    </w:p>
    <w:p w14:paraId="648987DA">
      <w:pPr>
        <w:pStyle w:val="21"/>
        <w:numPr>
          <w:ilvl w:val="0"/>
          <w:numId w:val="0"/>
        </w:numPr>
        <w:spacing w:line="360" w:lineRule="auto"/>
        <w:ind w:leftChars="101"/>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2.提供虚假材料谋取入围或者合同成交的；</w:t>
      </w:r>
    </w:p>
    <w:p w14:paraId="564D3792">
      <w:pPr>
        <w:pStyle w:val="21"/>
        <w:numPr>
          <w:ilvl w:val="0"/>
          <w:numId w:val="0"/>
        </w:numPr>
        <w:spacing w:line="360" w:lineRule="auto"/>
        <w:ind w:leftChars="101"/>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3.无正当理由拒不接受合同授予的；</w:t>
      </w:r>
    </w:p>
    <w:p w14:paraId="11BEC50A">
      <w:pPr>
        <w:pStyle w:val="21"/>
        <w:numPr>
          <w:ilvl w:val="0"/>
          <w:numId w:val="0"/>
        </w:numPr>
        <w:spacing w:line="360" w:lineRule="auto"/>
        <w:ind w:leftChars="101"/>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4.不履行合同义务或者履行合同义务不符合约定，经征集人请求履行后仍不履行或者</w:t>
      </w:r>
    </w:p>
    <w:p w14:paraId="64986192">
      <w:pPr>
        <w:pStyle w:val="21"/>
        <w:numPr>
          <w:ilvl w:val="0"/>
          <w:numId w:val="0"/>
        </w:numPr>
        <w:spacing w:line="360" w:lineRule="auto"/>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仍未按约定履行的；</w:t>
      </w:r>
    </w:p>
    <w:p w14:paraId="4D4ADEBE">
      <w:pPr>
        <w:pStyle w:val="21"/>
        <w:numPr>
          <w:ilvl w:val="0"/>
          <w:numId w:val="0"/>
        </w:numPr>
        <w:spacing w:line="360" w:lineRule="auto"/>
        <w:ind w:leftChars="101"/>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5.框架协议有效期内，因违法行为被禁止或限制参加政府采购活动的；</w:t>
      </w:r>
    </w:p>
    <w:p w14:paraId="37203122">
      <w:pPr>
        <w:pStyle w:val="21"/>
        <w:numPr>
          <w:ilvl w:val="0"/>
          <w:numId w:val="0"/>
        </w:numPr>
        <w:spacing w:line="360" w:lineRule="auto"/>
        <w:ind w:leftChars="101"/>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6.框架协议约定的其他情形。</w:t>
      </w:r>
    </w:p>
    <w:p w14:paraId="110C88C2">
      <w:pPr>
        <w:pStyle w:val="21"/>
        <w:numPr>
          <w:ilvl w:val="0"/>
          <w:numId w:val="0"/>
        </w:numPr>
        <w:spacing w:line="360" w:lineRule="auto"/>
        <w:ind w:leftChars="101"/>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被取消入围资格或者被解除框架协议的供应商不得参加同一封闭式框架协议补充征</w:t>
      </w:r>
    </w:p>
    <w:p w14:paraId="691B4223">
      <w:pPr>
        <w:pStyle w:val="21"/>
        <w:numPr>
          <w:ilvl w:val="0"/>
          <w:numId w:val="0"/>
        </w:numPr>
        <w:spacing w:line="360" w:lineRule="auto"/>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集，或者重新申请加入同一开放式框架协议。</w:t>
      </w:r>
    </w:p>
    <w:p w14:paraId="01CA2684">
      <w:pPr>
        <w:pStyle w:val="21"/>
        <w:spacing w:line="360" w:lineRule="auto"/>
        <w:ind w:left="479" w:hanging="479" w:hangingChars="199"/>
        <w:rPr>
          <w:rFonts w:hint="eastAsia" w:ascii="仿宋" w:hAnsi="仿宋" w:eastAsia="仿宋" w:cs="仿宋_GB2312"/>
          <w:b/>
          <w:color w:val="000000" w:themeColor="text1"/>
          <w:highlight w:val="none"/>
          <w:lang w:val="en-US" w:eastAsia="zh-CN"/>
          <w14:textFill>
            <w14:solidFill>
              <w14:schemeClr w14:val="tx1"/>
            </w14:solidFill>
          </w14:textFill>
        </w:rPr>
      </w:pPr>
      <w:r>
        <w:rPr>
          <w:rFonts w:hint="eastAsia" w:ascii="仿宋" w:hAnsi="仿宋" w:eastAsia="仿宋" w:cs="仿宋_GB2312"/>
          <w:b/>
          <w:color w:val="000000" w:themeColor="text1"/>
          <w:highlight w:val="none"/>
          <w:lang w:val="en-US" w:eastAsia="zh-CN"/>
          <w14:textFill>
            <w14:solidFill>
              <w14:schemeClr w14:val="tx1"/>
            </w14:solidFill>
          </w14:textFill>
        </w:rPr>
        <w:t>32. 补充征集规则</w:t>
      </w:r>
    </w:p>
    <w:p w14:paraId="0CD36A51">
      <w:pPr>
        <w:pStyle w:val="2"/>
        <w:numPr>
          <w:ilvl w:val="0"/>
          <w:numId w:val="0"/>
        </w:numPr>
        <w:ind w:leftChars="0" w:firstLine="480" w:firstLineChars="200"/>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val="0"/>
          <w:color w:val="000000" w:themeColor="text1"/>
          <w:kern w:val="2"/>
          <w:sz w:val="24"/>
          <w:szCs w:val="20"/>
          <w:highlight w:val="none"/>
          <w:lang w:val="en-US" w:eastAsia="zh-CN" w:bidi="ar-SA"/>
          <w14:textFill>
            <w14:solidFill>
              <w14:schemeClr w14:val="tx1"/>
            </w14:solidFill>
          </w14:textFill>
        </w:rPr>
        <w:t>剩余入围供应商不足入围供应商总数70%且影响框架协议执行，征集人可以补充征集供应商。补充征集的条件、程序、评审方法和淘汰比例与初次征集相同。补充征集期间，原框架协议继续履行。</w:t>
      </w:r>
    </w:p>
    <w:p w14:paraId="6DDDA476">
      <w:pPr>
        <w:rPr>
          <w:rFonts w:hint="eastAsia"/>
          <w:color w:val="000000" w:themeColor="text1"/>
          <w:highlight w:val="none"/>
          <w:lang w:val="en-US" w:eastAsia="zh-CN"/>
          <w14:textFill>
            <w14:solidFill>
              <w14:schemeClr w14:val="tx1"/>
            </w14:solidFill>
          </w14:textFill>
        </w:rPr>
      </w:pPr>
    </w:p>
    <w:p w14:paraId="33722922">
      <w:pPr>
        <w:numPr>
          <w:ilvl w:val="0"/>
          <w:numId w:val="3"/>
        </w:numPr>
        <w:snapToGrid w:val="0"/>
        <w:spacing w:line="360" w:lineRule="auto"/>
        <w:ind w:left="-3357" w:leftChars="0" w:firstLine="3357" w:firstLineChars="0"/>
        <w:jc w:val="center"/>
        <w:rPr>
          <w:rFonts w:hint="eastAsia" w:ascii="仿宋" w:hAnsi="仿宋" w:eastAsia="仿宋" w:cs="仿宋_GB2312"/>
          <w:b/>
          <w:color w:val="000000" w:themeColor="text1"/>
          <w:sz w:val="32"/>
          <w:highlight w:val="none"/>
          <w14:textFill>
            <w14:solidFill>
              <w14:schemeClr w14:val="tx1"/>
            </w14:solidFill>
          </w14:textFill>
        </w:rPr>
      </w:pPr>
      <w:r>
        <w:rPr>
          <w:rFonts w:hint="eastAsia" w:ascii="仿宋" w:hAnsi="仿宋" w:eastAsia="仿宋" w:cs="仿宋_GB2312"/>
          <w:b/>
          <w:color w:val="000000" w:themeColor="text1"/>
          <w:sz w:val="32"/>
          <w:highlight w:val="none"/>
          <w14:textFill>
            <w14:solidFill>
              <w14:schemeClr w14:val="tx1"/>
            </w14:solidFill>
          </w14:textFill>
        </w:rPr>
        <w:t>电子交易活动的中止</w:t>
      </w:r>
    </w:p>
    <w:p w14:paraId="1F27C058">
      <w:pPr>
        <w:pStyle w:val="97"/>
        <w:snapToGrid w:val="0"/>
        <w:spacing w:before="0"/>
        <w:ind w:firstLine="0" w:firstLineChars="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b/>
          <w:color w:val="000000" w:themeColor="text1"/>
          <w:highlight w:val="none"/>
          <w:lang w:val="en-US" w:eastAsia="zh-CN"/>
          <w14:textFill>
            <w14:solidFill>
              <w14:schemeClr w14:val="tx1"/>
            </w14:solidFill>
          </w14:textFill>
        </w:rPr>
        <w:t>33</w:t>
      </w:r>
      <w:r>
        <w:rPr>
          <w:rFonts w:hint="eastAsia" w:ascii="仿宋" w:hAnsi="仿宋" w:eastAsia="仿宋" w:cs="仿宋_GB2312"/>
          <w:b/>
          <w:color w:val="000000" w:themeColor="text1"/>
          <w:szCs w:val="24"/>
          <w:highlight w:val="none"/>
          <w14:textFill>
            <w14:solidFill>
              <w14:schemeClr w14:val="tx1"/>
            </w14:solidFill>
          </w14:textFill>
        </w:rPr>
        <w:t>. 电子交易活动的中止。</w:t>
      </w:r>
      <w:r>
        <w:rPr>
          <w:rFonts w:hint="eastAsia" w:ascii="仿宋" w:hAnsi="仿宋" w:eastAsia="仿宋" w:cs="仿宋_GB2312"/>
          <w:color w:val="000000" w:themeColor="text1"/>
          <w:highlight w:val="none"/>
          <w14:textFill>
            <w14:solidFill>
              <w14:schemeClr w14:val="tx1"/>
            </w14:solidFill>
          </w14:textFill>
        </w:rPr>
        <w:t>采购过程中出现以下情形，</w:t>
      </w:r>
      <w:r>
        <w:rPr>
          <w:rFonts w:ascii="仿宋" w:hAnsi="仿宋" w:eastAsia="仿宋" w:cs="仿宋_GB2312"/>
          <w:color w:val="000000" w:themeColor="text1"/>
          <w:highlight w:val="none"/>
          <w14:textFill>
            <w14:solidFill>
              <w14:schemeClr w14:val="tx1"/>
            </w14:solidFill>
          </w14:textFill>
        </w:rPr>
        <w:t>导致</w:t>
      </w:r>
      <w:r>
        <w:rPr>
          <w:rFonts w:hint="eastAsia" w:ascii="仿宋" w:hAnsi="仿宋" w:eastAsia="仿宋" w:cs="仿宋_GB2312"/>
          <w:color w:val="000000" w:themeColor="text1"/>
          <w:highlight w:val="none"/>
          <w14:textFill>
            <w14:solidFill>
              <w14:schemeClr w14:val="tx1"/>
            </w14:solidFill>
          </w14:textFill>
        </w:rPr>
        <w:t>电子交易平台</w:t>
      </w:r>
      <w:r>
        <w:rPr>
          <w:rFonts w:ascii="仿宋" w:hAnsi="仿宋" w:eastAsia="仿宋" w:cs="仿宋_GB2312"/>
          <w:color w:val="000000" w:themeColor="text1"/>
          <w:highlight w:val="none"/>
          <w14:textFill>
            <w14:solidFill>
              <w14:schemeClr w14:val="tx1"/>
            </w14:solidFill>
          </w14:textFill>
        </w:rPr>
        <w:t>无法正常运行，或者无法保证电子</w:t>
      </w:r>
      <w:r>
        <w:rPr>
          <w:rFonts w:hint="eastAsia" w:ascii="仿宋" w:hAnsi="仿宋" w:eastAsia="仿宋" w:cs="仿宋_GB2312"/>
          <w:color w:val="000000" w:themeColor="text1"/>
          <w:highlight w:val="none"/>
          <w14:textFill>
            <w14:solidFill>
              <w14:schemeClr w14:val="tx1"/>
            </w14:solidFill>
          </w14:textFill>
        </w:rPr>
        <w:t>交易</w:t>
      </w:r>
      <w:r>
        <w:rPr>
          <w:rFonts w:ascii="仿宋" w:hAnsi="仿宋" w:eastAsia="仿宋" w:cs="仿宋_GB2312"/>
          <w:color w:val="000000" w:themeColor="text1"/>
          <w:highlight w:val="none"/>
          <w14:textFill>
            <w14:solidFill>
              <w14:schemeClr w14:val="tx1"/>
            </w14:solidFill>
          </w14:textFill>
        </w:rPr>
        <w:t>的公平、公正和安全时，</w:t>
      </w:r>
      <w:r>
        <w:rPr>
          <w:rFonts w:hint="eastAsia" w:ascii="仿宋" w:hAnsi="仿宋" w:eastAsia="仿宋" w:cs="仿宋_GB2312"/>
          <w:color w:val="000000" w:themeColor="text1"/>
          <w:highlight w:val="none"/>
          <w14:textFill>
            <w14:solidFill>
              <w14:schemeClr w14:val="tx1"/>
            </w14:solidFill>
          </w14:textFill>
        </w:rPr>
        <w:t>采购代理机构可</w:t>
      </w:r>
      <w:r>
        <w:rPr>
          <w:rFonts w:ascii="仿宋" w:hAnsi="仿宋" w:eastAsia="仿宋" w:cs="仿宋_GB2312"/>
          <w:color w:val="000000" w:themeColor="text1"/>
          <w:highlight w:val="none"/>
          <w14:textFill>
            <w14:solidFill>
              <w14:schemeClr w14:val="tx1"/>
            </w14:solidFill>
          </w14:textFill>
        </w:rPr>
        <w:t>中止电子</w:t>
      </w:r>
      <w:r>
        <w:rPr>
          <w:rFonts w:hint="eastAsia" w:ascii="仿宋" w:hAnsi="仿宋" w:eastAsia="仿宋" w:cs="仿宋_GB2312"/>
          <w:color w:val="000000" w:themeColor="text1"/>
          <w:highlight w:val="none"/>
          <w14:textFill>
            <w14:solidFill>
              <w14:schemeClr w14:val="tx1"/>
            </w14:solidFill>
          </w14:textFill>
        </w:rPr>
        <w:t>交易活动</w:t>
      </w:r>
      <w:r>
        <w:rPr>
          <w:rFonts w:ascii="仿宋" w:hAnsi="仿宋" w:eastAsia="仿宋" w:cs="仿宋_GB2312"/>
          <w:color w:val="000000" w:themeColor="text1"/>
          <w:highlight w:val="none"/>
          <w14:textFill>
            <w14:solidFill>
              <w14:schemeClr w14:val="tx1"/>
            </w14:solidFill>
          </w14:textFill>
        </w:rPr>
        <w:t>：</w:t>
      </w:r>
    </w:p>
    <w:p w14:paraId="6AA3F9FC">
      <w:pPr>
        <w:pStyle w:val="97"/>
        <w:snapToGrid w:val="0"/>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lang w:val="en-US" w:eastAsia="zh-CN"/>
          <w14:textFill>
            <w14:solidFill>
              <w14:schemeClr w14:val="tx1"/>
            </w14:solidFill>
          </w14:textFill>
        </w:rPr>
        <w:t>33</w:t>
      </w:r>
      <w:r>
        <w:rPr>
          <w:rFonts w:hint="eastAsia" w:ascii="仿宋" w:hAnsi="仿宋" w:eastAsia="仿宋" w:cs="仿宋_GB2312"/>
          <w:color w:val="000000" w:themeColor="text1"/>
          <w:highlight w:val="none"/>
          <w14:textFill>
            <w14:solidFill>
              <w14:schemeClr w14:val="tx1"/>
            </w14:solidFill>
          </w14:textFill>
        </w:rPr>
        <w:t>.1电子交易</w:t>
      </w:r>
      <w:r>
        <w:rPr>
          <w:rFonts w:ascii="仿宋" w:hAnsi="仿宋" w:eastAsia="仿宋" w:cs="仿宋_GB2312"/>
          <w:color w:val="000000" w:themeColor="text1"/>
          <w:highlight w:val="none"/>
          <w14:textFill>
            <w14:solidFill>
              <w14:schemeClr w14:val="tx1"/>
            </w14:solidFill>
          </w14:textFill>
        </w:rPr>
        <w:t>平台发生故障而无法</w:t>
      </w:r>
      <w:r>
        <w:rPr>
          <w:rFonts w:hint="eastAsia" w:ascii="仿宋" w:hAnsi="仿宋" w:eastAsia="仿宋" w:cs="仿宋_GB2312"/>
          <w:color w:val="000000" w:themeColor="text1"/>
          <w:highlight w:val="none"/>
          <w14:textFill>
            <w14:solidFill>
              <w14:schemeClr w14:val="tx1"/>
            </w14:solidFill>
          </w14:textFill>
        </w:rPr>
        <w:t>登录</w:t>
      </w:r>
      <w:r>
        <w:rPr>
          <w:rFonts w:ascii="仿宋" w:hAnsi="仿宋" w:eastAsia="仿宋" w:cs="仿宋_GB2312"/>
          <w:color w:val="000000" w:themeColor="text1"/>
          <w:highlight w:val="none"/>
          <w14:textFill>
            <w14:solidFill>
              <w14:schemeClr w14:val="tx1"/>
            </w14:solidFill>
          </w14:textFill>
        </w:rPr>
        <w:t>访问的；</w:t>
      </w:r>
    </w:p>
    <w:p w14:paraId="193650DF">
      <w:pPr>
        <w:pStyle w:val="97"/>
        <w:snapToGrid w:val="0"/>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lang w:val="en-US" w:eastAsia="zh-CN"/>
          <w14:textFill>
            <w14:solidFill>
              <w14:schemeClr w14:val="tx1"/>
            </w14:solidFill>
          </w14:textFill>
        </w:rPr>
        <w:t>33</w:t>
      </w:r>
      <w:r>
        <w:rPr>
          <w:rFonts w:hint="eastAsia" w:ascii="仿宋" w:hAnsi="仿宋" w:eastAsia="仿宋" w:cs="仿宋_GB2312"/>
          <w:color w:val="000000" w:themeColor="text1"/>
          <w:highlight w:val="none"/>
          <w14:textFill>
            <w14:solidFill>
              <w14:schemeClr w14:val="tx1"/>
            </w14:solidFill>
          </w14:textFill>
        </w:rPr>
        <w:t>.2电子交易</w:t>
      </w:r>
      <w:r>
        <w:rPr>
          <w:rFonts w:ascii="仿宋" w:hAnsi="仿宋" w:eastAsia="仿宋" w:cs="仿宋_GB2312"/>
          <w:color w:val="000000" w:themeColor="text1"/>
          <w:highlight w:val="none"/>
          <w14:textFill>
            <w14:solidFill>
              <w14:schemeClr w14:val="tx1"/>
            </w14:solidFill>
          </w14:textFill>
        </w:rPr>
        <w:t>平台应用或数据库出现错误，不能进行正常操作</w:t>
      </w:r>
      <w:r>
        <w:rPr>
          <w:rFonts w:hint="eastAsia" w:ascii="仿宋" w:hAnsi="仿宋" w:eastAsia="仿宋" w:cs="仿宋_GB2312"/>
          <w:color w:val="000000" w:themeColor="text1"/>
          <w:highlight w:val="none"/>
          <w14:textFill>
            <w14:solidFill>
              <w14:schemeClr w14:val="tx1"/>
            </w14:solidFill>
          </w14:textFill>
        </w:rPr>
        <w:t>的</w:t>
      </w:r>
      <w:r>
        <w:rPr>
          <w:rFonts w:ascii="仿宋" w:hAnsi="仿宋" w:eastAsia="仿宋" w:cs="仿宋_GB2312"/>
          <w:color w:val="000000" w:themeColor="text1"/>
          <w:highlight w:val="none"/>
          <w14:textFill>
            <w14:solidFill>
              <w14:schemeClr w14:val="tx1"/>
            </w14:solidFill>
          </w14:textFill>
        </w:rPr>
        <w:t>；</w:t>
      </w:r>
    </w:p>
    <w:p w14:paraId="4EE2C4B4">
      <w:pPr>
        <w:pStyle w:val="97"/>
        <w:snapToGrid w:val="0"/>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lang w:val="en-US" w:eastAsia="zh-CN"/>
          <w14:textFill>
            <w14:solidFill>
              <w14:schemeClr w14:val="tx1"/>
            </w14:solidFill>
          </w14:textFill>
        </w:rPr>
        <w:t>33</w:t>
      </w:r>
      <w:r>
        <w:rPr>
          <w:rFonts w:hint="eastAsia" w:ascii="仿宋" w:hAnsi="仿宋" w:eastAsia="仿宋" w:cs="仿宋_GB2312"/>
          <w:color w:val="000000" w:themeColor="text1"/>
          <w:highlight w:val="none"/>
          <w14:textFill>
            <w14:solidFill>
              <w14:schemeClr w14:val="tx1"/>
            </w14:solidFill>
          </w14:textFill>
        </w:rPr>
        <w:t>.3电子交易</w:t>
      </w:r>
      <w:r>
        <w:rPr>
          <w:rFonts w:ascii="仿宋" w:hAnsi="仿宋" w:eastAsia="仿宋" w:cs="仿宋_GB2312"/>
          <w:color w:val="000000" w:themeColor="text1"/>
          <w:highlight w:val="none"/>
          <w14:textFill>
            <w14:solidFill>
              <w14:schemeClr w14:val="tx1"/>
            </w14:solidFill>
          </w14:textFill>
        </w:rPr>
        <w:t>平台发现</w:t>
      </w:r>
      <w:r>
        <w:rPr>
          <w:rFonts w:hint="eastAsia" w:ascii="仿宋" w:hAnsi="仿宋" w:eastAsia="仿宋" w:cs="仿宋_GB2312"/>
          <w:color w:val="000000" w:themeColor="text1"/>
          <w:highlight w:val="none"/>
          <w14:textFill>
            <w14:solidFill>
              <w14:schemeClr w14:val="tx1"/>
            </w14:solidFill>
          </w14:textFill>
        </w:rPr>
        <w:t>严重</w:t>
      </w:r>
      <w:r>
        <w:rPr>
          <w:rFonts w:ascii="仿宋" w:hAnsi="仿宋" w:eastAsia="仿宋" w:cs="仿宋_GB2312"/>
          <w:color w:val="000000" w:themeColor="text1"/>
          <w:highlight w:val="none"/>
          <w14:textFill>
            <w14:solidFill>
              <w14:schemeClr w14:val="tx1"/>
            </w14:solidFill>
          </w14:textFill>
        </w:rPr>
        <w:t>安全漏洞，有潜在泄密危险的</w:t>
      </w:r>
      <w:r>
        <w:rPr>
          <w:rFonts w:hint="eastAsia" w:ascii="仿宋" w:hAnsi="仿宋" w:eastAsia="仿宋" w:cs="仿宋_GB2312"/>
          <w:color w:val="000000" w:themeColor="text1"/>
          <w:highlight w:val="none"/>
          <w14:textFill>
            <w14:solidFill>
              <w14:schemeClr w14:val="tx1"/>
            </w14:solidFill>
          </w14:textFill>
        </w:rPr>
        <w:t>；</w:t>
      </w:r>
    </w:p>
    <w:p w14:paraId="5B01FA67">
      <w:pPr>
        <w:pStyle w:val="97"/>
        <w:snapToGrid w:val="0"/>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lang w:val="en-US" w:eastAsia="zh-CN"/>
          <w14:textFill>
            <w14:solidFill>
              <w14:schemeClr w14:val="tx1"/>
            </w14:solidFill>
          </w14:textFill>
        </w:rPr>
        <w:t>33</w:t>
      </w:r>
      <w:r>
        <w:rPr>
          <w:rFonts w:hint="eastAsia" w:ascii="仿宋" w:hAnsi="仿宋" w:eastAsia="仿宋" w:cs="仿宋_GB2312"/>
          <w:color w:val="000000" w:themeColor="text1"/>
          <w:highlight w:val="none"/>
          <w14:textFill>
            <w14:solidFill>
              <w14:schemeClr w14:val="tx1"/>
            </w14:solidFill>
          </w14:textFill>
        </w:rPr>
        <w:t>.4</w:t>
      </w:r>
      <w:r>
        <w:rPr>
          <w:rFonts w:ascii="仿宋" w:hAnsi="仿宋" w:eastAsia="仿宋" w:cs="仿宋_GB2312"/>
          <w:color w:val="000000" w:themeColor="text1"/>
          <w:highlight w:val="none"/>
          <w14:textFill>
            <w14:solidFill>
              <w14:schemeClr w14:val="tx1"/>
            </w14:solidFill>
          </w14:textFill>
        </w:rPr>
        <w:t>病毒发作</w:t>
      </w:r>
      <w:r>
        <w:rPr>
          <w:rFonts w:hint="eastAsia" w:ascii="仿宋" w:hAnsi="仿宋" w:eastAsia="仿宋" w:cs="仿宋_GB2312"/>
          <w:color w:val="000000" w:themeColor="text1"/>
          <w:highlight w:val="none"/>
          <w14:textFill>
            <w14:solidFill>
              <w14:schemeClr w14:val="tx1"/>
            </w14:solidFill>
          </w14:textFill>
        </w:rPr>
        <w:t>导致不能进行</w:t>
      </w:r>
      <w:r>
        <w:rPr>
          <w:rFonts w:ascii="仿宋" w:hAnsi="仿宋" w:eastAsia="仿宋" w:cs="仿宋_GB2312"/>
          <w:color w:val="000000" w:themeColor="text1"/>
          <w:highlight w:val="none"/>
          <w14:textFill>
            <w14:solidFill>
              <w14:schemeClr w14:val="tx1"/>
            </w14:solidFill>
          </w14:textFill>
        </w:rPr>
        <w:t>正常操作的；</w:t>
      </w:r>
    </w:p>
    <w:p w14:paraId="21061E82">
      <w:pPr>
        <w:pStyle w:val="97"/>
        <w:snapToGrid w:val="0"/>
        <w:spacing w:before="0"/>
        <w:ind w:firstLine="48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lang w:val="en-US" w:eastAsia="zh-CN"/>
          <w14:textFill>
            <w14:solidFill>
              <w14:schemeClr w14:val="tx1"/>
            </w14:solidFill>
          </w14:textFill>
        </w:rPr>
        <w:t>33</w:t>
      </w:r>
      <w:r>
        <w:rPr>
          <w:rFonts w:hint="eastAsia" w:ascii="仿宋" w:hAnsi="仿宋" w:eastAsia="仿宋" w:cs="仿宋_GB2312"/>
          <w:color w:val="000000" w:themeColor="text1"/>
          <w:highlight w:val="none"/>
          <w14:textFill>
            <w14:solidFill>
              <w14:schemeClr w14:val="tx1"/>
            </w14:solidFill>
          </w14:textFill>
        </w:rPr>
        <w:t>.5其他</w:t>
      </w:r>
      <w:r>
        <w:rPr>
          <w:rFonts w:ascii="仿宋" w:hAnsi="仿宋" w:eastAsia="仿宋" w:cs="仿宋_GB2312"/>
          <w:color w:val="000000" w:themeColor="text1"/>
          <w:highlight w:val="none"/>
          <w14:textFill>
            <w14:solidFill>
              <w14:schemeClr w14:val="tx1"/>
            </w14:solidFill>
          </w14:textFill>
        </w:rPr>
        <w:t>无法保证</w:t>
      </w:r>
      <w:r>
        <w:rPr>
          <w:rFonts w:hint="eastAsia" w:ascii="仿宋" w:hAnsi="仿宋" w:eastAsia="仿宋" w:cs="仿宋_GB2312"/>
          <w:color w:val="000000" w:themeColor="text1"/>
          <w:highlight w:val="none"/>
          <w14:textFill>
            <w14:solidFill>
              <w14:schemeClr w14:val="tx1"/>
            </w14:solidFill>
          </w14:textFill>
        </w:rPr>
        <w:t>电子交易</w:t>
      </w:r>
      <w:r>
        <w:rPr>
          <w:rFonts w:ascii="仿宋" w:hAnsi="仿宋" w:eastAsia="仿宋" w:cs="仿宋_GB2312"/>
          <w:color w:val="000000" w:themeColor="text1"/>
          <w:highlight w:val="none"/>
          <w14:textFill>
            <w14:solidFill>
              <w14:schemeClr w14:val="tx1"/>
            </w14:solidFill>
          </w14:textFill>
        </w:rPr>
        <w:t>的公平、公正和安全的情况。</w:t>
      </w:r>
    </w:p>
    <w:p w14:paraId="6E4F5A4C">
      <w:pPr>
        <w:pStyle w:val="97"/>
        <w:snapToGrid w:val="0"/>
        <w:spacing w:before="0"/>
        <w:ind w:firstLine="0" w:firstLineChars="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b/>
          <w:color w:val="000000" w:themeColor="text1"/>
          <w:highlight w:val="none"/>
          <w14:textFill>
            <w14:solidFill>
              <w14:schemeClr w14:val="tx1"/>
            </w14:solidFill>
          </w14:textFill>
        </w:rPr>
        <w:t xml:space="preserve"> </w:t>
      </w:r>
      <w:r>
        <w:rPr>
          <w:rFonts w:hint="eastAsia" w:ascii="仿宋" w:hAnsi="仿宋" w:eastAsia="仿宋" w:cs="仿宋_GB2312"/>
          <w:b/>
          <w:color w:val="000000" w:themeColor="text1"/>
          <w:highlight w:val="none"/>
          <w:lang w:val="en-US" w:eastAsia="zh-CN"/>
          <w14:textFill>
            <w14:solidFill>
              <w14:schemeClr w14:val="tx1"/>
            </w14:solidFill>
          </w14:textFill>
        </w:rPr>
        <w:t>34</w:t>
      </w:r>
      <w:r>
        <w:rPr>
          <w:rFonts w:hint="eastAsia" w:ascii="仿宋" w:hAnsi="仿宋" w:eastAsia="仿宋" w:cs="仿宋_GB2312"/>
          <w:b/>
          <w:color w:val="000000" w:themeColor="text1"/>
          <w:highlight w:val="none"/>
          <w14:textFill>
            <w14:solidFill>
              <w14:schemeClr w14:val="tx1"/>
            </w14:solidFill>
          </w14:textFill>
        </w:rPr>
        <w:t>.</w:t>
      </w:r>
      <w:r>
        <w:rPr>
          <w:rFonts w:ascii="仿宋" w:hAnsi="仿宋" w:eastAsia="仿宋" w:cs="仿宋_GB2312"/>
          <w:color w:val="000000" w:themeColor="text1"/>
          <w:highlight w:val="none"/>
          <w14:textFill>
            <w14:solidFill>
              <w14:schemeClr w14:val="tx1"/>
            </w14:solidFill>
          </w14:textFill>
        </w:rPr>
        <w:t>出现</w:t>
      </w:r>
      <w:r>
        <w:rPr>
          <w:rFonts w:hint="eastAsia" w:ascii="仿宋" w:hAnsi="仿宋" w:eastAsia="仿宋" w:cs="仿宋_GB2312"/>
          <w:color w:val="000000" w:themeColor="text1"/>
          <w:highlight w:val="none"/>
          <w14:textFill>
            <w14:solidFill>
              <w14:schemeClr w14:val="tx1"/>
            </w14:solidFill>
          </w14:textFill>
        </w:rPr>
        <w:t>以上情形</w:t>
      </w:r>
      <w:r>
        <w:rPr>
          <w:rFonts w:ascii="仿宋" w:hAnsi="仿宋" w:eastAsia="仿宋" w:cs="仿宋_GB2312"/>
          <w:color w:val="000000" w:themeColor="text1"/>
          <w:highlight w:val="none"/>
          <w14:textFill>
            <w14:solidFill>
              <w14:schemeClr w14:val="tx1"/>
            </w14:solidFill>
          </w14:textFill>
        </w:rPr>
        <w:t>，</w:t>
      </w:r>
      <w:r>
        <w:rPr>
          <w:rFonts w:hint="eastAsia" w:ascii="仿宋" w:hAnsi="仿宋" w:eastAsia="仿宋" w:cs="仿宋_GB2312"/>
          <w:color w:val="000000" w:themeColor="text1"/>
          <w:highlight w:val="none"/>
          <w14:textFill>
            <w14:solidFill>
              <w14:schemeClr w14:val="tx1"/>
            </w14:solidFill>
          </w14:textFill>
        </w:rPr>
        <w:t>不影响采购公平、公正性的，采购组织机构可以</w:t>
      </w:r>
      <w:r>
        <w:rPr>
          <w:rFonts w:ascii="仿宋" w:hAnsi="仿宋" w:eastAsia="仿宋" w:cs="仿宋_GB2312"/>
          <w:color w:val="000000" w:themeColor="text1"/>
          <w:highlight w:val="none"/>
          <w14:textFill>
            <w14:solidFill>
              <w14:schemeClr w14:val="tx1"/>
            </w14:solidFill>
          </w14:textFill>
        </w:rPr>
        <w:t>待上述情形消除后继续</w:t>
      </w:r>
      <w:r>
        <w:rPr>
          <w:rFonts w:hint="eastAsia" w:ascii="仿宋" w:hAnsi="仿宋" w:eastAsia="仿宋" w:cs="仿宋_GB2312"/>
          <w:color w:val="000000" w:themeColor="text1"/>
          <w:highlight w:val="none"/>
          <w14:textFill>
            <w14:solidFill>
              <w14:schemeClr w14:val="tx1"/>
            </w14:solidFill>
          </w14:textFill>
        </w:rPr>
        <w:t>组织电子交易</w:t>
      </w:r>
      <w:r>
        <w:rPr>
          <w:rFonts w:ascii="仿宋" w:hAnsi="仿宋" w:eastAsia="仿宋" w:cs="仿宋_GB2312"/>
          <w:color w:val="000000" w:themeColor="text1"/>
          <w:highlight w:val="none"/>
          <w14:textFill>
            <w14:solidFill>
              <w14:schemeClr w14:val="tx1"/>
            </w14:solidFill>
          </w14:textFill>
        </w:rPr>
        <w:t>活动</w:t>
      </w:r>
      <w:r>
        <w:rPr>
          <w:rFonts w:hint="eastAsia" w:ascii="仿宋" w:hAnsi="仿宋" w:eastAsia="仿宋" w:cs="仿宋_GB2312"/>
          <w:color w:val="000000" w:themeColor="text1"/>
          <w:highlight w:val="none"/>
          <w14:textFill>
            <w14:solidFill>
              <w14:schemeClr w14:val="tx1"/>
            </w14:solidFill>
          </w14:textFill>
        </w:rPr>
        <w:t>，也可以决定某些环节以纸质形式进行；影响或可能影响</w:t>
      </w:r>
      <w:r>
        <w:rPr>
          <w:rFonts w:ascii="仿宋" w:hAnsi="仿宋" w:eastAsia="仿宋" w:cs="仿宋_GB2312"/>
          <w:color w:val="000000" w:themeColor="text1"/>
          <w:highlight w:val="none"/>
          <w14:textFill>
            <w14:solidFill>
              <w14:schemeClr w14:val="tx1"/>
            </w14:solidFill>
          </w14:textFill>
        </w:rPr>
        <w:t>采购公平、公正</w:t>
      </w:r>
      <w:r>
        <w:rPr>
          <w:rFonts w:hint="eastAsia" w:ascii="仿宋" w:hAnsi="仿宋" w:eastAsia="仿宋" w:cs="仿宋_GB2312"/>
          <w:color w:val="000000" w:themeColor="text1"/>
          <w:highlight w:val="none"/>
          <w14:textFill>
            <w14:solidFill>
              <w14:schemeClr w14:val="tx1"/>
            </w14:solidFill>
          </w14:textFill>
        </w:rPr>
        <w:t>性</w:t>
      </w:r>
      <w:r>
        <w:rPr>
          <w:rFonts w:ascii="仿宋" w:hAnsi="仿宋" w:eastAsia="仿宋" w:cs="仿宋_GB2312"/>
          <w:color w:val="000000" w:themeColor="text1"/>
          <w:highlight w:val="none"/>
          <w14:textFill>
            <w14:solidFill>
              <w14:schemeClr w14:val="tx1"/>
            </w14:solidFill>
          </w14:textFill>
        </w:rPr>
        <w:t>的，</w:t>
      </w:r>
      <w:r>
        <w:rPr>
          <w:rFonts w:hint="eastAsia" w:ascii="仿宋" w:hAnsi="仿宋" w:eastAsia="仿宋" w:cs="仿宋_GB2312"/>
          <w:color w:val="000000" w:themeColor="text1"/>
          <w:highlight w:val="none"/>
          <w14:textFill>
            <w14:solidFill>
              <w14:schemeClr w14:val="tx1"/>
            </w14:solidFill>
          </w14:textFill>
        </w:rPr>
        <w:t>应当重新采购</w:t>
      </w:r>
      <w:r>
        <w:rPr>
          <w:rFonts w:ascii="仿宋" w:hAnsi="仿宋" w:eastAsia="仿宋" w:cs="仿宋_GB2312"/>
          <w:color w:val="000000" w:themeColor="text1"/>
          <w:highlight w:val="none"/>
          <w14:textFill>
            <w14:solidFill>
              <w14:schemeClr w14:val="tx1"/>
            </w14:solidFill>
          </w14:textFill>
        </w:rPr>
        <w:t>。</w:t>
      </w:r>
    </w:p>
    <w:p w14:paraId="77463BB6">
      <w:pPr>
        <w:tabs>
          <w:tab w:val="left" w:pos="0"/>
        </w:tabs>
        <w:spacing w:line="360" w:lineRule="auto"/>
        <w:ind w:firstLine="480"/>
        <w:rPr>
          <w:rFonts w:ascii="仿宋" w:hAnsi="仿宋" w:eastAsia="仿宋"/>
          <w:color w:val="000000" w:themeColor="text1"/>
          <w:sz w:val="24"/>
          <w:highlight w:val="none"/>
          <w14:textFill>
            <w14:solidFill>
              <w14:schemeClr w14:val="tx1"/>
            </w14:solidFill>
          </w14:textFill>
        </w:rPr>
      </w:pPr>
    </w:p>
    <w:p w14:paraId="29836D71">
      <w:pPr>
        <w:snapToGrid w:val="0"/>
        <w:spacing w:line="360" w:lineRule="auto"/>
        <w:ind w:left="120" w:leftChars="57" w:firstLine="482" w:firstLineChars="150"/>
        <w:jc w:val="center"/>
        <w:rPr>
          <w:rFonts w:ascii="仿宋" w:hAnsi="仿宋" w:eastAsia="仿宋" w:cs="仿宋_GB2312"/>
          <w:b/>
          <w:color w:val="000000" w:themeColor="text1"/>
          <w:sz w:val="32"/>
          <w:highlight w:val="none"/>
          <w14:textFill>
            <w14:solidFill>
              <w14:schemeClr w14:val="tx1"/>
            </w14:solidFill>
          </w14:textFill>
        </w:rPr>
      </w:pPr>
      <w:r>
        <w:rPr>
          <w:rFonts w:hint="eastAsia" w:ascii="仿宋" w:hAnsi="仿宋" w:eastAsia="仿宋" w:cs="仿宋_GB2312"/>
          <w:b/>
          <w:color w:val="000000" w:themeColor="text1"/>
          <w:sz w:val="32"/>
          <w:highlight w:val="none"/>
          <w:lang w:val="en-US" w:eastAsia="zh-CN"/>
          <w14:textFill>
            <w14:solidFill>
              <w14:schemeClr w14:val="tx1"/>
            </w14:solidFill>
          </w14:textFill>
        </w:rPr>
        <w:t>十一</w:t>
      </w:r>
      <w:r>
        <w:rPr>
          <w:rFonts w:hint="eastAsia" w:ascii="仿宋" w:hAnsi="仿宋" w:eastAsia="仿宋" w:cs="仿宋_GB2312"/>
          <w:b/>
          <w:color w:val="000000" w:themeColor="text1"/>
          <w:sz w:val="32"/>
          <w:highlight w:val="none"/>
          <w14:textFill>
            <w14:solidFill>
              <w14:schemeClr w14:val="tx1"/>
            </w14:solidFill>
          </w14:textFill>
        </w:rPr>
        <w:t>、验收</w:t>
      </w:r>
    </w:p>
    <w:p w14:paraId="5182D863">
      <w:pPr>
        <w:pStyle w:val="21"/>
        <w:spacing w:line="360" w:lineRule="auto"/>
        <w:ind w:firstLine="0" w:firstLineChars="0"/>
        <w:rPr>
          <w:rFonts w:ascii="仿宋" w:hAnsi="仿宋" w:eastAsia="仿宋" w:cs="仿宋_GB2312"/>
          <w:b/>
          <w:color w:val="000000" w:themeColor="text1"/>
          <w:highlight w:val="none"/>
          <w14:textFill>
            <w14:solidFill>
              <w14:schemeClr w14:val="tx1"/>
            </w14:solidFill>
          </w14:textFill>
        </w:rPr>
      </w:pPr>
      <w:r>
        <w:rPr>
          <w:rFonts w:hint="eastAsia" w:ascii="仿宋" w:hAnsi="仿宋" w:eastAsia="仿宋" w:cs="仿宋_GB2312"/>
          <w:b/>
          <w:color w:val="000000" w:themeColor="text1"/>
          <w:highlight w:val="none"/>
          <w:lang w:val="en-US" w:eastAsia="zh-CN"/>
          <w14:textFill>
            <w14:solidFill>
              <w14:schemeClr w14:val="tx1"/>
            </w14:solidFill>
          </w14:textFill>
        </w:rPr>
        <w:t>35</w:t>
      </w:r>
      <w:r>
        <w:rPr>
          <w:rFonts w:hint="eastAsia" w:ascii="仿宋" w:hAnsi="仿宋" w:eastAsia="仿宋" w:cs="仿宋_GB2312"/>
          <w:b/>
          <w:color w:val="000000" w:themeColor="text1"/>
          <w:highlight w:val="none"/>
          <w14:textFill>
            <w14:solidFill>
              <w14:schemeClr w14:val="tx1"/>
            </w14:solidFill>
          </w14:textFill>
        </w:rPr>
        <w:t>.验收</w:t>
      </w:r>
    </w:p>
    <w:p w14:paraId="20FCF9BD">
      <w:pPr>
        <w:tabs>
          <w:tab w:val="left" w:pos="0"/>
        </w:tabs>
        <w:spacing w:line="360" w:lineRule="auto"/>
        <w:ind w:firstLine="480"/>
        <w:rPr>
          <w:rFonts w:ascii="仿宋" w:hAnsi="仿宋" w:eastAsia="仿宋" w:cs="Helvetica"/>
          <w:color w:val="000000" w:themeColor="text1"/>
          <w:kern w:val="0"/>
          <w:sz w:val="24"/>
          <w:highlight w:val="none"/>
          <w14:textFill>
            <w14:solidFill>
              <w14:schemeClr w14:val="tx1"/>
            </w14:solidFill>
          </w14:textFill>
        </w:rPr>
      </w:pPr>
      <w:r>
        <w:rPr>
          <w:rFonts w:hint="eastAsia" w:ascii="仿宋" w:hAnsi="仿宋" w:eastAsia="仿宋" w:cs="Helvetica"/>
          <w:color w:val="000000" w:themeColor="text1"/>
          <w:kern w:val="0"/>
          <w:sz w:val="24"/>
          <w:highlight w:val="none"/>
          <w:lang w:val="en-US" w:eastAsia="zh-CN"/>
          <w14:textFill>
            <w14:solidFill>
              <w14:schemeClr w14:val="tx1"/>
            </w14:solidFill>
          </w14:textFill>
        </w:rPr>
        <w:t>35</w:t>
      </w:r>
      <w:r>
        <w:rPr>
          <w:rFonts w:hint="eastAsia" w:ascii="仿宋" w:hAnsi="仿宋" w:eastAsia="仿宋" w:cs="Helvetica"/>
          <w:color w:val="000000" w:themeColor="text1"/>
          <w:kern w:val="0"/>
          <w:sz w:val="24"/>
          <w:highlight w:val="none"/>
          <w14:textFill>
            <w14:solidFill>
              <w14:schemeClr w14:val="tx1"/>
            </w14:solidFill>
          </w14:textFill>
        </w:rPr>
        <w:t>.1征集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3D4C1D">
      <w:pPr>
        <w:tabs>
          <w:tab w:val="left" w:pos="0"/>
        </w:tabs>
        <w:spacing w:line="360" w:lineRule="auto"/>
        <w:ind w:firstLine="480"/>
        <w:rPr>
          <w:rFonts w:ascii="仿宋" w:hAnsi="仿宋" w:eastAsia="仿宋" w:cs="Helvetica"/>
          <w:color w:val="000000" w:themeColor="text1"/>
          <w:kern w:val="0"/>
          <w:sz w:val="24"/>
          <w:highlight w:val="none"/>
          <w14:textFill>
            <w14:solidFill>
              <w14:schemeClr w14:val="tx1"/>
            </w14:solidFill>
          </w14:textFill>
        </w:rPr>
      </w:pPr>
      <w:r>
        <w:rPr>
          <w:rFonts w:hint="eastAsia" w:ascii="仿宋" w:hAnsi="仿宋" w:eastAsia="仿宋" w:cs="Helvetica"/>
          <w:color w:val="000000" w:themeColor="text1"/>
          <w:kern w:val="0"/>
          <w:sz w:val="24"/>
          <w:highlight w:val="none"/>
          <w:lang w:val="en-US" w:eastAsia="zh-CN"/>
          <w14:textFill>
            <w14:solidFill>
              <w14:schemeClr w14:val="tx1"/>
            </w14:solidFill>
          </w14:textFill>
        </w:rPr>
        <w:t>35</w:t>
      </w:r>
      <w:r>
        <w:rPr>
          <w:rFonts w:hint="eastAsia" w:ascii="仿宋" w:hAnsi="仿宋" w:eastAsia="仿宋" w:cs="Helvetica"/>
          <w:color w:val="000000" w:themeColor="text1"/>
          <w:kern w:val="0"/>
          <w:sz w:val="24"/>
          <w:highlight w:val="none"/>
          <w14:textFill>
            <w14:solidFill>
              <w14:schemeClr w14:val="tx1"/>
            </w14:solidFill>
          </w14:textFill>
        </w:rPr>
        <w:t>.2征集人可以邀请参加本项目的其他供应商或者第三方机构参与验收。参与验收的供应商或者第三方机构的意见作为验收书的参考资料一并存档。</w:t>
      </w:r>
    </w:p>
    <w:p w14:paraId="45AE001E">
      <w:pPr>
        <w:tabs>
          <w:tab w:val="left" w:pos="0"/>
        </w:tabs>
        <w:spacing w:line="360" w:lineRule="auto"/>
        <w:ind w:firstLine="480"/>
        <w:rPr>
          <w:rFonts w:ascii="仿宋" w:hAnsi="仿宋" w:eastAsia="仿宋" w:cs="Helvetica"/>
          <w:color w:val="000000" w:themeColor="text1"/>
          <w:kern w:val="0"/>
          <w:sz w:val="24"/>
          <w:highlight w:val="none"/>
          <w14:textFill>
            <w14:solidFill>
              <w14:schemeClr w14:val="tx1"/>
            </w14:solidFill>
          </w14:textFill>
        </w:rPr>
      </w:pPr>
      <w:r>
        <w:rPr>
          <w:rFonts w:hint="eastAsia" w:ascii="仿宋" w:hAnsi="仿宋" w:eastAsia="仿宋" w:cs="Helvetica"/>
          <w:color w:val="000000" w:themeColor="text1"/>
          <w:kern w:val="0"/>
          <w:sz w:val="24"/>
          <w:highlight w:val="none"/>
          <w:lang w:val="en-US" w:eastAsia="zh-CN"/>
          <w14:textFill>
            <w14:solidFill>
              <w14:schemeClr w14:val="tx1"/>
            </w14:solidFill>
          </w14:textFill>
        </w:rPr>
        <w:t>35</w:t>
      </w:r>
      <w:r>
        <w:rPr>
          <w:rFonts w:hint="eastAsia" w:ascii="仿宋" w:hAnsi="仿宋" w:eastAsia="仿宋" w:cs="Helvetica"/>
          <w:color w:val="000000" w:themeColor="text1"/>
          <w:kern w:val="0"/>
          <w:sz w:val="24"/>
          <w:highlight w:val="none"/>
          <w14:textFill>
            <w14:solidFill>
              <w14:schemeClr w14:val="tx1"/>
            </w14:solidFill>
          </w14:textFill>
        </w:rPr>
        <w:t>.3严格按照采购合同开展履约验收。征集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A18C27">
      <w:pPr>
        <w:tabs>
          <w:tab w:val="left" w:pos="0"/>
        </w:tabs>
        <w:spacing w:line="360" w:lineRule="auto"/>
        <w:ind w:firstLine="480"/>
        <w:rPr>
          <w:rFonts w:ascii="仿宋" w:hAnsi="仿宋" w:eastAsia="仿宋" w:cs="仿宋_GB2312"/>
          <w:color w:val="000000" w:themeColor="text1"/>
          <w:sz w:val="18"/>
          <w:szCs w:val="18"/>
          <w:highlight w:val="none"/>
          <w14:textFill>
            <w14:solidFill>
              <w14:schemeClr w14:val="tx1"/>
            </w14:solidFill>
          </w14:textFill>
        </w:rPr>
      </w:pPr>
      <w:r>
        <w:rPr>
          <w:rFonts w:hint="eastAsia" w:ascii="仿宋" w:hAnsi="仿宋" w:eastAsia="仿宋" w:cs="Helvetica"/>
          <w:color w:val="000000" w:themeColor="text1"/>
          <w:kern w:val="0"/>
          <w:sz w:val="24"/>
          <w:highlight w:val="none"/>
          <w:lang w:val="en-US" w:eastAsia="zh-CN"/>
          <w14:textFill>
            <w14:solidFill>
              <w14:schemeClr w14:val="tx1"/>
            </w14:solidFill>
          </w14:textFill>
        </w:rPr>
        <w:t>35</w:t>
      </w:r>
      <w:r>
        <w:rPr>
          <w:rFonts w:hint="eastAsia" w:ascii="仿宋" w:hAnsi="仿宋" w:eastAsia="仿宋" w:cs="Helvetica"/>
          <w:color w:val="000000" w:themeColor="text1"/>
          <w:kern w:val="0"/>
          <w:sz w:val="24"/>
          <w:highlight w:val="none"/>
          <w14:textFill>
            <w14:solidFill>
              <w14:schemeClr w14:val="tx1"/>
            </w14:solidFill>
          </w14:textFill>
        </w:rPr>
        <w:t>.4验收合格的项目，征集人将根据采购合同的约定及时向供应商支付采购资金、退还履约保证金。验收不合格的项目，征集人将依法及时处理。采购合同的履行、违约责任和解决争议的方式等适用《中华人民共和国民法典》。供应商在履约过程中有政府采购法律法规规定的违法违规情形的，征集人应当及时报告本级财政部门。</w:t>
      </w:r>
    </w:p>
    <w:bookmarkEnd w:id="37"/>
    <w:p w14:paraId="754BB430">
      <w:pPr>
        <w:spacing w:line="360" w:lineRule="auto"/>
        <w:jc w:val="center"/>
        <w:outlineLvl w:val="0"/>
        <w:rPr>
          <w:rFonts w:ascii="仿宋" w:hAnsi="仿宋" w:eastAsia="仿宋"/>
          <w:color w:val="000000" w:themeColor="text1"/>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777" w:right="1418" w:bottom="471" w:left="1418" w:header="851" w:footer="992" w:gutter="0"/>
          <w:pgBorders>
            <w:top w:val="none" w:sz="0" w:space="0"/>
            <w:left w:val="none" w:sz="0" w:space="0"/>
            <w:bottom w:val="none" w:sz="0" w:space="0"/>
            <w:right w:val="none" w:sz="0" w:space="0"/>
          </w:pgBorders>
          <w:pgNumType w:start="1"/>
          <w:cols w:space="720" w:num="1"/>
          <w:docGrid w:linePitch="312" w:charSpace="0"/>
        </w:sectPr>
      </w:pPr>
    </w:p>
    <w:bookmarkEnd w:id="11"/>
    <w:bookmarkEnd w:id="12"/>
    <w:p w14:paraId="04DA8753">
      <w:pPr>
        <w:spacing w:line="360" w:lineRule="auto"/>
        <w:jc w:val="center"/>
        <w:outlineLvl w:val="0"/>
        <w:rPr>
          <w:rFonts w:ascii="仿宋" w:hAnsi="仿宋" w:eastAsia="仿宋" w:cs="仿宋_GB2312"/>
          <w:b/>
          <w:color w:val="000000" w:themeColor="text1"/>
          <w:sz w:val="36"/>
          <w:szCs w:val="36"/>
          <w:highlight w:val="none"/>
          <w14:textFill>
            <w14:solidFill>
              <w14:schemeClr w14:val="tx1"/>
            </w14:solidFill>
          </w14:textFill>
        </w:rPr>
      </w:pPr>
      <w:bookmarkStart w:id="38" w:name="_Toc4460"/>
      <w:bookmarkStart w:id="39" w:name="_Toc302396120"/>
      <w:bookmarkStart w:id="40" w:name="第四部分"/>
      <w:r>
        <w:rPr>
          <w:rFonts w:hint="eastAsia" w:ascii="仿宋" w:hAnsi="仿宋" w:eastAsia="仿宋"/>
          <w:b/>
          <w:color w:val="000000" w:themeColor="text1"/>
          <w:sz w:val="36"/>
          <w:szCs w:val="36"/>
          <w:highlight w:val="none"/>
          <w14:textFill>
            <w14:solidFill>
              <w14:schemeClr w14:val="tx1"/>
            </w14:solidFill>
          </w14:textFill>
        </w:rPr>
        <w:t>第三部分</w:t>
      </w:r>
      <w:bookmarkStart w:id="41" w:name="_Toc184313258"/>
      <w:bookmarkEnd w:id="41"/>
      <w:bookmarkStart w:id="42" w:name="_Toc184308098"/>
      <w:bookmarkEnd w:id="42"/>
      <w:bookmarkStart w:id="43" w:name="_Toc184310273"/>
      <w:bookmarkEnd w:id="43"/>
      <w:bookmarkStart w:id="44" w:name="_Toc184310295"/>
      <w:bookmarkEnd w:id="44"/>
      <w:bookmarkStart w:id="45" w:name="_Toc184312076"/>
      <w:bookmarkEnd w:id="45"/>
      <w:bookmarkStart w:id="46" w:name="_Toc184308066"/>
      <w:bookmarkEnd w:id="46"/>
      <w:bookmarkStart w:id="47" w:name="_Toc184312119"/>
      <w:bookmarkEnd w:id="47"/>
      <w:bookmarkStart w:id="48" w:name="_Toc184308063"/>
      <w:bookmarkEnd w:id="48"/>
      <w:bookmarkStart w:id="49" w:name="_Toc184314478"/>
      <w:bookmarkEnd w:id="49"/>
      <w:bookmarkStart w:id="50" w:name="_Toc184314482"/>
      <w:bookmarkEnd w:id="50"/>
      <w:bookmarkStart w:id="51" w:name="_Toc184313293"/>
      <w:bookmarkEnd w:id="51"/>
      <w:bookmarkStart w:id="52" w:name="_Toc184312069"/>
      <w:bookmarkEnd w:id="52"/>
      <w:bookmarkStart w:id="53" w:name="_Toc184310337"/>
      <w:bookmarkEnd w:id="53"/>
      <w:bookmarkStart w:id="54" w:name="_Toc184308067"/>
      <w:bookmarkEnd w:id="54"/>
      <w:bookmarkStart w:id="55" w:name="_Toc184308086"/>
      <w:bookmarkEnd w:id="55"/>
      <w:bookmarkStart w:id="56" w:name="_Toc184313283"/>
      <w:bookmarkEnd w:id="56"/>
      <w:bookmarkStart w:id="57" w:name="_Toc184313269"/>
      <w:bookmarkEnd w:id="57"/>
      <w:bookmarkStart w:id="58" w:name="_Toc184313282"/>
      <w:bookmarkEnd w:id="58"/>
      <w:bookmarkStart w:id="59" w:name="_Toc184310325"/>
      <w:bookmarkEnd w:id="59"/>
      <w:bookmarkStart w:id="60" w:name="_Toc184312106"/>
      <w:bookmarkEnd w:id="60"/>
      <w:bookmarkStart w:id="61" w:name="_Toc184314422"/>
      <w:bookmarkEnd w:id="61"/>
      <w:bookmarkStart w:id="62" w:name="_Toc184308096"/>
      <w:bookmarkEnd w:id="62"/>
      <w:bookmarkStart w:id="63" w:name="_Toc184310300"/>
      <w:bookmarkEnd w:id="63"/>
      <w:bookmarkStart w:id="64" w:name="_Toc184313298"/>
      <w:bookmarkEnd w:id="64"/>
      <w:bookmarkStart w:id="65" w:name="_Toc184312112"/>
      <w:bookmarkEnd w:id="65"/>
      <w:bookmarkStart w:id="66" w:name="_Toc184312088"/>
      <w:bookmarkEnd w:id="66"/>
      <w:bookmarkStart w:id="67" w:name="_Toc184314461"/>
      <w:bookmarkEnd w:id="67"/>
      <w:bookmarkStart w:id="68" w:name="_Toc184314451"/>
      <w:bookmarkEnd w:id="68"/>
      <w:bookmarkStart w:id="69" w:name="_Toc184314433"/>
      <w:bookmarkEnd w:id="69"/>
      <w:bookmarkStart w:id="70" w:name="_Toc184310282"/>
      <w:bookmarkEnd w:id="70"/>
      <w:bookmarkStart w:id="71" w:name="_Toc184312126"/>
      <w:bookmarkEnd w:id="71"/>
      <w:bookmarkStart w:id="72" w:name="_Toc184313279"/>
      <w:bookmarkEnd w:id="72"/>
      <w:bookmarkStart w:id="73" w:name="_Toc184312134"/>
      <w:bookmarkEnd w:id="73"/>
      <w:bookmarkStart w:id="74" w:name="_Toc184312122"/>
      <w:bookmarkEnd w:id="74"/>
      <w:bookmarkStart w:id="75" w:name="_Toc184313301"/>
      <w:bookmarkEnd w:id="75"/>
      <w:bookmarkStart w:id="76" w:name="_Toc184308069"/>
      <w:bookmarkEnd w:id="76"/>
      <w:bookmarkStart w:id="77" w:name="_Toc184313287"/>
      <w:bookmarkEnd w:id="77"/>
      <w:bookmarkStart w:id="78" w:name="_Toc184313294"/>
      <w:bookmarkEnd w:id="78"/>
      <w:bookmarkStart w:id="79" w:name="_Toc184308085"/>
      <w:bookmarkEnd w:id="79"/>
      <w:bookmarkStart w:id="80" w:name="_Toc184310299"/>
      <w:bookmarkEnd w:id="80"/>
      <w:bookmarkStart w:id="81" w:name="_Toc184310291"/>
      <w:bookmarkEnd w:id="81"/>
      <w:bookmarkStart w:id="82" w:name="_Toc184312092"/>
      <w:bookmarkEnd w:id="82"/>
      <w:bookmarkStart w:id="83" w:name="_Toc184312079"/>
      <w:bookmarkEnd w:id="83"/>
      <w:bookmarkStart w:id="84" w:name="_Toc184310321"/>
      <w:bookmarkEnd w:id="84"/>
      <w:bookmarkStart w:id="85" w:name="_Toc184314449"/>
      <w:bookmarkEnd w:id="85"/>
      <w:bookmarkStart w:id="86" w:name="_Toc184308108"/>
      <w:bookmarkEnd w:id="86"/>
      <w:bookmarkStart w:id="87" w:name="_Toc184308061"/>
      <w:bookmarkEnd w:id="87"/>
      <w:bookmarkStart w:id="88" w:name="_Toc184313256"/>
      <w:bookmarkEnd w:id="88"/>
      <w:bookmarkStart w:id="89" w:name="_Toc184313251"/>
      <w:bookmarkEnd w:id="89"/>
      <w:bookmarkStart w:id="90" w:name="_Toc184310313"/>
      <w:bookmarkEnd w:id="90"/>
      <w:bookmarkStart w:id="91" w:name="_Toc184310293"/>
      <w:bookmarkEnd w:id="91"/>
      <w:bookmarkStart w:id="92" w:name="_Toc184308076"/>
      <w:bookmarkEnd w:id="92"/>
      <w:bookmarkStart w:id="93" w:name="_Toc184312081"/>
      <w:bookmarkEnd w:id="93"/>
      <w:bookmarkStart w:id="94" w:name="_Toc184314436"/>
      <w:bookmarkEnd w:id="94"/>
      <w:bookmarkStart w:id="95" w:name="_Toc184308052"/>
      <w:bookmarkEnd w:id="95"/>
      <w:bookmarkStart w:id="96" w:name="_Toc184312132"/>
      <w:bookmarkEnd w:id="96"/>
      <w:bookmarkStart w:id="97" w:name="_Toc184313300"/>
      <w:bookmarkEnd w:id="97"/>
      <w:bookmarkStart w:id="98" w:name="_Toc184312124"/>
      <w:bookmarkEnd w:id="98"/>
      <w:bookmarkStart w:id="99" w:name="_Toc184314458"/>
      <w:bookmarkEnd w:id="99"/>
      <w:bookmarkStart w:id="100" w:name="_Toc184312131"/>
      <w:bookmarkEnd w:id="100"/>
      <w:bookmarkStart w:id="101" w:name="_Toc184310286"/>
      <w:bookmarkEnd w:id="101"/>
      <w:bookmarkStart w:id="102" w:name="_Toc184314445"/>
      <w:bookmarkEnd w:id="102"/>
      <w:bookmarkStart w:id="103" w:name="_Toc184312082"/>
      <w:bookmarkEnd w:id="103"/>
      <w:bookmarkStart w:id="104" w:name="_Toc184308101"/>
      <w:bookmarkEnd w:id="104"/>
      <w:bookmarkStart w:id="105" w:name="_Toc184313249"/>
      <w:bookmarkEnd w:id="105"/>
      <w:bookmarkStart w:id="106" w:name="_Toc184310307"/>
      <w:bookmarkEnd w:id="106"/>
      <w:bookmarkStart w:id="107" w:name="_Toc184312138"/>
      <w:bookmarkEnd w:id="107"/>
      <w:bookmarkStart w:id="108" w:name="_Toc184314430"/>
      <w:bookmarkEnd w:id="108"/>
      <w:bookmarkStart w:id="109" w:name="_Toc184310341"/>
      <w:bookmarkEnd w:id="109"/>
      <w:bookmarkStart w:id="110" w:name="_Toc184312078"/>
      <w:bookmarkEnd w:id="110"/>
      <w:bookmarkStart w:id="111" w:name="_Toc184308045"/>
      <w:bookmarkEnd w:id="111"/>
      <w:bookmarkStart w:id="112" w:name="_Toc184314413"/>
      <w:bookmarkEnd w:id="112"/>
      <w:bookmarkStart w:id="113" w:name="_Toc184308097"/>
      <w:bookmarkEnd w:id="113"/>
      <w:bookmarkStart w:id="114" w:name="_Toc184308104"/>
      <w:bookmarkEnd w:id="114"/>
      <w:bookmarkStart w:id="115" w:name="_Toc184314443"/>
      <w:bookmarkEnd w:id="115"/>
      <w:bookmarkStart w:id="116" w:name="_Toc184308053"/>
      <w:bookmarkEnd w:id="116"/>
      <w:bookmarkStart w:id="117" w:name="_Toc184314466"/>
      <w:bookmarkEnd w:id="117"/>
      <w:bookmarkStart w:id="118" w:name="_Toc184312137"/>
      <w:bookmarkEnd w:id="118"/>
      <w:bookmarkStart w:id="119" w:name="_Toc184312129"/>
      <w:bookmarkEnd w:id="119"/>
      <w:bookmarkStart w:id="120" w:name="_Toc184314425"/>
      <w:bookmarkEnd w:id="120"/>
      <w:bookmarkStart w:id="121" w:name="_Toc184314476"/>
      <w:bookmarkEnd w:id="121"/>
      <w:bookmarkStart w:id="122" w:name="_Toc184312103"/>
      <w:bookmarkEnd w:id="122"/>
      <w:bookmarkStart w:id="123" w:name="_Toc184310330"/>
      <w:bookmarkEnd w:id="123"/>
      <w:bookmarkStart w:id="124" w:name="_Toc184314416"/>
      <w:bookmarkEnd w:id="124"/>
      <w:bookmarkStart w:id="125" w:name="_Toc184314457"/>
      <w:bookmarkEnd w:id="125"/>
      <w:bookmarkStart w:id="126" w:name="_Toc184313295"/>
      <w:bookmarkEnd w:id="126"/>
      <w:bookmarkStart w:id="127" w:name="_Toc184312096"/>
      <w:bookmarkEnd w:id="127"/>
      <w:bookmarkStart w:id="128" w:name="_Toc184308084"/>
      <w:bookmarkEnd w:id="128"/>
      <w:bookmarkStart w:id="129" w:name="_Toc184310284"/>
      <w:bookmarkEnd w:id="129"/>
      <w:bookmarkStart w:id="130" w:name="_Toc184310343"/>
      <w:bookmarkEnd w:id="130"/>
      <w:bookmarkStart w:id="131" w:name="_Toc184314441"/>
      <w:bookmarkEnd w:id="131"/>
      <w:bookmarkStart w:id="132" w:name="_Toc184312067"/>
      <w:bookmarkEnd w:id="132"/>
      <w:bookmarkStart w:id="133" w:name="_Toc184314477"/>
      <w:bookmarkEnd w:id="133"/>
      <w:bookmarkStart w:id="134" w:name="_Toc184310289"/>
      <w:bookmarkEnd w:id="134"/>
      <w:bookmarkStart w:id="135" w:name="_Toc184310342"/>
      <w:bookmarkEnd w:id="135"/>
      <w:bookmarkStart w:id="136" w:name="_Toc184310322"/>
      <w:bookmarkEnd w:id="136"/>
      <w:bookmarkStart w:id="137" w:name="_Toc184310344"/>
      <w:bookmarkEnd w:id="137"/>
      <w:bookmarkStart w:id="138" w:name="_Toc184312127"/>
      <w:bookmarkEnd w:id="138"/>
      <w:bookmarkStart w:id="139" w:name="_Toc184313280"/>
      <w:bookmarkEnd w:id="139"/>
      <w:bookmarkStart w:id="140" w:name="_Toc184314481"/>
      <w:bookmarkEnd w:id="140"/>
      <w:bookmarkStart w:id="141" w:name="_Toc184312105"/>
      <w:bookmarkEnd w:id="141"/>
      <w:bookmarkStart w:id="142" w:name="_Toc184310334"/>
      <w:bookmarkEnd w:id="142"/>
      <w:bookmarkStart w:id="143" w:name="_Toc184313273"/>
      <w:bookmarkEnd w:id="143"/>
      <w:bookmarkStart w:id="144" w:name="_Toc184314434"/>
      <w:bookmarkEnd w:id="144"/>
      <w:bookmarkStart w:id="145" w:name="_Toc184314423"/>
      <w:bookmarkEnd w:id="145"/>
      <w:bookmarkStart w:id="146" w:name="_Toc184312114"/>
      <w:bookmarkEnd w:id="146"/>
      <w:bookmarkStart w:id="147" w:name="_Toc184308077"/>
      <w:bookmarkEnd w:id="147"/>
      <w:bookmarkStart w:id="148" w:name="_Toc184310317"/>
      <w:bookmarkEnd w:id="148"/>
      <w:bookmarkStart w:id="149" w:name="_Toc184314471"/>
      <w:bookmarkEnd w:id="149"/>
      <w:bookmarkStart w:id="150" w:name="_Toc184308062"/>
      <w:bookmarkEnd w:id="150"/>
      <w:bookmarkStart w:id="151" w:name="_Toc184312073"/>
      <w:bookmarkEnd w:id="151"/>
      <w:bookmarkStart w:id="152" w:name="_Toc184310332"/>
      <w:bookmarkEnd w:id="152"/>
      <w:bookmarkStart w:id="153" w:name="_Toc184312139"/>
      <w:bookmarkEnd w:id="153"/>
      <w:bookmarkStart w:id="154" w:name="_Toc184308049"/>
      <w:bookmarkEnd w:id="154"/>
      <w:bookmarkStart w:id="155" w:name="_Toc184308103"/>
      <w:bookmarkEnd w:id="155"/>
      <w:bookmarkStart w:id="156" w:name="_Toc184310302"/>
      <w:bookmarkEnd w:id="156"/>
      <w:bookmarkStart w:id="157" w:name="_Toc184310278"/>
      <w:bookmarkEnd w:id="157"/>
      <w:bookmarkStart w:id="158" w:name="_Toc184312072"/>
      <w:bookmarkEnd w:id="158"/>
      <w:bookmarkStart w:id="159" w:name="_Toc184313306"/>
      <w:bookmarkEnd w:id="159"/>
      <w:bookmarkStart w:id="160" w:name="_Toc184314450"/>
      <w:bookmarkEnd w:id="160"/>
      <w:bookmarkStart w:id="161" w:name="_Toc184314470"/>
      <w:bookmarkEnd w:id="161"/>
      <w:bookmarkStart w:id="162" w:name="_Toc184308095"/>
      <w:bookmarkEnd w:id="162"/>
      <w:bookmarkStart w:id="163" w:name="_Toc184314429"/>
      <w:bookmarkEnd w:id="163"/>
      <w:bookmarkStart w:id="164" w:name="_Toc184313245"/>
      <w:bookmarkEnd w:id="164"/>
      <w:bookmarkStart w:id="165" w:name="_Toc184312107"/>
      <w:bookmarkEnd w:id="165"/>
      <w:bookmarkStart w:id="166" w:name="_Toc184308044"/>
      <w:bookmarkEnd w:id="166"/>
      <w:bookmarkStart w:id="167" w:name="_Toc184313260"/>
      <w:bookmarkEnd w:id="167"/>
      <w:bookmarkStart w:id="168" w:name="_Toc184313274"/>
      <w:bookmarkEnd w:id="168"/>
      <w:bookmarkStart w:id="169" w:name="_Toc184314437"/>
      <w:bookmarkEnd w:id="169"/>
      <w:bookmarkStart w:id="170" w:name="_Toc184308048"/>
      <w:bookmarkEnd w:id="170"/>
      <w:bookmarkStart w:id="171" w:name="_Toc184314440"/>
      <w:bookmarkEnd w:id="171"/>
      <w:bookmarkStart w:id="172" w:name="_Toc184313288"/>
      <w:bookmarkEnd w:id="172"/>
      <w:bookmarkStart w:id="173" w:name="_Toc184308051"/>
      <w:bookmarkEnd w:id="173"/>
      <w:bookmarkStart w:id="174" w:name="_Toc184310308"/>
      <w:bookmarkEnd w:id="174"/>
      <w:bookmarkStart w:id="175" w:name="_Toc184310312"/>
      <w:bookmarkEnd w:id="175"/>
      <w:bookmarkStart w:id="176" w:name="_Toc184312083"/>
      <w:bookmarkEnd w:id="176"/>
      <w:bookmarkStart w:id="177" w:name="_Toc184310297"/>
      <w:bookmarkEnd w:id="177"/>
      <w:bookmarkStart w:id="178" w:name="_Toc184308037"/>
      <w:bookmarkEnd w:id="178"/>
      <w:bookmarkStart w:id="179" w:name="_Toc184310326"/>
      <w:bookmarkEnd w:id="179"/>
      <w:bookmarkStart w:id="180" w:name="_Toc184308083"/>
      <w:bookmarkEnd w:id="180"/>
      <w:bookmarkStart w:id="181" w:name="_Toc184313277"/>
      <w:bookmarkEnd w:id="181"/>
      <w:bookmarkStart w:id="182" w:name="_Toc184313255"/>
      <w:bookmarkEnd w:id="182"/>
      <w:bookmarkStart w:id="183" w:name="_Toc184313241"/>
      <w:bookmarkEnd w:id="183"/>
      <w:bookmarkStart w:id="184" w:name="_Toc184310304"/>
      <w:bookmarkEnd w:id="184"/>
      <w:bookmarkStart w:id="185" w:name="_Toc184312074"/>
      <w:bookmarkEnd w:id="185"/>
      <w:bookmarkStart w:id="186" w:name="_Toc184312086"/>
      <w:bookmarkEnd w:id="186"/>
      <w:bookmarkStart w:id="187" w:name="_Toc184313257"/>
      <w:bookmarkEnd w:id="187"/>
      <w:bookmarkStart w:id="188" w:name="_Toc184308091"/>
      <w:bookmarkEnd w:id="188"/>
      <w:bookmarkStart w:id="189" w:name="_Toc184308065"/>
      <w:bookmarkEnd w:id="189"/>
      <w:bookmarkStart w:id="190" w:name="_Toc184310309"/>
      <w:bookmarkEnd w:id="190"/>
      <w:bookmarkStart w:id="191" w:name="_Toc184310280"/>
      <w:bookmarkEnd w:id="191"/>
      <w:bookmarkStart w:id="192" w:name="_Toc184313289"/>
      <w:bookmarkEnd w:id="192"/>
      <w:bookmarkStart w:id="193" w:name="_Toc184314432"/>
      <w:bookmarkEnd w:id="193"/>
      <w:bookmarkStart w:id="194" w:name="_Toc184312135"/>
      <w:bookmarkEnd w:id="194"/>
      <w:bookmarkStart w:id="195" w:name="_Toc184312125"/>
      <w:bookmarkEnd w:id="195"/>
      <w:bookmarkStart w:id="196" w:name="_Toc184310301"/>
      <w:bookmarkEnd w:id="196"/>
      <w:bookmarkStart w:id="197" w:name="_Toc184313261"/>
      <w:bookmarkEnd w:id="197"/>
      <w:bookmarkStart w:id="198" w:name="_Toc184312094"/>
      <w:bookmarkEnd w:id="198"/>
      <w:bookmarkStart w:id="199" w:name="_Toc184312068"/>
      <w:bookmarkEnd w:id="199"/>
      <w:bookmarkStart w:id="200" w:name="_Toc184314438"/>
      <w:bookmarkEnd w:id="200"/>
      <w:bookmarkStart w:id="201" w:name="_Toc184313284"/>
      <w:bookmarkEnd w:id="201"/>
      <w:bookmarkStart w:id="202" w:name="_Toc184310339"/>
      <w:bookmarkEnd w:id="202"/>
      <w:bookmarkStart w:id="203" w:name="_Toc184314467"/>
      <w:bookmarkEnd w:id="203"/>
      <w:bookmarkStart w:id="204" w:name="_Toc184312123"/>
      <w:bookmarkEnd w:id="204"/>
      <w:bookmarkStart w:id="205" w:name="_Toc184308058"/>
      <w:bookmarkEnd w:id="205"/>
      <w:bookmarkStart w:id="206" w:name="_Toc184310333"/>
      <w:bookmarkEnd w:id="206"/>
      <w:bookmarkStart w:id="207" w:name="_Toc184312093"/>
      <w:bookmarkEnd w:id="207"/>
      <w:bookmarkStart w:id="208" w:name="_Toc184312130"/>
      <w:bookmarkEnd w:id="208"/>
      <w:bookmarkStart w:id="209" w:name="_Toc184312109"/>
      <w:bookmarkEnd w:id="209"/>
      <w:bookmarkStart w:id="210" w:name="_Toc184308042"/>
      <w:bookmarkEnd w:id="210"/>
      <w:bookmarkStart w:id="211" w:name="_Toc184313246"/>
      <w:bookmarkEnd w:id="211"/>
      <w:bookmarkStart w:id="212" w:name="_Toc184313263"/>
      <w:bookmarkEnd w:id="212"/>
      <w:bookmarkStart w:id="213" w:name="_Toc184314480"/>
      <w:bookmarkEnd w:id="213"/>
      <w:bookmarkStart w:id="214" w:name="_Toc184312085"/>
      <w:bookmarkEnd w:id="214"/>
      <w:bookmarkStart w:id="215" w:name="_Toc184310287"/>
      <w:bookmarkEnd w:id="215"/>
      <w:bookmarkStart w:id="216" w:name="_Toc184308105"/>
      <w:bookmarkEnd w:id="216"/>
      <w:bookmarkStart w:id="217" w:name="_Toc184308057"/>
      <w:bookmarkEnd w:id="217"/>
      <w:bookmarkStart w:id="218" w:name="_Toc184310311"/>
      <w:bookmarkEnd w:id="218"/>
      <w:bookmarkStart w:id="219" w:name="_Toc184314427"/>
      <w:bookmarkEnd w:id="219"/>
      <w:bookmarkStart w:id="220" w:name="_Toc184312075"/>
      <w:bookmarkEnd w:id="220"/>
      <w:bookmarkStart w:id="221" w:name="_Toc184314455"/>
      <w:bookmarkEnd w:id="221"/>
      <w:bookmarkStart w:id="222" w:name="_Toc184312108"/>
      <w:bookmarkEnd w:id="222"/>
      <w:bookmarkStart w:id="223" w:name="_Toc184310310"/>
      <w:bookmarkEnd w:id="223"/>
      <w:bookmarkStart w:id="224" w:name="_Toc184312071"/>
      <w:bookmarkEnd w:id="224"/>
      <w:bookmarkStart w:id="225" w:name="_Toc184314444"/>
      <w:bookmarkEnd w:id="225"/>
      <w:bookmarkStart w:id="226" w:name="_Toc184314463"/>
      <w:bookmarkEnd w:id="226"/>
      <w:bookmarkStart w:id="227" w:name="_Toc184310324"/>
      <w:bookmarkEnd w:id="227"/>
      <w:bookmarkStart w:id="228" w:name="_Toc184314424"/>
      <w:bookmarkEnd w:id="228"/>
      <w:bookmarkStart w:id="229" w:name="_Toc184308073"/>
      <w:bookmarkEnd w:id="229"/>
      <w:bookmarkStart w:id="230" w:name="_Toc184310285"/>
      <w:bookmarkEnd w:id="230"/>
      <w:bookmarkStart w:id="231" w:name="_Toc184313248"/>
      <w:bookmarkEnd w:id="231"/>
      <w:bookmarkStart w:id="232" w:name="_Toc184308071"/>
      <w:bookmarkEnd w:id="232"/>
      <w:bookmarkStart w:id="233" w:name="_Toc184308089"/>
      <w:bookmarkEnd w:id="233"/>
      <w:bookmarkStart w:id="234" w:name="_Toc184308055"/>
      <w:bookmarkEnd w:id="234"/>
      <w:bookmarkStart w:id="235" w:name="_Toc184310320"/>
      <w:bookmarkEnd w:id="235"/>
      <w:bookmarkStart w:id="236" w:name="_Toc184312070"/>
      <w:bookmarkEnd w:id="236"/>
      <w:bookmarkStart w:id="237" w:name="_Toc184313242"/>
      <w:bookmarkEnd w:id="237"/>
      <w:bookmarkStart w:id="238" w:name="_Toc184308060"/>
      <w:bookmarkEnd w:id="238"/>
      <w:bookmarkStart w:id="239" w:name="_Toc184308082"/>
      <w:bookmarkEnd w:id="239"/>
      <w:bookmarkStart w:id="240" w:name="_Toc184312099"/>
      <w:bookmarkEnd w:id="240"/>
      <w:bookmarkStart w:id="241" w:name="_Toc184313267"/>
      <w:bookmarkEnd w:id="241"/>
      <w:bookmarkStart w:id="242" w:name="_Toc184312113"/>
      <w:bookmarkEnd w:id="242"/>
      <w:bookmarkStart w:id="243" w:name="_Toc184312102"/>
      <w:bookmarkEnd w:id="243"/>
      <w:bookmarkStart w:id="244" w:name="_Toc184313253"/>
      <w:bookmarkEnd w:id="244"/>
      <w:bookmarkStart w:id="245" w:name="_Toc184310306"/>
      <w:bookmarkEnd w:id="245"/>
      <w:bookmarkStart w:id="246" w:name="_Toc184313240"/>
      <w:bookmarkEnd w:id="246"/>
      <w:bookmarkStart w:id="247" w:name="_Toc184310298"/>
      <w:bookmarkEnd w:id="247"/>
      <w:bookmarkStart w:id="248" w:name="_Toc184313299"/>
      <w:bookmarkEnd w:id="248"/>
      <w:bookmarkStart w:id="249" w:name="_Toc184308075"/>
      <w:bookmarkEnd w:id="249"/>
      <w:bookmarkStart w:id="250" w:name="_Toc184313310"/>
      <w:bookmarkEnd w:id="250"/>
      <w:bookmarkStart w:id="251" w:name="_Toc184313309"/>
      <w:bookmarkEnd w:id="251"/>
      <w:bookmarkStart w:id="252" w:name="_Toc184308080"/>
      <w:bookmarkEnd w:id="252"/>
      <w:bookmarkStart w:id="253" w:name="_Toc184314462"/>
      <w:bookmarkEnd w:id="253"/>
      <w:bookmarkStart w:id="254" w:name="_Toc184313276"/>
      <w:bookmarkEnd w:id="254"/>
      <w:bookmarkStart w:id="255" w:name="_Toc184314460"/>
      <w:bookmarkEnd w:id="255"/>
      <w:bookmarkStart w:id="256" w:name="_Toc184312090"/>
      <w:bookmarkEnd w:id="256"/>
      <w:bookmarkStart w:id="257" w:name="_Toc184308079"/>
      <w:bookmarkEnd w:id="257"/>
      <w:bookmarkStart w:id="258" w:name="_Toc184308059"/>
      <w:bookmarkEnd w:id="258"/>
      <w:bookmarkStart w:id="259" w:name="_Toc184308081"/>
      <w:bookmarkEnd w:id="259"/>
      <w:bookmarkStart w:id="260" w:name="_Toc184312121"/>
      <w:bookmarkEnd w:id="260"/>
      <w:bookmarkStart w:id="261" w:name="_Toc184308040"/>
      <w:bookmarkEnd w:id="261"/>
      <w:bookmarkStart w:id="262" w:name="_Toc184313264"/>
      <w:bookmarkEnd w:id="262"/>
      <w:bookmarkStart w:id="263" w:name="_Toc184313239"/>
      <w:bookmarkEnd w:id="263"/>
      <w:bookmarkStart w:id="264" w:name="_Toc184310318"/>
      <w:bookmarkEnd w:id="264"/>
      <w:bookmarkStart w:id="265" w:name="_Toc184314464"/>
      <w:bookmarkEnd w:id="265"/>
      <w:bookmarkStart w:id="266" w:name="_Toc184310327"/>
      <w:bookmarkEnd w:id="266"/>
      <w:bookmarkStart w:id="267" w:name="_Toc184312118"/>
      <w:bookmarkEnd w:id="267"/>
      <w:bookmarkStart w:id="268" w:name="_Toc184308041"/>
      <w:bookmarkEnd w:id="268"/>
      <w:bookmarkStart w:id="269" w:name="_Toc184314442"/>
      <w:bookmarkEnd w:id="269"/>
      <w:bookmarkStart w:id="270" w:name="_Toc184308068"/>
      <w:bookmarkEnd w:id="270"/>
      <w:bookmarkStart w:id="271" w:name="_Toc184310331"/>
      <w:bookmarkEnd w:id="271"/>
      <w:bookmarkStart w:id="272" w:name="_Toc184313305"/>
      <w:bookmarkEnd w:id="272"/>
      <w:bookmarkStart w:id="273" w:name="_Toc184310336"/>
      <w:bookmarkEnd w:id="273"/>
      <w:bookmarkStart w:id="274" w:name="_Toc184310277"/>
      <w:bookmarkEnd w:id="274"/>
      <w:bookmarkStart w:id="275" w:name="_Toc184314473"/>
      <w:bookmarkEnd w:id="275"/>
      <w:bookmarkStart w:id="276" w:name="_Toc184313286"/>
      <w:bookmarkEnd w:id="276"/>
      <w:bookmarkStart w:id="277" w:name="_Toc184310281"/>
      <w:bookmarkEnd w:id="277"/>
      <w:bookmarkStart w:id="278" w:name="_Toc184314421"/>
      <w:bookmarkEnd w:id="278"/>
      <w:bookmarkStart w:id="279" w:name="_Toc184308072"/>
      <w:bookmarkEnd w:id="279"/>
      <w:bookmarkStart w:id="280" w:name="_Toc184310305"/>
      <w:bookmarkEnd w:id="280"/>
      <w:bookmarkStart w:id="281" w:name="_Toc184308054"/>
      <w:bookmarkEnd w:id="281"/>
      <w:bookmarkStart w:id="282" w:name="_Toc184313254"/>
      <w:bookmarkEnd w:id="282"/>
      <w:bookmarkStart w:id="283" w:name="_Toc184314412"/>
      <w:bookmarkEnd w:id="283"/>
      <w:bookmarkStart w:id="284" w:name="_Toc184313247"/>
      <w:bookmarkEnd w:id="284"/>
      <w:bookmarkStart w:id="285" w:name="_Toc184312117"/>
      <w:bookmarkEnd w:id="285"/>
      <w:bookmarkStart w:id="286" w:name="_Toc184312111"/>
      <w:bookmarkEnd w:id="286"/>
      <w:bookmarkStart w:id="287" w:name="_Toc184313243"/>
      <w:bookmarkEnd w:id="287"/>
      <w:bookmarkStart w:id="288" w:name="_Toc184313250"/>
      <w:bookmarkEnd w:id="288"/>
      <w:bookmarkStart w:id="289" w:name="_Toc184314474"/>
      <w:bookmarkEnd w:id="289"/>
      <w:bookmarkStart w:id="290" w:name="_Toc184310315"/>
      <w:bookmarkEnd w:id="290"/>
      <w:bookmarkStart w:id="291" w:name="_Toc184312115"/>
      <w:bookmarkEnd w:id="291"/>
      <w:bookmarkStart w:id="292" w:name="_Toc184313238"/>
      <w:bookmarkEnd w:id="292"/>
      <w:bookmarkStart w:id="293" w:name="_Toc184313244"/>
      <w:bookmarkEnd w:id="293"/>
      <w:bookmarkStart w:id="294" w:name="_Toc184314428"/>
      <w:bookmarkEnd w:id="294"/>
      <w:bookmarkStart w:id="295" w:name="_Toc184310303"/>
      <w:bookmarkEnd w:id="295"/>
      <w:bookmarkStart w:id="296" w:name="_Toc184313290"/>
      <w:bookmarkEnd w:id="296"/>
      <w:bookmarkStart w:id="297" w:name="_Toc184314417"/>
      <w:bookmarkEnd w:id="297"/>
      <w:bookmarkStart w:id="298" w:name="_Toc184314456"/>
      <w:bookmarkEnd w:id="298"/>
      <w:bookmarkStart w:id="299" w:name="_Toc184310274"/>
      <w:bookmarkEnd w:id="299"/>
      <w:bookmarkStart w:id="300" w:name="_Toc184313308"/>
      <w:bookmarkEnd w:id="300"/>
      <w:bookmarkStart w:id="301" w:name="_Toc184313297"/>
      <w:bookmarkEnd w:id="301"/>
      <w:bookmarkStart w:id="302" w:name="_Toc184312133"/>
      <w:bookmarkEnd w:id="302"/>
      <w:bookmarkStart w:id="303" w:name="_Toc184313281"/>
      <w:bookmarkEnd w:id="303"/>
      <w:bookmarkStart w:id="304" w:name="_Toc184308078"/>
      <w:bookmarkEnd w:id="304"/>
      <w:bookmarkStart w:id="305" w:name="_Toc184314420"/>
      <w:bookmarkEnd w:id="305"/>
      <w:bookmarkStart w:id="306" w:name="_Toc184312091"/>
      <w:bookmarkEnd w:id="306"/>
      <w:bookmarkStart w:id="307" w:name="_Toc184310338"/>
      <w:bookmarkEnd w:id="307"/>
      <w:bookmarkStart w:id="308" w:name="_Toc184313272"/>
      <w:bookmarkEnd w:id="308"/>
      <w:bookmarkStart w:id="309" w:name="_Toc184312087"/>
      <w:bookmarkEnd w:id="309"/>
      <w:bookmarkStart w:id="310" w:name="_Toc184313270"/>
      <w:bookmarkEnd w:id="310"/>
      <w:bookmarkStart w:id="311" w:name="_Toc184312089"/>
      <w:bookmarkEnd w:id="311"/>
      <w:bookmarkStart w:id="312" w:name="_Toc184314459"/>
      <w:bookmarkEnd w:id="312"/>
      <w:bookmarkStart w:id="313" w:name="_Toc184308036"/>
      <w:bookmarkEnd w:id="313"/>
      <w:bookmarkStart w:id="314" w:name="_Toc184308102"/>
      <w:bookmarkEnd w:id="314"/>
      <w:bookmarkStart w:id="315" w:name="_Toc184312101"/>
      <w:bookmarkEnd w:id="315"/>
      <w:bookmarkStart w:id="316" w:name="_Toc184313271"/>
      <w:bookmarkEnd w:id="316"/>
      <w:bookmarkStart w:id="317" w:name="_Toc184312100"/>
      <w:bookmarkEnd w:id="317"/>
      <w:bookmarkStart w:id="318" w:name="_Toc184310340"/>
      <w:bookmarkEnd w:id="318"/>
      <w:bookmarkStart w:id="319" w:name="_Toc184314431"/>
      <w:bookmarkEnd w:id="319"/>
      <w:bookmarkStart w:id="320" w:name="_Toc184314454"/>
      <w:bookmarkEnd w:id="320"/>
      <w:bookmarkStart w:id="321" w:name="_Toc184313265"/>
      <w:bookmarkEnd w:id="321"/>
      <w:bookmarkStart w:id="322" w:name="_Toc184312077"/>
      <w:bookmarkEnd w:id="322"/>
      <w:bookmarkStart w:id="323" w:name="_Toc184310276"/>
      <w:bookmarkEnd w:id="323"/>
      <w:bookmarkStart w:id="324" w:name="_Toc184314472"/>
      <w:bookmarkEnd w:id="324"/>
      <w:bookmarkStart w:id="325" w:name="_Toc184313292"/>
      <w:bookmarkEnd w:id="325"/>
      <w:bookmarkStart w:id="326" w:name="_Toc184308107"/>
      <w:bookmarkEnd w:id="326"/>
      <w:bookmarkStart w:id="327" w:name="_Toc184312098"/>
      <w:bookmarkEnd w:id="327"/>
      <w:bookmarkStart w:id="328" w:name="_Toc184308094"/>
      <w:bookmarkEnd w:id="328"/>
      <w:bookmarkStart w:id="329" w:name="_Toc184310292"/>
      <w:bookmarkEnd w:id="329"/>
      <w:bookmarkStart w:id="330" w:name="_Toc184308043"/>
      <w:bookmarkEnd w:id="330"/>
      <w:bookmarkStart w:id="331" w:name="_Toc184313302"/>
      <w:bookmarkEnd w:id="331"/>
      <w:bookmarkStart w:id="332" w:name="_Toc184314410"/>
      <w:bookmarkEnd w:id="332"/>
      <w:bookmarkStart w:id="333" w:name="_Toc184314435"/>
      <w:bookmarkEnd w:id="333"/>
      <w:bookmarkStart w:id="334" w:name="_Toc184308038"/>
      <w:bookmarkEnd w:id="334"/>
      <w:bookmarkStart w:id="335" w:name="_Toc184313296"/>
      <w:bookmarkEnd w:id="335"/>
      <w:bookmarkStart w:id="336" w:name="_Toc184312110"/>
      <w:bookmarkEnd w:id="336"/>
      <w:bookmarkStart w:id="337" w:name="_Toc184314453"/>
      <w:bookmarkEnd w:id="337"/>
      <w:bookmarkStart w:id="338" w:name="_Toc184312095"/>
      <w:bookmarkEnd w:id="338"/>
      <w:bookmarkStart w:id="339" w:name="_Toc184314411"/>
      <w:bookmarkEnd w:id="339"/>
      <w:bookmarkStart w:id="340" w:name="_Toc184314439"/>
      <w:bookmarkEnd w:id="340"/>
      <w:bookmarkStart w:id="341" w:name="_Toc184308056"/>
      <w:bookmarkEnd w:id="341"/>
      <w:bookmarkStart w:id="342" w:name="_Toc184308039"/>
      <w:bookmarkEnd w:id="342"/>
      <w:bookmarkStart w:id="343" w:name="_Toc184314475"/>
      <w:bookmarkEnd w:id="343"/>
      <w:bookmarkStart w:id="344" w:name="_Toc184314468"/>
      <w:bookmarkEnd w:id="344"/>
      <w:bookmarkStart w:id="345" w:name="_Toc184313268"/>
      <w:bookmarkEnd w:id="345"/>
      <w:bookmarkStart w:id="346" w:name="_Toc184310279"/>
      <w:bookmarkEnd w:id="346"/>
      <w:bookmarkStart w:id="347" w:name="_Toc184313252"/>
      <w:bookmarkEnd w:id="347"/>
      <w:bookmarkStart w:id="348" w:name="_Toc184308070"/>
      <w:bookmarkEnd w:id="348"/>
      <w:bookmarkStart w:id="349" w:name="_Toc184308088"/>
      <w:bookmarkEnd w:id="349"/>
      <w:bookmarkStart w:id="350" w:name="_Toc184308047"/>
      <w:bookmarkEnd w:id="350"/>
      <w:bookmarkStart w:id="351" w:name="_Toc184310316"/>
      <w:bookmarkEnd w:id="351"/>
      <w:bookmarkStart w:id="352" w:name="_Toc184313262"/>
      <w:bookmarkEnd w:id="352"/>
      <w:bookmarkStart w:id="353" w:name="_Toc184314415"/>
      <w:bookmarkEnd w:id="353"/>
      <w:bookmarkStart w:id="354" w:name="_Toc184313285"/>
      <w:bookmarkEnd w:id="354"/>
      <w:bookmarkStart w:id="355" w:name="_Toc184310294"/>
      <w:bookmarkEnd w:id="355"/>
      <w:bookmarkStart w:id="356" w:name="_Toc184310283"/>
      <w:bookmarkEnd w:id="356"/>
      <w:bookmarkStart w:id="357" w:name="_Toc184312080"/>
      <w:bookmarkEnd w:id="357"/>
      <w:bookmarkStart w:id="358" w:name="_Toc184310272"/>
      <w:bookmarkEnd w:id="358"/>
      <w:bookmarkStart w:id="359" w:name="_Toc184310319"/>
      <w:bookmarkEnd w:id="359"/>
      <w:bookmarkStart w:id="360" w:name="_Toc184314426"/>
      <w:bookmarkEnd w:id="360"/>
      <w:bookmarkStart w:id="361" w:name="_Toc184314469"/>
      <w:bookmarkEnd w:id="361"/>
      <w:bookmarkStart w:id="362" w:name="_Toc184310296"/>
      <w:bookmarkEnd w:id="362"/>
      <w:bookmarkStart w:id="363" w:name="_Toc184310288"/>
      <w:bookmarkEnd w:id="363"/>
      <w:bookmarkStart w:id="364" w:name="_Toc184313275"/>
      <w:bookmarkEnd w:id="364"/>
      <w:bookmarkStart w:id="365" w:name="_Toc184308093"/>
      <w:bookmarkEnd w:id="365"/>
      <w:bookmarkStart w:id="366" w:name="_Toc184314452"/>
      <w:bookmarkEnd w:id="366"/>
      <w:bookmarkStart w:id="367" w:name="_Toc184308106"/>
      <w:bookmarkEnd w:id="367"/>
      <w:bookmarkStart w:id="368" w:name="_Toc184310290"/>
      <w:bookmarkEnd w:id="368"/>
      <w:bookmarkStart w:id="369" w:name="_Toc184314419"/>
      <w:bookmarkEnd w:id="369"/>
      <w:bookmarkStart w:id="370" w:name="_Toc184308050"/>
      <w:bookmarkEnd w:id="370"/>
      <w:bookmarkStart w:id="371" w:name="_Toc184313307"/>
      <w:bookmarkEnd w:id="371"/>
      <w:bookmarkStart w:id="372" w:name="_Toc184313303"/>
      <w:bookmarkEnd w:id="372"/>
      <w:bookmarkStart w:id="373" w:name="_Toc184313278"/>
      <w:bookmarkEnd w:id="373"/>
      <w:bookmarkStart w:id="374" w:name="_Toc184310335"/>
      <w:bookmarkEnd w:id="374"/>
      <w:bookmarkStart w:id="375" w:name="_Toc184314414"/>
      <w:bookmarkEnd w:id="375"/>
      <w:bookmarkStart w:id="376" w:name="_Toc184314447"/>
      <w:bookmarkEnd w:id="376"/>
      <w:bookmarkStart w:id="377" w:name="_Toc184313259"/>
      <w:bookmarkEnd w:id="377"/>
      <w:bookmarkStart w:id="378" w:name="_Toc184310329"/>
      <w:bookmarkEnd w:id="378"/>
      <w:bookmarkStart w:id="379" w:name="_Toc184312136"/>
      <w:bookmarkEnd w:id="379"/>
      <w:bookmarkStart w:id="380" w:name="_Toc184312084"/>
      <w:bookmarkEnd w:id="380"/>
      <w:bookmarkStart w:id="381" w:name="_Toc184312128"/>
      <w:bookmarkEnd w:id="381"/>
      <w:bookmarkStart w:id="382" w:name="_Toc184313291"/>
      <w:bookmarkEnd w:id="382"/>
      <w:bookmarkStart w:id="383" w:name="_Toc184312097"/>
      <w:bookmarkEnd w:id="383"/>
      <w:bookmarkStart w:id="384" w:name="_Toc184314418"/>
      <w:bookmarkEnd w:id="384"/>
      <w:bookmarkStart w:id="385" w:name="_Toc184308064"/>
      <w:bookmarkEnd w:id="385"/>
      <w:bookmarkStart w:id="386" w:name="_Toc184312120"/>
      <w:bookmarkEnd w:id="386"/>
      <w:bookmarkStart w:id="387" w:name="_Toc184308087"/>
      <w:bookmarkEnd w:id="387"/>
      <w:bookmarkStart w:id="388" w:name="_Toc184312104"/>
      <w:bookmarkEnd w:id="388"/>
      <w:bookmarkStart w:id="389" w:name="_Toc184310314"/>
      <w:bookmarkEnd w:id="389"/>
      <w:bookmarkStart w:id="390" w:name="_Toc184308046"/>
      <w:bookmarkEnd w:id="390"/>
      <w:bookmarkStart w:id="391" w:name="_Toc184314465"/>
      <w:bookmarkEnd w:id="391"/>
      <w:bookmarkStart w:id="392" w:name="_Toc184308092"/>
      <w:bookmarkEnd w:id="392"/>
      <w:bookmarkStart w:id="393" w:name="_Toc184308099"/>
      <w:bookmarkEnd w:id="393"/>
      <w:bookmarkStart w:id="394" w:name="_Toc184308090"/>
      <w:bookmarkEnd w:id="394"/>
      <w:bookmarkStart w:id="395" w:name="_Toc184312116"/>
      <w:bookmarkEnd w:id="395"/>
      <w:bookmarkStart w:id="396" w:name="_Toc184308074"/>
      <w:bookmarkEnd w:id="396"/>
      <w:bookmarkStart w:id="397" w:name="_Toc184314446"/>
      <w:bookmarkEnd w:id="397"/>
      <w:bookmarkStart w:id="398" w:name="_Toc184310323"/>
      <w:bookmarkEnd w:id="398"/>
      <w:bookmarkStart w:id="399" w:name="_Toc184308100"/>
      <w:bookmarkEnd w:id="399"/>
      <w:bookmarkStart w:id="400" w:name="_Toc184313266"/>
      <w:bookmarkEnd w:id="400"/>
      <w:bookmarkStart w:id="401" w:name="_Toc184310328"/>
      <w:bookmarkEnd w:id="401"/>
      <w:bookmarkStart w:id="402" w:name="_Toc184314479"/>
      <w:bookmarkEnd w:id="402"/>
      <w:bookmarkStart w:id="403" w:name="_Toc184313304"/>
      <w:bookmarkEnd w:id="403"/>
      <w:bookmarkStart w:id="404" w:name="_Toc184310275"/>
      <w:bookmarkEnd w:id="404"/>
      <w:bookmarkStart w:id="405" w:name="_Toc184314448"/>
      <w:bookmarkEnd w:id="405"/>
      <w:r>
        <w:rPr>
          <w:rFonts w:hint="eastAsia" w:ascii="仿宋" w:hAnsi="仿宋" w:eastAsia="仿宋" w:cs="仿宋_GB2312"/>
          <w:b/>
          <w:color w:val="000000" w:themeColor="text1"/>
          <w:sz w:val="36"/>
          <w:szCs w:val="36"/>
          <w:highlight w:val="none"/>
          <w14:textFill>
            <w14:solidFill>
              <w14:schemeClr w14:val="tx1"/>
            </w14:solidFill>
          </w14:textFill>
        </w:rPr>
        <w:t>采购需求</w:t>
      </w:r>
    </w:p>
    <w:p w14:paraId="228F041F">
      <w:pPr>
        <w:pStyle w:val="2"/>
        <w:ind w:left="0" w:firstLine="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一、</w:t>
      </w:r>
      <w:r>
        <w:rPr>
          <w:rFonts w:hint="eastAsia" w:ascii="仿宋" w:hAnsi="仿宋" w:eastAsia="仿宋" w:cs="仿宋"/>
          <w:color w:val="000000" w:themeColor="text1"/>
          <w:highlight w:val="none"/>
          <w14:textFill>
            <w14:solidFill>
              <w14:schemeClr w14:val="tx1"/>
            </w14:solidFill>
          </w14:textFill>
        </w:rPr>
        <w:t>招标一览表</w:t>
      </w:r>
    </w:p>
    <w:p w14:paraId="4D60D3A9">
      <w:pPr>
        <w:pStyle w:val="5"/>
        <w:spacing w:line="240" w:lineRule="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项目名称：杭州市滨江区2025-2026年居家养老综合服务封闭式框架协议采购项目 </w:t>
      </w:r>
    </w:p>
    <w:tbl>
      <w:tblPr>
        <w:tblStyle w:val="49"/>
        <w:tblpPr w:leftFromText="180" w:rightFromText="180" w:vertAnchor="text" w:horzAnchor="margin" w:tblpX="-345" w:tblpY="63"/>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9"/>
        <w:gridCol w:w="3734"/>
        <w:gridCol w:w="1050"/>
        <w:gridCol w:w="1162"/>
        <w:gridCol w:w="2575"/>
      </w:tblGrid>
      <w:tr w14:paraId="7DF5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1" w:hRule="atLeast"/>
        </w:trPr>
        <w:tc>
          <w:tcPr>
            <w:tcW w:w="869" w:type="dxa"/>
            <w:tcMar>
              <w:top w:w="15" w:type="dxa"/>
              <w:left w:w="15" w:type="dxa"/>
              <w:bottom w:w="0" w:type="dxa"/>
              <w:right w:w="15" w:type="dxa"/>
            </w:tcMar>
            <w:vAlign w:val="center"/>
          </w:tcPr>
          <w:p w14:paraId="7BDEBC20">
            <w:pPr>
              <w:tabs>
                <w:tab w:val="left" w:pos="516"/>
              </w:tabs>
              <w:jc w:val="center"/>
              <w:textAlignment w:val="center"/>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标项</w:t>
            </w:r>
          </w:p>
        </w:tc>
        <w:tc>
          <w:tcPr>
            <w:tcW w:w="3734" w:type="dxa"/>
            <w:tcMar>
              <w:top w:w="15" w:type="dxa"/>
              <w:left w:w="15" w:type="dxa"/>
              <w:bottom w:w="0" w:type="dxa"/>
              <w:right w:w="15" w:type="dxa"/>
            </w:tcMar>
            <w:vAlign w:val="center"/>
          </w:tcPr>
          <w:p w14:paraId="099BBAE3">
            <w:pPr>
              <w:tabs>
                <w:tab w:val="left" w:pos="516"/>
              </w:tabs>
              <w:jc w:val="center"/>
              <w:textAlignment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名称</w:t>
            </w:r>
          </w:p>
        </w:tc>
        <w:tc>
          <w:tcPr>
            <w:tcW w:w="1050" w:type="dxa"/>
            <w:tcMar>
              <w:top w:w="15" w:type="dxa"/>
              <w:left w:w="15" w:type="dxa"/>
              <w:bottom w:w="0" w:type="dxa"/>
              <w:right w:w="15" w:type="dxa"/>
            </w:tcMar>
            <w:vAlign w:val="center"/>
          </w:tcPr>
          <w:p w14:paraId="3EAF84D2">
            <w:pPr>
              <w:tabs>
                <w:tab w:val="left" w:pos="516"/>
              </w:tabs>
              <w:jc w:val="center"/>
              <w:textAlignment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数量</w:t>
            </w:r>
          </w:p>
        </w:tc>
        <w:tc>
          <w:tcPr>
            <w:tcW w:w="1162" w:type="dxa"/>
            <w:tcMar>
              <w:top w:w="15" w:type="dxa"/>
              <w:left w:w="15" w:type="dxa"/>
              <w:bottom w:w="0" w:type="dxa"/>
              <w:right w:w="15" w:type="dxa"/>
            </w:tcMar>
            <w:vAlign w:val="center"/>
          </w:tcPr>
          <w:p w14:paraId="758B8F26">
            <w:pPr>
              <w:tabs>
                <w:tab w:val="left" w:pos="516"/>
              </w:tabs>
              <w:jc w:val="center"/>
              <w:textAlignment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单位</w:t>
            </w:r>
          </w:p>
        </w:tc>
        <w:tc>
          <w:tcPr>
            <w:tcW w:w="2575" w:type="dxa"/>
            <w:vAlign w:val="center"/>
          </w:tcPr>
          <w:p w14:paraId="1C3176C5">
            <w:pPr>
              <w:tabs>
                <w:tab w:val="left" w:pos="516"/>
              </w:tabs>
              <w:jc w:val="center"/>
              <w:textAlignment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入围家数</w:t>
            </w:r>
          </w:p>
        </w:tc>
      </w:tr>
      <w:tr w14:paraId="3E1C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3" w:hRule="atLeast"/>
        </w:trPr>
        <w:tc>
          <w:tcPr>
            <w:tcW w:w="869" w:type="dxa"/>
            <w:tcMar>
              <w:top w:w="15" w:type="dxa"/>
              <w:left w:w="15" w:type="dxa"/>
              <w:bottom w:w="0" w:type="dxa"/>
              <w:right w:w="15" w:type="dxa"/>
            </w:tcMar>
            <w:vAlign w:val="center"/>
          </w:tcPr>
          <w:p w14:paraId="28B4D4BA">
            <w:pPr>
              <w:tabs>
                <w:tab w:val="left" w:pos="516"/>
              </w:tabs>
              <w:jc w:val="center"/>
              <w:textAlignment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一</w:t>
            </w:r>
          </w:p>
        </w:tc>
        <w:tc>
          <w:tcPr>
            <w:tcW w:w="3734" w:type="dxa"/>
            <w:tcMar>
              <w:top w:w="15" w:type="dxa"/>
              <w:left w:w="15" w:type="dxa"/>
              <w:bottom w:w="0" w:type="dxa"/>
              <w:right w:w="15" w:type="dxa"/>
            </w:tcMar>
            <w:vAlign w:val="center"/>
          </w:tcPr>
          <w:p w14:paraId="362F644C">
            <w:pPr>
              <w:tabs>
                <w:tab w:val="left" w:pos="516"/>
              </w:tabs>
              <w:jc w:val="center"/>
              <w:textAlignment w:val="cente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区域型居家养老综合运营服务</w:t>
            </w:r>
          </w:p>
        </w:tc>
        <w:tc>
          <w:tcPr>
            <w:tcW w:w="1050" w:type="dxa"/>
            <w:tcMar>
              <w:top w:w="15" w:type="dxa"/>
              <w:left w:w="15" w:type="dxa"/>
              <w:bottom w:w="0" w:type="dxa"/>
              <w:right w:w="15" w:type="dxa"/>
            </w:tcMar>
            <w:vAlign w:val="center"/>
          </w:tcPr>
          <w:p w14:paraId="693D627D">
            <w:pPr>
              <w:tabs>
                <w:tab w:val="left" w:pos="516"/>
              </w:tabs>
              <w:jc w:val="center"/>
              <w:textAlignment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w:t>
            </w:r>
          </w:p>
        </w:tc>
        <w:tc>
          <w:tcPr>
            <w:tcW w:w="1162" w:type="dxa"/>
            <w:tcMar>
              <w:top w:w="15" w:type="dxa"/>
              <w:left w:w="15" w:type="dxa"/>
              <w:bottom w:w="0" w:type="dxa"/>
              <w:right w:w="15" w:type="dxa"/>
            </w:tcMar>
            <w:vAlign w:val="center"/>
          </w:tcPr>
          <w:p w14:paraId="2D87B95A">
            <w:pPr>
              <w:tabs>
                <w:tab w:val="left" w:pos="516"/>
              </w:tabs>
              <w:jc w:val="center"/>
              <w:textAlignment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项</w:t>
            </w:r>
          </w:p>
        </w:tc>
        <w:tc>
          <w:tcPr>
            <w:tcW w:w="2575" w:type="dxa"/>
            <w:shd w:val="clear" w:color="auto" w:fill="auto"/>
            <w:vAlign w:val="center"/>
          </w:tcPr>
          <w:p w14:paraId="5BAB3D49">
            <w:pPr>
              <w:tabs>
                <w:tab w:val="left" w:pos="516"/>
              </w:tabs>
              <w:jc w:val="center"/>
              <w:textAlignment w:val="center"/>
              <w:rPr>
                <w:rFonts w:hint="default"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6家</w:t>
            </w:r>
          </w:p>
        </w:tc>
      </w:tr>
      <w:tr w14:paraId="72FF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8" w:hRule="atLeast"/>
        </w:trPr>
        <w:tc>
          <w:tcPr>
            <w:tcW w:w="869" w:type="dxa"/>
            <w:tcMar>
              <w:top w:w="15" w:type="dxa"/>
              <w:left w:w="15" w:type="dxa"/>
              <w:bottom w:w="0" w:type="dxa"/>
              <w:right w:w="15" w:type="dxa"/>
            </w:tcMar>
            <w:vAlign w:val="center"/>
          </w:tcPr>
          <w:p w14:paraId="48384E64">
            <w:pPr>
              <w:tabs>
                <w:tab w:val="left" w:pos="516"/>
              </w:tabs>
              <w:jc w:val="center"/>
              <w:textAlignment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二</w:t>
            </w:r>
          </w:p>
        </w:tc>
        <w:tc>
          <w:tcPr>
            <w:tcW w:w="3734" w:type="dxa"/>
            <w:tcMar>
              <w:top w:w="15" w:type="dxa"/>
              <w:left w:w="15" w:type="dxa"/>
              <w:bottom w:w="0" w:type="dxa"/>
              <w:right w:w="15" w:type="dxa"/>
            </w:tcMar>
            <w:vAlign w:val="center"/>
          </w:tcPr>
          <w:p w14:paraId="19CF84DF">
            <w:pPr>
              <w:tabs>
                <w:tab w:val="left" w:pos="516"/>
              </w:tabs>
              <w:jc w:val="center"/>
              <w:textAlignment w:val="cente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居家养老上门服务</w:t>
            </w:r>
          </w:p>
        </w:tc>
        <w:tc>
          <w:tcPr>
            <w:tcW w:w="1050" w:type="dxa"/>
            <w:tcMar>
              <w:top w:w="15" w:type="dxa"/>
              <w:left w:w="15" w:type="dxa"/>
              <w:bottom w:w="0" w:type="dxa"/>
              <w:right w:w="15" w:type="dxa"/>
            </w:tcMar>
            <w:vAlign w:val="center"/>
          </w:tcPr>
          <w:p w14:paraId="01719BF0">
            <w:pPr>
              <w:tabs>
                <w:tab w:val="left" w:pos="516"/>
              </w:tabs>
              <w:jc w:val="center"/>
              <w:textAlignment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w:t>
            </w:r>
          </w:p>
        </w:tc>
        <w:tc>
          <w:tcPr>
            <w:tcW w:w="1162" w:type="dxa"/>
            <w:tcMar>
              <w:top w:w="15" w:type="dxa"/>
              <w:left w:w="15" w:type="dxa"/>
              <w:bottom w:w="0" w:type="dxa"/>
              <w:right w:w="15" w:type="dxa"/>
            </w:tcMar>
            <w:vAlign w:val="center"/>
          </w:tcPr>
          <w:p w14:paraId="40A69D1C">
            <w:pPr>
              <w:tabs>
                <w:tab w:val="left" w:pos="516"/>
              </w:tabs>
              <w:jc w:val="center"/>
              <w:textAlignment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项</w:t>
            </w:r>
          </w:p>
        </w:tc>
        <w:tc>
          <w:tcPr>
            <w:tcW w:w="2575" w:type="dxa"/>
            <w:shd w:val="clear" w:color="auto" w:fill="auto"/>
            <w:vAlign w:val="center"/>
          </w:tcPr>
          <w:p w14:paraId="2AAECD3F">
            <w:pPr>
              <w:tabs>
                <w:tab w:val="left" w:pos="516"/>
              </w:tabs>
              <w:jc w:val="center"/>
              <w:textAlignment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6家</w:t>
            </w:r>
          </w:p>
        </w:tc>
      </w:tr>
    </w:tbl>
    <w:p w14:paraId="4949C34E">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12FF81C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本项目分2个标项（详见招标一览表），供应商可自行选择其中一个或者多个标项响应，本次评审次序按标项一、标项二的顺序进行评审。</w:t>
      </w:r>
    </w:p>
    <w:p w14:paraId="618FBFBF">
      <w:pPr>
        <w:pStyle w:val="2"/>
        <w:ind w:left="0" w:firstLine="0"/>
        <w:jc w:val="center"/>
        <w:rPr>
          <w:rFonts w:hint="eastAsia" w:ascii="仿宋" w:hAnsi="仿宋" w:eastAsia="仿宋" w:cs="仿宋"/>
          <w:color w:val="000000" w:themeColor="text1"/>
          <w:highlight w:val="none"/>
          <w:lang w:val="en-US" w:eastAsia="zh-CN"/>
          <w14:textFill>
            <w14:solidFill>
              <w14:schemeClr w14:val="tx1"/>
            </w14:solidFill>
          </w14:textFill>
        </w:rPr>
      </w:pPr>
    </w:p>
    <w:p w14:paraId="2168F4BA">
      <w:pPr>
        <w:pStyle w:val="2"/>
        <w:ind w:left="0" w:firstLine="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二、</w:t>
      </w:r>
      <w:r>
        <w:rPr>
          <w:rFonts w:hint="eastAsia" w:ascii="仿宋" w:hAnsi="仿宋" w:eastAsia="仿宋" w:cs="仿宋"/>
          <w:color w:val="000000" w:themeColor="text1"/>
          <w:highlight w:val="none"/>
          <w:lang w:val="en-US"/>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需求</w:t>
      </w:r>
    </w:p>
    <w:p w14:paraId="499B7505">
      <w:pPr>
        <w:pageBreakBefore w:val="0"/>
        <w:kinsoku/>
        <w:wordWrap/>
        <w:overflowPunct/>
        <w:topLinePunct w:val="0"/>
        <w:autoSpaceDE/>
        <w:autoSpaceDN/>
        <w:bidi w:val="0"/>
        <w:spacing w:line="500" w:lineRule="exact"/>
        <w:ind w:firstLine="42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为提升</w:t>
      </w:r>
      <w:r>
        <w:rPr>
          <w:rFonts w:hint="eastAsia" w:ascii="仿宋" w:hAnsi="仿宋" w:eastAsia="仿宋" w:cs="仿宋"/>
          <w:color w:val="000000" w:themeColor="text1"/>
          <w:sz w:val="24"/>
          <w:szCs w:val="24"/>
          <w:highlight w:val="none"/>
          <w:lang w:val="en-US" w:eastAsia="zh-CN"/>
          <w14:textFill>
            <w14:solidFill>
              <w14:schemeClr w14:val="tx1"/>
            </w14:solidFill>
          </w14:textFill>
        </w:rPr>
        <w:t>杭州市滨江</w:t>
      </w:r>
      <w:r>
        <w:rPr>
          <w:rFonts w:hint="eastAsia" w:ascii="仿宋" w:hAnsi="仿宋" w:eastAsia="仿宋" w:cs="仿宋"/>
          <w:color w:val="000000" w:themeColor="text1"/>
          <w:sz w:val="24"/>
          <w:szCs w:val="24"/>
          <w:highlight w:val="none"/>
          <w14:textFill>
            <w14:solidFill>
              <w14:schemeClr w14:val="tx1"/>
            </w14:solidFill>
          </w14:textFill>
        </w:rPr>
        <w:t>区居民养老服务水平</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根据实际需求及有关规定，杭州市滨江区民政局就</w:t>
      </w:r>
      <w:r>
        <w:rPr>
          <w:rFonts w:hint="eastAsia" w:ascii="仿宋" w:hAnsi="仿宋" w:eastAsia="仿宋" w:cs="仿宋"/>
          <w:color w:val="000000" w:themeColor="text1"/>
          <w:sz w:val="24"/>
          <w:szCs w:val="24"/>
          <w:highlight w:val="none"/>
          <w:lang w:val="en-US" w:eastAsia="zh-CN"/>
          <w14:textFill>
            <w14:solidFill>
              <w14:schemeClr w14:val="tx1"/>
            </w14:solidFill>
          </w14:textFill>
        </w:rPr>
        <w:t>居家养老综合服务项目</w:t>
      </w:r>
      <w:r>
        <w:rPr>
          <w:rFonts w:hint="eastAsia" w:ascii="仿宋" w:hAnsi="仿宋" w:eastAsia="仿宋" w:cs="仿宋"/>
          <w:color w:val="000000" w:themeColor="text1"/>
          <w:sz w:val="24"/>
          <w:szCs w:val="24"/>
          <w:highlight w:val="none"/>
          <w14:textFill>
            <w14:solidFill>
              <w14:schemeClr w14:val="tx1"/>
            </w14:solidFill>
          </w14:textFill>
        </w:rPr>
        <w:t>进行采购。</w:t>
      </w:r>
    </w:p>
    <w:p w14:paraId="3C3B460F">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一、采购内容</w:t>
      </w:r>
    </w:p>
    <w:p w14:paraId="7E7DAFAF">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（一）标项及服务范围</w:t>
      </w:r>
    </w:p>
    <w:p w14:paraId="46FEA773">
      <w:pPr>
        <w:spacing w:line="500" w:lineRule="exact"/>
        <w:ind w:firstLine="42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1.1标项一：</w:t>
      </w:r>
      <w:r>
        <w:rPr>
          <w:rFonts w:hint="eastAsia" w:ascii="仿宋" w:hAnsi="仿宋" w:eastAsia="仿宋" w:cs="仿宋"/>
          <w:b w:val="0"/>
          <w:bCs w:val="0"/>
          <w:snapToGrid/>
          <w:color w:val="000000" w:themeColor="text1"/>
          <w:kern w:val="2"/>
          <w:sz w:val="24"/>
          <w:szCs w:val="24"/>
          <w:highlight w:val="none"/>
          <w:lang w:val="en-US" w:eastAsia="zh-CN"/>
          <w14:textFill>
            <w14:solidFill>
              <w14:schemeClr w14:val="tx1"/>
            </w14:solidFill>
          </w14:textFill>
        </w:rPr>
        <w:t>区域型居家养老综合运营服务内容主要包括：</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为杭州市滨江区</w:t>
      </w:r>
      <w:r>
        <w:rPr>
          <w:rFonts w:hint="eastAsia" w:ascii="仿宋" w:hAnsi="仿宋" w:eastAsia="仿宋" w:cs="仿宋"/>
          <w:color w:val="000000" w:themeColor="text1"/>
          <w:kern w:val="0"/>
          <w:sz w:val="24"/>
          <w:szCs w:val="24"/>
          <w:highlight w:val="none"/>
          <w14:textFill>
            <w14:solidFill>
              <w14:schemeClr w14:val="tx1"/>
            </w14:solidFill>
          </w14:textFill>
        </w:rPr>
        <w:t>西兴</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长河、浦沿街道辖区范围内的</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场馆运营、活动开展、养老服务规划、食堂管理、配餐服务（食堂服务人数约为10000人）提供运营服务和上门服务等。</w:t>
      </w:r>
    </w:p>
    <w:p w14:paraId="1DDA640C">
      <w:pPr>
        <w:spacing w:line="500" w:lineRule="exact"/>
        <w:ind w:firstLine="42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1.2标项二：</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居家养老上门服务</w:t>
      </w:r>
      <w:r>
        <w:rPr>
          <w:rFonts w:hint="eastAsia" w:ascii="仿宋" w:hAnsi="仿宋" w:eastAsia="仿宋" w:cs="仿宋"/>
          <w:b w:val="0"/>
          <w:bCs w:val="0"/>
          <w:snapToGrid/>
          <w:color w:val="000000" w:themeColor="text1"/>
          <w:kern w:val="2"/>
          <w:sz w:val="24"/>
          <w:szCs w:val="24"/>
          <w:highlight w:val="none"/>
          <w:lang w:val="en-US" w:eastAsia="zh-CN"/>
          <w14:textFill>
            <w14:solidFill>
              <w14:schemeClr w14:val="tx1"/>
            </w14:solidFill>
          </w14:textFill>
        </w:rPr>
        <w:t>内容主要包括：</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为杭州市滨江区</w:t>
      </w:r>
      <w:r>
        <w:rPr>
          <w:rFonts w:hint="eastAsia" w:ascii="仿宋" w:hAnsi="仿宋" w:eastAsia="仿宋" w:cs="仿宋"/>
          <w:color w:val="000000" w:themeColor="text1"/>
          <w:kern w:val="0"/>
          <w:sz w:val="24"/>
          <w:szCs w:val="24"/>
          <w:highlight w:val="none"/>
          <w14:textFill>
            <w14:solidFill>
              <w14:schemeClr w14:val="tx1"/>
            </w14:solidFill>
          </w14:textFill>
        </w:rPr>
        <w:t>西兴</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长河、浦沿街道辖区范围内符合滨江区民[2025]2号文件规定的老年人提供居家养老服务</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等。</w:t>
      </w:r>
    </w:p>
    <w:p w14:paraId="24507166">
      <w:pPr>
        <w:keepNext w:val="0"/>
        <w:keepLines w:val="0"/>
        <w:pageBreakBefore w:val="0"/>
        <w:widowControl w:val="0"/>
        <w:kinsoku/>
        <w:wordWrap/>
        <w:overflowPunct/>
        <w:topLinePunct w:val="0"/>
        <w:autoSpaceDE/>
        <w:autoSpaceDN/>
        <w:bidi w:val="0"/>
        <w:adjustRightInd w:val="0"/>
        <w:snapToGrid/>
        <w:spacing w:line="500" w:lineRule="exact"/>
        <w:ind w:firstLine="420"/>
        <w:jc w:val="center"/>
        <w:textAlignment w:val="auto"/>
        <w:rPr>
          <w:rFonts w:hint="eastAsia" w:ascii="仿宋" w:hAnsi="仿宋" w:eastAsia="仿宋" w:cs="仿宋"/>
          <w:b/>
          <w:bCs/>
          <w:color w:val="000000" w:themeColor="text1"/>
          <w:sz w:val="24"/>
          <w:szCs w:val="24"/>
          <w:highlight w:val="red"/>
          <w:lang w:val="en-US" w:eastAsia="zh-CN"/>
          <w14:textFill>
            <w14:solidFill>
              <w14:schemeClr w14:val="tx1"/>
            </w14:solidFill>
          </w14:textFill>
        </w:rPr>
      </w:pPr>
      <w:r>
        <w:rPr>
          <w:rFonts w:hint="eastAsia" w:ascii="仿宋" w:hAnsi="仿宋" w:eastAsia="仿宋" w:cs="仿宋"/>
          <w:b/>
          <w:bCs/>
          <w:color w:val="000000" w:themeColor="text1"/>
          <w:sz w:val="24"/>
          <w:szCs w:val="24"/>
          <w:highlight w:val="red"/>
          <w:lang w:val="en-US" w:eastAsia="zh-CN"/>
          <w14:textFill>
            <w14:solidFill>
              <w14:schemeClr w14:val="tx1"/>
            </w14:solidFill>
          </w14:textFill>
        </w:rPr>
        <w:t>2024年区域型综合养老服务数据参考</w:t>
      </w:r>
    </w:p>
    <w:tbl>
      <w:tblPr>
        <w:tblStyle w:val="49"/>
        <w:tblW w:w="8974" w:type="dxa"/>
        <w:jc w:val="center"/>
        <w:tblLayout w:type="fixed"/>
        <w:tblCellMar>
          <w:top w:w="0" w:type="dxa"/>
          <w:left w:w="108" w:type="dxa"/>
          <w:bottom w:w="0" w:type="dxa"/>
          <w:right w:w="108" w:type="dxa"/>
        </w:tblCellMar>
      </w:tblPr>
      <w:tblGrid>
        <w:gridCol w:w="1163"/>
        <w:gridCol w:w="759"/>
        <w:gridCol w:w="1329"/>
        <w:gridCol w:w="3337"/>
        <w:gridCol w:w="2386"/>
      </w:tblGrid>
      <w:tr w14:paraId="16450457">
        <w:tblPrEx>
          <w:tblCellMar>
            <w:top w:w="0" w:type="dxa"/>
            <w:left w:w="108" w:type="dxa"/>
            <w:bottom w:w="0" w:type="dxa"/>
            <w:right w:w="108" w:type="dxa"/>
          </w:tblCellMar>
        </w:tblPrEx>
        <w:trPr>
          <w:trHeight w:val="126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3BBC89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序号</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77AC27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街道</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4ADC26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社区名称</w:t>
            </w:r>
          </w:p>
        </w:tc>
        <w:tc>
          <w:tcPr>
            <w:tcW w:w="3337" w:type="dxa"/>
            <w:tcBorders>
              <w:top w:val="single" w:color="auto" w:sz="4" w:space="0"/>
              <w:left w:val="nil"/>
              <w:bottom w:val="single" w:color="auto" w:sz="4" w:space="0"/>
              <w:right w:val="single" w:color="auto" w:sz="4" w:space="0"/>
            </w:tcBorders>
            <w:noWrap w:val="0"/>
            <w:vAlign w:val="center"/>
          </w:tcPr>
          <w:p w14:paraId="239AC1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照料中心</w:t>
            </w:r>
          </w:p>
        </w:tc>
        <w:tc>
          <w:tcPr>
            <w:tcW w:w="2386" w:type="dxa"/>
            <w:tcBorders>
              <w:top w:val="single" w:color="auto" w:sz="4" w:space="0"/>
              <w:left w:val="nil"/>
              <w:bottom w:val="single" w:color="auto" w:sz="4" w:space="0"/>
              <w:right w:val="single" w:color="auto" w:sz="4" w:space="0"/>
            </w:tcBorders>
            <w:noWrap w:val="0"/>
            <w:vAlign w:val="center"/>
          </w:tcPr>
          <w:p w14:paraId="3F10CA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老年食堂</w:t>
            </w:r>
          </w:p>
        </w:tc>
      </w:tr>
      <w:tr w14:paraId="35DA4FB3">
        <w:tblPrEx>
          <w:tblCellMar>
            <w:top w:w="0" w:type="dxa"/>
            <w:left w:w="108" w:type="dxa"/>
            <w:bottom w:w="0" w:type="dxa"/>
            <w:right w:w="108" w:type="dxa"/>
          </w:tblCellMar>
        </w:tblPrEx>
        <w:trPr>
          <w:trHeight w:val="54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1BA8B9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759" w:type="dxa"/>
            <w:vMerge w:val="restart"/>
            <w:tcBorders>
              <w:top w:val="single" w:color="auto" w:sz="4" w:space="0"/>
              <w:left w:val="single" w:color="auto" w:sz="4" w:space="0"/>
              <w:bottom w:val="single" w:color="auto" w:sz="4" w:space="0"/>
              <w:right w:val="single" w:color="auto" w:sz="4" w:space="0"/>
            </w:tcBorders>
            <w:noWrap w:val="0"/>
            <w:vAlign w:val="center"/>
          </w:tcPr>
          <w:p w14:paraId="104032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西兴街道</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22EE71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水电社区</w:t>
            </w:r>
          </w:p>
        </w:tc>
        <w:tc>
          <w:tcPr>
            <w:tcW w:w="33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DD0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水电社区居家养老照料中心</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B049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西兴街道水电社区助餐点</w:t>
            </w:r>
          </w:p>
        </w:tc>
      </w:tr>
      <w:tr w14:paraId="338C2C78">
        <w:tblPrEx>
          <w:tblCellMar>
            <w:top w:w="0" w:type="dxa"/>
            <w:left w:w="108" w:type="dxa"/>
            <w:bottom w:w="0" w:type="dxa"/>
            <w:right w:w="108" w:type="dxa"/>
          </w:tblCellMar>
        </w:tblPrEx>
        <w:trPr>
          <w:trHeight w:val="34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4B1886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4588F7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18D676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官河社区</w:t>
            </w:r>
          </w:p>
        </w:tc>
        <w:tc>
          <w:tcPr>
            <w:tcW w:w="33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F2B8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官河社区居家养老照料中心</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A3F0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西兴街道官河社区助餐点</w:t>
            </w:r>
          </w:p>
        </w:tc>
      </w:tr>
      <w:tr w14:paraId="4E1A66DA">
        <w:tblPrEx>
          <w:tblCellMar>
            <w:top w:w="0" w:type="dxa"/>
            <w:left w:w="108" w:type="dxa"/>
            <w:bottom w:w="0" w:type="dxa"/>
            <w:right w:w="108" w:type="dxa"/>
          </w:tblCellMar>
        </w:tblPrEx>
        <w:trPr>
          <w:trHeight w:val="34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72798A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p>
        </w:tc>
        <w:tc>
          <w:tcPr>
            <w:tcW w:w="759" w:type="dxa"/>
            <w:vMerge w:val="continue"/>
            <w:tcBorders>
              <w:top w:val="single" w:color="auto" w:sz="4" w:space="0"/>
              <w:left w:val="single" w:color="auto" w:sz="4" w:space="0"/>
              <w:right w:val="single" w:color="auto" w:sz="4" w:space="0"/>
            </w:tcBorders>
            <w:noWrap w:val="0"/>
            <w:vAlign w:val="center"/>
          </w:tcPr>
          <w:p w14:paraId="337405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0"/>
            <w:vAlign w:val="center"/>
          </w:tcPr>
          <w:p w14:paraId="4CA382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西兴社区</w:t>
            </w:r>
          </w:p>
        </w:tc>
        <w:tc>
          <w:tcPr>
            <w:tcW w:w="3337" w:type="dxa"/>
            <w:tcBorders>
              <w:top w:val="single" w:color="auto" w:sz="4" w:space="0"/>
              <w:left w:val="nil"/>
              <w:bottom w:val="single" w:color="auto" w:sz="4" w:space="0"/>
              <w:right w:val="single" w:color="auto" w:sz="4" w:space="0"/>
            </w:tcBorders>
            <w:shd w:val="clear" w:color="auto" w:fill="auto"/>
            <w:noWrap w:val="0"/>
            <w:vAlign w:val="center"/>
          </w:tcPr>
          <w:p w14:paraId="41394F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西兴社区居家养老照料中心</w:t>
            </w:r>
          </w:p>
        </w:tc>
        <w:tc>
          <w:tcPr>
            <w:tcW w:w="2386" w:type="dxa"/>
            <w:tcBorders>
              <w:top w:val="single" w:color="auto" w:sz="4" w:space="0"/>
              <w:left w:val="nil"/>
              <w:bottom w:val="single" w:color="auto" w:sz="4" w:space="0"/>
              <w:right w:val="single" w:color="auto" w:sz="4" w:space="0"/>
            </w:tcBorders>
            <w:shd w:val="clear" w:color="auto" w:fill="auto"/>
            <w:noWrap w:val="0"/>
            <w:vAlign w:val="center"/>
          </w:tcPr>
          <w:p w14:paraId="572FB3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西兴街道西兴社区助餐点</w:t>
            </w:r>
          </w:p>
        </w:tc>
      </w:tr>
      <w:tr w14:paraId="42F19C1C">
        <w:tblPrEx>
          <w:tblCellMar>
            <w:top w:w="0" w:type="dxa"/>
            <w:left w:w="108" w:type="dxa"/>
            <w:bottom w:w="0" w:type="dxa"/>
            <w:right w:w="108" w:type="dxa"/>
          </w:tblCellMar>
        </w:tblPrEx>
        <w:trPr>
          <w:trHeight w:val="519" w:hRule="atLeast"/>
          <w:jc w:val="center"/>
        </w:trPr>
        <w:tc>
          <w:tcPr>
            <w:tcW w:w="1163" w:type="dxa"/>
            <w:tcBorders>
              <w:top w:val="nil"/>
              <w:left w:val="single" w:color="auto" w:sz="4" w:space="0"/>
              <w:bottom w:val="single" w:color="auto" w:sz="4" w:space="0"/>
              <w:right w:val="single" w:color="auto" w:sz="4" w:space="0"/>
            </w:tcBorders>
            <w:noWrap w:val="0"/>
            <w:vAlign w:val="center"/>
          </w:tcPr>
          <w:p w14:paraId="099C34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w:t>
            </w:r>
          </w:p>
        </w:tc>
        <w:tc>
          <w:tcPr>
            <w:tcW w:w="759" w:type="dxa"/>
            <w:vMerge w:val="continue"/>
            <w:tcBorders>
              <w:left w:val="single" w:color="auto" w:sz="4" w:space="0"/>
              <w:right w:val="single" w:color="auto" w:sz="4" w:space="0"/>
            </w:tcBorders>
            <w:noWrap w:val="0"/>
            <w:vAlign w:val="center"/>
          </w:tcPr>
          <w:p w14:paraId="0161C8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0"/>
            <w:vAlign w:val="center"/>
          </w:tcPr>
          <w:p w14:paraId="352AFD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西陵社区</w:t>
            </w:r>
          </w:p>
        </w:tc>
        <w:tc>
          <w:tcPr>
            <w:tcW w:w="3337" w:type="dxa"/>
            <w:tcBorders>
              <w:top w:val="nil"/>
              <w:left w:val="nil"/>
              <w:bottom w:val="single" w:color="auto" w:sz="4" w:space="0"/>
              <w:right w:val="single" w:color="auto" w:sz="4" w:space="0"/>
            </w:tcBorders>
            <w:shd w:val="clear" w:color="auto" w:fill="auto"/>
            <w:noWrap w:val="0"/>
            <w:vAlign w:val="center"/>
          </w:tcPr>
          <w:p w14:paraId="3A6A44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西陵社区居家养老照料中心</w:t>
            </w:r>
          </w:p>
        </w:tc>
        <w:tc>
          <w:tcPr>
            <w:tcW w:w="2386" w:type="dxa"/>
            <w:tcBorders>
              <w:top w:val="nil"/>
              <w:left w:val="nil"/>
              <w:bottom w:val="single" w:color="auto" w:sz="4" w:space="0"/>
              <w:right w:val="single" w:color="auto" w:sz="4" w:space="0"/>
            </w:tcBorders>
            <w:shd w:val="clear" w:color="auto" w:fill="auto"/>
            <w:noWrap w:val="0"/>
            <w:vAlign w:val="center"/>
          </w:tcPr>
          <w:p w14:paraId="7793C2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w:t>
            </w:r>
          </w:p>
        </w:tc>
      </w:tr>
      <w:tr w14:paraId="19666B24">
        <w:tblPrEx>
          <w:tblCellMar>
            <w:top w:w="0" w:type="dxa"/>
            <w:left w:w="108" w:type="dxa"/>
            <w:bottom w:w="0" w:type="dxa"/>
            <w:right w:w="108" w:type="dxa"/>
          </w:tblCellMar>
        </w:tblPrEx>
        <w:trPr>
          <w:trHeight w:val="390" w:hRule="atLeast"/>
          <w:jc w:val="center"/>
        </w:trPr>
        <w:tc>
          <w:tcPr>
            <w:tcW w:w="1163" w:type="dxa"/>
            <w:tcBorders>
              <w:top w:val="nil"/>
              <w:left w:val="single" w:color="auto" w:sz="4" w:space="0"/>
              <w:bottom w:val="single" w:color="auto" w:sz="4" w:space="0"/>
              <w:right w:val="single" w:color="auto" w:sz="4" w:space="0"/>
            </w:tcBorders>
            <w:noWrap w:val="0"/>
            <w:vAlign w:val="center"/>
          </w:tcPr>
          <w:p w14:paraId="4A716A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w:t>
            </w:r>
          </w:p>
        </w:tc>
        <w:tc>
          <w:tcPr>
            <w:tcW w:w="759" w:type="dxa"/>
            <w:vMerge w:val="continue"/>
            <w:tcBorders>
              <w:left w:val="single" w:color="auto" w:sz="4" w:space="0"/>
              <w:right w:val="single" w:color="auto" w:sz="4" w:space="0"/>
            </w:tcBorders>
            <w:noWrap w:val="0"/>
            <w:vAlign w:val="center"/>
          </w:tcPr>
          <w:p w14:paraId="55D00C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0"/>
            <w:vAlign w:val="center"/>
          </w:tcPr>
          <w:p w14:paraId="411673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金东方社区</w:t>
            </w:r>
          </w:p>
        </w:tc>
        <w:tc>
          <w:tcPr>
            <w:tcW w:w="3337" w:type="dxa"/>
            <w:tcBorders>
              <w:top w:val="nil"/>
              <w:left w:val="nil"/>
              <w:bottom w:val="single" w:color="auto" w:sz="4" w:space="0"/>
              <w:right w:val="single" w:color="auto" w:sz="4" w:space="0"/>
            </w:tcBorders>
            <w:shd w:val="clear" w:color="auto" w:fill="auto"/>
            <w:noWrap w:val="0"/>
            <w:vAlign w:val="center"/>
          </w:tcPr>
          <w:p w14:paraId="62F6DA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金东方社区居家养老照料中心</w:t>
            </w:r>
          </w:p>
        </w:tc>
        <w:tc>
          <w:tcPr>
            <w:tcW w:w="2386" w:type="dxa"/>
            <w:tcBorders>
              <w:top w:val="nil"/>
              <w:left w:val="nil"/>
              <w:bottom w:val="single" w:color="auto" w:sz="4" w:space="0"/>
              <w:right w:val="single" w:color="auto" w:sz="4" w:space="0"/>
            </w:tcBorders>
            <w:shd w:val="clear" w:color="auto" w:fill="auto"/>
            <w:noWrap w:val="0"/>
            <w:vAlign w:val="center"/>
          </w:tcPr>
          <w:p w14:paraId="1C33AB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西兴街道金东方社区助餐点</w:t>
            </w:r>
          </w:p>
        </w:tc>
      </w:tr>
      <w:tr w14:paraId="65BA9E53">
        <w:tblPrEx>
          <w:tblCellMar>
            <w:top w:w="0" w:type="dxa"/>
            <w:left w:w="108" w:type="dxa"/>
            <w:bottom w:w="0" w:type="dxa"/>
            <w:right w:w="108" w:type="dxa"/>
          </w:tblCellMar>
        </w:tblPrEx>
        <w:trPr>
          <w:trHeight w:val="435" w:hRule="atLeast"/>
          <w:jc w:val="center"/>
        </w:trPr>
        <w:tc>
          <w:tcPr>
            <w:tcW w:w="1163" w:type="dxa"/>
            <w:tcBorders>
              <w:top w:val="nil"/>
              <w:left w:val="single" w:color="auto" w:sz="4" w:space="0"/>
              <w:bottom w:val="single" w:color="auto" w:sz="4" w:space="0"/>
              <w:right w:val="single" w:color="auto" w:sz="4" w:space="0"/>
            </w:tcBorders>
            <w:noWrap w:val="0"/>
            <w:vAlign w:val="center"/>
          </w:tcPr>
          <w:p w14:paraId="551B13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w:t>
            </w:r>
          </w:p>
        </w:tc>
        <w:tc>
          <w:tcPr>
            <w:tcW w:w="759" w:type="dxa"/>
            <w:vMerge w:val="continue"/>
            <w:tcBorders>
              <w:left w:val="single" w:color="auto" w:sz="4" w:space="0"/>
              <w:right w:val="single" w:color="auto" w:sz="4" w:space="0"/>
            </w:tcBorders>
            <w:noWrap w:val="0"/>
            <w:vAlign w:val="center"/>
          </w:tcPr>
          <w:p w14:paraId="3BB948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0"/>
            <w:vAlign w:val="center"/>
          </w:tcPr>
          <w:p w14:paraId="41DE7D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奥体社区</w:t>
            </w:r>
          </w:p>
        </w:tc>
        <w:tc>
          <w:tcPr>
            <w:tcW w:w="3337" w:type="dxa"/>
            <w:tcBorders>
              <w:top w:val="nil"/>
              <w:left w:val="nil"/>
              <w:bottom w:val="single" w:color="auto" w:sz="4" w:space="0"/>
              <w:right w:val="single" w:color="auto" w:sz="4" w:space="0"/>
            </w:tcBorders>
            <w:shd w:val="clear" w:color="auto" w:fill="auto"/>
            <w:noWrap w:val="0"/>
            <w:vAlign w:val="center"/>
          </w:tcPr>
          <w:p w14:paraId="0E8774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奥体社区居家养老照料中心</w:t>
            </w:r>
          </w:p>
        </w:tc>
        <w:tc>
          <w:tcPr>
            <w:tcW w:w="2386" w:type="dxa"/>
            <w:tcBorders>
              <w:top w:val="nil"/>
              <w:left w:val="nil"/>
              <w:bottom w:val="single" w:color="auto" w:sz="4" w:space="0"/>
              <w:right w:val="single" w:color="auto" w:sz="4" w:space="0"/>
            </w:tcBorders>
            <w:shd w:val="clear" w:color="auto" w:fill="auto"/>
            <w:noWrap w:val="0"/>
            <w:vAlign w:val="center"/>
          </w:tcPr>
          <w:p w14:paraId="3F7E7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西兴街道奥体社区助餐点</w:t>
            </w:r>
          </w:p>
        </w:tc>
      </w:tr>
      <w:tr w14:paraId="14A3546B">
        <w:tblPrEx>
          <w:tblCellMar>
            <w:top w:w="0" w:type="dxa"/>
            <w:left w:w="108" w:type="dxa"/>
            <w:bottom w:w="0" w:type="dxa"/>
            <w:right w:w="108" w:type="dxa"/>
          </w:tblCellMar>
        </w:tblPrEx>
        <w:trPr>
          <w:trHeight w:val="324" w:hRule="atLeast"/>
          <w:jc w:val="center"/>
        </w:trPr>
        <w:tc>
          <w:tcPr>
            <w:tcW w:w="1163" w:type="dxa"/>
            <w:tcBorders>
              <w:top w:val="nil"/>
              <w:left w:val="single" w:color="auto" w:sz="4" w:space="0"/>
              <w:bottom w:val="single" w:color="auto" w:sz="4" w:space="0"/>
              <w:right w:val="single" w:color="auto" w:sz="4" w:space="0"/>
            </w:tcBorders>
            <w:noWrap w:val="0"/>
            <w:vAlign w:val="center"/>
          </w:tcPr>
          <w:p w14:paraId="63CE3E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w:t>
            </w:r>
          </w:p>
        </w:tc>
        <w:tc>
          <w:tcPr>
            <w:tcW w:w="759" w:type="dxa"/>
            <w:vMerge w:val="continue"/>
            <w:tcBorders>
              <w:left w:val="single" w:color="auto" w:sz="4" w:space="0"/>
              <w:right w:val="single" w:color="auto" w:sz="4" w:space="0"/>
            </w:tcBorders>
            <w:noWrap w:val="0"/>
            <w:vAlign w:val="center"/>
          </w:tcPr>
          <w:p w14:paraId="2D12D1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0"/>
            <w:vAlign w:val="center"/>
          </w:tcPr>
          <w:p w14:paraId="17634F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新州社区</w:t>
            </w:r>
          </w:p>
        </w:tc>
        <w:tc>
          <w:tcPr>
            <w:tcW w:w="3337" w:type="dxa"/>
            <w:tcBorders>
              <w:top w:val="nil"/>
              <w:left w:val="nil"/>
              <w:bottom w:val="single" w:color="auto" w:sz="4" w:space="0"/>
              <w:right w:val="single" w:color="auto" w:sz="4" w:space="0"/>
            </w:tcBorders>
            <w:shd w:val="clear" w:color="auto" w:fill="auto"/>
            <w:noWrap w:val="0"/>
            <w:vAlign w:val="center"/>
          </w:tcPr>
          <w:p w14:paraId="5DE72B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新州社区居家养老照料中心</w:t>
            </w:r>
          </w:p>
        </w:tc>
        <w:tc>
          <w:tcPr>
            <w:tcW w:w="2386" w:type="dxa"/>
            <w:tcBorders>
              <w:top w:val="nil"/>
              <w:left w:val="nil"/>
              <w:bottom w:val="single" w:color="auto" w:sz="4" w:space="0"/>
              <w:right w:val="single" w:color="auto" w:sz="4" w:space="0"/>
            </w:tcBorders>
            <w:shd w:val="clear" w:color="auto" w:fill="auto"/>
            <w:noWrap w:val="0"/>
            <w:vAlign w:val="center"/>
          </w:tcPr>
          <w:p w14:paraId="04982C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w:t>
            </w:r>
          </w:p>
        </w:tc>
      </w:tr>
      <w:tr w14:paraId="28CA3672">
        <w:tblPrEx>
          <w:tblCellMar>
            <w:top w:w="0" w:type="dxa"/>
            <w:left w:w="108" w:type="dxa"/>
            <w:bottom w:w="0" w:type="dxa"/>
            <w:right w:w="108" w:type="dxa"/>
          </w:tblCellMar>
        </w:tblPrEx>
        <w:trPr>
          <w:trHeight w:val="319" w:hRule="atLeast"/>
          <w:jc w:val="center"/>
        </w:trPr>
        <w:tc>
          <w:tcPr>
            <w:tcW w:w="1163" w:type="dxa"/>
            <w:tcBorders>
              <w:top w:val="nil"/>
              <w:left w:val="single" w:color="auto" w:sz="4" w:space="0"/>
              <w:bottom w:val="single" w:color="auto" w:sz="4" w:space="0"/>
              <w:right w:val="single" w:color="auto" w:sz="4" w:space="0"/>
            </w:tcBorders>
            <w:noWrap w:val="0"/>
            <w:vAlign w:val="center"/>
          </w:tcPr>
          <w:p w14:paraId="72DE78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w:t>
            </w:r>
          </w:p>
        </w:tc>
        <w:tc>
          <w:tcPr>
            <w:tcW w:w="759" w:type="dxa"/>
            <w:vMerge w:val="continue"/>
            <w:tcBorders>
              <w:left w:val="single" w:color="auto" w:sz="4" w:space="0"/>
              <w:right w:val="single" w:color="auto" w:sz="4" w:space="0"/>
            </w:tcBorders>
            <w:noWrap w:val="0"/>
            <w:vAlign w:val="center"/>
          </w:tcPr>
          <w:p w14:paraId="493553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0"/>
            <w:vAlign w:val="center"/>
          </w:tcPr>
          <w:p w14:paraId="2D2C04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物联网社区</w:t>
            </w:r>
          </w:p>
        </w:tc>
        <w:tc>
          <w:tcPr>
            <w:tcW w:w="3337" w:type="dxa"/>
            <w:tcBorders>
              <w:top w:val="nil"/>
              <w:left w:val="nil"/>
              <w:bottom w:val="single" w:color="auto" w:sz="4" w:space="0"/>
              <w:right w:val="single" w:color="auto" w:sz="4" w:space="0"/>
            </w:tcBorders>
            <w:shd w:val="clear" w:color="auto" w:fill="auto"/>
            <w:noWrap w:val="0"/>
            <w:vAlign w:val="center"/>
          </w:tcPr>
          <w:p w14:paraId="06B122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物联网社区居家养老照料中心</w:t>
            </w:r>
          </w:p>
        </w:tc>
        <w:tc>
          <w:tcPr>
            <w:tcW w:w="2386" w:type="dxa"/>
            <w:tcBorders>
              <w:top w:val="nil"/>
              <w:left w:val="nil"/>
              <w:bottom w:val="single" w:color="auto" w:sz="4" w:space="0"/>
              <w:right w:val="single" w:color="auto" w:sz="4" w:space="0"/>
            </w:tcBorders>
            <w:shd w:val="clear" w:color="auto" w:fill="auto"/>
            <w:noWrap w:val="0"/>
            <w:vAlign w:val="center"/>
          </w:tcPr>
          <w:p w14:paraId="09DC23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w:t>
            </w:r>
          </w:p>
        </w:tc>
      </w:tr>
      <w:tr w14:paraId="6AAAF763">
        <w:tblPrEx>
          <w:tblCellMar>
            <w:top w:w="0" w:type="dxa"/>
            <w:left w:w="108" w:type="dxa"/>
            <w:bottom w:w="0" w:type="dxa"/>
            <w:right w:w="108" w:type="dxa"/>
          </w:tblCellMar>
        </w:tblPrEx>
        <w:trPr>
          <w:trHeight w:val="315" w:hRule="atLeast"/>
          <w:jc w:val="center"/>
        </w:trPr>
        <w:tc>
          <w:tcPr>
            <w:tcW w:w="1163" w:type="dxa"/>
            <w:tcBorders>
              <w:top w:val="nil"/>
              <w:left w:val="single" w:color="auto" w:sz="4" w:space="0"/>
              <w:bottom w:val="single" w:color="auto" w:sz="4" w:space="0"/>
              <w:right w:val="single" w:color="auto" w:sz="4" w:space="0"/>
            </w:tcBorders>
            <w:noWrap w:val="0"/>
            <w:vAlign w:val="center"/>
          </w:tcPr>
          <w:p w14:paraId="3FC46A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小计</w:t>
            </w:r>
          </w:p>
        </w:tc>
        <w:tc>
          <w:tcPr>
            <w:tcW w:w="759" w:type="dxa"/>
            <w:vMerge w:val="continue"/>
            <w:tcBorders>
              <w:left w:val="single" w:color="auto" w:sz="4" w:space="0"/>
              <w:bottom w:val="single" w:color="auto" w:sz="4" w:space="0"/>
              <w:right w:val="single" w:color="auto" w:sz="4" w:space="0"/>
            </w:tcBorders>
            <w:noWrap w:val="0"/>
            <w:vAlign w:val="center"/>
          </w:tcPr>
          <w:p w14:paraId="2835FB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0"/>
            <w:vAlign w:val="center"/>
          </w:tcPr>
          <w:p w14:paraId="6F8C36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eastAsia="zh-CN"/>
              </w:rPr>
            </w:pPr>
          </w:p>
        </w:tc>
        <w:tc>
          <w:tcPr>
            <w:tcW w:w="3337" w:type="dxa"/>
            <w:tcBorders>
              <w:top w:val="nil"/>
              <w:left w:val="nil"/>
              <w:bottom w:val="single" w:color="auto" w:sz="4" w:space="0"/>
              <w:right w:val="single" w:color="auto" w:sz="4" w:space="0"/>
            </w:tcBorders>
            <w:shd w:val="clear" w:color="auto" w:fill="auto"/>
            <w:noWrap w:val="0"/>
            <w:vAlign w:val="center"/>
          </w:tcPr>
          <w:p w14:paraId="47078B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p>
        </w:tc>
        <w:tc>
          <w:tcPr>
            <w:tcW w:w="2386" w:type="dxa"/>
            <w:tcBorders>
              <w:top w:val="nil"/>
              <w:left w:val="nil"/>
              <w:bottom w:val="single" w:color="auto" w:sz="4" w:space="0"/>
              <w:right w:val="single" w:color="auto" w:sz="4" w:space="0"/>
            </w:tcBorders>
            <w:shd w:val="clear" w:color="auto" w:fill="auto"/>
            <w:noWrap w:val="0"/>
            <w:vAlign w:val="center"/>
          </w:tcPr>
          <w:p w14:paraId="138D86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p>
        </w:tc>
      </w:tr>
      <w:tr w14:paraId="35F0BE3B">
        <w:tblPrEx>
          <w:tblCellMar>
            <w:top w:w="0" w:type="dxa"/>
            <w:left w:w="108" w:type="dxa"/>
            <w:bottom w:w="0" w:type="dxa"/>
            <w:right w:w="108" w:type="dxa"/>
          </w:tblCellMar>
        </w:tblPrEx>
        <w:trPr>
          <w:trHeight w:val="187" w:hRule="atLeast"/>
          <w:jc w:val="center"/>
        </w:trPr>
        <w:tc>
          <w:tcPr>
            <w:tcW w:w="1163" w:type="dxa"/>
            <w:tcBorders>
              <w:top w:val="nil"/>
              <w:left w:val="single" w:color="auto" w:sz="4" w:space="0"/>
              <w:bottom w:val="single" w:color="auto" w:sz="4" w:space="0"/>
              <w:right w:val="single" w:color="auto" w:sz="4" w:space="0"/>
            </w:tcBorders>
            <w:noWrap w:val="0"/>
            <w:vAlign w:val="center"/>
          </w:tcPr>
          <w:p w14:paraId="0E26AD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9</w:t>
            </w:r>
          </w:p>
        </w:tc>
        <w:tc>
          <w:tcPr>
            <w:tcW w:w="759" w:type="dxa"/>
            <w:vMerge w:val="restart"/>
            <w:tcBorders>
              <w:top w:val="nil"/>
              <w:left w:val="single" w:color="auto" w:sz="4" w:space="0"/>
              <w:right w:val="single" w:color="auto" w:sz="4" w:space="0"/>
            </w:tcBorders>
            <w:noWrap w:val="0"/>
            <w:vAlign w:val="center"/>
          </w:tcPr>
          <w:p w14:paraId="42C66C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长河街道</w:t>
            </w:r>
          </w:p>
        </w:tc>
        <w:tc>
          <w:tcPr>
            <w:tcW w:w="1329" w:type="dxa"/>
            <w:tcBorders>
              <w:top w:val="nil"/>
              <w:left w:val="nil"/>
              <w:bottom w:val="single" w:color="auto" w:sz="4" w:space="0"/>
              <w:right w:val="single" w:color="auto" w:sz="4" w:space="0"/>
            </w:tcBorders>
            <w:noWrap/>
            <w:vAlign w:val="center"/>
          </w:tcPr>
          <w:p w14:paraId="54DA03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长二社区</w:t>
            </w:r>
          </w:p>
        </w:tc>
        <w:tc>
          <w:tcPr>
            <w:tcW w:w="3337" w:type="dxa"/>
            <w:tcBorders>
              <w:top w:val="nil"/>
              <w:left w:val="nil"/>
              <w:bottom w:val="single" w:color="auto" w:sz="4" w:space="0"/>
              <w:right w:val="single" w:color="auto" w:sz="4" w:space="0"/>
            </w:tcBorders>
            <w:shd w:val="clear" w:color="auto" w:fill="auto"/>
            <w:noWrap/>
            <w:vAlign w:val="center"/>
          </w:tcPr>
          <w:p w14:paraId="52F0E7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长二社区</w:t>
            </w:r>
            <w:r>
              <w:rPr>
                <w:rFonts w:hint="eastAsia" w:ascii="仿宋" w:hAnsi="仿宋" w:eastAsia="仿宋" w:cs="仿宋"/>
                <w:color w:val="auto"/>
                <w:kern w:val="0"/>
                <w:sz w:val="24"/>
                <w:szCs w:val="24"/>
                <w:highlight w:val="none"/>
                <w:lang w:eastAsia="zh-CN"/>
              </w:rPr>
              <w:t>居家养老照料中心</w:t>
            </w:r>
            <w:r>
              <w:rPr>
                <w:rFonts w:hint="eastAsia" w:ascii="仿宋" w:hAnsi="仿宋" w:eastAsia="仿宋" w:cs="仿宋"/>
                <w:color w:val="auto"/>
                <w:kern w:val="0"/>
                <w:sz w:val="24"/>
                <w:szCs w:val="24"/>
                <w:highlight w:val="none"/>
                <w:lang w:val="en-US" w:eastAsia="zh-CN"/>
              </w:rPr>
              <w:t>(备案中）</w:t>
            </w:r>
          </w:p>
        </w:tc>
        <w:tc>
          <w:tcPr>
            <w:tcW w:w="2386" w:type="dxa"/>
            <w:tcBorders>
              <w:top w:val="nil"/>
              <w:left w:val="nil"/>
              <w:bottom w:val="single" w:color="auto" w:sz="4" w:space="0"/>
              <w:right w:val="single" w:color="auto" w:sz="4" w:space="0"/>
            </w:tcBorders>
            <w:shd w:val="clear" w:color="auto" w:fill="auto"/>
            <w:noWrap/>
            <w:vAlign w:val="center"/>
          </w:tcPr>
          <w:p w14:paraId="6B0F25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建设中</w:t>
            </w:r>
          </w:p>
        </w:tc>
      </w:tr>
      <w:tr w14:paraId="1F5EA709">
        <w:tblPrEx>
          <w:tblCellMar>
            <w:top w:w="0" w:type="dxa"/>
            <w:left w:w="108" w:type="dxa"/>
            <w:bottom w:w="0" w:type="dxa"/>
            <w:right w:w="108" w:type="dxa"/>
          </w:tblCellMar>
        </w:tblPrEx>
        <w:trPr>
          <w:trHeight w:val="180" w:hRule="atLeast"/>
          <w:jc w:val="center"/>
        </w:trPr>
        <w:tc>
          <w:tcPr>
            <w:tcW w:w="1163" w:type="dxa"/>
            <w:tcBorders>
              <w:top w:val="nil"/>
              <w:left w:val="single" w:color="auto" w:sz="4" w:space="0"/>
              <w:bottom w:val="single" w:color="auto" w:sz="4" w:space="0"/>
              <w:right w:val="single" w:color="auto" w:sz="4" w:space="0"/>
            </w:tcBorders>
            <w:noWrap w:val="0"/>
            <w:vAlign w:val="center"/>
          </w:tcPr>
          <w:p w14:paraId="73ECDD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w:t>
            </w:r>
          </w:p>
        </w:tc>
        <w:tc>
          <w:tcPr>
            <w:tcW w:w="759" w:type="dxa"/>
            <w:vMerge w:val="continue"/>
            <w:tcBorders>
              <w:left w:val="single" w:color="auto" w:sz="4" w:space="0"/>
              <w:right w:val="single" w:color="auto" w:sz="4" w:space="0"/>
            </w:tcBorders>
            <w:noWrap w:val="0"/>
            <w:vAlign w:val="center"/>
          </w:tcPr>
          <w:p w14:paraId="27366D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ign w:val="center"/>
          </w:tcPr>
          <w:p w14:paraId="41EE94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长河社区</w:t>
            </w:r>
          </w:p>
        </w:tc>
        <w:tc>
          <w:tcPr>
            <w:tcW w:w="3337" w:type="dxa"/>
            <w:tcBorders>
              <w:top w:val="nil"/>
              <w:left w:val="nil"/>
              <w:bottom w:val="single" w:color="auto" w:sz="4" w:space="0"/>
              <w:right w:val="single" w:color="auto" w:sz="4" w:space="0"/>
            </w:tcBorders>
            <w:shd w:val="clear" w:color="auto" w:fill="auto"/>
            <w:noWrap/>
            <w:vAlign w:val="center"/>
          </w:tcPr>
          <w:p w14:paraId="2FEEF7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长河社区</w:t>
            </w:r>
            <w:r>
              <w:rPr>
                <w:rFonts w:hint="eastAsia" w:ascii="仿宋" w:hAnsi="仿宋" w:eastAsia="仿宋" w:cs="仿宋"/>
                <w:color w:val="auto"/>
                <w:kern w:val="0"/>
                <w:sz w:val="24"/>
                <w:szCs w:val="24"/>
                <w:highlight w:val="none"/>
                <w:lang w:eastAsia="zh-CN"/>
              </w:rPr>
              <w:t>居家养老照料中心</w:t>
            </w:r>
            <w:r>
              <w:rPr>
                <w:rFonts w:hint="eastAsia" w:ascii="仿宋" w:hAnsi="仿宋" w:eastAsia="仿宋" w:cs="仿宋"/>
                <w:color w:val="auto"/>
                <w:kern w:val="0"/>
                <w:sz w:val="24"/>
                <w:szCs w:val="24"/>
                <w:highlight w:val="none"/>
                <w:lang w:val="en-US" w:eastAsia="zh-CN"/>
              </w:rPr>
              <w:t>(备案中）</w:t>
            </w:r>
          </w:p>
        </w:tc>
        <w:tc>
          <w:tcPr>
            <w:tcW w:w="2386" w:type="dxa"/>
            <w:tcBorders>
              <w:top w:val="nil"/>
              <w:left w:val="nil"/>
              <w:bottom w:val="single" w:color="auto" w:sz="4" w:space="0"/>
              <w:right w:val="single" w:color="auto" w:sz="4" w:space="0"/>
            </w:tcBorders>
            <w:shd w:val="clear" w:color="auto" w:fill="auto"/>
            <w:noWrap/>
            <w:vAlign w:val="center"/>
          </w:tcPr>
          <w:p w14:paraId="2DD042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长河社区</w:t>
            </w:r>
            <w:r>
              <w:rPr>
                <w:rFonts w:hint="eastAsia" w:ascii="仿宋" w:hAnsi="仿宋" w:eastAsia="仿宋" w:cs="仿宋"/>
                <w:color w:val="auto"/>
                <w:kern w:val="0"/>
                <w:sz w:val="24"/>
                <w:szCs w:val="24"/>
              </w:rPr>
              <w:t>助餐点</w:t>
            </w:r>
          </w:p>
        </w:tc>
      </w:tr>
      <w:tr w14:paraId="64DD1405">
        <w:tblPrEx>
          <w:tblCellMar>
            <w:top w:w="0" w:type="dxa"/>
            <w:left w:w="108" w:type="dxa"/>
            <w:bottom w:w="0" w:type="dxa"/>
            <w:right w:w="108" w:type="dxa"/>
          </w:tblCellMar>
        </w:tblPrEx>
        <w:trPr>
          <w:trHeight w:val="294" w:hRule="atLeast"/>
          <w:jc w:val="center"/>
        </w:trPr>
        <w:tc>
          <w:tcPr>
            <w:tcW w:w="1163" w:type="dxa"/>
            <w:tcBorders>
              <w:top w:val="nil"/>
              <w:left w:val="single" w:color="auto" w:sz="4" w:space="0"/>
              <w:bottom w:val="single" w:color="auto" w:sz="4" w:space="0"/>
              <w:right w:val="single" w:color="auto" w:sz="4" w:space="0"/>
            </w:tcBorders>
            <w:noWrap w:val="0"/>
            <w:vAlign w:val="center"/>
          </w:tcPr>
          <w:p w14:paraId="3F0933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p>
        </w:tc>
        <w:tc>
          <w:tcPr>
            <w:tcW w:w="759" w:type="dxa"/>
            <w:vMerge w:val="continue"/>
            <w:tcBorders>
              <w:left w:val="single" w:color="auto" w:sz="4" w:space="0"/>
              <w:bottom w:val="single" w:color="auto" w:sz="4" w:space="0"/>
              <w:right w:val="single" w:color="auto" w:sz="4" w:space="0"/>
            </w:tcBorders>
            <w:noWrap w:val="0"/>
            <w:vAlign w:val="center"/>
          </w:tcPr>
          <w:p w14:paraId="583141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ign w:val="center"/>
          </w:tcPr>
          <w:p w14:paraId="1D7469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天官社区</w:t>
            </w:r>
          </w:p>
        </w:tc>
        <w:tc>
          <w:tcPr>
            <w:tcW w:w="3337" w:type="dxa"/>
            <w:tcBorders>
              <w:top w:val="nil"/>
              <w:left w:val="nil"/>
              <w:bottom w:val="single" w:color="auto" w:sz="4" w:space="0"/>
              <w:right w:val="single" w:color="auto" w:sz="4" w:space="0"/>
            </w:tcBorders>
            <w:shd w:val="clear" w:color="auto" w:fill="auto"/>
            <w:noWrap/>
            <w:vAlign w:val="center"/>
          </w:tcPr>
          <w:p w14:paraId="68731A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天官社区居家养老照料中心</w:t>
            </w:r>
          </w:p>
        </w:tc>
        <w:tc>
          <w:tcPr>
            <w:tcW w:w="2386" w:type="dxa"/>
            <w:tcBorders>
              <w:top w:val="nil"/>
              <w:left w:val="nil"/>
              <w:bottom w:val="single" w:color="auto" w:sz="4" w:space="0"/>
              <w:right w:val="single" w:color="auto" w:sz="4" w:space="0"/>
            </w:tcBorders>
            <w:shd w:val="clear" w:color="auto" w:fill="auto"/>
            <w:noWrap/>
            <w:vAlign w:val="center"/>
          </w:tcPr>
          <w:p w14:paraId="7CBAC0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天官社区助餐点</w:t>
            </w:r>
          </w:p>
        </w:tc>
      </w:tr>
      <w:tr w14:paraId="04A59919">
        <w:tblPrEx>
          <w:tblCellMar>
            <w:top w:w="0" w:type="dxa"/>
            <w:left w:w="108" w:type="dxa"/>
            <w:bottom w:w="0" w:type="dxa"/>
            <w:right w:w="108" w:type="dxa"/>
          </w:tblCellMar>
        </w:tblPrEx>
        <w:trPr>
          <w:trHeight w:val="27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1F4666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1CE6D5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2D4D19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白马湖社区</w:t>
            </w:r>
          </w:p>
        </w:tc>
        <w:tc>
          <w:tcPr>
            <w:tcW w:w="3337" w:type="dxa"/>
            <w:tcBorders>
              <w:top w:val="single" w:color="auto" w:sz="4" w:space="0"/>
              <w:left w:val="nil"/>
              <w:bottom w:val="single" w:color="auto" w:sz="4" w:space="0"/>
              <w:right w:val="single" w:color="auto" w:sz="4" w:space="0"/>
            </w:tcBorders>
            <w:shd w:val="clear" w:color="auto" w:fill="auto"/>
            <w:noWrap/>
            <w:vAlign w:val="center"/>
          </w:tcPr>
          <w:p w14:paraId="1E9CB8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白马湖社区居家养老照料中心</w:t>
            </w:r>
          </w:p>
        </w:tc>
        <w:tc>
          <w:tcPr>
            <w:tcW w:w="2386" w:type="dxa"/>
            <w:tcBorders>
              <w:top w:val="single" w:color="auto" w:sz="4" w:space="0"/>
              <w:left w:val="nil"/>
              <w:bottom w:val="single" w:color="auto" w:sz="4" w:space="0"/>
              <w:right w:val="single" w:color="auto" w:sz="4" w:space="0"/>
            </w:tcBorders>
            <w:shd w:val="clear" w:color="auto" w:fill="auto"/>
            <w:noWrap/>
            <w:vAlign w:val="center"/>
          </w:tcPr>
          <w:p w14:paraId="479283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白马湖社区助餐点</w:t>
            </w:r>
          </w:p>
        </w:tc>
      </w:tr>
      <w:tr w14:paraId="40699D21">
        <w:tblPrEx>
          <w:tblCellMar>
            <w:top w:w="0" w:type="dxa"/>
            <w:left w:w="108" w:type="dxa"/>
            <w:bottom w:w="0" w:type="dxa"/>
            <w:right w:w="108" w:type="dxa"/>
          </w:tblCellMar>
        </w:tblPrEx>
        <w:trPr>
          <w:trHeight w:val="30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15E038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294CD6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2E4437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月亮湾社区</w:t>
            </w:r>
          </w:p>
        </w:tc>
        <w:tc>
          <w:tcPr>
            <w:tcW w:w="3337" w:type="dxa"/>
            <w:tcBorders>
              <w:top w:val="single" w:color="auto" w:sz="4" w:space="0"/>
              <w:left w:val="nil"/>
              <w:bottom w:val="single" w:color="auto" w:sz="4" w:space="0"/>
              <w:right w:val="single" w:color="auto" w:sz="4" w:space="0"/>
            </w:tcBorders>
            <w:shd w:val="clear" w:color="auto" w:fill="auto"/>
            <w:noWrap/>
            <w:vAlign w:val="center"/>
          </w:tcPr>
          <w:p w14:paraId="3212A3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月亮湾社区居家养老照料中心</w:t>
            </w:r>
          </w:p>
        </w:tc>
        <w:tc>
          <w:tcPr>
            <w:tcW w:w="2386" w:type="dxa"/>
            <w:tcBorders>
              <w:top w:val="single" w:color="auto" w:sz="4" w:space="0"/>
              <w:left w:val="nil"/>
              <w:bottom w:val="single" w:color="auto" w:sz="4" w:space="0"/>
              <w:right w:val="single" w:color="auto" w:sz="4" w:space="0"/>
            </w:tcBorders>
            <w:shd w:val="clear" w:color="auto" w:fill="auto"/>
            <w:noWrap/>
            <w:vAlign w:val="center"/>
          </w:tcPr>
          <w:p w14:paraId="240C62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月亮湾社区助餐点</w:t>
            </w:r>
          </w:p>
        </w:tc>
      </w:tr>
      <w:tr w14:paraId="55887CE9">
        <w:tblPrEx>
          <w:tblCellMar>
            <w:top w:w="0" w:type="dxa"/>
            <w:left w:w="108" w:type="dxa"/>
            <w:bottom w:w="0" w:type="dxa"/>
            <w:right w:w="108" w:type="dxa"/>
          </w:tblCellMar>
        </w:tblPrEx>
        <w:trPr>
          <w:trHeight w:val="30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21AA25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14</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5F7C90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7D8862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竹山社区</w:t>
            </w:r>
          </w:p>
        </w:tc>
        <w:tc>
          <w:tcPr>
            <w:tcW w:w="3337" w:type="dxa"/>
            <w:tcBorders>
              <w:top w:val="single" w:color="auto" w:sz="4" w:space="0"/>
              <w:left w:val="nil"/>
              <w:bottom w:val="single" w:color="auto" w:sz="4" w:space="0"/>
              <w:right w:val="single" w:color="auto" w:sz="4" w:space="0"/>
            </w:tcBorders>
            <w:shd w:val="clear" w:color="auto" w:fill="auto"/>
            <w:noWrap/>
            <w:vAlign w:val="center"/>
          </w:tcPr>
          <w:p w14:paraId="66361D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竹山</w:t>
            </w:r>
            <w:r>
              <w:rPr>
                <w:rFonts w:hint="eastAsia" w:ascii="仿宋" w:hAnsi="仿宋" w:eastAsia="仿宋" w:cs="仿宋"/>
                <w:color w:val="auto"/>
                <w:kern w:val="0"/>
                <w:sz w:val="24"/>
                <w:szCs w:val="24"/>
                <w:highlight w:val="none"/>
              </w:rPr>
              <w:t>社区居家养老照料中心</w:t>
            </w:r>
          </w:p>
        </w:tc>
        <w:tc>
          <w:tcPr>
            <w:tcW w:w="2386" w:type="dxa"/>
            <w:tcBorders>
              <w:top w:val="single" w:color="auto" w:sz="4" w:space="0"/>
              <w:left w:val="nil"/>
              <w:bottom w:val="single" w:color="auto" w:sz="4" w:space="0"/>
              <w:right w:val="single" w:color="auto" w:sz="4" w:space="0"/>
            </w:tcBorders>
            <w:shd w:val="clear" w:color="auto" w:fill="auto"/>
            <w:noWrap/>
            <w:vAlign w:val="center"/>
          </w:tcPr>
          <w:p w14:paraId="24E35F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竹山</w:t>
            </w:r>
            <w:r>
              <w:rPr>
                <w:rFonts w:hint="eastAsia" w:ascii="仿宋" w:hAnsi="仿宋" w:eastAsia="仿宋" w:cs="仿宋"/>
                <w:color w:val="auto"/>
                <w:kern w:val="0"/>
                <w:sz w:val="24"/>
                <w:szCs w:val="24"/>
                <w:highlight w:val="none"/>
              </w:rPr>
              <w:t>社区</w:t>
            </w:r>
            <w:r>
              <w:rPr>
                <w:rFonts w:hint="eastAsia" w:ascii="仿宋" w:hAnsi="仿宋" w:eastAsia="仿宋" w:cs="仿宋"/>
                <w:color w:val="auto"/>
                <w:kern w:val="0"/>
                <w:sz w:val="24"/>
                <w:szCs w:val="24"/>
                <w:highlight w:val="none"/>
                <w:lang w:eastAsia="zh-CN"/>
              </w:rPr>
              <w:t>合作型老年食堂</w:t>
            </w:r>
          </w:p>
        </w:tc>
      </w:tr>
      <w:tr w14:paraId="15859169">
        <w:tblPrEx>
          <w:tblCellMar>
            <w:top w:w="0" w:type="dxa"/>
            <w:left w:w="108" w:type="dxa"/>
            <w:bottom w:w="0" w:type="dxa"/>
            <w:right w:w="108" w:type="dxa"/>
          </w:tblCellMar>
        </w:tblPrEx>
        <w:trPr>
          <w:trHeight w:val="30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42A9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636579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659D9E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山一社区</w:t>
            </w:r>
          </w:p>
        </w:tc>
        <w:tc>
          <w:tcPr>
            <w:tcW w:w="3337" w:type="dxa"/>
            <w:tcBorders>
              <w:top w:val="single" w:color="auto" w:sz="4" w:space="0"/>
              <w:left w:val="nil"/>
              <w:bottom w:val="single" w:color="auto" w:sz="4" w:space="0"/>
              <w:right w:val="single" w:color="auto" w:sz="4" w:space="0"/>
            </w:tcBorders>
            <w:noWrap/>
            <w:vAlign w:val="center"/>
          </w:tcPr>
          <w:p w14:paraId="319CDB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山一</w:t>
            </w:r>
            <w:r>
              <w:rPr>
                <w:rFonts w:hint="eastAsia" w:ascii="仿宋" w:hAnsi="仿宋" w:eastAsia="仿宋" w:cs="仿宋"/>
                <w:color w:val="auto"/>
                <w:kern w:val="0"/>
                <w:sz w:val="24"/>
                <w:szCs w:val="24"/>
                <w:highlight w:val="none"/>
              </w:rPr>
              <w:t>社区居家养老照料中心</w:t>
            </w:r>
          </w:p>
        </w:tc>
        <w:tc>
          <w:tcPr>
            <w:tcW w:w="2386" w:type="dxa"/>
            <w:tcBorders>
              <w:top w:val="single" w:color="auto" w:sz="4" w:space="0"/>
              <w:left w:val="nil"/>
              <w:bottom w:val="single" w:color="auto" w:sz="4" w:space="0"/>
              <w:right w:val="single" w:color="auto" w:sz="4" w:space="0"/>
            </w:tcBorders>
            <w:shd w:val="clear" w:color="auto" w:fill="auto"/>
            <w:noWrap/>
            <w:vAlign w:val="center"/>
          </w:tcPr>
          <w:p w14:paraId="471BF8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山一</w:t>
            </w:r>
            <w:r>
              <w:rPr>
                <w:rFonts w:hint="eastAsia" w:ascii="仿宋" w:hAnsi="仿宋" w:eastAsia="仿宋" w:cs="仿宋"/>
                <w:color w:val="auto"/>
                <w:kern w:val="0"/>
                <w:sz w:val="24"/>
                <w:szCs w:val="24"/>
                <w:highlight w:val="none"/>
              </w:rPr>
              <w:t>社区</w:t>
            </w:r>
            <w:r>
              <w:rPr>
                <w:rFonts w:hint="eastAsia" w:ascii="仿宋" w:hAnsi="仿宋" w:eastAsia="仿宋" w:cs="仿宋"/>
                <w:color w:val="auto"/>
                <w:kern w:val="0"/>
                <w:sz w:val="24"/>
                <w:szCs w:val="24"/>
              </w:rPr>
              <w:t>助餐点</w:t>
            </w:r>
          </w:p>
        </w:tc>
      </w:tr>
      <w:tr w14:paraId="6394809A">
        <w:tblPrEx>
          <w:tblCellMar>
            <w:top w:w="0" w:type="dxa"/>
            <w:left w:w="108" w:type="dxa"/>
            <w:bottom w:w="0" w:type="dxa"/>
            <w:right w:w="108" w:type="dxa"/>
          </w:tblCellMar>
        </w:tblPrEx>
        <w:trPr>
          <w:trHeight w:val="30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52D4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16</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77973F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5C958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越王社区</w:t>
            </w:r>
          </w:p>
        </w:tc>
        <w:tc>
          <w:tcPr>
            <w:tcW w:w="3337" w:type="dxa"/>
            <w:tcBorders>
              <w:top w:val="single" w:color="auto" w:sz="4" w:space="0"/>
              <w:left w:val="nil"/>
              <w:bottom w:val="single" w:color="auto" w:sz="4" w:space="0"/>
              <w:right w:val="single" w:color="auto" w:sz="4" w:space="0"/>
            </w:tcBorders>
            <w:noWrap/>
            <w:vAlign w:val="center"/>
          </w:tcPr>
          <w:p w14:paraId="3BBBCB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越王</w:t>
            </w:r>
            <w:r>
              <w:rPr>
                <w:rFonts w:hint="eastAsia" w:ascii="仿宋" w:hAnsi="仿宋" w:eastAsia="仿宋" w:cs="仿宋"/>
                <w:color w:val="auto"/>
                <w:kern w:val="0"/>
                <w:sz w:val="24"/>
                <w:szCs w:val="24"/>
                <w:highlight w:val="none"/>
              </w:rPr>
              <w:t>社区居家养老照料中心</w:t>
            </w:r>
            <w:r>
              <w:rPr>
                <w:rFonts w:hint="eastAsia" w:ascii="仿宋" w:hAnsi="仿宋" w:eastAsia="仿宋" w:cs="仿宋"/>
                <w:color w:val="auto"/>
                <w:kern w:val="0"/>
                <w:sz w:val="24"/>
                <w:szCs w:val="24"/>
                <w:highlight w:val="none"/>
                <w:lang w:val="en-US" w:eastAsia="zh-CN"/>
              </w:rPr>
              <w:t>(备案中）</w:t>
            </w:r>
          </w:p>
        </w:tc>
        <w:tc>
          <w:tcPr>
            <w:tcW w:w="2386" w:type="dxa"/>
            <w:tcBorders>
              <w:top w:val="single" w:color="auto" w:sz="4" w:space="0"/>
              <w:left w:val="nil"/>
              <w:bottom w:val="single" w:color="auto" w:sz="4" w:space="0"/>
              <w:right w:val="single" w:color="auto" w:sz="4" w:space="0"/>
            </w:tcBorders>
            <w:shd w:val="clear" w:color="auto" w:fill="auto"/>
            <w:noWrap/>
            <w:vAlign w:val="center"/>
          </w:tcPr>
          <w:p w14:paraId="646121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越王</w:t>
            </w:r>
            <w:r>
              <w:rPr>
                <w:rFonts w:hint="eastAsia" w:ascii="仿宋" w:hAnsi="仿宋" w:eastAsia="仿宋" w:cs="仿宋"/>
                <w:color w:val="auto"/>
                <w:kern w:val="0"/>
                <w:sz w:val="24"/>
                <w:szCs w:val="24"/>
                <w:highlight w:val="none"/>
              </w:rPr>
              <w:t>社区</w:t>
            </w:r>
            <w:r>
              <w:rPr>
                <w:rFonts w:hint="eastAsia" w:ascii="仿宋" w:hAnsi="仿宋" w:eastAsia="仿宋" w:cs="仿宋"/>
                <w:color w:val="auto"/>
                <w:kern w:val="0"/>
                <w:sz w:val="24"/>
                <w:szCs w:val="24"/>
              </w:rPr>
              <w:t>助餐点</w:t>
            </w:r>
          </w:p>
        </w:tc>
      </w:tr>
      <w:tr w14:paraId="4115DA70">
        <w:tblPrEx>
          <w:tblCellMar>
            <w:top w:w="0" w:type="dxa"/>
            <w:left w:w="108" w:type="dxa"/>
            <w:bottom w:w="0" w:type="dxa"/>
            <w:right w:w="108" w:type="dxa"/>
          </w:tblCellMar>
        </w:tblPrEx>
        <w:trPr>
          <w:trHeight w:val="255"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6267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w:t>
            </w:r>
          </w:p>
        </w:tc>
        <w:tc>
          <w:tcPr>
            <w:tcW w:w="759" w:type="dxa"/>
            <w:vMerge w:val="continue"/>
            <w:tcBorders>
              <w:top w:val="single" w:color="auto" w:sz="4" w:space="0"/>
              <w:left w:val="single" w:color="auto" w:sz="4" w:space="0"/>
              <w:right w:val="single" w:color="auto" w:sz="4" w:space="0"/>
            </w:tcBorders>
            <w:noWrap w:val="0"/>
            <w:vAlign w:val="center"/>
          </w:tcPr>
          <w:p w14:paraId="6B15D0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173E3C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长一社区</w:t>
            </w:r>
          </w:p>
        </w:tc>
        <w:tc>
          <w:tcPr>
            <w:tcW w:w="3337" w:type="dxa"/>
            <w:tcBorders>
              <w:top w:val="single" w:color="auto" w:sz="4" w:space="0"/>
              <w:left w:val="nil"/>
              <w:bottom w:val="single" w:color="auto" w:sz="4" w:space="0"/>
              <w:right w:val="single" w:color="auto" w:sz="4" w:space="0"/>
            </w:tcBorders>
            <w:noWrap/>
            <w:vAlign w:val="center"/>
          </w:tcPr>
          <w:p w14:paraId="2F210B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长一社区居家养老照料中心</w:t>
            </w:r>
          </w:p>
        </w:tc>
        <w:tc>
          <w:tcPr>
            <w:tcW w:w="2386" w:type="dxa"/>
            <w:tcBorders>
              <w:top w:val="single" w:color="auto" w:sz="4" w:space="0"/>
              <w:left w:val="nil"/>
              <w:bottom w:val="single" w:color="auto" w:sz="4" w:space="0"/>
              <w:right w:val="single" w:color="auto" w:sz="4" w:space="0"/>
            </w:tcBorders>
            <w:noWrap/>
            <w:vAlign w:val="center"/>
          </w:tcPr>
          <w:p w14:paraId="40E5E6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建设中</w:t>
            </w:r>
          </w:p>
        </w:tc>
      </w:tr>
      <w:tr w14:paraId="22E2AC14">
        <w:tblPrEx>
          <w:tblCellMar>
            <w:top w:w="0" w:type="dxa"/>
            <w:left w:w="108" w:type="dxa"/>
            <w:bottom w:w="0" w:type="dxa"/>
            <w:right w:w="108" w:type="dxa"/>
          </w:tblCellMar>
        </w:tblPrEx>
        <w:trPr>
          <w:trHeight w:val="255" w:hRule="atLeast"/>
          <w:jc w:val="center"/>
        </w:trPr>
        <w:tc>
          <w:tcPr>
            <w:tcW w:w="1163" w:type="dxa"/>
            <w:tcBorders>
              <w:top w:val="nil"/>
              <w:left w:val="single" w:color="auto" w:sz="4" w:space="0"/>
              <w:bottom w:val="single" w:color="auto" w:sz="4" w:space="0"/>
              <w:right w:val="single" w:color="auto" w:sz="4" w:space="0"/>
            </w:tcBorders>
            <w:noWrap w:val="0"/>
            <w:vAlign w:val="center"/>
          </w:tcPr>
          <w:p w14:paraId="20C0D5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小计</w:t>
            </w:r>
          </w:p>
        </w:tc>
        <w:tc>
          <w:tcPr>
            <w:tcW w:w="759" w:type="dxa"/>
            <w:vMerge w:val="continue"/>
            <w:tcBorders>
              <w:left w:val="single" w:color="auto" w:sz="4" w:space="0"/>
              <w:bottom w:val="single" w:color="auto" w:sz="4" w:space="0"/>
              <w:right w:val="single" w:color="auto" w:sz="4" w:space="0"/>
            </w:tcBorders>
            <w:noWrap w:val="0"/>
            <w:vAlign w:val="center"/>
          </w:tcPr>
          <w:p w14:paraId="5A1CCB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ign w:val="center"/>
          </w:tcPr>
          <w:p w14:paraId="5C2D04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p>
        </w:tc>
        <w:tc>
          <w:tcPr>
            <w:tcW w:w="3337" w:type="dxa"/>
            <w:tcBorders>
              <w:top w:val="nil"/>
              <w:left w:val="nil"/>
              <w:bottom w:val="single" w:color="auto" w:sz="4" w:space="0"/>
              <w:right w:val="single" w:color="auto" w:sz="4" w:space="0"/>
            </w:tcBorders>
            <w:noWrap/>
            <w:vAlign w:val="center"/>
          </w:tcPr>
          <w:p w14:paraId="2E9441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rPr>
            </w:pPr>
          </w:p>
        </w:tc>
        <w:tc>
          <w:tcPr>
            <w:tcW w:w="2386" w:type="dxa"/>
            <w:tcBorders>
              <w:top w:val="nil"/>
              <w:left w:val="nil"/>
              <w:bottom w:val="single" w:color="auto" w:sz="4" w:space="0"/>
              <w:right w:val="single" w:color="auto" w:sz="4" w:space="0"/>
            </w:tcBorders>
            <w:noWrap/>
            <w:vAlign w:val="center"/>
          </w:tcPr>
          <w:p w14:paraId="119F65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rPr>
            </w:pPr>
          </w:p>
        </w:tc>
      </w:tr>
      <w:tr w14:paraId="062CABC6">
        <w:tblPrEx>
          <w:tblCellMar>
            <w:top w:w="0" w:type="dxa"/>
            <w:left w:w="108" w:type="dxa"/>
            <w:bottom w:w="0" w:type="dxa"/>
            <w:right w:w="108" w:type="dxa"/>
          </w:tblCellMar>
        </w:tblPrEx>
        <w:trPr>
          <w:trHeight w:val="9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D70E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18</w:t>
            </w:r>
          </w:p>
        </w:tc>
        <w:tc>
          <w:tcPr>
            <w:tcW w:w="75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F9261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浦沿街道</w:t>
            </w:r>
          </w:p>
        </w:tc>
        <w:tc>
          <w:tcPr>
            <w:tcW w:w="1329" w:type="dxa"/>
            <w:tcBorders>
              <w:top w:val="nil"/>
              <w:left w:val="nil"/>
              <w:bottom w:val="single" w:color="auto" w:sz="4" w:space="0"/>
              <w:right w:val="single" w:color="auto" w:sz="4" w:space="0"/>
            </w:tcBorders>
            <w:shd w:val="clear" w:color="auto" w:fill="auto"/>
            <w:noWrap/>
            <w:vAlign w:val="center"/>
          </w:tcPr>
          <w:p w14:paraId="796B7C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六和社区</w:t>
            </w:r>
          </w:p>
        </w:tc>
        <w:tc>
          <w:tcPr>
            <w:tcW w:w="3337" w:type="dxa"/>
            <w:tcBorders>
              <w:top w:val="nil"/>
              <w:left w:val="nil"/>
              <w:bottom w:val="single" w:color="auto" w:sz="4" w:space="0"/>
              <w:right w:val="single" w:color="auto" w:sz="4" w:space="0"/>
            </w:tcBorders>
            <w:shd w:val="clear" w:color="000000" w:fill="FFFFFF"/>
            <w:noWrap/>
            <w:vAlign w:val="center"/>
          </w:tcPr>
          <w:p w14:paraId="21CAEC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w:t>
            </w:r>
          </w:p>
        </w:tc>
        <w:tc>
          <w:tcPr>
            <w:tcW w:w="2386" w:type="dxa"/>
            <w:tcBorders>
              <w:top w:val="nil"/>
              <w:left w:val="nil"/>
              <w:bottom w:val="single" w:color="auto" w:sz="4" w:space="0"/>
              <w:right w:val="single" w:color="auto" w:sz="4" w:space="0"/>
            </w:tcBorders>
            <w:shd w:val="clear" w:color="auto" w:fill="auto"/>
            <w:noWrap/>
            <w:vAlign w:val="center"/>
          </w:tcPr>
          <w:p w14:paraId="1CD4E3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w:t>
            </w:r>
          </w:p>
        </w:tc>
      </w:tr>
      <w:tr w14:paraId="252A4FE8">
        <w:tblPrEx>
          <w:tblCellMar>
            <w:top w:w="0" w:type="dxa"/>
            <w:left w:w="108" w:type="dxa"/>
            <w:bottom w:w="0" w:type="dxa"/>
            <w:right w:w="108" w:type="dxa"/>
          </w:tblCellMar>
        </w:tblPrEx>
        <w:trPr>
          <w:trHeight w:val="38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08F708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19</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5CF9D6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ign w:val="center"/>
          </w:tcPr>
          <w:p w14:paraId="2CD0EE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新和社区</w:t>
            </w:r>
          </w:p>
        </w:tc>
        <w:tc>
          <w:tcPr>
            <w:tcW w:w="3337" w:type="dxa"/>
            <w:tcBorders>
              <w:top w:val="nil"/>
              <w:left w:val="nil"/>
              <w:bottom w:val="single" w:color="auto" w:sz="4" w:space="0"/>
              <w:right w:val="single" w:color="auto" w:sz="4" w:space="0"/>
            </w:tcBorders>
            <w:shd w:val="clear" w:color="auto" w:fill="auto"/>
            <w:noWrap w:val="0"/>
            <w:vAlign w:val="center"/>
          </w:tcPr>
          <w:p w14:paraId="49669E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新和社区居家养老照料中心</w:t>
            </w:r>
          </w:p>
        </w:tc>
        <w:tc>
          <w:tcPr>
            <w:tcW w:w="2386" w:type="dxa"/>
            <w:tcBorders>
              <w:top w:val="nil"/>
              <w:left w:val="nil"/>
              <w:bottom w:val="single" w:color="auto" w:sz="4" w:space="0"/>
              <w:right w:val="single" w:color="auto" w:sz="4" w:space="0"/>
            </w:tcBorders>
            <w:shd w:val="clear" w:color="auto" w:fill="auto"/>
            <w:noWrap/>
            <w:vAlign w:val="center"/>
          </w:tcPr>
          <w:p w14:paraId="1D37F3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新和社区助餐点</w:t>
            </w:r>
          </w:p>
        </w:tc>
      </w:tr>
      <w:tr w14:paraId="4691184C">
        <w:tblPrEx>
          <w:tblCellMar>
            <w:top w:w="0" w:type="dxa"/>
            <w:left w:w="108" w:type="dxa"/>
            <w:bottom w:w="0" w:type="dxa"/>
            <w:right w:w="108" w:type="dxa"/>
          </w:tblCellMar>
        </w:tblPrEx>
        <w:trPr>
          <w:trHeight w:val="33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54ADB6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20</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3F2539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ign w:val="center"/>
          </w:tcPr>
          <w:p w14:paraId="0D0A2B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东信社区</w:t>
            </w:r>
          </w:p>
        </w:tc>
        <w:tc>
          <w:tcPr>
            <w:tcW w:w="3337" w:type="dxa"/>
            <w:tcBorders>
              <w:top w:val="nil"/>
              <w:left w:val="nil"/>
              <w:bottom w:val="single" w:color="auto" w:sz="4" w:space="0"/>
              <w:right w:val="single" w:color="auto" w:sz="4" w:space="0"/>
            </w:tcBorders>
            <w:shd w:val="clear" w:color="auto" w:fill="auto"/>
            <w:noWrap w:val="0"/>
            <w:vAlign w:val="center"/>
          </w:tcPr>
          <w:p w14:paraId="720B1C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东信社区居家养老照料中心</w:t>
            </w:r>
          </w:p>
        </w:tc>
        <w:tc>
          <w:tcPr>
            <w:tcW w:w="2386" w:type="dxa"/>
            <w:tcBorders>
              <w:top w:val="nil"/>
              <w:left w:val="nil"/>
              <w:bottom w:val="single" w:color="auto" w:sz="4" w:space="0"/>
              <w:right w:val="single" w:color="auto" w:sz="4" w:space="0"/>
            </w:tcBorders>
            <w:shd w:val="clear" w:color="auto" w:fill="auto"/>
            <w:noWrap/>
            <w:vAlign w:val="center"/>
          </w:tcPr>
          <w:p w14:paraId="27A589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w:t>
            </w:r>
          </w:p>
        </w:tc>
      </w:tr>
      <w:tr w14:paraId="78AB055F">
        <w:tblPrEx>
          <w:tblCellMar>
            <w:top w:w="0" w:type="dxa"/>
            <w:left w:w="108" w:type="dxa"/>
            <w:bottom w:w="0" w:type="dxa"/>
            <w:right w:w="108" w:type="dxa"/>
          </w:tblCellMar>
        </w:tblPrEx>
        <w:trPr>
          <w:trHeight w:val="9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04E3CB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21</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4961C9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ign w:val="center"/>
          </w:tcPr>
          <w:p w14:paraId="77989E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西浦社区</w:t>
            </w:r>
          </w:p>
        </w:tc>
        <w:tc>
          <w:tcPr>
            <w:tcW w:w="3337" w:type="dxa"/>
            <w:tcBorders>
              <w:top w:val="nil"/>
              <w:left w:val="nil"/>
              <w:bottom w:val="single" w:color="auto" w:sz="4" w:space="0"/>
              <w:right w:val="single" w:color="auto" w:sz="4" w:space="0"/>
            </w:tcBorders>
            <w:shd w:val="clear" w:color="auto" w:fill="auto"/>
            <w:noWrap w:val="0"/>
            <w:vAlign w:val="center"/>
          </w:tcPr>
          <w:p w14:paraId="502015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西浦社区居家养老照料中心</w:t>
            </w:r>
          </w:p>
        </w:tc>
        <w:tc>
          <w:tcPr>
            <w:tcW w:w="2386" w:type="dxa"/>
            <w:tcBorders>
              <w:top w:val="nil"/>
              <w:left w:val="nil"/>
              <w:bottom w:val="single" w:color="auto" w:sz="4" w:space="0"/>
              <w:right w:val="single" w:color="auto" w:sz="4" w:space="0"/>
            </w:tcBorders>
            <w:shd w:val="clear" w:color="auto" w:fill="auto"/>
            <w:noWrap/>
            <w:vAlign w:val="center"/>
          </w:tcPr>
          <w:p w14:paraId="533E0B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西浦社区助餐点</w:t>
            </w:r>
          </w:p>
        </w:tc>
      </w:tr>
      <w:tr w14:paraId="4E8549E7">
        <w:tblPrEx>
          <w:tblCellMar>
            <w:top w:w="0" w:type="dxa"/>
            <w:left w:w="108" w:type="dxa"/>
            <w:bottom w:w="0" w:type="dxa"/>
            <w:right w:w="108" w:type="dxa"/>
          </w:tblCellMar>
        </w:tblPrEx>
        <w:trPr>
          <w:trHeight w:val="9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342344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22</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386614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nil"/>
              <w:left w:val="nil"/>
              <w:bottom w:val="single" w:color="auto" w:sz="4" w:space="0"/>
              <w:right w:val="single" w:color="auto" w:sz="4" w:space="0"/>
            </w:tcBorders>
            <w:noWrap/>
            <w:vAlign w:val="center"/>
          </w:tcPr>
          <w:p w14:paraId="11EB47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新生社区</w:t>
            </w:r>
          </w:p>
        </w:tc>
        <w:tc>
          <w:tcPr>
            <w:tcW w:w="3337" w:type="dxa"/>
            <w:tcBorders>
              <w:top w:val="nil"/>
              <w:left w:val="nil"/>
              <w:bottom w:val="single" w:color="auto" w:sz="4" w:space="0"/>
              <w:right w:val="single" w:color="auto" w:sz="4" w:space="0"/>
            </w:tcBorders>
            <w:shd w:val="clear" w:color="auto" w:fill="auto"/>
            <w:noWrap/>
            <w:vAlign w:val="center"/>
          </w:tcPr>
          <w:p w14:paraId="1FEAC5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回迁安置建设中</w:t>
            </w:r>
            <w:r>
              <w:rPr>
                <w:rFonts w:hint="eastAsia" w:ascii="仿宋" w:hAnsi="仿宋" w:eastAsia="仿宋" w:cs="仿宋"/>
                <w:color w:val="auto"/>
                <w:kern w:val="0"/>
                <w:sz w:val="24"/>
                <w:szCs w:val="24"/>
                <w:lang w:val="en-US" w:eastAsia="zh-CN"/>
              </w:rPr>
              <w:t>心</w:t>
            </w:r>
          </w:p>
        </w:tc>
        <w:tc>
          <w:tcPr>
            <w:tcW w:w="2386" w:type="dxa"/>
            <w:tcBorders>
              <w:top w:val="nil"/>
              <w:left w:val="nil"/>
              <w:bottom w:val="single" w:color="auto" w:sz="4" w:space="0"/>
              <w:right w:val="single" w:color="auto" w:sz="4" w:space="0"/>
            </w:tcBorders>
            <w:shd w:val="clear" w:color="auto" w:fill="auto"/>
            <w:noWrap/>
            <w:vAlign w:val="center"/>
          </w:tcPr>
          <w:p w14:paraId="3D6646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w:t>
            </w:r>
          </w:p>
        </w:tc>
      </w:tr>
      <w:tr w14:paraId="102B1C87">
        <w:tblPrEx>
          <w:tblCellMar>
            <w:top w:w="0" w:type="dxa"/>
            <w:left w:w="108" w:type="dxa"/>
            <w:bottom w:w="0" w:type="dxa"/>
            <w:right w:w="108" w:type="dxa"/>
          </w:tblCellMar>
        </w:tblPrEx>
        <w:trPr>
          <w:trHeight w:val="26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46C428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4BA34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451560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新浦社区</w:t>
            </w:r>
          </w:p>
        </w:tc>
        <w:tc>
          <w:tcPr>
            <w:tcW w:w="3337" w:type="dxa"/>
            <w:tcBorders>
              <w:top w:val="single" w:color="auto" w:sz="4" w:space="0"/>
              <w:left w:val="nil"/>
              <w:bottom w:val="single" w:color="auto" w:sz="4" w:space="0"/>
              <w:right w:val="single" w:color="auto" w:sz="4" w:space="0"/>
            </w:tcBorders>
            <w:shd w:val="clear" w:color="auto" w:fill="auto"/>
            <w:noWrap w:val="0"/>
            <w:vAlign w:val="center"/>
          </w:tcPr>
          <w:p w14:paraId="05AAB8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浦沿街道夕阳红居家养老服务中心</w:t>
            </w:r>
          </w:p>
        </w:tc>
        <w:tc>
          <w:tcPr>
            <w:tcW w:w="2386" w:type="dxa"/>
            <w:tcBorders>
              <w:top w:val="single" w:color="auto" w:sz="4" w:space="0"/>
              <w:left w:val="nil"/>
              <w:bottom w:val="single" w:color="auto" w:sz="4" w:space="0"/>
              <w:right w:val="single" w:color="auto" w:sz="4" w:space="0"/>
            </w:tcBorders>
            <w:shd w:val="clear" w:color="auto" w:fill="auto"/>
            <w:noWrap/>
            <w:vAlign w:val="center"/>
          </w:tcPr>
          <w:p w14:paraId="430C37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w:t>
            </w:r>
          </w:p>
        </w:tc>
      </w:tr>
      <w:tr w14:paraId="2CAD1F2A">
        <w:tblPrEx>
          <w:tblCellMar>
            <w:top w:w="0" w:type="dxa"/>
            <w:left w:w="108" w:type="dxa"/>
            <w:bottom w:w="0" w:type="dxa"/>
            <w:right w:w="108" w:type="dxa"/>
          </w:tblCellMar>
        </w:tblPrEx>
        <w:trPr>
          <w:trHeight w:val="26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512CED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24</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4E9CF7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34A0C2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rPr>
              <w:t>华悦湾社区</w:t>
            </w:r>
          </w:p>
        </w:tc>
        <w:tc>
          <w:tcPr>
            <w:tcW w:w="3337" w:type="dxa"/>
            <w:tcBorders>
              <w:top w:val="single" w:color="auto" w:sz="4" w:space="0"/>
              <w:left w:val="nil"/>
              <w:bottom w:val="single" w:color="auto" w:sz="4" w:space="0"/>
              <w:right w:val="single" w:color="auto" w:sz="4" w:space="0"/>
            </w:tcBorders>
            <w:shd w:val="clear" w:color="auto" w:fill="auto"/>
            <w:noWrap w:val="0"/>
            <w:vAlign w:val="center"/>
          </w:tcPr>
          <w:p w14:paraId="1897E7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w:t>
            </w:r>
          </w:p>
        </w:tc>
        <w:tc>
          <w:tcPr>
            <w:tcW w:w="2386" w:type="dxa"/>
            <w:tcBorders>
              <w:top w:val="single" w:color="auto" w:sz="4" w:space="0"/>
              <w:left w:val="nil"/>
              <w:bottom w:val="single" w:color="auto" w:sz="4" w:space="0"/>
              <w:right w:val="single" w:color="auto" w:sz="4" w:space="0"/>
            </w:tcBorders>
            <w:shd w:val="clear" w:color="auto" w:fill="auto"/>
            <w:noWrap/>
            <w:vAlign w:val="center"/>
          </w:tcPr>
          <w:p w14:paraId="7450DB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highlight w:val="none"/>
              </w:rPr>
              <w:t>华悦湾社区</w:t>
            </w:r>
            <w:r>
              <w:rPr>
                <w:rFonts w:hint="eastAsia" w:ascii="仿宋" w:hAnsi="仿宋" w:eastAsia="仿宋" w:cs="仿宋"/>
                <w:color w:val="auto"/>
                <w:kern w:val="0"/>
                <w:sz w:val="24"/>
                <w:szCs w:val="24"/>
                <w:highlight w:val="none"/>
                <w:lang w:eastAsia="zh-CN"/>
              </w:rPr>
              <w:t>老年食堂</w:t>
            </w:r>
          </w:p>
        </w:tc>
      </w:tr>
      <w:tr w14:paraId="5CA9DBC3">
        <w:tblPrEx>
          <w:tblCellMar>
            <w:top w:w="0" w:type="dxa"/>
            <w:left w:w="108" w:type="dxa"/>
            <w:bottom w:w="0" w:type="dxa"/>
            <w:right w:w="108" w:type="dxa"/>
          </w:tblCellMar>
        </w:tblPrEx>
        <w:trPr>
          <w:trHeight w:val="26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68D137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25</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5DE258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22AA2C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rPr>
              <w:t>潮涌社区</w:t>
            </w:r>
          </w:p>
        </w:tc>
        <w:tc>
          <w:tcPr>
            <w:tcW w:w="3337" w:type="dxa"/>
            <w:tcBorders>
              <w:top w:val="single" w:color="auto" w:sz="4" w:space="0"/>
              <w:left w:val="nil"/>
              <w:bottom w:val="single" w:color="auto" w:sz="4" w:space="0"/>
              <w:right w:val="single" w:color="auto" w:sz="4" w:space="0"/>
            </w:tcBorders>
            <w:shd w:val="clear" w:color="auto" w:fill="auto"/>
            <w:noWrap w:val="0"/>
            <w:vAlign w:val="center"/>
          </w:tcPr>
          <w:p w14:paraId="22A841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w:t>
            </w:r>
          </w:p>
        </w:tc>
        <w:tc>
          <w:tcPr>
            <w:tcW w:w="2386" w:type="dxa"/>
            <w:tcBorders>
              <w:top w:val="single" w:color="auto" w:sz="4" w:space="0"/>
              <w:left w:val="nil"/>
              <w:bottom w:val="single" w:color="auto" w:sz="4" w:space="0"/>
              <w:right w:val="single" w:color="auto" w:sz="4" w:space="0"/>
            </w:tcBorders>
            <w:shd w:val="clear" w:color="auto" w:fill="auto"/>
            <w:noWrap/>
            <w:vAlign w:val="center"/>
          </w:tcPr>
          <w:p w14:paraId="5E02AA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w:t>
            </w:r>
          </w:p>
        </w:tc>
      </w:tr>
      <w:tr w14:paraId="396A19CF">
        <w:tblPrEx>
          <w:tblCellMar>
            <w:top w:w="0" w:type="dxa"/>
            <w:left w:w="108" w:type="dxa"/>
            <w:bottom w:w="0" w:type="dxa"/>
            <w:right w:w="108" w:type="dxa"/>
          </w:tblCellMar>
        </w:tblPrEx>
        <w:trPr>
          <w:trHeight w:val="26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6B804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26</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3F931C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5FF563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rPr>
              <w:t>明德社区</w:t>
            </w:r>
          </w:p>
        </w:tc>
        <w:tc>
          <w:tcPr>
            <w:tcW w:w="3337" w:type="dxa"/>
            <w:tcBorders>
              <w:top w:val="single" w:color="auto" w:sz="4" w:space="0"/>
              <w:left w:val="nil"/>
              <w:bottom w:val="single" w:color="auto" w:sz="4" w:space="0"/>
              <w:right w:val="single" w:color="auto" w:sz="4" w:space="0"/>
            </w:tcBorders>
            <w:shd w:val="clear" w:color="auto" w:fill="auto"/>
            <w:noWrap w:val="0"/>
            <w:vAlign w:val="center"/>
          </w:tcPr>
          <w:p w14:paraId="5E5FED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rPr>
            </w:pPr>
            <w:r>
              <w:rPr>
                <w:rFonts w:hint="default" w:ascii="仿宋" w:hAnsi="仿宋" w:eastAsia="仿宋" w:cs="仿宋"/>
                <w:color w:val="auto"/>
                <w:kern w:val="0"/>
                <w:sz w:val="24"/>
                <w:szCs w:val="24"/>
                <w:highlight w:val="none"/>
              </w:rPr>
              <w:t>明德</w:t>
            </w:r>
            <w:r>
              <w:rPr>
                <w:rFonts w:hint="eastAsia" w:ascii="仿宋" w:hAnsi="仿宋" w:eastAsia="仿宋" w:cs="仿宋"/>
                <w:color w:val="auto"/>
                <w:kern w:val="0"/>
                <w:sz w:val="24"/>
                <w:szCs w:val="24"/>
              </w:rPr>
              <w:t>社区居家养老照料中心</w:t>
            </w:r>
          </w:p>
        </w:tc>
        <w:tc>
          <w:tcPr>
            <w:tcW w:w="2386" w:type="dxa"/>
            <w:tcBorders>
              <w:top w:val="single" w:color="auto" w:sz="4" w:space="0"/>
              <w:left w:val="nil"/>
              <w:bottom w:val="single" w:color="auto" w:sz="4" w:space="0"/>
              <w:right w:val="single" w:color="auto" w:sz="4" w:space="0"/>
            </w:tcBorders>
            <w:shd w:val="clear" w:color="auto" w:fill="auto"/>
            <w:noWrap/>
            <w:vAlign w:val="center"/>
          </w:tcPr>
          <w:p w14:paraId="0B3DD9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r>
      <w:tr w14:paraId="488270B1">
        <w:tblPrEx>
          <w:tblCellMar>
            <w:top w:w="0" w:type="dxa"/>
            <w:left w:w="108" w:type="dxa"/>
            <w:bottom w:w="0" w:type="dxa"/>
            <w:right w:w="108" w:type="dxa"/>
          </w:tblCellMar>
        </w:tblPrEx>
        <w:trPr>
          <w:trHeight w:val="265"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14:paraId="7BE090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27</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1D04E8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29" w:type="dxa"/>
            <w:tcBorders>
              <w:top w:val="single" w:color="auto" w:sz="4" w:space="0"/>
              <w:left w:val="nil"/>
              <w:bottom w:val="single" w:color="auto" w:sz="4" w:space="0"/>
              <w:right w:val="single" w:color="auto" w:sz="4" w:space="0"/>
            </w:tcBorders>
            <w:noWrap/>
            <w:vAlign w:val="center"/>
          </w:tcPr>
          <w:p w14:paraId="3BAD8E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rPr>
              <w:t>浦联社区</w:t>
            </w:r>
          </w:p>
        </w:tc>
        <w:tc>
          <w:tcPr>
            <w:tcW w:w="3337" w:type="dxa"/>
            <w:tcBorders>
              <w:top w:val="single" w:color="auto" w:sz="4" w:space="0"/>
              <w:left w:val="nil"/>
              <w:bottom w:val="single" w:color="auto" w:sz="4" w:space="0"/>
              <w:right w:val="single" w:color="auto" w:sz="4" w:space="0"/>
            </w:tcBorders>
            <w:shd w:val="clear" w:color="auto" w:fill="auto"/>
            <w:noWrap w:val="0"/>
            <w:vAlign w:val="center"/>
          </w:tcPr>
          <w:p w14:paraId="377530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rPr>
            </w:pPr>
            <w:r>
              <w:rPr>
                <w:rFonts w:hint="default" w:ascii="仿宋" w:hAnsi="仿宋" w:eastAsia="仿宋" w:cs="仿宋"/>
                <w:color w:val="auto"/>
                <w:kern w:val="0"/>
                <w:sz w:val="24"/>
                <w:szCs w:val="24"/>
                <w:highlight w:val="none"/>
              </w:rPr>
              <w:t>浦联</w:t>
            </w:r>
            <w:r>
              <w:rPr>
                <w:rFonts w:hint="eastAsia" w:ascii="仿宋" w:hAnsi="仿宋" w:eastAsia="仿宋" w:cs="仿宋"/>
                <w:color w:val="auto"/>
                <w:kern w:val="0"/>
                <w:sz w:val="24"/>
                <w:szCs w:val="24"/>
              </w:rPr>
              <w:t>社区居家养老照料中心</w:t>
            </w:r>
          </w:p>
        </w:tc>
        <w:tc>
          <w:tcPr>
            <w:tcW w:w="2386" w:type="dxa"/>
            <w:tcBorders>
              <w:top w:val="single" w:color="auto" w:sz="4" w:space="0"/>
              <w:left w:val="nil"/>
              <w:bottom w:val="single" w:color="auto" w:sz="4" w:space="0"/>
              <w:right w:val="single" w:color="auto" w:sz="4" w:space="0"/>
            </w:tcBorders>
            <w:shd w:val="clear" w:color="auto" w:fill="auto"/>
            <w:noWrap/>
            <w:vAlign w:val="center"/>
          </w:tcPr>
          <w:p w14:paraId="69C657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r>
    </w:tbl>
    <w:p w14:paraId="207D1268">
      <w:pPr>
        <w:keepNext w:val="0"/>
        <w:keepLines w:val="0"/>
        <w:pageBreakBefore w:val="0"/>
        <w:widowControl w:val="0"/>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（二）服务人员数量要求</w:t>
      </w:r>
    </w:p>
    <w:tbl>
      <w:tblPr>
        <w:tblStyle w:val="49"/>
        <w:tblW w:w="9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8251"/>
      </w:tblGrid>
      <w:tr w14:paraId="5A0E7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082" w:type="dxa"/>
            <w:tcBorders>
              <w:bottom w:val="single" w:color="auto" w:sz="4" w:space="0"/>
            </w:tcBorders>
            <w:noWrap w:val="0"/>
            <w:vAlign w:val="center"/>
          </w:tcPr>
          <w:p w14:paraId="3D9329D6">
            <w:pPr>
              <w:spacing w:line="360" w:lineRule="auto"/>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序号</w:t>
            </w:r>
          </w:p>
        </w:tc>
        <w:tc>
          <w:tcPr>
            <w:tcW w:w="8251" w:type="dxa"/>
            <w:tcBorders>
              <w:bottom w:val="single" w:color="auto" w:sz="4" w:space="0"/>
            </w:tcBorders>
            <w:noWrap w:val="0"/>
            <w:vAlign w:val="center"/>
          </w:tcPr>
          <w:p w14:paraId="53B12AA5">
            <w:pPr>
              <w:spacing w:line="360" w:lineRule="auto"/>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项目组成员安排</w:t>
            </w:r>
          </w:p>
        </w:tc>
      </w:tr>
      <w:tr w14:paraId="661F6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82" w:type="dxa"/>
            <w:tcBorders>
              <w:top w:val="single" w:color="auto" w:sz="4" w:space="0"/>
              <w:left w:val="single" w:color="auto" w:sz="4" w:space="0"/>
              <w:right w:val="single" w:color="auto" w:sz="4" w:space="0"/>
            </w:tcBorders>
            <w:noWrap w:val="0"/>
            <w:vAlign w:val="center"/>
          </w:tcPr>
          <w:p w14:paraId="74BC3AE9">
            <w:pPr>
              <w:spacing w:line="360" w:lineRule="auto"/>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w:t>
            </w:r>
          </w:p>
        </w:tc>
        <w:tc>
          <w:tcPr>
            <w:tcW w:w="8251" w:type="dxa"/>
            <w:tcBorders>
              <w:top w:val="single" w:color="auto" w:sz="4" w:space="0"/>
              <w:left w:val="single" w:color="auto" w:sz="4" w:space="0"/>
              <w:bottom w:val="single" w:color="auto" w:sz="4" w:space="0"/>
              <w:right w:val="single" w:color="auto" w:sz="4" w:space="0"/>
            </w:tcBorders>
            <w:noWrap w:val="0"/>
            <w:vAlign w:val="top"/>
          </w:tcPr>
          <w:p w14:paraId="5A640E0B">
            <w:pPr>
              <w:spacing w:line="360" w:lineRule="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标项一</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区域型居家养老综合运营服务</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配备项目总负责人1名，负责</w:t>
            </w:r>
            <w:r>
              <w:rPr>
                <w:rFonts w:hint="eastAsia" w:ascii="仿宋" w:hAnsi="仿宋" w:eastAsia="仿宋" w:cs="仿宋"/>
                <w:b w:val="0"/>
                <w:bCs w:val="0"/>
                <w:snapToGrid/>
                <w:color w:val="000000" w:themeColor="text1"/>
                <w:kern w:val="2"/>
                <w:sz w:val="24"/>
                <w:szCs w:val="24"/>
                <w:highlight w:val="none"/>
                <w:lang w:val="en-US" w:eastAsia="zh-CN"/>
                <w14:textFill>
                  <w14:solidFill>
                    <w14:schemeClr w14:val="tx1"/>
                  </w14:solidFill>
                </w14:textFill>
              </w:rPr>
              <w:t>项目的</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统筹协调及与采购人的沟通协调工作，服务期内不得兼职其他岗位及其他与本项目的无关工作。</w:t>
            </w:r>
          </w:p>
          <w:p w14:paraId="2A912061">
            <w:pPr>
              <w:spacing w:line="360" w:lineRule="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配备上门服务</w:t>
            </w:r>
            <w:r>
              <w:rPr>
                <w:rFonts w:hint="eastAsia" w:ascii="仿宋" w:hAnsi="仿宋" w:eastAsia="仿宋" w:cs="仿宋"/>
                <w:b w:val="0"/>
                <w:bCs w:val="0"/>
                <w:color w:val="000000" w:themeColor="text1"/>
                <w:sz w:val="24"/>
                <w:szCs w:val="24"/>
                <w:highlight w:val="none"/>
                <w14:textFill>
                  <w14:solidFill>
                    <w14:schemeClr w14:val="tx1"/>
                  </w14:solidFill>
                </w14:textFill>
              </w:rPr>
              <w:t>负责人1人</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点位负责人1人，每个点位</w:t>
            </w: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专职服务人</w:t>
            </w:r>
            <w:r>
              <w:rPr>
                <w:rFonts w:hint="eastAsia" w:ascii="仿宋" w:hAnsi="仿宋" w:eastAsia="仿宋" w:cs="仿宋"/>
                <w:b w:val="0"/>
                <w:bCs w:val="0"/>
                <w:color w:val="000000" w:themeColor="text1"/>
                <w:sz w:val="24"/>
                <w:szCs w:val="24"/>
                <w:highlight w:val="none"/>
                <w14:textFill>
                  <w14:solidFill>
                    <w14:schemeClr w14:val="tx1"/>
                  </w14:solidFill>
                </w14:textFill>
              </w:rPr>
              <w:t>员不少于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szCs w:val="24"/>
                <w:highlight w:val="none"/>
                <w14:textFill>
                  <w14:solidFill>
                    <w14:schemeClr w14:val="tx1"/>
                  </w14:solidFill>
                </w14:textFill>
              </w:rPr>
              <w:t>人（如居家养老照料中心和助餐服务</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点</w:t>
            </w:r>
            <w:r>
              <w:rPr>
                <w:rFonts w:hint="eastAsia" w:ascii="仿宋" w:hAnsi="仿宋" w:eastAsia="仿宋" w:cs="仿宋"/>
                <w:b w:val="0"/>
                <w:bCs w:val="0"/>
                <w:color w:val="000000" w:themeColor="text1"/>
                <w:sz w:val="24"/>
                <w:szCs w:val="24"/>
                <w:highlight w:val="none"/>
                <w14:textFill>
                  <w14:solidFill>
                    <w14:schemeClr w14:val="tx1"/>
                  </w14:solidFill>
                </w14:textFill>
              </w:rPr>
              <w:t>不在同一地点则需提供</w:t>
            </w: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专职服务人</w:t>
            </w:r>
            <w:r>
              <w:rPr>
                <w:rFonts w:hint="eastAsia" w:ascii="仿宋" w:hAnsi="仿宋" w:eastAsia="仿宋" w:cs="仿宋"/>
                <w:b w:val="0"/>
                <w:bCs w:val="0"/>
                <w:color w:val="000000" w:themeColor="text1"/>
                <w:sz w:val="24"/>
                <w:szCs w:val="24"/>
                <w:highlight w:val="none"/>
                <w14:textFill>
                  <w14:solidFill>
                    <w14:schemeClr w14:val="tx1"/>
                  </w14:solidFill>
                </w14:textFill>
              </w:rPr>
              <w:t>员不</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少于2</w:t>
            </w:r>
            <w:r>
              <w:rPr>
                <w:rFonts w:hint="eastAsia" w:ascii="仿宋" w:hAnsi="仿宋" w:eastAsia="仿宋" w:cs="仿宋"/>
                <w:b w:val="0"/>
                <w:bCs w:val="0"/>
                <w:color w:val="000000" w:themeColor="text1"/>
                <w:sz w:val="24"/>
                <w:szCs w:val="24"/>
                <w:highlight w:val="none"/>
                <w14:textFill>
                  <w14:solidFill>
                    <w14:schemeClr w14:val="tx1"/>
                  </w14:solidFill>
                </w14:textFill>
              </w:rPr>
              <w:t>人），</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年龄不超过55周岁，高中及以上学历</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每个点位</w:t>
            </w:r>
            <w:r>
              <w:rPr>
                <w:rFonts w:hint="eastAsia" w:ascii="仿宋" w:hAnsi="仿宋" w:eastAsia="仿宋" w:cs="仿宋"/>
                <w:b w:val="0"/>
                <w:bCs w:val="0"/>
                <w:color w:val="000000" w:themeColor="text1"/>
                <w:sz w:val="24"/>
                <w:szCs w:val="24"/>
                <w:highlight w:val="none"/>
                <w14:textFill>
                  <w14:solidFill>
                    <w14:schemeClr w14:val="tx1"/>
                  </w14:solidFill>
                </w14:textFill>
              </w:rPr>
              <w:t>协管人员不少于</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szCs w:val="24"/>
                <w:highlight w:val="none"/>
                <w14:textFill>
                  <w14:solidFill>
                    <w14:schemeClr w14:val="tx1"/>
                  </w14:solidFill>
                </w14:textFill>
              </w:rPr>
              <w:t>人（如居家养老照料中心和助餐服务</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点</w:t>
            </w:r>
            <w:r>
              <w:rPr>
                <w:rFonts w:hint="eastAsia" w:ascii="仿宋" w:hAnsi="仿宋" w:eastAsia="仿宋" w:cs="仿宋"/>
                <w:b w:val="0"/>
                <w:bCs w:val="0"/>
                <w:color w:val="000000" w:themeColor="text1"/>
                <w:sz w:val="24"/>
                <w:szCs w:val="24"/>
                <w:highlight w:val="none"/>
                <w14:textFill>
                  <w14:solidFill>
                    <w14:schemeClr w14:val="tx1"/>
                  </w14:solidFill>
                </w14:textFill>
              </w:rPr>
              <w:t>不在同一地点则需提供协管人员不</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少于2</w:t>
            </w:r>
            <w:r>
              <w:rPr>
                <w:rFonts w:hint="eastAsia" w:ascii="仿宋" w:hAnsi="仿宋" w:eastAsia="仿宋" w:cs="仿宋"/>
                <w:b w:val="0"/>
                <w:bCs w:val="0"/>
                <w:color w:val="000000" w:themeColor="text1"/>
                <w:sz w:val="24"/>
                <w:szCs w:val="24"/>
                <w:highlight w:val="none"/>
                <w14:textFill>
                  <w14:solidFill>
                    <w14:schemeClr w14:val="tx1"/>
                  </w14:solidFill>
                </w14:textFill>
              </w:rPr>
              <w:t>人），年龄不超过60</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周岁；</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西兴街道辖区内配备持证护理员需不少于10人、长河街道辖区内配备持证护理员需不少于15人、浦沿街道辖区内配备持证护理员需不少于12人，其中护理员须具备养老护理员职业技能等级证书五级及以上且人员年龄均不得超过60周岁。</w:t>
            </w:r>
          </w:p>
        </w:tc>
      </w:tr>
      <w:tr w14:paraId="0ABE8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82" w:type="dxa"/>
            <w:tcBorders>
              <w:left w:val="single" w:color="auto" w:sz="4" w:space="0"/>
              <w:right w:val="single" w:color="auto" w:sz="4" w:space="0"/>
            </w:tcBorders>
            <w:noWrap w:val="0"/>
            <w:vAlign w:val="center"/>
          </w:tcPr>
          <w:p w14:paraId="38F12542">
            <w:pPr>
              <w:spacing w:line="360" w:lineRule="auto"/>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p>
        </w:tc>
        <w:tc>
          <w:tcPr>
            <w:tcW w:w="8251" w:type="dxa"/>
            <w:tcBorders>
              <w:top w:val="single" w:color="auto" w:sz="4" w:space="0"/>
              <w:left w:val="single" w:color="auto" w:sz="4" w:space="0"/>
              <w:bottom w:val="single" w:color="auto" w:sz="4" w:space="0"/>
              <w:right w:val="single" w:color="auto" w:sz="4" w:space="0"/>
            </w:tcBorders>
            <w:noWrap w:val="0"/>
            <w:vAlign w:val="top"/>
          </w:tcPr>
          <w:p w14:paraId="4190B466">
            <w:pPr>
              <w:spacing w:line="360"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标项二居家养老上门服务配备负责人1名，每个街道配备站长1人，同时需配备持证护理员需不少于30人，其中护理员须具备养老护理员职业技能等级证书五级及以上且人员年龄均不得超过60周岁。</w:t>
            </w:r>
          </w:p>
        </w:tc>
      </w:tr>
    </w:tbl>
    <w:p w14:paraId="3F5D9F85">
      <w:pPr>
        <w:keepNext w:val="0"/>
        <w:keepLines w:val="0"/>
        <w:pageBreakBefore w:val="0"/>
        <w:widowControl w:val="0"/>
        <w:numPr>
          <w:ilvl w:val="0"/>
          <w:numId w:val="5"/>
        </w:numPr>
        <w:kinsoku/>
        <w:wordWrap/>
        <w:overflowPunct/>
        <w:topLinePunct w:val="0"/>
        <w:autoSpaceDE/>
        <w:autoSpaceDN/>
        <w:bidi w:val="0"/>
        <w:adjustRightInd w:val="0"/>
        <w:snapToGrid/>
        <w:spacing w:line="500" w:lineRule="exact"/>
        <w:ind w:firstLine="42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采购要求</w:t>
      </w:r>
    </w:p>
    <w:p w14:paraId="612F330D">
      <w:pPr>
        <w:pStyle w:val="60"/>
        <w:numPr>
          <w:ilvl w:val="0"/>
          <w:numId w:val="0"/>
        </w:numP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一、项目内容</w:t>
      </w:r>
    </w:p>
    <w:p w14:paraId="3414DB49">
      <w:pPr>
        <w:keepNext w:val="0"/>
        <w:keepLines w:val="0"/>
        <w:pageBreakBefore w:val="0"/>
        <w:widowControl w:val="0"/>
        <w:kinsoku/>
        <w:wordWrap/>
        <w:overflowPunct/>
        <w:topLinePunct w:val="0"/>
        <w:autoSpaceDE/>
        <w:autoSpaceDN/>
        <w:bidi w:val="0"/>
        <w:adjustRightInd w:val="0"/>
        <w:snapToGrid/>
        <w:spacing w:line="500" w:lineRule="exact"/>
        <w:ind w:firstLine="420"/>
        <w:jc w:val="both"/>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（一）标项一：区域型居家养老综合运营服务内容</w:t>
      </w:r>
    </w:p>
    <w:p w14:paraId="4B4C1F41">
      <w:pPr>
        <w:pageBreakBefore w:val="0"/>
        <w:numPr>
          <w:ilvl w:val="0"/>
          <w:numId w:val="0"/>
        </w:numPr>
        <w:kinsoku/>
        <w:wordWrap/>
        <w:overflowPunct/>
        <w:topLinePunct w:val="0"/>
        <w:autoSpaceDE/>
        <w:autoSpaceDN/>
        <w:bidi w:val="0"/>
        <w:snapToGrid w:val="0"/>
        <w:spacing w:line="500" w:lineRule="exact"/>
        <w:ind w:firstLine="480" w:firstLineChars="200"/>
        <w:jc w:val="left"/>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snapToGrid/>
          <w:color w:val="000000" w:themeColor="text1"/>
          <w:kern w:val="2"/>
          <w:sz w:val="24"/>
          <w:szCs w:val="24"/>
          <w:highlight w:val="none"/>
          <w:lang w:val="en-US" w:eastAsia="zh-CN"/>
          <w14:textFill>
            <w14:solidFill>
              <w14:schemeClr w14:val="tx1"/>
            </w14:solidFill>
          </w14:textFill>
        </w:rPr>
        <w:t>区域型居家养老综合运营服务内容主要包括：</w:t>
      </w: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场馆运营、活动开展、养老服务规划、食堂管理、配餐服务（食堂服务人数约为10000人）、上门服务等。运营机构按照采购人要求的人数派遣符合采购人要求的工作人员在工作日内工作，</w:t>
      </w: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专职服务人</w:t>
      </w:r>
      <w:r>
        <w:rPr>
          <w:rFonts w:hint="eastAsia" w:ascii="仿宋" w:hAnsi="仿宋" w:eastAsia="仿宋" w:cs="仿宋"/>
          <w:b w:val="0"/>
          <w:bCs w:val="0"/>
          <w:color w:val="000000" w:themeColor="text1"/>
          <w:sz w:val="24"/>
          <w:szCs w:val="24"/>
          <w:highlight w:val="none"/>
          <w14:textFill>
            <w14:solidFill>
              <w14:schemeClr w14:val="tx1"/>
            </w14:solidFill>
          </w14:textFill>
        </w:rPr>
        <w:t>员</w:t>
      </w: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须遵守采购人制度，服从采购人管理，按照采购人规定的时间上、下班，每周对采购人汇报进展情况。运营机构派驻专职人员在采购人场地工作时所发生的意外事故，均由供应商负责处理并承担相应经济及法律责任。</w:t>
      </w:r>
    </w:p>
    <w:p w14:paraId="601EDD70">
      <w:pPr>
        <w:pageBreakBefore w:val="0"/>
        <w:numPr>
          <w:ilvl w:val="0"/>
          <w:numId w:val="0"/>
        </w:numPr>
        <w:kinsoku/>
        <w:wordWrap/>
        <w:overflowPunct/>
        <w:topLinePunct w:val="0"/>
        <w:autoSpaceDE/>
        <w:autoSpaceDN/>
        <w:bidi w:val="0"/>
        <w:snapToGrid w:val="0"/>
        <w:spacing w:line="500" w:lineRule="exact"/>
        <w:ind w:firstLine="482" w:firstLineChars="200"/>
        <w:jc w:val="left"/>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1.1人员配备</w:t>
      </w:r>
    </w:p>
    <w:p w14:paraId="582C46B4">
      <w:pPr>
        <w:pStyle w:val="21"/>
        <w:snapToGrid/>
        <w:spacing w:line="500" w:lineRule="exact"/>
        <w:ind w:firstLine="480" w:firstLineChars="200"/>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1.1.1</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区域型居家养老综合运营服务</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配备项目总负责人1名，负责</w:t>
      </w:r>
      <w:r>
        <w:rPr>
          <w:rFonts w:hint="eastAsia" w:ascii="仿宋" w:hAnsi="仿宋" w:eastAsia="仿宋" w:cs="仿宋"/>
          <w:b w:val="0"/>
          <w:bCs w:val="0"/>
          <w:snapToGrid/>
          <w:color w:val="000000" w:themeColor="text1"/>
          <w:kern w:val="2"/>
          <w:sz w:val="24"/>
          <w:szCs w:val="24"/>
          <w:highlight w:val="none"/>
          <w:lang w:val="en-US" w:eastAsia="zh-CN"/>
          <w14:textFill>
            <w14:solidFill>
              <w14:schemeClr w14:val="tx1"/>
            </w14:solidFill>
          </w14:textFill>
        </w:rPr>
        <w:t>项目的</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统筹协调及与采购人的沟通协调工作，服务期内不得兼职其他岗位及其他与本项目的无关工作。</w:t>
      </w:r>
    </w:p>
    <w:p w14:paraId="1CDFEAB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配备上门服务负责人1人、点位负责人1人，每个点位专职服务人员不少于1人（如居家养老照料中心和助餐服务点不在同一地点则需提供专职服务人员不少于2人），年龄不超过55周岁，高中及以上学历；每个点位协管人员不少于1人（如居家养老照料中心和助餐服务点不在同一地点则需提供协管人员不少于2人），年龄不超过60周岁；西兴街道辖区内配备持证护理员需不少于10人、长河街道辖区内配备持证护理员需不少于15人、浦沿街道辖区内配备持证护理员需不少于12人，其中护理员须具备养老护理员职业技能等级证书五级及以上且人员年龄均不得超过60周岁。</w:t>
      </w:r>
    </w:p>
    <w:p w14:paraId="11534D27">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1.1.2专职服务人员应具备一定的养老服务相关专业知识，应持有老年人服务与管理、家政服务与管理、护理（或老年护理方向）、中医护理、中医康复保健、康复技术、康复治疗技术、护理学、康复治疗学专业毕业证书，或持有人力社保部门颁发的社会工作者证书、心理咨询师证书、健康管理师证书、营养师证书、护士执业证书等。（至少1人持有1项即可，需提供加盖投标单位公章的毕业证书复印件或职业资格证书复印件）</w:t>
      </w:r>
    </w:p>
    <w:p w14:paraId="6B1F7332">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1.1.3卫生保洁人员若干（可兼职）。</w:t>
      </w:r>
    </w:p>
    <w:p w14:paraId="091C65FD">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1.1.4尊重并保护老年人隐私及相关信息。</w:t>
      </w:r>
    </w:p>
    <w:p w14:paraId="2BFDE707">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1.1.5服务人员、养老护理人员应经过相应上岗培训，掌握服务项目所需的知识与技能，热情服务，举止得当，统一服装。</w:t>
      </w:r>
    </w:p>
    <w:p w14:paraId="59E4605B">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1.2服务环境</w:t>
      </w:r>
    </w:p>
    <w:p w14:paraId="5D557557">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1.2.1定期检查消防设施、器具应完好有效，疏散指示标志明显。</w:t>
      </w:r>
    </w:p>
    <w:p w14:paraId="4501CCBA">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1.2.2保证场所门面整洁、美观，场所内环境、卫生、通风条件良好；居家养老服务标志清晰、牢固，服务场所内公共信息图形符号符合规定要求。</w:t>
      </w:r>
    </w:p>
    <w:p w14:paraId="2AD89B3B">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1.2.3服务指南和管理制度完善，卫生防疫制度和突发事件处理应急预案健全。</w:t>
      </w:r>
    </w:p>
    <w:p w14:paraId="706DE06F">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1.2.4保证居家养老服务电话、网络畅通，多媒体设施、报纸、刊物、健身器材和乐器等设备完好；床位和防寒降暑设施完好。</w:t>
      </w:r>
    </w:p>
    <w:p w14:paraId="1E9779E5">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1.2.5保证各功能教室等服务场所每天开放。</w:t>
      </w:r>
    </w:p>
    <w:p w14:paraId="6DEBDC5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1.2.6保证采卫生间通风系统完好，室内地面干燥、防滑，无障碍设施及紧急呼叫按钮完好。</w:t>
      </w:r>
    </w:p>
    <w:p w14:paraId="3E2B60A3">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1.2.7按食品卫生安全规定要求对老年人就餐厨（餐）具进行消毒。</w:t>
      </w:r>
    </w:p>
    <w:p w14:paraId="7C815422">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1.3老人服务内容</w:t>
      </w:r>
    </w:p>
    <w:p w14:paraId="157A8B90">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1.3.1服务对象覆盖本辖区内的所有老年人，掌握失独、孤寡、空巢老人情况并落实日常看护。</w:t>
      </w:r>
    </w:p>
    <w:p w14:paraId="483007BF">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1.3.2立管理制度，服务人员、服务项目、服务承诺、收费标准公示上墙。</w:t>
      </w:r>
    </w:p>
    <w:p w14:paraId="39ADDBE1">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1.3.3建立服务对象信息档案，各项服务资料完整，保证信息安全。</w:t>
      </w:r>
    </w:p>
    <w:p w14:paraId="6C51AF8F">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1.3.4提供上门服务格式合同（条款包括服务对象姓名、住址、服务时间、服务内容及质量标准、收费标准、约定的其他事项等），服务时签订合同。</w:t>
      </w:r>
    </w:p>
    <w:p w14:paraId="0F4CD5F7">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1.3.5参与辖区内的养老服务需求评估、养老服务补贴和低保老人等工作。</w:t>
      </w:r>
    </w:p>
    <w:p w14:paraId="7B81823A">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1.3.6根据县民政局安排，为享受政府养老服务补贴、并接受居家养老服务的困难老人提供相关上门服务。若上级部门统一购买其他项目服务，并由专业从事居家养老服务的组织和机构提供服务的，要主动做好相关配合工作。</w:t>
      </w:r>
    </w:p>
    <w:p w14:paraId="4B44D52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1.3.7提供医养结合、助餐、送餐等服务。同时，向辖区内的其他老年人提供无偿或有偿的上门服务。</w:t>
      </w:r>
    </w:p>
    <w:p w14:paraId="58042024">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1.3.8在工作时间内，接到服务预约需求电话，应在10分钟内给予安排并回复。</w:t>
      </w:r>
    </w:p>
    <w:p w14:paraId="0D2B392B">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1.3.9运行资金专款专用，有详细使用记录。</w:t>
      </w:r>
    </w:p>
    <w:p w14:paraId="0720B63E">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1.3.10建立服务规范，有较为完善的员工管理考核办法，并按章实施。</w:t>
      </w:r>
    </w:p>
    <w:p w14:paraId="217BCB5E">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1.3.11建立社会公众、志愿者、专职服务人员等参与社会公益活动的激励机制。</w:t>
      </w:r>
    </w:p>
    <w:p w14:paraId="4F837914">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1.3.12能通过定期召开座谈会、设立意见箱或意见簿、询问服务对象等形式听取群众的意见和建议；服务对象提出的合理意见和建议能及时研究采纳，并在工作加以改进。</w:t>
      </w:r>
    </w:p>
    <w:p w14:paraId="1C7739A2">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1.4提供助餐服务要求</w:t>
      </w:r>
    </w:p>
    <w:p w14:paraId="039391A5">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1.4.1积极配合上级部门对老年食堂工作的检查、考 察、评估等工作,配合做好其他单位参观、学习等工作。</w:t>
      </w:r>
    </w:p>
    <w:p w14:paraId="1F41BBD5">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1.4.2应做好被服务老人的个人隐私资料的保密工作，不得随意泄露，不得利用资料谋取不正当利益。</w:t>
      </w:r>
    </w:p>
    <w:p w14:paraId="4DE53A23">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1.4.3负责食堂的日常管理与运营。</w:t>
      </w:r>
    </w:p>
    <w:p w14:paraId="093B59AB">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1.4.4引入具体服务项目的合作单位、社会组织应具有合法的服务资质。严禁向老年人变相推销保健产品、收取高额或不合理费用。对查证属实乱收费行为的，立即终止合同，并根据相关规定进行相应处理。</w:t>
      </w:r>
    </w:p>
    <w:p w14:paraId="5BBDB757">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1.4.5运营的食堂应管理制度上墙，场所卫生整洁，食堂工作人员应体检、培训合格。</w:t>
      </w:r>
    </w:p>
    <w:p w14:paraId="5B19C68C">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1.4.6如出现饭菜质量差、卫生状况差、就餐人员意见反应强烈等问题，且拒不改正，采购单位有权单方面终止协议。</w:t>
      </w:r>
    </w:p>
    <w:p w14:paraId="49265B9A">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1.4.7除不可抗力事件外，不得以任何理由不及时或不充足供应采购人居民膳食。否则，乙方应赔偿由此造成的全部损失。</w:t>
      </w:r>
    </w:p>
    <w:p w14:paraId="056CD90D">
      <w:pPr>
        <w:pStyle w:val="21"/>
        <w:keepNext w:val="0"/>
        <w:keepLines w:val="0"/>
        <w:pageBreakBefore w:val="0"/>
        <w:widowControl w:val="0"/>
        <w:kinsoku/>
        <w:wordWrap/>
        <w:overflowPunct/>
        <w:topLinePunct w:val="0"/>
        <w:autoSpaceDE/>
        <w:autoSpaceDN/>
        <w:bidi w:val="0"/>
        <w:adjustRightInd w:val="0"/>
        <w:snapToGrid/>
        <w:spacing w:line="500" w:lineRule="exact"/>
        <w:ind w:firstLineChars="200"/>
        <w:textAlignment w:val="auto"/>
        <w:rPr>
          <w:rFonts w:hint="eastAsia" w:ascii="仿宋" w:hAnsi="仿宋" w:eastAsia="仿宋" w:cs="仿宋"/>
          <w:b/>
          <w:bCs/>
          <w:color w:val="000000" w:themeColor="text1"/>
          <w:kern w:val="2"/>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1.5服务内容</w:t>
      </w:r>
    </w:p>
    <w:tbl>
      <w:tblPr>
        <w:tblStyle w:val="49"/>
        <w:tblW w:w="9728"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1"/>
        <w:gridCol w:w="816"/>
        <w:gridCol w:w="1294"/>
        <w:gridCol w:w="2700"/>
        <w:gridCol w:w="1863"/>
        <w:gridCol w:w="1175"/>
        <w:gridCol w:w="1119"/>
      </w:tblGrid>
      <w:tr w14:paraId="153B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7EBE40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序号</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5E57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服务</w:t>
            </w:r>
          </w:p>
          <w:p w14:paraId="167D58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分类</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C9C71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服务项目</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C5274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highlight w:val="none"/>
                <w:u w:val="none"/>
                <w:lang w:val="en-US"/>
              </w:rPr>
            </w:pPr>
            <w:r>
              <w:rPr>
                <w:rFonts w:hint="eastAsia" w:ascii="仿宋" w:hAnsi="仿宋" w:eastAsia="仿宋" w:cs="仿宋"/>
                <w:b/>
                <w:bCs/>
                <w:i w:val="0"/>
                <w:iCs w:val="0"/>
                <w:color w:val="000000"/>
                <w:kern w:val="0"/>
                <w:sz w:val="24"/>
                <w:szCs w:val="24"/>
                <w:highlight w:val="none"/>
                <w:u w:val="none"/>
                <w:lang w:val="en-US" w:eastAsia="zh-CN"/>
              </w:rPr>
              <w:t>服务内容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A250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color w:val="000000"/>
                <w:sz w:val="24"/>
                <w:szCs w:val="24"/>
                <w:highlight w:val="none"/>
              </w:rPr>
              <w:t>指导价</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B9F64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最低服务时长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F6F5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备注</w:t>
            </w:r>
          </w:p>
        </w:tc>
      </w:tr>
      <w:tr w14:paraId="2803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95C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6D05B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助餐</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D7743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送餐上门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6BF18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根据老年人需要,将餐食送达老年人的家中或者其他指定地点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97AA6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2重阳分</w:t>
            </w:r>
            <w:r>
              <w:rPr>
                <w:rFonts w:hint="eastAsia" w:ascii="仿宋" w:hAnsi="仿宋" w:eastAsia="仿宋" w:cs="仿宋"/>
                <w:color w:val="000000"/>
                <w:sz w:val="24"/>
                <w:szCs w:val="24"/>
                <w:highlight w:val="none"/>
              </w:rPr>
              <w:t>/次</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C5EB6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4486C0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58D6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4FAA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E86C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59E3F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上门烹饪</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C34FE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使用老人家中炊具进行食材清洗、菜肴烹调</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0FDC24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9C899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4BEA2B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60CD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5E35C6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F94A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助浴</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9BE71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上门洗浴</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E902A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服务人员携带专业助浴工具、借助老年人家庭洗浴环境和设备，为老年人提供居家洗浴服务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08F4CA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145EB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A3077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5105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D042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B324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12530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流动洗浴</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FF787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利用专门的可移动洗浴设施设备和专业的服务人员，协助老年人完成洗浴的过程</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BE1F9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2CE38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21368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0B65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ADB7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049C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B099B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擦洗身体</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BACFB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用清洁工具擦拭身体</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F4516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987F6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48967D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2A9B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97AFF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7F535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助洁</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30F35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头部清洁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21F56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头部清洁（含洗脸、梳头、理发洗头、剃须、清理耳内耵聍等）</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0FE019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6EBB0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4D7E4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5717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9524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AE20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DF924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口腔清洁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FF8D4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口腔清洁（含刷卡、漱口、义齿清洗等）</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00288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16799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DC686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0504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C1A1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8990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85360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手足清理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DE386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泡脚、修剪趾甲等手足清理</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EE413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D0974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46C9E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2B8A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C5FB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905D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C366D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排泄清理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EB930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为老人开展协助如厕、更换尿不湿等排泄物清理服务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9DB4A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23B2F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89282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26D2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F0C1B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2FF2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18589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床上清洁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6E5FB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为老年人提供更换床单被罩，床位清洁，擦拭整理等床上清洁</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A8213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039A6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37E92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76A0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E3B7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2DAF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75ADE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洗涤服务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36491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为老年人提供衣物、床上用品、窗帘等物品洗涤及晾晒服务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2800E6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49DC3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F2265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5152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B457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E714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74ED5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居室基础清洁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49080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为老年人提供居室、卫生间、厨房、客厅等房间的日常清洁</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F7C88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B604E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9A322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3631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057BBC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BE1E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助行</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5AAA6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协助下床活动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E89BF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协助老人下床活动</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B7B2A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/次</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B6556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6C481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49FB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9FBA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79D7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5F588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外出陪同</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A56C4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陪同老人前往相关地点，以提供陪伴和支持为主要目的的服务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5DF01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E6A27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BE2E4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53B7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9E5D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798C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7ECEC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代办代购</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1D2A5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为老年人提供代购、代缴、代订、代为申请等相关服务（含交通费）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25203E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EBF8A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72501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186F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46FA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8D79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auto" w:sz="4" w:space="0"/>
              <w:right w:val="single" w:color="000000" w:sz="4" w:space="0"/>
            </w:tcBorders>
            <w:noWrap w:val="0"/>
            <w:vAlign w:val="center"/>
          </w:tcPr>
          <w:p w14:paraId="75A9E8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日常维修</w:t>
            </w:r>
          </w:p>
        </w:tc>
        <w:tc>
          <w:tcPr>
            <w:tcW w:w="2700" w:type="dxa"/>
            <w:tcBorders>
              <w:top w:val="single" w:color="000000" w:sz="4" w:space="0"/>
              <w:left w:val="single" w:color="000000" w:sz="4" w:space="0"/>
              <w:bottom w:val="single" w:color="auto" w:sz="4" w:space="0"/>
              <w:right w:val="single" w:color="000000" w:sz="4" w:space="0"/>
            </w:tcBorders>
            <w:noWrap w:val="0"/>
            <w:vAlign w:val="center"/>
          </w:tcPr>
          <w:p w14:paraId="4ED7E5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为有需求的老年人提供各类入户维修服务</w:t>
            </w:r>
          </w:p>
        </w:tc>
        <w:tc>
          <w:tcPr>
            <w:tcW w:w="1863" w:type="dxa"/>
            <w:tcBorders>
              <w:top w:val="single" w:color="000000" w:sz="4" w:space="0"/>
              <w:left w:val="single" w:color="000000" w:sz="4" w:space="0"/>
              <w:bottom w:val="single" w:color="auto" w:sz="4" w:space="0"/>
              <w:right w:val="single" w:color="000000" w:sz="4" w:space="0"/>
            </w:tcBorders>
            <w:noWrap w:val="0"/>
            <w:vAlign w:val="center"/>
          </w:tcPr>
          <w:p w14:paraId="2908DC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/次</w:t>
            </w:r>
            <w:r>
              <w:rPr>
                <w:rFonts w:hint="eastAsia" w:ascii="仿宋" w:hAnsi="仿宋" w:eastAsia="仿宋" w:cs="仿宋"/>
                <w:color w:val="000000"/>
                <w:sz w:val="24"/>
                <w:szCs w:val="24"/>
                <w:highlight w:val="none"/>
                <w:lang w:eastAsia="zh-CN"/>
              </w:rPr>
              <w:t>（仅为上门</w:t>
            </w:r>
            <w:r>
              <w:rPr>
                <w:rFonts w:hint="eastAsia" w:ascii="仿宋" w:hAnsi="仿宋" w:eastAsia="仿宋" w:cs="仿宋"/>
                <w:color w:val="000000"/>
                <w:sz w:val="24"/>
                <w:szCs w:val="24"/>
                <w:highlight w:val="none"/>
                <w:lang w:val="en-US" w:eastAsia="zh-CN"/>
              </w:rPr>
              <w:t>费</w:t>
            </w:r>
            <w:r>
              <w:rPr>
                <w:rFonts w:hint="eastAsia" w:ascii="仿宋" w:hAnsi="仿宋" w:eastAsia="仿宋" w:cs="仿宋"/>
                <w:color w:val="000000"/>
                <w:sz w:val="24"/>
                <w:szCs w:val="24"/>
                <w:highlight w:val="none"/>
                <w:lang w:eastAsia="zh-CN"/>
              </w:rPr>
              <w:t>，不含材料费）</w:t>
            </w:r>
          </w:p>
        </w:tc>
        <w:tc>
          <w:tcPr>
            <w:tcW w:w="1175" w:type="dxa"/>
            <w:tcBorders>
              <w:top w:val="single" w:color="000000" w:sz="4" w:space="0"/>
              <w:left w:val="single" w:color="000000" w:sz="4" w:space="0"/>
              <w:bottom w:val="single" w:color="auto" w:sz="4" w:space="0"/>
              <w:right w:val="single" w:color="000000" w:sz="4" w:space="0"/>
            </w:tcBorders>
            <w:noWrap w:val="0"/>
            <w:vAlign w:val="center"/>
          </w:tcPr>
          <w:p w14:paraId="1EE3E8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auto" w:sz="4" w:space="0"/>
              <w:right w:val="single" w:color="000000" w:sz="4" w:space="0"/>
            </w:tcBorders>
            <w:noWrap w:val="0"/>
            <w:vAlign w:val="center"/>
          </w:tcPr>
          <w:p w14:paraId="7FFD84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7580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14:paraId="428B47C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1B63E40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69440B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精神慰藉</w:t>
            </w:r>
          </w:p>
        </w:tc>
        <w:tc>
          <w:tcPr>
            <w:tcW w:w="2700" w:type="dxa"/>
            <w:tcBorders>
              <w:top w:val="single" w:color="auto" w:sz="4" w:space="0"/>
              <w:left w:val="single" w:color="auto" w:sz="4" w:space="0"/>
              <w:bottom w:val="single" w:color="auto" w:sz="4" w:space="0"/>
              <w:right w:val="single" w:color="000000" w:sz="4" w:space="0"/>
            </w:tcBorders>
            <w:noWrap w:val="0"/>
            <w:vAlign w:val="center"/>
          </w:tcPr>
          <w:p w14:paraId="5146F7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为老年人提供心灵需求和情感状态的关注、支持和关怀</w:t>
            </w:r>
          </w:p>
        </w:tc>
        <w:tc>
          <w:tcPr>
            <w:tcW w:w="1863" w:type="dxa"/>
            <w:tcBorders>
              <w:top w:val="single" w:color="auto" w:sz="4" w:space="0"/>
              <w:left w:val="single" w:color="000000" w:sz="4" w:space="0"/>
              <w:bottom w:val="single" w:color="auto" w:sz="4" w:space="0"/>
              <w:right w:val="single" w:color="000000" w:sz="4" w:space="0"/>
            </w:tcBorders>
            <w:noWrap w:val="0"/>
            <w:vAlign w:val="center"/>
          </w:tcPr>
          <w:p w14:paraId="140850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105重阳分</w:t>
            </w:r>
            <w:r>
              <w:rPr>
                <w:rFonts w:hint="eastAsia" w:ascii="仿宋" w:hAnsi="仿宋" w:eastAsia="仿宋" w:cs="仿宋"/>
                <w:color w:val="000000"/>
                <w:sz w:val="24"/>
                <w:szCs w:val="24"/>
                <w:highlight w:val="none"/>
              </w:rPr>
              <w:t>/次</w:t>
            </w:r>
          </w:p>
        </w:tc>
        <w:tc>
          <w:tcPr>
            <w:tcW w:w="1175" w:type="dxa"/>
            <w:tcBorders>
              <w:top w:val="single" w:color="auto" w:sz="4" w:space="0"/>
              <w:left w:val="single" w:color="000000" w:sz="4" w:space="0"/>
              <w:bottom w:val="single" w:color="auto" w:sz="4" w:space="0"/>
              <w:right w:val="single" w:color="000000" w:sz="4" w:space="0"/>
            </w:tcBorders>
            <w:noWrap w:val="0"/>
            <w:vAlign w:val="center"/>
          </w:tcPr>
          <w:p w14:paraId="49C7EA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auto" w:sz="4" w:space="0"/>
              <w:left w:val="single" w:color="000000" w:sz="4" w:space="0"/>
              <w:bottom w:val="single" w:color="auto" w:sz="4" w:space="0"/>
              <w:right w:val="single" w:color="auto" w:sz="4" w:space="0"/>
            </w:tcBorders>
            <w:noWrap w:val="0"/>
            <w:vAlign w:val="center"/>
          </w:tcPr>
          <w:p w14:paraId="7C57D0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需持有心理咨询师证</w:t>
            </w:r>
          </w:p>
        </w:tc>
      </w:tr>
    </w:tbl>
    <w:p w14:paraId="0CB43F03">
      <w:pPr>
        <w:keepNext w:val="0"/>
        <w:keepLines w:val="0"/>
        <w:pageBreakBefore w:val="0"/>
        <w:widowControl/>
        <w:numPr>
          <w:ilvl w:val="0"/>
          <w:numId w:val="0"/>
        </w:numPr>
        <w:kinsoku/>
        <w:wordWrap w:val="0"/>
        <w:topLinePunct/>
        <w:bidi w:val="0"/>
        <w:adjustRightInd w:val="0"/>
        <w:snapToGrid/>
        <w:spacing w:line="440" w:lineRule="exact"/>
        <w:ind w:firstLine="480" w:firstLineChars="200"/>
        <w:textAlignment w:val="baseline"/>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注：</w:t>
      </w:r>
      <w:r>
        <w:rPr>
          <w:rFonts w:hint="eastAsia" w:ascii="仿宋" w:hAnsi="仿宋" w:eastAsia="仿宋" w:cs="仿宋"/>
          <w:bCs/>
          <w:color w:val="000000" w:themeColor="text1"/>
          <w:kern w:val="0"/>
          <w:sz w:val="24"/>
          <w:szCs w:val="24"/>
          <w:highlight w:val="none"/>
          <w14:textFill>
            <w14:solidFill>
              <w14:schemeClr w14:val="tx1"/>
            </w14:solidFill>
          </w14:textFill>
        </w:rPr>
        <w:t>如合同有效期间因国家、省、市养老政策</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发生</w:t>
      </w:r>
      <w:r>
        <w:rPr>
          <w:rFonts w:hint="eastAsia" w:ascii="仿宋" w:hAnsi="仿宋" w:eastAsia="仿宋" w:cs="仿宋"/>
          <w:bCs/>
          <w:color w:val="000000" w:themeColor="text1"/>
          <w:kern w:val="0"/>
          <w:sz w:val="24"/>
          <w:szCs w:val="24"/>
          <w:highlight w:val="none"/>
          <w14:textFill>
            <w14:solidFill>
              <w14:schemeClr w14:val="tx1"/>
            </w14:solidFill>
          </w14:textFill>
        </w:rPr>
        <w:t>调整</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的，以实际调整后的文件为准。</w:t>
      </w:r>
    </w:p>
    <w:p w14:paraId="56234BAA">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1.6运行补助情况</w:t>
      </w:r>
    </w:p>
    <w:p w14:paraId="7B483580">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本服务内容价格实行基本运营补助和绩效考核奖励补助。基本运行补助标准为：托老园（街道级）、五星级、四星级、三星级及以下居家养老服务照料中心等级，每家每年运营补助分别为12万元、8万元、6万元、4万元，委托社会化管理并提供助餐服务的补助标准上浮30%。按优秀占10%、良好占30%、合格和不合格占60%划分。每家每年奖励补助标准为：优秀3万元、良好2万元、合格1万元。12个月考核未扣分的为优秀，10（含）个月未扣分且累计扣分未达10分及以上为良好。8（含）个月未扣分且累计扣分未达15分及以上为合格，其余为不合格。对于自行管理并提供助餐服务的达到良好以上的社区，给予补助标准上浮30%的补助。对开展连锁运营的运营机构，从第二家开始按照料中心家数每家每年增加补助5000元，由运营机构直接申请补助。</w:t>
      </w:r>
    </w:p>
    <w:p w14:paraId="700AE6F2">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1.7付款方式</w:t>
      </w:r>
    </w:p>
    <w:p w14:paraId="6C0BB8AC">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1.7.1区域型居家养老综合运营服务付款方式：</w:t>
      </w:r>
    </w:p>
    <w:p w14:paraId="04C75D85">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1.7.1.1上门服务：</w:t>
      </w:r>
    </w:p>
    <w:p w14:paraId="6365FFEC">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采购人和所服务的街社核实每月服务明细后由街社进行支付。</w:t>
      </w:r>
    </w:p>
    <w:p w14:paraId="57522A6D">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本项目每月按照实际服务时间进行结算。</w:t>
      </w:r>
    </w:p>
    <w:p w14:paraId="14771C31">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由供应商每月按实际发生的各项服务时间，凭供应商开具的正式发票和员工工资发放凭证复印件，向所服务的街道进行结算。</w:t>
      </w:r>
    </w:p>
    <w:p w14:paraId="4294CF0B">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如省市要求有变化，采购人要求更换资金结算支付方式的，需改用采购人要求的支付方式，具体以双方协商为准。</w:t>
      </w:r>
    </w:p>
    <w:p w14:paraId="625A87F4">
      <w:pPr>
        <w:pStyle w:val="21"/>
        <w:keepNext w:val="0"/>
        <w:keepLines w:val="0"/>
        <w:pageBreakBefore w:val="0"/>
        <w:widowControl w:val="0"/>
        <w:numPr>
          <w:ilvl w:val="-1"/>
          <w:numId w:val="0"/>
        </w:numPr>
        <w:kinsoku/>
        <w:wordWrap/>
        <w:overflowPunct/>
        <w:topLinePunct w:val="0"/>
        <w:autoSpaceDE/>
        <w:autoSpaceDN/>
        <w:bidi w:val="0"/>
        <w:snapToGrid/>
        <w:spacing w:line="500" w:lineRule="exact"/>
        <w:ind w:left="0" w:leftChars="0" w:firstLine="480" w:firstLineChars="200"/>
        <w:textAlignment w:val="auto"/>
        <w:rPr>
          <w:rFonts w:hint="default"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1.7.1.2点位运营相关补贴：根据实际运营情况，结合考核结果由供应商每月凭开具的正式发票与街道、社区进行结算。</w:t>
      </w:r>
    </w:p>
    <w:p w14:paraId="3E5A53E7">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（二）标项二：居家养老上门服务内容</w:t>
      </w:r>
    </w:p>
    <w:p w14:paraId="616637E3">
      <w:pPr>
        <w:keepNext w:val="0"/>
        <w:keepLines w:val="0"/>
        <w:pageBreakBefore w:val="0"/>
        <w:widowControl w:val="0"/>
        <w:kinsoku/>
        <w:wordWrap/>
        <w:overflowPunct/>
        <w:topLinePunct w:val="0"/>
        <w:autoSpaceDE/>
        <w:autoSpaceDN/>
        <w:bidi w:val="0"/>
        <w:adjustRightInd w:val="0"/>
        <w:spacing w:line="500" w:lineRule="exact"/>
        <w:ind w:firstLine="482"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2.1服务对象</w:t>
      </w:r>
    </w:p>
    <w:p w14:paraId="79F055DC">
      <w:pPr>
        <w:keepNext w:val="0"/>
        <w:keepLines w:val="0"/>
        <w:pageBreakBefore w:val="0"/>
        <w:widowControl w:val="0"/>
        <w:tabs>
          <w:tab w:val="left" w:pos="6050"/>
        </w:tabs>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2.1.1享受</w:t>
      </w:r>
      <w:r>
        <w:rPr>
          <w:rFonts w:hint="eastAsia" w:ascii="仿宋" w:hAnsi="仿宋" w:eastAsia="仿宋" w:cs="仿宋"/>
          <w:color w:val="000000" w:themeColor="text1"/>
          <w:sz w:val="24"/>
          <w:szCs w:val="24"/>
          <w:highlight w:val="none"/>
          <w14:textFill>
            <w14:solidFill>
              <w14:schemeClr w14:val="tx1"/>
            </w14:solidFill>
          </w14:textFill>
        </w:rPr>
        <w:t>养老服务补贴、养老护理补贴</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账户有重阳分的老年人</w:t>
      </w:r>
      <w:r>
        <w:rPr>
          <w:rFonts w:hint="eastAsia" w:ascii="仿宋" w:hAnsi="仿宋" w:eastAsia="仿宋" w:cs="仿宋"/>
          <w:color w:val="000000" w:themeColor="text1"/>
          <w:sz w:val="24"/>
          <w:szCs w:val="24"/>
          <w:highlight w:val="none"/>
          <w14:textFill>
            <w14:solidFill>
              <w14:schemeClr w14:val="tx1"/>
            </w14:solidFill>
          </w14:textFill>
        </w:rPr>
        <w:t>，采取电子积分</w:t>
      </w:r>
      <w:r>
        <w:rPr>
          <w:rFonts w:hint="eastAsia" w:ascii="仿宋" w:hAnsi="仿宋" w:eastAsia="仿宋" w:cs="仿宋"/>
          <w:color w:val="000000" w:themeColor="text1"/>
          <w:sz w:val="24"/>
          <w:szCs w:val="24"/>
          <w:highlight w:val="none"/>
          <w:lang w:eastAsia="zh-CN"/>
          <w14:textFill>
            <w14:solidFill>
              <w14:schemeClr w14:val="tx1"/>
            </w14:solidFill>
          </w14:textFill>
        </w:rPr>
        <w:t>（以下简称重阳分）</w:t>
      </w:r>
      <w:r>
        <w:rPr>
          <w:rFonts w:hint="eastAsia" w:ascii="仿宋" w:hAnsi="仿宋" w:eastAsia="仿宋" w:cs="仿宋"/>
          <w:color w:val="000000" w:themeColor="text1"/>
          <w:sz w:val="24"/>
          <w:szCs w:val="24"/>
          <w:highlight w:val="none"/>
          <w14:textFill>
            <w14:solidFill>
              <w14:schemeClr w14:val="tx1"/>
            </w14:solidFill>
          </w14:textFill>
        </w:rPr>
        <w:t>的形式按月发放至老年人本人的</w:t>
      </w:r>
      <w:r>
        <w:rPr>
          <w:rFonts w:hint="eastAsia" w:ascii="仿宋" w:hAnsi="仿宋" w:eastAsia="仿宋" w:cs="仿宋"/>
          <w:color w:val="000000" w:themeColor="text1"/>
          <w:sz w:val="24"/>
          <w:szCs w:val="24"/>
          <w:highlight w:val="none"/>
          <w:lang w:eastAsia="zh-CN"/>
          <w14:textFill>
            <w14:solidFill>
              <w14:schemeClr w14:val="tx1"/>
            </w14:solidFill>
          </w14:textFill>
        </w:rPr>
        <w:t>爱心卡</w:t>
      </w:r>
      <w:r>
        <w:rPr>
          <w:rFonts w:hint="eastAsia" w:ascii="仿宋" w:hAnsi="仿宋" w:eastAsia="仿宋" w:cs="仿宋"/>
          <w:color w:val="000000" w:themeColor="text1"/>
          <w:sz w:val="24"/>
          <w:szCs w:val="24"/>
          <w:highlight w:val="none"/>
          <w14:textFill>
            <w14:solidFill>
              <w14:schemeClr w14:val="tx1"/>
            </w14:solidFill>
          </w14:textFill>
        </w:rPr>
        <w:t>专用账户中，以服务给付的方式用于日常生活照料、照护服务范围内的消费结算。</w:t>
      </w:r>
    </w:p>
    <w:p w14:paraId="6BBB0A64">
      <w:pPr>
        <w:keepNext w:val="0"/>
        <w:keepLines w:val="0"/>
        <w:pageBreakBefore w:val="0"/>
        <w:widowControl w:val="0"/>
        <w:tabs>
          <w:tab w:val="left" w:pos="6050"/>
        </w:tabs>
        <w:kinsoku/>
        <w:wordWrap/>
        <w:overflowPunct/>
        <w:topLinePunct w:val="0"/>
        <w:autoSpaceDE/>
        <w:autoSpaceDN/>
        <w:bidi w:val="0"/>
        <w:adjustRightInd w:val="0"/>
        <w:spacing w:line="500" w:lineRule="exact"/>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b/>
          <w:bCs/>
          <w:color w:val="000000" w:themeColor="text1"/>
          <w:sz w:val="24"/>
          <w:szCs w:val="24"/>
          <w:highlight w:val="none"/>
          <w14:textFill>
            <w14:solidFill>
              <w14:schemeClr w14:val="tx1"/>
            </w14:solidFill>
          </w14:textFill>
        </w:rPr>
        <w:t>其他事项</w:t>
      </w:r>
    </w:p>
    <w:p w14:paraId="1F67368A">
      <w:pPr>
        <w:keepNext w:val="0"/>
        <w:keepLines w:val="0"/>
        <w:pageBreakBefore w:val="0"/>
        <w:widowControl w:val="0"/>
        <w:tabs>
          <w:tab w:val="left" w:pos="6050"/>
        </w:tabs>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2.2.1</w:t>
      </w:r>
      <w:r>
        <w:rPr>
          <w:rFonts w:hint="eastAsia" w:ascii="仿宋" w:hAnsi="仿宋" w:eastAsia="仿宋" w:cs="仿宋"/>
          <w:color w:val="000000" w:themeColor="text1"/>
          <w:sz w:val="24"/>
          <w:szCs w:val="24"/>
          <w:highlight w:val="none"/>
          <w14:textFill>
            <w14:solidFill>
              <w14:schemeClr w14:val="tx1"/>
            </w14:solidFill>
          </w14:textFill>
        </w:rPr>
        <w:t>人户分离的老年人，可由户籍地民政</w:t>
      </w:r>
      <w:r>
        <w:rPr>
          <w:rFonts w:hint="eastAsia" w:ascii="仿宋" w:hAnsi="仿宋" w:eastAsia="仿宋" w:cs="仿宋"/>
          <w:color w:val="000000" w:themeColor="text1"/>
          <w:sz w:val="24"/>
          <w:szCs w:val="24"/>
          <w:highlight w:val="none"/>
          <w:lang w:eastAsia="zh-CN"/>
          <w14:textFill>
            <w14:solidFill>
              <w14:schemeClr w14:val="tx1"/>
            </w14:solidFill>
          </w14:textFill>
        </w:rPr>
        <w:t>部门</w:t>
      </w:r>
      <w:r>
        <w:rPr>
          <w:rFonts w:hint="eastAsia" w:ascii="仿宋" w:hAnsi="仿宋" w:eastAsia="仿宋" w:cs="仿宋"/>
          <w:color w:val="000000" w:themeColor="text1"/>
          <w:sz w:val="24"/>
          <w:szCs w:val="24"/>
          <w:highlight w:val="none"/>
          <w14:textFill>
            <w14:solidFill>
              <w14:schemeClr w14:val="tx1"/>
            </w14:solidFill>
          </w14:textFill>
        </w:rPr>
        <w:t>委托居住地民政部门负责评估，</w:t>
      </w:r>
      <w:r>
        <w:rPr>
          <w:rFonts w:hint="eastAsia" w:ascii="仿宋" w:hAnsi="仿宋" w:eastAsia="仿宋" w:cs="仿宋"/>
          <w:color w:val="000000" w:themeColor="text1"/>
          <w:sz w:val="24"/>
          <w:szCs w:val="24"/>
          <w:highlight w:val="none"/>
          <w:lang w:eastAsia="zh-CN"/>
          <w14:textFill>
            <w14:solidFill>
              <w14:schemeClr w14:val="tx1"/>
            </w14:solidFill>
          </w14:textFill>
        </w:rPr>
        <w:t>重阳分</w:t>
      </w:r>
      <w:r>
        <w:rPr>
          <w:rFonts w:hint="eastAsia" w:ascii="仿宋" w:hAnsi="仿宋" w:eastAsia="仿宋" w:cs="仿宋"/>
          <w:color w:val="000000" w:themeColor="text1"/>
          <w:sz w:val="24"/>
          <w:szCs w:val="24"/>
          <w:highlight w:val="none"/>
          <w14:textFill>
            <w14:solidFill>
              <w14:schemeClr w14:val="tx1"/>
            </w14:solidFill>
          </w14:textFill>
        </w:rPr>
        <w:t>发放按照户籍地民政</w:t>
      </w:r>
      <w:r>
        <w:rPr>
          <w:rFonts w:hint="eastAsia" w:ascii="仿宋" w:hAnsi="仿宋" w:eastAsia="仿宋" w:cs="仿宋"/>
          <w:color w:val="000000" w:themeColor="text1"/>
          <w:sz w:val="24"/>
          <w:szCs w:val="24"/>
          <w:highlight w:val="none"/>
          <w:lang w:eastAsia="zh-CN"/>
          <w14:textFill>
            <w14:solidFill>
              <w14:schemeClr w14:val="tx1"/>
            </w14:solidFill>
          </w14:textFill>
        </w:rPr>
        <w:t>部门</w:t>
      </w:r>
      <w:r>
        <w:rPr>
          <w:rFonts w:hint="eastAsia" w:ascii="仿宋" w:hAnsi="仿宋" w:eastAsia="仿宋" w:cs="仿宋"/>
          <w:color w:val="000000" w:themeColor="text1"/>
          <w:sz w:val="24"/>
          <w:szCs w:val="24"/>
          <w:highlight w:val="none"/>
          <w14:textFill>
            <w14:solidFill>
              <w14:schemeClr w14:val="tx1"/>
            </w14:solidFill>
          </w14:textFill>
        </w:rPr>
        <w:t>相关规定执行。</w:t>
      </w:r>
    </w:p>
    <w:p w14:paraId="64C92A24">
      <w:pPr>
        <w:keepNext w:val="0"/>
        <w:keepLines w:val="0"/>
        <w:pageBreakBefore w:val="0"/>
        <w:widowControl w:val="0"/>
        <w:tabs>
          <w:tab w:val="left" w:pos="6050"/>
        </w:tabs>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2.2.2</w:t>
      </w:r>
      <w:r>
        <w:rPr>
          <w:rFonts w:hint="eastAsia" w:ascii="仿宋" w:hAnsi="仿宋" w:eastAsia="仿宋" w:cs="仿宋"/>
          <w:color w:val="000000" w:themeColor="text1"/>
          <w:sz w:val="24"/>
          <w:szCs w:val="24"/>
          <w:highlight w:val="none"/>
          <w14:textFill>
            <w14:solidFill>
              <w14:schemeClr w14:val="tx1"/>
            </w14:solidFill>
          </w14:textFill>
        </w:rPr>
        <w:t>按规定实施老年人能力评估，首次评估费用由区财政资金保障。老年人再次评估或对评估结果有异议且复核评估维持原结果的，评估费用由老人自理，可使用</w:t>
      </w:r>
      <w:r>
        <w:rPr>
          <w:rFonts w:hint="eastAsia" w:ascii="仿宋" w:hAnsi="仿宋" w:eastAsia="仿宋" w:cs="仿宋"/>
          <w:color w:val="000000" w:themeColor="text1"/>
          <w:sz w:val="24"/>
          <w:szCs w:val="24"/>
          <w:highlight w:val="none"/>
          <w:lang w:eastAsia="zh-CN"/>
          <w14:textFill>
            <w14:solidFill>
              <w14:schemeClr w14:val="tx1"/>
            </w14:solidFill>
          </w14:textFill>
        </w:rPr>
        <w:t>重阳分</w:t>
      </w:r>
      <w:r>
        <w:rPr>
          <w:rFonts w:hint="eastAsia" w:ascii="仿宋" w:hAnsi="仿宋" w:eastAsia="仿宋" w:cs="仿宋"/>
          <w:color w:val="000000" w:themeColor="text1"/>
          <w:sz w:val="24"/>
          <w:szCs w:val="24"/>
          <w:highlight w:val="none"/>
          <w14:textFill>
            <w14:solidFill>
              <w14:schemeClr w14:val="tx1"/>
            </w14:solidFill>
          </w14:textFill>
        </w:rPr>
        <w:t>抵扣。</w:t>
      </w:r>
    </w:p>
    <w:p w14:paraId="72C8A54D">
      <w:pPr>
        <w:keepNext w:val="0"/>
        <w:keepLines w:val="0"/>
        <w:pageBreakBefore w:val="0"/>
        <w:widowControl w:val="0"/>
        <w:tabs>
          <w:tab w:val="left" w:pos="6050"/>
        </w:tabs>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2.2.3</w:t>
      </w:r>
      <w:r>
        <w:rPr>
          <w:rFonts w:hint="eastAsia" w:ascii="仿宋" w:hAnsi="仿宋" w:eastAsia="仿宋" w:cs="仿宋"/>
          <w:color w:val="000000" w:themeColor="text1"/>
          <w:sz w:val="24"/>
          <w:szCs w:val="24"/>
          <w:highlight w:val="none"/>
          <w14:textFill>
            <w14:solidFill>
              <w14:schemeClr w14:val="tx1"/>
            </w14:solidFill>
          </w14:textFill>
        </w:rPr>
        <w:t>享受对象提供虚假材料或做虚假陈述经查实的，责令退回非法获取的津贴，并根据相关规定处理。</w:t>
      </w:r>
    </w:p>
    <w:p w14:paraId="6EEBA4D5">
      <w:pPr>
        <w:keepNext w:val="0"/>
        <w:keepLines w:val="0"/>
        <w:pageBreakBefore w:val="0"/>
        <w:widowControl w:val="0"/>
        <w:tabs>
          <w:tab w:val="left" w:pos="6050"/>
        </w:tabs>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2.2.4</w:t>
      </w:r>
      <w:r>
        <w:rPr>
          <w:rFonts w:hint="eastAsia" w:ascii="仿宋" w:hAnsi="仿宋" w:eastAsia="仿宋" w:cs="仿宋"/>
          <w:color w:val="000000" w:themeColor="text1"/>
          <w:sz w:val="24"/>
          <w:szCs w:val="24"/>
          <w:highlight w:val="none"/>
          <w14:textFill>
            <w14:solidFill>
              <w14:schemeClr w14:val="tx1"/>
            </w14:solidFill>
          </w14:textFill>
        </w:rPr>
        <w:t>老年人能力评估机构、</w:t>
      </w:r>
      <w:r>
        <w:rPr>
          <w:rFonts w:hint="eastAsia" w:ascii="仿宋" w:hAnsi="仿宋" w:eastAsia="仿宋" w:cs="仿宋"/>
          <w:color w:val="000000" w:themeColor="text1"/>
          <w:sz w:val="24"/>
          <w:szCs w:val="24"/>
          <w:highlight w:val="none"/>
          <w:lang w:eastAsia="zh-CN"/>
          <w14:textFill>
            <w14:solidFill>
              <w14:schemeClr w14:val="tx1"/>
            </w14:solidFill>
          </w14:textFill>
        </w:rPr>
        <w:t>中标人</w:t>
      </w:r>
      <w:r>
        <w:rPr>
          <w:rFonts w:hint="eastAsia" w:ascii="仿宋" w:hAnsi="仿宋" w:eastAsia="仿宋" w:cs="仿宋"/>
          <w:color w:val="000000" w:themeColor="text1"/>
          <w:sz w:val="24"/>
          <w:szCs w:val="24"/>
          <w:highlight w:val="none"/>
          <w14:textFill>
            <w14:solidFill>
              <w14:schemeClr w14:val="tx1"/>
            </w14:solidFill>
          </w14:textFill>
        </w:rPr>
        <w:t>和第三方运营监管机构（含满意度测评）应当进行相互回避，评估机构、</w:t>
      </w:r>
      <w:r>
        <w:rPr>
          <w:rFonts w:hint="eastAsia" w:ascii="仿宋" w:hAnsi="仿宋" w:eastAsia="仿宋" w:cs="仿宋"/>
          <w:color w:val="000000" w:themeColor="text1"/>
          <w:sz w:val="24"/>
          <w:szCs w:val="24"/>
          <w:highlight w:val="none"/>
          <w:lang w:eastAsia="zh-CN"/>
          <w14:textFill>
            <w14:solidFill>
              <w14:schemeClr w14:val="tx1"/>
            </w14:solidFill>
          </w14:textFill>
        </w:rPr>
        <w:t>中标人</w:t>
      </w:r>
      <w:r>
        <w:rPr>
          <w:rFonts w:hint="eastAsia" w:ascii="仿宋" w:hAnsi="仿宋" w:eastAsia="仿宋" w:cs="仿宋"/>
          <w:color w:val="000000" w:themeColor="text1"/>
          <w:sz w:val="24"/>
          <w:szCs w:val="24"/>
          <w:highlight w:val="none"/>
          <w14:textFill>
            <w14:solidFill>
              <w14:schemeClr w14:val="tx1"/>
            </w14:solidFill>
          </w14:textFill>
        </w:rPr>
        <w:t>和监管机构管理人不能为同一人或者不能存在直接控股、管理关系；同时回避直系亲属在同一行政区域从事养老服务的评估、监管、审核审批工作。</w:t>
      </w:r>
    </w:p>
    <w:p w14:paraId="2442E3D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bCs/>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2.3</w:t>
      </w:r>
      <w:r>
        <w:rPr>
          <w:rFonts w:hint="eastAsia" w:ascii="仿宋" w:hAnsi="仿宋" w:eastAsia="仿宋" w:cs="仿宋"/>
          <w:b/>
          <w:bCs/>
          <w:color w:val="000000" w:themeColor="text1"/>
          <w:sz w:val="24"/>
          <w:szCs w:val="24"/>
          <w:highlight w:val="none"/>
          <w:shd w:val="clear" w:color="auto" w:fill="auto"/>
          <w14:textFill>
            <w14:solidFill>
              <w14:schemeClr w14:val="tx1"/>
            </w14:solidFill>
          </w14:textFill>
        </w:rPr>
        <w:t>服务</w:t>
      </w: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人员</w:t>
      </w:r>
      <w:r>
        <w:rPr>
          <w:rFonts w:hint="eastAsia" w:ascii="仿宋" w:hAnsi="仿宋" w:eastAsia="仿宋" w:cs="仿宋"/>
          <w:b/>
          <w:bCs/>
          <w:color w:val="000000" w:themeColor="text1"/>
          <w:sz w:val="24"/>
          <w:szCs w:val="24"/>
          <w:highlight w:val="none"/>
          <w:shd w:val="clear" w:color="auto" w:fill="auto"/>
          <w14:textFill>
            <w14:solidFill>
              <w14:schemeClr w14:val="tx1"/>
            </w14:solidFill>
          </w14:textFill>
        </w:rPr>
        <w:t>要求</w:t>
      </w:r>
    </w:p>
    <w:p w14:paraId="4C5C12E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2.3.1</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基本要求</w:t>
      </w:r>
    </w:p>
    <w:p w14:paraId="740B6A7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（1）具备合法的劳动从业资格；</w:t>
      </w:r>
    </w:p>
    <w:p w14:paraId="68DC52A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（2）信守职业道德，遵纪守法，熟悉居家养老服务程序和规范要求；</w:t>
      </w:r>
    </w:p>
    <w:p w14:paraId="5FEBF7B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（3）具有符合岗位要求的文化程度、健康状况证明及语言表达能力</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55963E91">
      <w:pPr>
        <w:pStyle w:val="21"/>
        <w:snapToGrid/>
        <w:spacing w:line="500" w:lineRule="exact"/>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（4）项目应标服务人员与实际服务人员需保持一致，不得更换，否则按考核条款作出相应处罚。</w:t>
      </w:r>
    </w:p>
    <w:p w14:paraId="5D948F83">
      <w:pPr>
        <w:pStyle w:val="21"/>
        <w:snapToGrid/>
        <w:spacing w:line="500" w:lineRule="exact"/>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（5）服务人员数量要求：</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居家养老上门服务配备负责人1名，每个街道配备站长1人，同时需配备持证护理员需不少于30人，其中护理员须具备养老护理员职业技能等级证书五级及以上且人员年龄均不得超过60周岁。</w:t>
      </w:r>
    </w:p>
    <w:p w14:paraId="2672D1D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2.3.2</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管理人员</w:t>
      </w:r>
    </w:p>
    <w:p w14:paraId="57C854B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（1）了解国家和行业主管部门有关居家养老服务的法律、法规和规定；</w:t>
      </w:r>
    </w:p>
    <w:p w14:paraId="0E20050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（2）掌握企业管理、经营项目的有关专业知识及专业技术；</w:t>
      </w:r>
    </w:p>
    <w:p w14:paraId="02E8E78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（3）具有高中以上文化程度和一定年限的管理工作经历；</w:t>
      </w:r>
    </w:p>
    <w:p w14:paraId="01142FF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（4）每年至少参加1次以上管理培训活动。</w:t>
      </w:r>
    </w:p>
    <w:p w14:paraId="18D50A5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项目应标负责人与实际服务负责人需保持一致，不得更换。</w:t>
      </w:r>
    </w:p>
    <w:p w14:paraId="3C3B346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2.3.3</w:t>
      </w:r>
      <w:r>
        <w:rPr>
          <w:rFonts w:hint="eastAsia" w:ascii="仿宋" w:hAnsi="仿宋" w:eastAsia="仿宋" w:cs="仿宋"/>
          <w:color w:val="000000" w:themeColor="text1"/>
          <w:sz w:val="24"/>
          <w:szCs w:val="24"/>
          <w:highlight w:val="none"/>
          <w14:textFill>
            <w14:solidFill>
              <w14:schemeClr w14:val="tx1"/>
            </w14:solidFill>
          </w14:textFill>
        </w:rPr>
        <w:t>居家养老服务</w:t>
      </w:r>
      <w:r>
        <w:rPr>
          <w:rFonts w:hint="eastAsia" w:ascii="仿宋" w:hAnsi="仿宋" w:eastAsia="仿宋" w:cs="仿宋"/>
          <w:color w:val="000000" w:themeColor="text1"/>
          <w:sz w:val="24"/>
          <w:szCs w:val="24"/>
          <w:highlight w:val="none"/>
          <w:lang w:eastAsia="zh-CN"/>
          <w14:textFill>
            <w14:solidFill>
              <w14:schemeClr w14:val="tx1"/>
            </w14:solidFill>
          </w14:textFill>
        </w:rPr>
        <w:t>人</w:t>
      </w:r>
      <w:r>
        <w:rPr>
          <w:rFonts w:hint="eastAsia" w:ascii="仿宋" w:hAnsi="仿宋" w:eastAsia="仿宋" w:cs="仿宋"/>
          <w:color w:val="000000" w:themeColor="text1"/>
          <w:sz w:val="24"/>
          <w:szCs w:val="24"/>
          <w:highlight w:val="none"/>
          <w14:textFill>
            <w14:solidFill>
              <w14:schemeClr w14:val="tx1"/>
            </w14:solidFill>
          </w14:textFill>
        </w:rPr>
        <w:t>员</w:t>
      </w:r>
    </w:p>
    <w:p w14:paraId="7978AA1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（1）具备与服务内容相适应的岗位技能；</w:t>
      </w:r>
    </w:p>
    <w:p w14:paraId="02A102F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（2）年龄在18周岁以上、60周岁以下，初中以上文化程度；</w:t>
      </w:r>
    </w:p>
    <w:p w14:paraId="2891C1C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（3）无精神病史和各类传染病；</w:t>
      </w:r>
    </w:p>
    <w:p w14:paraId="5AD38C7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（4）每年在岗培训不少于10学时</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1D85711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（5）护理员上岗持证率100%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0CC7EFF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（6）所有服务员须配备智能手机上岗。</w:t>
      </w:r>
    </w:p>
    <w:p w14:paraId="2C334C1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2.3.4</w:t>
      </w:r>
      <w:r>
        <w:rPr>
          <w:rFonts w:hint="eastAsia" w:ascii="仿宋" w:hAnsi="仿宋" w:eastAsia="仿宋" w:cs="仿宋"/>
          <w:color w:val="000000" w:themeColor="text1"/>
          <w:sz w:val="24"/>
          <w:szCs w:val="24"/>
          <w:highlight w:val="none"/>
          <w14:textFill>
            <w14:solidFill>
              <w14:schemeClr w14:val="tx1"/>
            </w14:solidFill>
          </w14:textFill>
        </w:rPr>
        <w:t>行为规范</w:t>
      </w:r>
    </w:p>
    <w:p w14:paraId="5609A9E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（1）仪表仪容端庄、大方、整洁；</w:t>
      </w:r>
    </w:p>
    <w:p w14:paraId="1E41C65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（2）统一着装、配备工号牌；</w:t>
      </w:r>
    </w:p>
    <w:p w14:paraId="20621F8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（3）提倡使用普通话，语言文明、简洁、清晰；</w:t>
      </w:r>
    </w:p>
    <w:p w14:paraId="5E4FBD8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（4）主动服务，符合相应岗位的服务礼仪规范；</w:t>
      </w:r>
    </w:p>
    <w:p w14:paraId="34DD8D5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（5）尊老敬老，对老年人富有爱心。</w:t>
      </w:r>
    </w:p>
    <w:p w14:paraId="3BE10D95">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b/>
          <w:bCs/>
          <w:color w:val="000000" w:themeColor="text1"/>
          <w:sz w:val="24"/>
          <w:szCs w:val="24"/>
          <w:highlight w:val="none"/>
          <w14:textFill>
            <w14:solidFill>
              <w14:schemeClr w14:val="tx1"/>
            </w14:solidFill>
          </w14:textFill>
        </w:rPr>
        <w:t>服务规范</w:t>
      </w:r>
    </w:p>
    <w:p w14:paraId="1230EB5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2.4.1</w:t>
      </w:r>
      <w:r>
        <w:rPr>
          <w:rFonts w:hint="eastAsia" w:ascii="仿宋" w:hAnsi="仿宋" w:eastAsia="仿宋" w:cs="仿宋"/>
          <w:color w:val="000000" w:themeColor="text1"/>
          <w:sz w:val="24"/>
          <w:szCs w:val="24"/>
          <w:highlight w:val="none"/>
          <w14:textFill>
            <w14:solidFill>
              <w14:schemeClr w14:val="tx1"/>
            </w14:solidFill>
          </w14:textFill>
        </w:rPr>
        <w:t>基本要求</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eastAsia="zh-CN"/>
          <w14:textFill>
            <w14:solidFill>
              <w14:schemeClr w14:val="tx1"/>
            </w14:solidFill>
          </w14:textFill>
        </w:rPr>
        <w:t>老人</w:t>
      </w:r>
      <w:r>
        <w:rPr>
          <w:rFonts w:hint="eastAsia" w:ascii="仿宋" w:hAnsi="仿宋" w:eastAsia="仿宋" w:cs="仿宋"/>
          <w:color w:val="000000" w:themeColor="text1"/>
          <w:sz w:val="24"/>
          <w:szCs w:val="24"/>
          <w:highlight w:val="none"/>
          <w14:textFill>
            <w14:solidFill>
              <w14:schemeClr w14:val="tx1"/>
            </w14:solidFill>
          </w14:textFill>
        </w:rPr>
        <w:t>的需求，合理分工服务人员，制订服务计划，明确服务内容。</w:t>
      </w:r>
    </w:p>
    <w:p w14:paraId="0848BE6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与服务对象签订服务协议，签约率100%；</w:t>
      </w:r>
    </w:p>
    <w:p w14:paraId="1081F31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）制定上门</w:t>
      </w:r>
      <w:r>
        <w:rPr>
          <w:rFonts w:hint="eastAsia" w:ascii="仿宋" w:hAnsi="仿宋" w:eastAsia="仿宋" w:cs="仿宋"/>
          <w:color w:val="000000" w:themeColor="text1"/>
          <w:sz w:val="24"/>
          <w:szCs w:val="24"/>
          <w:highlight w:val="none"/>
          <w14:textFill>
            <w14:solidFill>
              <w14:schemeClr w14:val="tx1"/>
            </w14:solidFill>
          </w14:textFill>
        </w:rPr>
        <w:t>服务</w:t>
      </w:r>
      <w:r>
        <w:rPr>
          <w:rFonts w:hint="eastAsia" w:ascii="仿宋" w:hAnsi="仿宋" w:eastAsia="仿宋" w:cs="仿宋"/>
          <w:color w:val="000000" w:themeColor="text1"/>
          <w:sz w:val="24"/>
          <w:szCs w:val="24"/>
          <w:highlight w:val="none"/>
          <w:lang w:eastAsia="zh-CN"/>
          <w14:textFill>
            <w14:solidFill>
              <w14:schemeClr w14:val="tx1"/>
            </w14:solidFill>
          </w14:textFill>
        </w:rPr>
        <w:t>方案（含上门服务应急预案等）</w:t>
      </w:r>
      <w:r>
        <w:rPr>
          <w:rFonts w:hint="eastAsia" w:ascii="仿宋" w:hAnsi="仿宋" w:eastAsia="仿宋" w:cs="仿宋"/>
          <w:color w:val="000000" w:themeColor="text1"/>
          <w:sz w:val="24"/>
          <w:szCs w:val="24"/>
          <w:highlight w:val="none"/>
          <w14:textFill>
            <w14:solidFill>
              <w14:schemeClr w14:val="tx1"/>
            </w14:solidFill>
          </w14:textFill>
        </w:rPr>
        <w:t>；</w:t>
      </w:r>
    </w:p>
    <w:p w14:paraId="1FFBAF7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定期进行检查，并记录检查结果（包含内容、时间、地点、人员、落实情况等）；</w:t>
      </w:r>
    </w:p>
    <w:p w14:paraId="6AEB553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为老年人提供的服务完成率达100%，老年人或监护人满意率≧95%；</w:t>
      </w:r>
    </w:p>
    <w:p w14:paraId="7A1B132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2.4.2服务流程</w:t>
      </w:r>
    </w:p>
    <w:p w14:paraId="47F0F394">
      <w:pPr>
        <w:pStyle w:val="78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（1）供应商与所在服务的街道对接，根据街道提供的新增上门服务老人名单进行服务。首次上门，服务人员需与社区沟通、同时在社工陪同下上门。</w:t>
      </w:r>
    </w:p>
    <w:p w14:paraId="5127A4C1">
      <w:pPr>
        <w:pStyle w:val="21"/>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（2）本项目由采购人组织第三方监管单位通过杭州市“互联网+养老”平台进行监管，要求供应商严格按照采购人的服务流程及要求进行服务，实际服务时间以监管平台显示的时间为准。具体服务流程如下：</w:t>
      </w:r>
    </w:p>
    <w:p w14:paraId="44E826CF">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上门服务前的准备</w:t>
      </w:r>
    </w:p>
    <w:p w14:paraId="4278D66F">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（1）对老人基本状况有一个较深入的了解</w:t>
      </w:r>
    </w:p>
    <w:p w14:paraId="5046FC9B">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（2）通过电话与老人确认服务时间，了解老人的需求，确定每次服务的内容。</w:t>
      </w:r>
    </w:p>
    <w:p w14:paraId="1B0C725F">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（3）确定上门服务的服务人员</w:t>
      </w:r>
    </w:p>
    <w:p w14:paraId="62200004">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（4）服务人员准备上门服务</w:t>
      </w:r>
    </w:p>
    <w:p w14:paraId="7E6E1233">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上门服务的过程</w:t>
      </w:r>
    </w:p>
    <w:p w14:paraId="56302350">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（1）服务人员穿工作服、佩戴工作卡上门服务</w:t>
      </w:r>
    </w:p>
    <w:p w14:paraId="3C55B62E">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（2）轻敲三下门，等待服务对象或其家人开门。做自我介绍并说明来意。</w:t>
      </w:r>
    </w:p>
    <w:p w14:paraId="60B9D50E">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（3）确定服务内容和需要的服务时间；</w:t>
      </w:r>
    </w:p>
    <w:p w14:paraId="2FDF8E43">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（4）讲明需要用市民卡进行结算；</w:t>
      </w:r>
    </w:p>
    <w:p w14:paraId="7856B0BF">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（5）确定老人家中财物的摆放和数量；</w:t>
      </w:r>
    </w:p>
    <w:p w14:paraId="38874E5C">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（6）开展服务时需保持良好的服务态度，并保持微笑，使用敬语。</w:t>
      </w:r>
    </w:p>
    <w:p w14:paraId="0908483A">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（7）服务人员严格按照服务要求足时完成相应服务。</w:t>
      </w:r>
    </w:p>
    <w:p w14:paraId="4AD7DA95">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上门服务的结算</w:t>
      </w:r>
    </w:p>
    <w:p w14:paraId="10E845AE">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（1）请老人拿出市民卡；</w:t>
      </w:r>
    </w:p>
    <w:p w14:paraId="404936DB">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（2）POS机上操作结束服务，根据POS机所示服务时间及结算金额，向老人进行说明和核实；</w:t>
      </w:r>
    </w:p>
    <w:p w14:paraId="4158B17B">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（3）刷市民卡进行结算并打印小票交与老人或其家属；</w:t>
      </w:r>
    </w:p>
    <w:p w14:paraId="12384DD5">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（4）向老人或其家属说明和解释小票内容，提醒市民卡重阳分剩余分数；</w:t>
      </w:r>
    </w:p>
    <w:p w14:paraId="6D86A90E">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结束后请服务人员带好随身工具物品离开老人家里。</w:t>
      </w:r>
    </w:p>
    <w:p w14:paraId="611DBFA6">
      <w:pPr>
        <w:pStyle w:val="21"/>
        <w:keepNext w:val="0"/>
        <w:keepLines w:val="0"/>
        <w:pageBreakBefore w:val="0"/>
        <w:widowControl w:val="0"/>
        <w:kinsoku/>
        <w:wordWrap/>
        <w:overflowPunct/>
        <w:topLinePunct w:val="0"/>
        <w:autoSpaceDE/>
        <w:autoSpaceDN/>
        <w:bidi w:val="0"/>
        <w:adjustRightInd w:val="0"/>
        <w:snapToGrid/>
        <w:spacing w:line="500" w:lineRule="exact"/>
        <w:ind w:firstLineChars="200"/>
        <w:textAlignment w:val="auto"/>
        <w:rPr>
          <w:rFonts w:hint="eastAsia" w:ascii="仿宋" w:hAnsi="仿宋" w:eastAsia="仿宋" w:cs="仿宋"/>
          <w:b/>
          <w:bCs/>
          <w:color w:val="000000" w:themeColor="text1"/>
          <w:kern w:val="2"/>
          <w:sz w:val="24"/>
          <w:szCs w:val="24"/>
          <w:highlight w:val="none"/>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 xml:space="preserve">2.5 </w:t>
      </w: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服务内容</w:t>
      </w:r>
    </w:p>
    <w:tbl>
      <w:tblPr>
        <w:tblStyle w:val="49"/>
        <w:tblW w:w="9728"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1"/>
        <w:gridCol w:w="816"/>
        <w:gridCol w:w="1294"/>
        <w:gridCol w:w="2700"/>
        <w:gridCol w:w="1863"/>
        <w:gridCol w:w="1175"/>
        <w:gridCol w:w="1119"/>
      </w:tblGrid>
      <w:tr w14:paraId="43FF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0678E5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序号</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2DA9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服务</w:t>
            </w:r>
          </w:p>
          <w:p w14:paraId="7762D4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分类</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03AC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服务项目</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52169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highlight w:val="none"/>
                <w:u w:val="none"/>
                <w:lang w:val="en-US"/>
              </w:rPr>
            </w:pPr>
            <w:r>
              <w:rPr>
                <w:rFonts w:hint="eastAsia" w:ascii="仿宋" w:hAnsi="仿宋" w:eastAsia="仿宋" w:cs="仿宋"/>
                <w:b/>
                <w:bCs/>
                <w:i w:val="0"/>
                <w:iCs w:val="0"/>
                <w:color w:val="000000"/>
                <w:kern w:val="0"/>
                <w:sz w:val="24"/>
                <w:szCs w:val="24"/>
                <w:highlight w:val="none"/>
                <w:u w:val="none"/>
                <w:lang w:val="en-US" w:eastAsia="zh-CN"/>
              </w:rPr>
              <w:t>服务内容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7C37E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color w:val="000000"/>
                <w:sz w:val="24"/>
                <w:szCs w:val="24"/>
                <w:highlight w:val="none"/>
              </w:rPr>
              <w:t>指导价</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57DC5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最低服务时长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3C8F6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备注</w:t>
            </w:r>
          </w:p>
        </w:tc>
      </w:tr>
      <w:tr w14:paraId="11CA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11A4DA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235A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助餐</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DB125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送餐上门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3969B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根据老年人需要,将餐食送达老年人的家中或者其他指定地点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9E204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2重阳分</w:t>
            </w:r>
            <w:r>
              <w:rPr>
                <w:rFonts w:hint="eastAsia" w:ascii="仿宋" w:hAnsi="仿宋" w:eastAsia="仿宋" w:cs="仿宋"/>
                <w:color w:val="000000"/>
                <w:sz w:val="24"/>
                <w:szCs w:val="24"/>
                <w:highlight w:val="none"/>
              </w:rPr>
              <w:t>/次</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319E9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5A65D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25A7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58B7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7616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EAEC4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上门烹饪</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CF153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使用老人家中炊具进行食材清洗、菜肴烹调</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42DD7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0ECD5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474812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4093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11FA43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7D7E00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助浴</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80E84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上门洗浴</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BD0B8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服务人员携带专业助浴工具、借助老年人家庭洗浴环境和设备，为老年人提供居家洗浴服务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CE662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6D905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9AB99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71C3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79F3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0D3D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5C568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流动洗浴</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6C4DD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利用专门的可移动洗浴设施设备和专业的服务人员，协助老年人完成洗浴的过程</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4007B5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B3075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DF488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46183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0369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00F5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7EA54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擦洗身体</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00A88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用清洁工具擦拭身体</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1C0EE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B4A39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367EA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2870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2DBDD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38AB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助洁</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009C5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头部清洁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7056E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头部清洁（含洗脸、梳头、理发洗头、剃须、清理耳内耵聍等）</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0DC57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AAEDC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9B124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14EE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4886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3FA5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358D7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口腔清洁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34A8B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口腔清洁（含刷卡、漱口、义齿清洗等）</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82450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A8C93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4DB713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3C8F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7841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B7CB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7BE8A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手足清理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A1E2B9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泡脚、修剪趾甲等手足清理</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5465B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2D204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350C8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1123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7B83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36D1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878F7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排泄清理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AC4D6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为老人开展协助如厕、更换尿不湿等排泄物清理服务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29E7EA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33627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4D9E6D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781F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F639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7544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31DFC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床上清洁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1C9DC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为老年人提供更换床单被罩，床位清洁，擦拭整理等床上清洁</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4CCEE6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CB40A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6F9CD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3BCE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8ED6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D708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E2C86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洗涤服务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038A0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为老年人提供衣物、床上用品、窗帘等物品洗涤及晾晒服务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0405B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0A0CE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CBC8F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2F25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1C25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0786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4F15A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居室基础清洁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435FD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为老年人提供居室、卫生间、厨房、客厅等房间的日常清洁</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F6295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3AC28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6402C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7846E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B2E60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3EECB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助行</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99684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协助下床活动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5FD9E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协助老人下床活动</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6EA589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/次</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96BCA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85AD2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35CC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E7CA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B7B3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27317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外出陪同</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9ACB4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陪同老人前往相关地点，以提供陪伴和支持为主要目的的服务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496D31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1343E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2882D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4110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247B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E1278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D20D0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代办代购</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221DA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为老年人提供代购、代缴、代订、代为申请等相关服务（含交通费）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AEF32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6E46B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45B7F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2B77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F521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2544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000000" w:sz="4" w:space="0"/>
              <w:left w:val="single" w:color="000000" w:sz="4" w:space="0"/>
              <w:bottom w:val="single" w:color="auto" w:sz="4" w:space="0"/>
              <w:right w:val="single" w:color="000000" w:sz="4" w:space="0"/>
            </w:tcBorders>
            <w:noWrap w:val="0"/>
            <w:vAlign w:val="center"/>
          </w:tcPr>
          <w:p w14:paraId="084854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日常维修</w:t>
            </w:r>
          </w:p>
        </w:tc>
        <w:tc>
          <w:tcPr>
            <w:tcW w:w="2700" w:type="dxa"/>
            <w:tcBorders>
              <w:top w:val="single" w:color="000000" w:sz="4" w:space="0"/>
              <w:left w:val="single" w:color="000000" w:sz="4" w:space="0"/>
              <w:bottom w:val="single" w:color="auto" w:sz="4" w:space="0"/>
              <w:right w:val="single" w:color="000000" w:sz="4" w:space="0"/>
            </w:tcBorders>
            <w:noWrap w:val="0"/>
            <w:vAlign w:val="center"/>
          </w:tcPr>
          <w:p w14:paraId="0F9ACD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为有需求的老年人提供各类入户维修服务</w:t>
            </w:r>
          </w:p>
        </w:tc>
        <w:tc>
          <w:tcPr>
            <w:tcW w:w="1863" w:type="dxa"/>
            <w:tcBorders>
              <w:top w:val="single" w:color="000000" w:sz="4" w:space="0"/>
              <w:left w:val="single" w:color="000000" w:sz="4" w:space="0"/>
              <w:bottom w:val="single" w:color="auto" w:sz="4" w:space="0"/>
              <w:right w:val="single" w:color="000000" w:sz="4" w:space="0"/>
            </w:tcBorders>
            <w:noWrap w:val="0"/>
            <w:vAlign w:val="center"/>
          </w:tcPr>
          <w:p w14:paraId="234B87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35重阳分</w:t>
            </w:r>
            <w:r>
              <w:rPr>
                <w:rFonts w:hint="eastAsia" w:ascii="仿宋" w:hAnsi="仿宋" w:eastAsia="仿宋" w:cs="仿宋"/>
                <w:color w:val="000000"/>
                <w:sz w:val="24"/>
                <w:szCs w:val="24"/>
                <w:highlight w:val="none"/>
              </w:rPr>
              <w:t>/次</w:t>
            </w:r>
            <w:r>
              <w:rPr>
                <w:rFonts w:hint="eastAsia" w:ascii="仿宋" w:hAnsi="仿宋" w:eastAsia="仿宋" w:cs="仿宋"/>
                <w:color w:val="000000"/>
                <w:sz w:val="24"/>
                <w:szCs w:val="24"/>
                <w:highlight w:val="none"/>
                <w:lang w:eastAsia="zh-CN"/>
              </w:rPr>
              <w:t>（仅为上门</w:t>
            </w:r>
            <w:r>
              <w:rPr>
                <w:rFonts w:hint="eastAsia" w:ascii="仿宋" w:hAnsi="仿宋" w:eastAsia="仿宋" w:cs="仿宋"/>
                <w:color w:val="000000"/>
                <w:sz w:val="24"/>
                <w:szCs w:val="24"/>
                <w:highlight w:val="none"/>
                <w:lang w:val="en-US" w:eastAsia="zh-CN"/>
              </w:rPr>
              <w:t>费</w:t>
            </w:r>
            <w:r>
              <w:rPr>
                <w:rFonts w:hint="eastAsia" w:ascii="仿宋" w:hAnsi="仿宋" w:eastAsia="仿宋" w:cs="仿宋"/>
                <w:color w:val="000000"/>
                <w:sz w:val="24"/>
                <w:szCs w:val="24"/>
                <w:highlight w:val="none"/>
                <w:lang w:eastAsia="zh-CN"/>
              </w:rPr>
              <w:t>，不含材料费）</w:t>
            </w:r>
          </w:p>
        </w:tc>
        <w:tc>
          <w:tcPr>
            <w:tcW w:w="1175" w:type="dxa"/>
            <w:tcBorders>
              <w:top w:val="single" w:color="000000" w:sz="4" w:space="0"/>
              <w:left w:val="single" w:color="000000" w:sz="4" w:space="0"/>
              <w:bottom w:val="single" w:color="auto" w:sz="4" w:space="0"/>
              <w:right w:val="single" w:color="000000" w:sz="4" w:space="0"/>
            </w:tcBorders>
            <w:noWrap w:val="0"/>
            <w:vAlign w:val="center"/>
          </w:tcPr>
          <w:p w14:paraId="420F01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000000" w:sz="4" w:space="0"/>
              <w:left w:val="single" w:color="000000" w:sz="4" w:space="0"/>
              <w:bottom w:val="single" w:color="auto" w:sz="4" w:space="0"/>
              <w:right w:val="single" w:color="000000" w:sz="4" w:space="0"/>
            </w:tcBorders>
            <w:noWrap w:val="0"/>
            <w:vAlign w:val="center"/>
          </w:tcPr>
          <w:p w14:paraId="6CC681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14:paraId="0E12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14:paraId="028113D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44A9C82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2F760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精神慰藉</w:t>
            </w:r>
          </w:p>
        </w:tc>
        <w:tc>
          <w:tcPr>
            <w:tcW w:w="2700" w:type="dxa"/>
            <w:tcBorders>
              <w:top w:val="single" w:color="auto" w:sz="4" w:space="0"/>
              <w:left w:val="single" w:color="auto" w:sz="4" w:space="0"/>
              <w:bottom w:val="single" w:color="auto" w:sz="4" w:space="0"/>
              <w:right w:val="single" w:color="000000" w:sz="4" w:space="0"/>
            </w:tcBorders>
            <w:noWrap w:val="0"/>
            <w:vAlign w:val="center"/>
          </w:tcPr>
          <w:p w14:paraId="5EFCEA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为老年人提供心灵需求和情感状态的关注、支持和关怀</w:t>
            </w:r>
          </w:p>
        </w:tc>
        <w:tc>
          <w:tcPr>
            <w:tcW w:w="1863" w:type="dxa"/>
            <w:tcBorders>
              <w:top w:val="single" w:color="auto" w:sz="4" w:space="0"/>
              <w:left w:val="single" w:color="000000" w:sz="4" w:space="0"/>
              <w:bottom w:val="single" w:color="auto" w:sz="4" w:space="0"/>
              <w:right w:val="single" w:color="000000" w:sz="4" w:space="0"/>
            </w:tcBorders>
            <w:noWrap w:val="0"/>
            <w:vAlign w:val="center"/>
          </w:tcPr>
          <w:p w14:paraId="5B5CF2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105重阳分</w:t>
            </w:r>
            <w:r>
              <w:rPr>
                <w:rFonts w:hint="eastAsia" w:ascii="仿宋" w:hAnsi="仿宋" w:eastAsia="仿宋" w:cs="仿宋"/>
                <w:color w:val="000000"/>
                <w:sz w:val="24"/>
                <w:szCs w:val="24"/>
                <w:highlight w:val="none"/>
              </w:rPr>
              <w:t>/次</w:t>
            </w:r>
          </w:p>
        </w:tc>
        <w:tc>
          <w:tcPr>
            <w:tcW w:w="1175" w:type="dxa"/>
            <w:tcBorders>
              <w:top w:val="single" w:color="auto" w:sz="4" w:space="0"/>
              <w:left w:val="single" w:color="000000" w:sz="4" w:space="0"/>
              <w:bottom w:val="single" w:color="auto" w:sz="4" w:space="0"/>
              <w:right w:val="single" w:color="000000" w:sz="4" w:space="0"/>
            </w:tcBorders>
            <w:noWrap w:val="0"/>
            <w:vAlign w:val="center"/>
          </w:tcPr>
          <w:p w14:paraId="35D694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1小时</w:t>
            </w:r>
          </w:p>
        </w:tc>
        <w:tc>
          <w:tcPr>
            <w:tcW w:w="1119" w:type="dxa"/>
            <w:tcBorders>
              <w:top w:val="single" w:color="auto" w:sz="4" w:space="0"/>
              <w:left w:val="single" w:color="000000" w:sz="4" w:space="0"/>
              <w:bottom w:val="single" w:color="auto" w:sz="4" w:space="0"/>
              <w:right w:val="single" w:color="auto" w:sz="4" w:space="0"/>
            </w:tcBorders>
            <w:noWrap w:val="0"/>
            <w:vAlign w:val="center"/>
          </w:tcPr>
          <w:p w14:paraId="4EB17B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需持有心理咨询师证</w:t>
            </w:r>
          </w:p>
        </w:tc>
      </w:tr>
    </w:tbl>
    <w:p w14:paraId="55F8144E">
      <w:pPr>
        <w:keepNext w:val="0"/>
        <w:keepLines w:val="0"/>
        <w:pageBreakBefore w:val="0"/>
        <w:widowControl/>
        <w:numPr>
          <w:ilvl w:val="0"/>
          <w:numId w:val="0"/>
        </w:numPr>
        <w:kinsoku/>
        <w:wordWrap w:val="0"/>
        <w:topLinePunct/>
        <w:bidi w:val="0"/>
        <w:adjustRightInd w:val="0"/>
        <w:snapToGrid/>
        <w:spacing w:line="440" w:lineRule="exact"/>
        <w:ind w:firstLine="480" w:firstLineChars="200"/>
        <w:textAlignment w:val="baseline"/>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注：</w:t>
      </w:r>
      <w:r>
        <w:rPr>
          <w:rFonts w:hint="eastAsia" w:ascii="仿宋" w:hAnsi="仿宋" w:eastAsia="仿宋" w:cs="仿宋"/>
          <w:bCs/>
          <w:color w:val="000000" w:themeColor="text1"/>
          <w:kern w:val="0"/>
          <w:sz w:val="24"/>
          <w:szCs w:val="24"/>
          <w:highlight w:val="none"/>
          <w14:textFill>
            <w14:solidFill>
              <w14:schemeClr w14:val="tx1"/>
            </w14:solidFill>
          </w14:textFill>
        </w:rPr>
        <w:t>如合同有效期间因国家、省、市养老政策</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发生</w:t>
      </w:r>
      <w:r>
        <w:rPr>
          <w:rFonts w:hint="eastAsia" w:ascii="仿宋" w:hAnsi="仿宋" w:eastAsia="仿宋" w:cs="仿宋"/>
          <w:bCs/>
          <w:color w:val="000000" w:themeColor="text1"/>
          <w:kern w:val="0"/>
          <w:sz w:val="24"/>
          <w:szCs w:val="24"/>
          <w:highlight w:val="none"/>
          <w14:textFill>
            <w14:solidFill>
              <w14:schemeClr w14:val="tx1"/>
            </w14:solidFill>
          </w14:textFill>
        </w:rPr>
        <w:t>调整</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的，以实际调整后的文件为准。</w:t>
      </w:r>
    </w:p>
    <w:p w14:paraId="0E2CA1EA">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2" w:firstLineChars="200"/>
        <w:textAlignment w:val="auto"/>
        <w:rPr>
          <w:rFonts w:hint="default"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snapToGrid/>
          <w:color w:val="000000" w:themeColor="text1"/>
          <w:kern w:val="2"/>
          <w:sz w:val="24"/>
          <w:szCs w:val="24"/>
          <w:highlight w:val="none"/>
          <w:lang w:val="en-US" w:eastAsia="zh-CN" w:bidi="ar-SA"/>
          <w14:textFill>
            <w14:solidFill>
              <w14:schemeClr w14:val="tx1"/>
            </w14:solidFill>
          </w14:textFill>
        </w:rPr>
        <w:t>2.6服务价格</w:t>
      </w:r>
    </w:p>
    <w:p w14:paraId="19092D2C">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2.6.1本服务内容价格按照固定单价进行报价，固定单价为35元/小时，固定单价包括实施该项目的所有人工费、开展日常工作所必需的行政办公费用、税费、利润、招标代理费等全部费用。固定单价不区分服务内容，按照服务时间的合计计费。固定单价在整个合同执行期间不调整。（合同期如上级部门发生价格调整情况则以上级部门调整后的金额进行结算）</w:t>
      </w:r>
    </w:p>
    <w:p w14:paraId="1E17F9FE">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2.6.2本项目要求供应商给居家养老服务员购买意外伤害保险，费用已经包含在固定单价内。</w:t>
      </w:r>
    </w:p>
    <w:p w14:paraId="317231A5">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2.7付款方式</w:t>
      </w:r>
    </w:p>
    <w:p w14:paraId="07E68EAF">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2.7.1采购人和所服务的街社核实每月服务明细后由街社进行支付。</w:t>
      </w:r>
    </w:p>
    <w:p w14:paraId="27840EB5">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2.7.2本项目每月按照实际服务时间进行结算。</w:t>
      </w:r>
    </w:p>
    <w:p w14:paraId="6C58F55C">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2.7.3由供应商每月按实际发生的各项服务时间，凭供应商开具的正式发票和员工工资发放凭证复印件，向所服务的街道进行结算。</w:t>
      </w:r>
    </w:p>
    <w:p w14:paraId="25FC056E">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2.7.4如省市要求有变化，采购人要求更换资金结算支付方式的，需改用采购人要求的支付方式，具体以双方协商为准。</w:t>
      </w:r>
    </w:p>
    <w:p w14:paraId="6AD2C15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二、</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供应商要求</w:t>
      </w:r>
    </w:p>
    <w:p w14:paraId="4518ACA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（1）供应商应为依法设立并续存，具有相应服务团队且年检合格的专业养老服务机构，包括依法登记成立的养老服务企业、养老服务社会组织；</w:t>
      </w:r>
    </w:p>
    <w:p w14:paraId="74ED2B82">
      <w:pPr>
        <w:pStyle w:val="22"/>
        <w:pageBreakBefore w:val="0"/>
        <w:kinsoku/>
        <w:wordWrap/>
        <w:overflowPunct/>
        <w:topLinePunct w:val="0"/>
        <w:autoSpaceDE/>
        <w:autoSpaceDN/>
        <w:bidi w:val="0"/>
        <w:spacing w:line="500" w:lineRule="exact"/>
        <w:ind w:firstLine="480"/>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（2）应具有与其业务范围相适应固定的场地以及相应设施设备。</w:t>
      </w:r>
    </w:p>
    <w:p w14:paraId="6DB0AF1F">
      <w:pPr>
        <w:pStyle w:val="22"/>
        <w:pageBreakBefore w:val="0"/>
        <w:kinsoku/>
        <w:wordWrap/>
        <w:overflowPunct/>
        <w:topLinePunct w:val="0"/>
        <w:autoSpaceDE/>
        <w:autoSpaceDN/>
        <w:bidi w:val="0"/>
        <w:spacing w:line="500" w:lineRule="exact"/>
        <w:ind w:firstLine="480"/>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三、考核机制</w:t>
      </w:r>
    </w:p>
    <w:p w14:paraId="1B16B6EE">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本项目服务期两年，具体起止时间在合同中约定。合同一年一签，服务期内实行月度考核。服务期内供应商月度考核分出现两次85分（不含）以下的或满足“清退机制”条件之一的，采购人有权随时与供应商暂停服务终止合同，因合同终止对采购人造成的损失由供应商自行承担。</w:t>
      </w:r>
    </w:p>
    <w:p w14:paraId="58F5ED82">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（1）考核细则</w:t>
      </w:r>
    </w:p>
    <w:p w14:paraId="2D6DAD95">
      <w:pPr>
        <w:pStyle w:val="78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服务期内，采购人每月对供应商进行考核（合同签订后第一月度考核细则见下表，后续由采购人按服务情况不定期调整次月考核细则）。服务期内供应商月度考核分出现90分（不含）以下，月度考核每扣1分罚款1000元，由采购人从待付款项中一次性扣除，如待付款项不足支付考核罚款，供应商应当在知晓具体金额后10日内补足罚款。</w:t>
      </w:r>
    </w:p>
    <w:tbl>
      <w:tblPr>
        <w:tblStyle w:val="49"/>
        <w:tblW w:w="9051" w:type="dxa"/>
        <w:jc w:val="center"/>
        <w:tblLayout w:type="fixed"/>
        <w:tblCellMar>
          <w:top w:w="0" w:type="dxa"/>
          <w:left w:w="108" w:type="dxa"/>
          <w:bottom w:w="0" w:type="dxa"/>
          <w:right w:w="108" w:type="dxa"/>
        </w:tblCellMar>
      </w:tblPr>
      <w:tblGrid>
        <w:gridCol w:w="689"/>
        <w:gridCol w:w="487"/>
        <w:gridCol w:w="4692"/>
        <w:gridCol w:w="1621"/>
        <w:gridCol w:w="675"/>
        <w:gridCol w:w="887"/>
      </w:tblGrid>
      <w:tr w14:paraId="091E3122">
        <w:tblPrEx>
          <w:tblCellMar>
            <w:top w:w="0" w:type="dxa"/>
            <w:left w:w="108" w:type="dxa"/>
            <w:bottom w:w="0" w:type="dxa"/>
            <w:right w:w="108" w:type="dxa"/>
          </w:tblCellMar>
        </w:tblPrEx>
        <w:trPr>
          <w:trHeight w:val="186" w:hRule="atLeast"/>
          <w:jc w:val="center"/>
        </w:trPr>
        <w:tc>
          <w:tcPr>
            <w:tcW w:w="9051" w:type="dxa"/>
            <w:gridSpan w:val="6"/>
            <w:tcBorders>
              <w:top w:val="single" w:color="auto" w:sz="4" w:space="0"/>
              <w:left w:val="single" w:color="auto" w:sz="4" w:space="0"/>
              <w:bottom w:val="single" w:color="auto" w:sz="4" w:space="0"/>
              <w:right w:val="single" w:color="auto" w:sz="4" w:space="0"/>
            </w:tcBorders>
            <w:noWrap w:val="0"/>
            <w:vAlign w:val="center"/>
          </w:tcPr>
          <w:p w14:paraId="3C0E57E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考核细则</w:t>
            </w:r>
          </w:p>
        </w:tc>
      </w:tr>
      <w:tr w14:paraId="5179C769">
        <w:tblPrEx>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2F400BA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评分项目</w:t>
            </w:r>
          </w:p>
        </w:tc>
        <w:tc>
          <w:tcPr>
            <w:tcW w:w="5179" w:type="dxa"/>
            <w:gridSpan w:val="2"/>
            <w:tcBorders>
              <w:top w:val="single" w:color="auto" w:sz="4" w:space="0"/>
              <w:left w:val="single" w:color="auto" w:sz="4" w:space="0"/>
              <w:bottom w:val="single" w:color="auto" w:sz="4" w:space="0"/>
              <w:right w:val="single" w:color="auto" w:sz="4" w:space="0"/>
            </w:tcBorders>
            <w:noWrap w:val="0"/>
            <w:vAlign w:val="center"/>
          </w:tcPr>
          <w:p w14:paraId="1635D3B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000000" w:themeColor="text1"/>
                <w:kern w:val="2"/>
                <w:sz w:val="20"/>
                <w:szCs w:val="20"/>
                <w:highlight w:val="none"/>
                <w:u w:val="none"/>
                <w:shd w:val="clear" w:color="auto" w:fill="auto"/>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具体内容</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187489F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分值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2122DB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扣分</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46411E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扣分点</w:t>
            </w:r>
          </w:p>
        </w:tc>
      </w:tr>
      <w:tr w14:paraId="25EBF6DB">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48283C1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服务内容</w:t>
            </w:r>
          </w:p>
          <w:p w14:paraId="421E5A5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38D389E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3FD6063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首次上门未按要求与接受服务的老年人或其代理人签订具有法律效力的服务协议并发放服务卡（内容包括但不限于老人名称、补贴金额、服务内容、点单方式等），或未补充每月新增。（需提供协议复印件）</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284D4C7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548A92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4A18EA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681D827">
        <w:tblPrEx>
          <w:tblCellMar>
            <w:top w:w="0" w:type="dxa"/>
            <w:left w:w="108" w:type="dxa"/>
            <w:bottom w:w="0" w:type="dxa"/>
            <w:right w:w="108" w:type="dxa"/>
          </w:tblCellMar>
        </w:tblPrEx>
        <w:trPr>
          <w:trHeight w:val="69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A4C5B5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6BC0F8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4CD60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对享受政府购买服务的居家养老服务对象提供服务时服务人员未携带能正常使用的POS机上门为服务对象服务或未全程电子化管理。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E27C4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C8BAC30">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121DDE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C0CED83">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DFE3CB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92C0DF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49437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供应商未按照招投标文件及服务协议进行服务。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414F2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3B8F75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4A93255">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8BEB42B">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08D5624">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0016011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ED65B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上门服务前未与老人提前预约时间。服务结束后未及时结算。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5ADB1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051D168">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EC9B5A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82D9360">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1EDA38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ACCECA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0A9A4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服务开始与结束未向老人讲明和解释服务全过程，未足时按采购人服务要求进行服务，服务结束后未与老人沟通服务满意度或老人的服务满意度少于100分。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6D741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8CD952F">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AD15B4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260D496">
        <w:tblPrEx>
          <w:tblCellMar>
            <w:top w:w="0" w:type="dxa"/>
            <w:left w:w="108" w:type="dxa"/>
            <w:bottom w:w="0" w:type="dxa"/>
            <w:right w:w="108" w:type="dxa"/>
          </w:tblCellMar>
        </w:tblPrEx>
        <w:trPr>
          <w:trHeight w:val="300" w:hRule="atLeast"/>
          <w:jc w:val="center"/>
        </w:trPr>
        <w:tc>
          <w:tcPr>
            <w:tcW w:w="689" w:type="dxa"/>
            <w:vMerge w:val="restart"/>
            <w:tcBorders>
              <w:top w:val="single" w:color="auto" w:sz="4" w:space="0"/>
              <w:left w:val="single" w:color="auto" w:sz="4" w:space="0"/>
              <w:right w:val="single" w:color="auto" w:sz="4" w:space="0"/>
            </w:tcBorders>
            <w:noWrap w:val="0"/>
            <w:vAlign w:val="center"/>
          </w:tcPr>
          <w:p w14:paraId="5BC6026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w:t>
            </w:r>
          </w:p>
          <w:p w14:paraId="5A59722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4C8A2B3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FCE4C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服务人员不具有合法的劳动从业资格或服务期内年龄低于60周岁。（需提供服务人员身份证、意外险、健康证、劳动合同/劳务协议、上岗证或者职业技能培训证等文件的复印件）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C0CCC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213D511">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BE5FD1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0C9B62F">
        <w:tblPrEx>
          <w:tblCellMar>
            <w:top w:w="0" w:type="dxa"/>
            <w:left w:w="108" w:type="dxa"/>
            <w:bottom w:w="0" w:type="dxa"/>
            <w:right w:w="108" w:type="dxa"/>
          </w:tblCellMar>
        </w:tblPrEx>
        <w:trPr>
          <w:trHeight w:val="300" w:hRule="atLeast"/>
          <w:jc w:val="center"/>
        </w:trPr>
        <w:tc>
          <w:tcPr>
            <w:tcW w:w="689" w:type="dxa"/>
            <w:vMerge w:val="continue"/>
            <w:tcBorders>
              <w:left w:val="single" w:color="auto" w:sz="4" w:space="0"/>
              <w:right w:val="single" w:color="auto" w:sz="4" w:space="0"/>
            </w:tcBorders>
            <w:noWrap w:val="0"/>
            <w:vAlign w:val="center"/>
          </w:tcPr>
          <w:p w14:paraId="42E965B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85D892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316DF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供应商每季度未组织至少一次的服务人员培训，包括技能、礼仪、奖惩等内容。（提供相关培训内容、签到表、照片、活动记录表等台账资料）</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7FDF1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374B654">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E8CB315">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14800C4">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5AE1484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0E4CDD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CEC0B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服务人员未统一着装、佩戴工牌。</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8EE0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573AE9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648B1DA">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D6D0288">
        <w:tblPrEx>
          <w:tblCellMar>
            <w:top w:w="0" w:type="dxa"/>
            <w:left w:w="108" w:type="dxa"/>
            <w:bottom w:w="0" w:type="dxa"/>
            <w:right w:w="108" w:type="dxa"/>
          </w:tblCellMar>
        </w:tblPrEx>
        <w:trPr>
          <w:trHeight w:val="90" w:hRule="atLeast"/>
          <w:jc w:val="center"/>
        </w:trPr>
        <w:tc>
          <w:tcPr>
            <w:tcW w:w="689" w:type="dxa"/>
            <w:vMerge w:val="continue"/>
            <w:tcBorders>
              <w:left w:val="single" w:color="auto" w:sz="4" w:space="0"/>
              <w:right w:val="single" w:color="auto" w:sz="4" w:space="0"/>
            </w:tcBorders>
            <w:noWrap w:val="0"/>
            <w:vAlign w:val="center"/>
          </w:tcPr>
          <w:p w14:paraId="762E8FE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90DA14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1B9F4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服务中未文明操作、礼貌待人、主动服务、尊老敬老。</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0FF9F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0E6E2B4">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B55AADA">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6F74920">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68E1341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0B88B3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A9BA1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服务人员平台信息</w:t>
            </w: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未及时更新或不符</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2AD5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7AC1B5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E5C578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759C367">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55EE6AB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02F68D5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EB2EA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服务响应不及时</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：老人主动预约服务，未按承诺的时间联系老人并确认好具体上门服务的时间的。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CD2A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73C58CC">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E254EE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658E1078">
        <w:tblPrEx>
          <w:tblCellMar>
            <w:top w:w="0" w:type="dxa"/>
            <w:left w:w="108" w:type="dxa"/>
            <w:bottom w:w="0" w:type="dxa"/>
            <w:right w:w="108" w:type="dxa"/>
          </w:tblCellMar>
        </w:tblPrEx>
        <w:trPr>
          <w:trHeight w:val="90" w:hRule="atLeast"/>
          <w:jc w:val="center"/>
        </w:trPr>
        <w:tc>
          <w:tcPr>
            <w:tcW w:w="689" w:type="dxa"/>
            <w:vMerge w:val="continue"/>
            <w:tcBorders>
              <w:left w:val="single" w:color="auto" w:sz="4" w:space="0"/>
              <w:right w:val="single" w:color="auto" w:sz="4" w:space="0"/>
            </w:tcBorders>
            <w:noWrap w:val="0"/>
            <w:vAlign w:val="center"/>
          </w:tcPr>
          <w:p w14:paraId="6B3492F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558F93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15420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服务人员或项目负责人平台信息与服务人员或项目负责人实际信息不一致。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8955A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A5F126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2168CB1">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68F4955D">
        <w:tblPrEx>
          <w:tblCellMar>
            <w:top w:w="0" w:type="dxa"/>
            <w:left w:w="108" w:type="dxa"/>
            <w:bottom w:w="0" w:type="dxa"/>
            <w:right w:w="108" w:type="dxa"/>
          </w:tblCellMar>
        </w:tblPrEx>
        <w:trPr>
          <w:trHeight w:val="440" w:hRule="atLeast"/>
          <w:jc w:val="center"/>
        </w:trPr>
        <w:tc>
          <w:tcPr>
            <w:tcW w:w="689" w:type="dxa"/>
            <w:vMerge w:val="continue"/>
            <w:tcBorders>
              <w:left w:val="single" w:color="auto" w:sz="4" w:space="0"/>
              <w:right w:val="single" w:color="auto" w:sz="4" w:space="0"/>
            </w:tcBorders>
            <w:noWrap w:val="0"/>
            <w:vAlign w:val="center"/>
          </w:tcPr>
          <w:p w14:paraId="153E68F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00D436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6556F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供应商更换项目负责人或项目负责人与实际不一致的。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1F851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7487EC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C213992">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6E53518">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5253990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D9DEB5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A2A7E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供应商更换服务人员或服务人员与实际不一致的。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4195B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B28025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472F92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8475F56">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3EFF264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9D2683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F3E5C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服务人员未按照标段人数配备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3395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825F20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0BBA8F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D899B7D">
        <w:tblPrEx>
          <w:tblCellMar>
            <w:top w:w="0" w:type="dxa"/>
            <w:left w:w="108" w:type="dxa"/>
            <w:bottom w:w="0" w:type="dxa"/>
            <w:right w:w="108" w:type="dxa"/>
          </w:tblCellMar>
        </w:tblPrEx>
        <w:trPr>
          <w:trHeight w:val="47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07D4D35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服务质量考核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4A35035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56918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上报服务工单的服务时间、服务内容与实际服务时间、服务内容不一致。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4BC9A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F1B189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CC509D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10C557C">
        <w:tblPrEx>
          <w:tblCellMar>
            <w:top w:w="0" w:type="dxa"/>
            <w:left w:w="108" w:type="dxa"/>
            <w:bottom w:w="0" w:type="dxa"/>
            <w:right w:w="108" w:type="dxa"/>
          </w:tblCellMar>
        </w:tblPrEx>
        <w:trPr>
          <w:trHeight w:val="4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36911C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68D3DC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6DBBF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服务人员入户后未经老人允许就开始服务，或上一单服务未结束就进入下一单服务的。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ECDC9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B4BFB1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97E505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77EDAE1">
        <w:tblPrEx>
          <w:tblCellMar>
            <w:top w:w="0" w:type="dxa"/>
            <w:left w:w="108" w:type="dxa"/>
            <w:bottom w:w="0" w:type="dxa"/>
            <w:right w:w="108" w:type="dxa"/>
          </w:tblCellMar>
        </w:tblPrEx>
        <w:trPr>
          <w:trHeight w:val="6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70C5439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8C0E67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46554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对两单间隔时间异常（如跨社区、服务订单无间隔时间或间隔过短情况）或项目重叠的无法提供相应证明的。</w:t>
            </w: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（两单间隔时间不少于20分钟；两单支付时间不少于60分钟）</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7F286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0.3分/次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B3BFE3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8EBC42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1F8B643">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EF5E1E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9DB680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4A43C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网络或电话方式收到老人投诉或负面舆情，由</w:t>
            </w:r>
            <w:r>
              <w:rPr>
                <w:rFonts w:hint="eastAsia" w:ascii="仿宋" w:hAnsi="仿宋" w:eastAsia="仿宋" w:cs="仿宋"/>
                <w:color w:val="000000" w:themeColor="text1"/>
                <w:spacing w:val="0"/>
                <w:kern w:val="0"/>
                <w:sz w:val="20"/>
                <w:szCs w:val="20"/>
                <w:highlight w:val="none"/>
                <w:u w:val="none"/>
                <w:lang w:val="en-US" w:eastAsia="zh-CN" w:bidi="ar"/>
                <w14:textFill>
                  <w14:solidFill>
                    <w14:schemeClr w14:val="tx1"/>
                  </w14:solidFill>
                </w14:textFill>
              </w:rPr>
              <w:t>第三方监管单位</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入户进行核实，核实为有效投诉的。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47D9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98F692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26CFA9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B8950C8">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747913B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E6D8AB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9BF7B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发生重大责任事故和违法违纪行为等事件的。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F1450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E89540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91C4D6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69BE24E">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AD45CB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1D92FD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52F2B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未及时结算或隔日结算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4C56B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23A186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AD0D39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4C2C821">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C2746A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C24DFF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w:t>
            </w:r>
          </w:p>
        </w:tc>
        <w:tc>
          <w:tcPr>
            <w:tcW w:w="46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CC21EB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服务满意度（由第三方测评单位抽取名单，向老人、家属、社区、街道进行满意度回访。并将相关情况及时反馈街道、社区，由街道、社区及时作出后续处理）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8DB57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&lt;80%  3分/次</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03AF21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vMerge w:val="restart"/>
            <w:tcBorders>
              <w:top w:val="single" w:color="auto" w:sz="4" w:space="0"/>
              <w:left w:val="single" w:color="auto" w:sz="4" w:space="0"/>
              <w:bottom w:val="single" w:color="auto" w:sz="4" w:space="0"/>
              <w:right w:val="single" w:color="auto" w:sz="4" w:space="0"/>
            </w:tcBorders>
            <w:noWrap w:val="0"/>
            <w:vAlign w:val="center"/>
          </w:tcPr>
          <w:p w14:paraId="3F96F8D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6ED9DDE0">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5EF6F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029580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71A228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E8F07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80-89% 2分/次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D5E1E9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43786FF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62D679E8">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319C6B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98F1F5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2959BB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341F2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90-95% 1分/次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5C9755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554A794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CD5D08E">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08534C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1433F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411CE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高龄普惠人群占每月服务老人比例不达标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87EC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DE55DF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B1110D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37BB515">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D47DA7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D24DB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51679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1小时单量占每月服务单量比例不达标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93120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F97239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E10669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4B9359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019EBB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09B33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70401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未按标准服务，协助排查过程中出现的自己拿市民卡、带走老人市民卡、服务不足时、中途离开等行为</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250E0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64AAF8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2CC135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ABEA46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83CE5D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30BA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8088B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非不可抗力原因未开展服务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0F93D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D42581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5A0D4B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5508ABD">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52C682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513D3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73EBD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服务人员每月服务时长超过200小时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7A3F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F88BC2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0A8EA3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E7B43FA">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066BD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FBA18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A8EB5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市局回访服务人员未及时接听电话</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86AB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0.1分/个</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761E57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F6BBB4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6F940D2">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C08987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EAA50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B28F8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市局回访服务人员未开展服务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8AF54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DB702D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F00C92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B93FFBF">
        <w:tblPrEx>
          <w:tblCellMar>
            <w:top w:w="0" w:type="dxa"/>
            <w:left w:w="108" w:type="dxa"/>
            <w:bottom w:w="0" w:type="dxa"/>
            <w:right w:w="108" w:type="dxa"/>
          </w:tblCellMar>
        </w:tblPrEx>
        <w:trPr>
          <w:trHeight w:val="34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1B03312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服务完成情况</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8ABA62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1A5D7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未在每月25日前完成老人信息变动情况（包括老人及其监护人地址电话更新、去世老人、跨区变动、拒单老人）的上报。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66F6B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43952F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594851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8DA3462">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79465A66">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97C6C2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F4051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未在每月提交1篇信息稿或专报。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3AC3D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05697F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0A9EED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A78FB0A">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60A1CF3">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C63A22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8112F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每年信息稿或专报被区级及以上媒体（含新媒体、纸媒等）录用量少于1篇的。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F7D06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C897D4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44FB67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3B37A62">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366291A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eastAsia="zh-CN"/>
                <w14:textFill>
                  <w14:solidFill>
                    <w14:schemeClr w14:val="tx1"/>
                  </w14:solidFill>
                </w14:textFill>
              </w:rPr>
              <w:t>加分项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3F3CDE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27E7A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服务特色与创新（须经民政局认定且符合要求的特色服务）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72E9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F03CEB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9E716E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671E41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6B4AAA3">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3C2B8F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436E9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服务出色，获得老人或家属称赞的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4E1B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B98734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3612F4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27AC753">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E128305">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976977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4602F32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为老服务公益性活动</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6BD76D0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3F003D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033C4D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67F4224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24D7393">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5AEA73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4BF9A35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遇到突发情况，紧急应对，化险为夷的</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19DD81E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C706B6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4605FB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6E2E557C">
        <w:tblPrEx>
          <w:tblCellMar>
            <w:top w:w="0" w:type="dxa"/>
            <w:left w:w="108" w:type="dxa"/>
            <w:bottom w:w="0" w:type="dxa"/>
            <w:right w:w="108" w:type="dxa"/>
          </w:tblCellMar>
        </w:tblPrEx>
        <w:trPr>
          <w:trHeight w:val="190"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59917E2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乙方</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5FD7D82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2E81871">
        <w:tblPrEx>
          <w:tblCellMar>
            <w:top w:w="0" w:type="dxa"/>
            <w:left w:w="108" w:type="dxa"/>
            <w:bottom w:w="0" w:type="dxa"/>
            <w:right w:w="108" w:type="dxa"/>
          </w:tblCellMar>
        </w:tblPrEx>
        <w:trPr>
          <w:trHeight w:val="288"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7BFAA14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小计扣分</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714FA76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bl>
    <w:p w14:paraId="128FE4FB">
      <w:pPr>
        <w:pStyle w:val="21"/>
        <w:keepNext w:val="0"/>
        <w:keepLines w:val="0"/>
        <w:pageBreakBefore w:val="0"/>
        <w:widowControl w:val="0"/>
        <w:kinsoku/>
        <w:wordWrap/>
        <w:overflowPunct/>
        <w:topLinePunct w:val="0"/>
        <w:autoSpaceDE/>
        <w:autoSpaceDN/>
        <w:bidi w:val="0"/>
        <w:adjustRightInd w:val="0"/>
        <w:snapToGrid/>
        <w:spacing w:line="520" w:lineRule="exact"/>
        <w:ind w:left="0" w:leftChars="0" w:firstLine="482" w:firstLineChars="200"/>
        <w:textAlignment w:val="auto"/>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（2）清退机制（如有以下行为之一的采购人有权随时与供应商暂停服务终止合同，并视情况列入黑名单，2年内拒绝参加滨江区区域型居家养老服务项目）</w:t>
      </w:r>
    </w:p>
    <w:tbl>
      <w:tblPr>
        <w:tblStyle w:val="49"/>
        <w:tblW w:w="9051" w:type="dxa"/>
        <w:jc w:val="center"/>
        <w:tblLayout w:type="fixed"/>
        <w:tblCellMar>
          <w:top w:w="0" w:type="dxa"/>
          <w:left w:w="108" w:type="dxa"/>
          <w:bottom w:w="0" w:type="dxa"/>
          <w:right w:w="108" w:type="dxa"/>
        </w:tblCellMar>
      </w:tblPr>
      <w:tblGrid>
        <w:gridCol w:w="1176"/>
        <w:gridCol w:w="7875"/>
      </w:tblGrid>
      <w:tr w14:paraId="3998F15A">
        <w:tblPrEx>
          <w:tblCellMar>
            <w:top w:w="0" w:type="dxa"/>
            <w:left w:w="108" w:type="dxa"/>
            <w:bottom w:w="0" w:type="dxa"/>
            <w:right w:w="108" w:type="dxa"/>
          </w:tblCellMar>
        </w:tblPrEx>
        <w:trPr>
          <w:trHeight w:val="186" w:hRule="atLeast"/>
          <w:jc w:val="center"/>
        </w:trPr>
        <w:tc>
          <w:tcPr>
            <w:tcW w:w="9051" w:type="dxa"/>
            <w:gridSpan w:val="2"/>
            <w:tcBorders>
              <w:top w:val="single" w:color="000000" w:sz="4" w:space="0"/>
              <w:left w:val="single" w:color="000000" w:sz="4" w:space="0"/>
              <w:bottom w:val="single" w:color="000000" w:sz="4" w:space="0"/>
              <w:right w:val="single" w:color="000000" w:sz="4" w:space="0"/>
            </w:tcBorders>
            <w:noWrap w:val="0"/>
            <w:vAlign w:val="center"/>
          </w:tcPr>
          <w:p w14:paraId="3BF8337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清退机制细则</w:t>
            </w:r>
          </w:p>
        </w:tc>
      </w:tr>
      <w:tr w14:paraId="669DD560">
        <w:tblPrEx>
          <w:tblCellMar>
            <w:top w:w="0" w:type="dxa"/>
            <w:left w:w="108" w:type="dxa"/>
            <w:bottom w:w="0" w:type="dxa"/>
            <w:right w:w="108" w:type="dxa"/>
          </w:tblCellMar>
        </w:tblPrEx>
        <w:trPr>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AC2512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1F4A7F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具体内容</w:t>
            </w:r>
          </w:p>
        </w:tc>
      </w:tr>
      <w:tr w14:paraId="28A8713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7516DA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B1EBA0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供应商更换后的项目负责人或服务人员，不满足采购需求的年龄、证件等要求的。</w:t>
            </w:r>
          </w:p>
        </w:tc>
      </w:tr>
      <w:tr w14:paraId="1EC32ED9">
        <w:tblPrEx>
          <w:tblCellMar>
            <w:top w:w="0" w:type="dxa"/>
            <w:left w:w="108" w:type="dxa"/>
            <w:bottom w:w="0" w:type="dxa"/>
            <w:right w:w="108" w:type="dxa"/>
          </w:tblCellMar>
        </w:tblPrEx>
        <w:trPr>
          <w:trHeight w:val="342"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73814A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63DC2E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逾期未交月度考核罚款的。</w:t>
            </w:r>
          </w:p>
        </w:tc>
      </w:tr>
      <w:tr w14:paraId="20BA9228">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6FD040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99C1F7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服务期内月度考核分出现两次85分（不含）以下的。</w:t>
            </w:r>
          </w:p>
        </w:tc>
      </w:tr>
      <w:tr w14:paraId="69B8A86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55FFE9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4</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4CDE89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非法骗取套取政府财政资金，发现虚假交易、套现补贴且金额超5000元及以上的（退一罚十）。</w:t>
            </w:r>
          </w:p>
        </w:tc>
      </w:tr>
      <w:tr w14:paraId="6008BF12">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7C038F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5</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C44684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违法违规开展服务协议外的其他活动。</w:t>
            </w:r>
          </w:p>
        </w:tc>
      </w:tr>
      <w:tr w14:paraId="0C362AB8">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3E9E19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6</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CC75CB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泄露老人个人隐私信息。</w:t>
            </w:r>
          </w:p>
        </w:tc>
      </w:tr>
      <w:tr w14:paraId="39052FA6">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2CA74E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7</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029201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发生殴打、体罚等欺老虐老行为。</w:t>
            </w:r>
          </w:p>
        </w:tc>
      </w:tr>
      <w:tr w14:paraId="7288E993">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67C998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8</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7C60BE2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未按操作规程或标准提供服务，引发较大安全责任事故。</w:t>
            </w:r>
          </w:p>
        </w:tc>
      </w:tr>
      <w:tr w14:paraId="3DFC131D">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79254A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9</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49BC65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故意隐瞒不及时报安全责任事故，检查发现安全隐患拒不整改。</w:t>
            </w:r>
          </w:p>
        </w:tc>
      </w:tr>
      <w:tr w14:paraId="5D3F3BA6">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8C7BEE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10</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AF5D6E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经查实，被老年人或及家属等年度投诉不能超过5次（不含5次）。</w:t>
            </w:r>
          </w:p>
        </w:tc>
      </w:tr>
      <w:tr w14:paraId="765BB9A1">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B397FA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274A14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因合同纠纷造成群体性事件或不良社会舆论，或其他不良行为。</w:t>
            </w:r>
          </w:p>
        </w:tc>
      </w:tr>
      <w:tr w14:paraId="65E0F76A">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8EA8DD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57B23D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经第三方测评，年度老人满意度低于95%并核查属实的。</w:t>
            </w:r>
          </w:p>
        </w:tc>
      </w:tr>
      <w:tr w14:paraId="43DCE1E5">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D9EEC1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23D8F6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出现违法违规经营行为且超两次或拒不改正的，国家、省、市规定应当列入的其他严重失信情形。</w:t>
            </w:r>
          </w:p>
        </w:tc>
      </w:tr>
    </w:tbl>
    <w:p w14:paraId="5738B0B8">
      <w:pPr>
        <w:keepNext w:val="0"/>
        <w:keepLines w:val="0"/>
        <w:pageBreakBefore w:val="0"/>
        <w:widowControl w:val="0"/>
        <w:numPr>
          <w:ilvl w:val="0"/>
          <w:numId w:val="5"/>
        </w:numPr>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框架协议、采购合同签订要求</w:t>
      </w:r>
    </w:p>
    <w:p w14:paraId="619F655C">
      <w:pPr>
        <w:autoSpaceDE/>
        <w:autoSpaceDN/>
        <w:spacing w:before="47" w:line="500" w:lineRule="exact"/>
        <w:ind w:firstLine="420"/>
        <w:jc w:val="left"/>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（1）供应商入围后按本项目征集文件的规定和入围通知书的要求及时与征集人签订 框架协议，无正当理由不得主动放弃入围资格或者退出框架协议。</w:t>
      </w:r>
    </w:p>
    <w:p w14:paraId="2C737ED8">
      <w:pPr>
        <w:pStyle w:val="20"/>
        <w:spacing w:before="164" w:line="315" w:lineRule="auto"/>
        <w:ind w:left="3" w:firstLine="480"/>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（2）入围供应商第一阶段的响应报价（协议价格）是采购人确定第二阶段成交供应商的最高限价。供应商在政采云系统中接到采购人订单（采购人合同授予）后，无正当 理由不得拖延、拒绝、取消订单，应按本项目征集文件、框架协议规定及时与采购人签订合同。</w:t>
      </w:r>
    </w:p>
    <w:p w14:paraId="447A0150">
      <w:pPr>
        <w:pStyle w:val="20"/>
        <w:spacing w:before="160" w:line="219" w:lineRule="auto"/>
        <w:ind w:left="485"/>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（3）按征集文件规定的要求和合同文本格式编制合同。</w:t>
      </w:r>
    </w:p>
    <w:p w14:paraId="57FABE95">
      <w:pPr>
        <w:pStyle w:val="20"/>
        <w:spacing w:before="166" w:line="219" w:lineRule="auto"/>
        <w:ind w:left="455"/>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（4）供应商与采购人签订合同后应积极履行合同义务，并按约定的时间和要求完成。</w:t>
      </w:r>
    </w:p>
    <w:p w14:paraId="68D5D860">
      <w:pPr>
        <w:pStyle w:val="20"/>
        <w:spacing w:before="164" w:line="283" w:lineRule="auto"/>
        <w:ind w:firstLine="485"/>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（5）其他要求见第二部分“七、框架协议、采购合同签订”和第五部分“拟签订的框架协议文本和采购合同文本”。</w:t>
      </w:r>
    </w:p>
    <w:p w14:paraId="7BC34655">
      <w:pPr>
        <w:keepNext w:val="0"/>
        <w:keepLines w:val="0"/>
        <w:pageBreakBefore w:val="0"/>
        <w:widowControl w:val="0"/>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五、确定第二阶段成交供应商的方式</w:t>
      </w:r>
    </w:p>
    <w:p w14:paraId="2989DF32">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本项目由杭州市滨江区民政局负责征集采购，确定入围供应商后，由各街道结合实际情况，综合考虑，从相应标段的第一阶段入围供应商中直接选定，各街道与选定的</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签订合同。</w:t>
      </w:r>
    </w:p>
    <w:p w14:paraId="65497E04">
      <w:pPr>
        <w:keepNext w:val="0"/>
        <w:keepLines w:val="0"/>
        <w:pageBreakBefore w:val="0"/>
        <w:widowControl w:val="0"/>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六、协议期内日常管理要求</w:t>
      </w:r>
    </w:p>
    <w:p w14:paraId="76C0BF91">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（1）在协议期内，入围供应商如有信息变更（如变更法定代表人、主要负责人、联系人、联系电话、地址等），应及时在政采云系统中更新相关信息并通知征集人，按征 集人要求提供相关资料备案。</w:t>
      </w:r>
    </w:p>
    <w:p w14:paraId="50605746">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（2）在协议期内，供应商应遵守和履行本项目征集文件、框架协议的各项规定，遵守电子系统的操作规定和交易规则，积极配合征集人和采购监管部门的工作。</w:t>
      </w:r>
    </w:p>
    <w:p w14:paraId="32DD567D">
      <w:pPr>
        <w:keepNext w:val="0"/>
        <w:keepLines w:val="0"/>
        <w:pageBreakBefore w:val="0"/>
        <w:widowControl w:val="0"/>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七、入围供应商清退规则</w:t>
      </w:r>
    </w:p>
    <w:p w14:paraId="59F3DB7E">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1.入围供应商有下列情形之一，尚未签订框架协议的，取消其入围资格；已经签订框架协议的，解除与其签订的框架协议：</w:t>
      </w:r>
    </w:p>
    <w:p w14:paraId="016784AC">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（1）恶意串通谋取入围或者合同成交的；</w:t>
      </w:r>
    </w:p>
    <w:p w14:paraId="0FDD40CB">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（2）提供虚假材料谋取入围或者合同成交的；</w:t>
      </w:r>
    </w:p>
    <w:p w14:paraId="50BEA3AA">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（3）无正当理由拒不接受合同授予的；</w:t>
      </w:r>
    </w:p>
    <w:p w14:paraId="1B3ED0C9">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（4）不履行合同义务或者履行合同义务不符合约定，经征集人请求履行后仍不履 行或者仍未按约定履行的；</w:t>
      </w:r>
    </w:p>
    <w:p w14:paraId="008EE9F1">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（5）框架协议有效期内，因违法行为被禁止或限制参加政府采购活动的；</w:t>
      </w:r>
    </w:p>
    <w:p w14:paraId="094B0973">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（6）框架协议约定的其他情形。</w:t>
      </w:r>
    </w:p>
    <w:p w14:paraId="0ABBE13F">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2.入围供应商无正当理由拒不与征集人签订框架协议的，取消其入围资格。</w:t>
      </w:r>
    </w:p>
    <w:p w14:paraId="3C84828E">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3.入围供应商如发生实质性变动（营业执照注销、不再符合本项目资格条件等） 的，尚未签订框架协议的，取消其入围资格；已经签订框架协议的，解除与其签订的框架协议。</w:t>
      </w:r>
    </w:p>
    <w:p w14:paraId="3D67ACB6">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4.被取消入围资格或者被解除框架协议的供应商不得参加本封闭式框架协议补充 征集。</w:t>
      </w:r>
    </w:p>
    <w:p w14:paraId="335A67E2">
      <w:pPr>
        <w:keepNext w:val="0"/>
        <w:keepLines w:val="0"/>
        <w:pageBreakBefore w:val="0"/>
        <w:widowControl w:val="0"/>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八、入围供应商补充规则</w:t>
      </w:r>
    </w:p>
    <w:p w14:paraId="619DDF34">
      <w:pPr>
        <w:pStyle w:val="20"/>
        <w:spacing w:before="47" w:line="284" w:lineRule="auto"/>
        <w:ind w:firstLine="498"/>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框架协议有效期内如出现剩余入围供应商不足入围供应商总数70%且影响框架协议 执行的情形时，征集人报财政部门审核同意后，将进行补充征集供应商。补充征集的条 件、程序、评审方法和淘汰比例与初次征集相同。补充征集遵守原框架协议的有效期。 补充征集期间，原框架协议继续履行。</w:t>
      </w:r>
    </w:p>
    <w:p w14:paraId="198CCF42">
      <w:pPr>
        <w:rPr>
          <w:rFonts w:hint="eastAsia" w:ascii="仿宋" w:hAnsi="仿宋" w:eastAsia="仿宋" w:cs="仿宋"/>
          <w:color w:val="000000" w:themeColor="text1"/>
          <w:sz w:val="32"/>
          <w:szCs w:val="32"/>
          <w:highlight w:val="none"/>
          <w14:textFill>
            <w14:solidFill>
              <w14:schemeClr w14:val="tx1"/>
            </w14:solidFill>
          </w14:textFill>
        </w:rPr>
      </w:pPr>
    </w:p>
    <w:bookmarkEnd w:id="38"/>
    <w:bookmarkEnd w:id="39"/>
    <w:p w14:paraId="498D1B2F">
      <w:pPr>
        <w:spacing w:line="240" w:lineRule="auto"/>
        <w:jc w:val="left"/>
        <w:outlineLvl w:val="9"/>
        <w:rPr>
          <w:rFonts w:hint="eastAsia"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br w:type="page"/>
      </w:r>
    </w:p>
    <w:p w14:paraId="497992A7">
      <w:pPr>
        <w:spacing w:line="360" w:lineRule="auto"/>
        <w:jc w:val="center"/>
        <w:outlineLvl w:val="0"/>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第四部分</w:t>
      </w:r>
      <w:bookmarkStart w:id="406" w:name="_Toc8240"/>
      <w:bookmarkStart w:id="407" w:name="_Toc18363"/>
      <w:bookmarkStart w:id="408" w:name="_Toc302396102"/>
      <w:bookmarkStart w:id="409" w:name="_Toc11082"/>
      <w:bookmarkStart w:id="410" w:name="_Toc13823"/>
      <w:bookmarkStart w:id="411" w:name="_Toc30830"/>
      <w:r>
        <w:rPr>
          <w:rFonts w:hint="eastAsia" w:ascii="仿宋" w:hAnsi="仿宋" w:eastAsia="仿宋"/>
          <w:b/>
          <w:color w:val="000000" w:themeColor="text1"/>
          <w:sz w:val="36"/>
          <w:szCs w:val="36"/>
          <w:highlight w:val="none"/>
          <w14:textFill>
            <w14:solidFill>
              <w14:schemeClr w14:val="tx1"/>
            </w14:solidFill>
          </w14:textFill>
        </w:rPr>
        <w:t>评标方法</w:t>
      </w:r>
      <w:bookmarkEnd w:id="40"/>
      <w:bookmarkEnd w:id="406"/>
      <w:bookmarkEnd w:id="407"/>
      <w:bookmarkEnd w:id="408"/>
      <w:bookmarkEnd w:id="409"/>
      <w:bookmarkEnd w:id="410"/>
      <w:bookmarkEnd w:id="411"/>
      <w:bookmarkStart w:id="412" w:name="第五部分"/>
      <w:bookmarkStart w:id="413" w:name="_Toc401313705"/>
      <w:bookmarkStart w:id="414" w:name="_Toc86217003"/>
    </w:p>
    <w:p w14:paraId="31044DED">
      <w:pPr>
        <w:spacing w:line="360" w:lineRule="auto"/>
        <w:jc w:val="center"/>
        <w:outlineLvl w:val="0"/>
        <w:rPr>
          <w:rFonts w:hint="default" w:ascii="仿宋" w:hAnsi="仿宋" w:eastAsia="仿宋"/>
          <w:b/>
          <w:color w:val="000000" w:themeColor="text1"/>
          <w:sz w:val="36"/>
          <w:szCs w:val="36"/>
          <w:highlight w:val="none"/>
          <w:lang w:val="en-US" w:eastAsia="zh-CN"/>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评标办法前附表</w:t>
      </w:r>
      <w:r>
        <w:rPr>
          <w:rFonts w:hint="eastAsia" w:ascii="仿宋" w:hAnsi="仿宋" w:eastAsia="仿宋"/>
          <w:b/>
          <w:color w:val="000000" w:themeColor="text1"/>
          <w:sz w:val="36"/>
          <w:szCs w:val="36"/>
          <w:highlight w:val="none"/>
          <w:lang w:val="en-US" w:eastAsia="zh-CN"/>
          <w14:textFill>
            <w14:solidFill>
              <w14:schemeClr w14:val="tx1"/>
            </w14:solidFill>
          </w14:textFill>
        </w:rPr>
        <w:t>-标项一</w:t>
      </w:r>
    </w:p>
    <w:tbl>
      <w:tblPr>
        <w:tblStyle w:val="50"/>
        <w:tblW w:w="9014"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577"/>
        <w:gridCol w:w="805"/>
        <w:gridCol w:w="845"/>
        <w:gridCol w:w="1105"/>
      </w:tblGrid>
      <w:tr w14:paraId="5EC1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A3AABA1">
            <w:pPr>
              <w:snapToGrid w:val="0"/>
              <w:spacing w:line="360" w:lineRule="exact"/>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5577" w:type="dxa"/>
            <w:vAlign w:val="center"/>
          </w:tcPr>
          <w:p w14:paraId="42E80B78">
            <w:pPr>
              <w:snapToGrid w:val="0"/>
              <w:spacing w:line="360" w:lineRule="exact"/>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评标标准</w:t>
            </w:r>
          </w:p>
        </w:tc>
        <w:tc>
          <w:tcPr>
            <w:tcW w:w="805" w:type="dxa"/>
            <w:vAlign w:val="center"/>
          </w:tcPr>
          <w:p w14:paraId="3885F7AC">
            <w:pPr>
              <w:snapToGrid w:val="0"/>
              <w:spacing w:line="360" w:lineRule="exact"/>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权重</w:t>
            </w:r>
          </w:p>
        </w:tc>
        <w:tc>
          <w:tcPr>
            <w:tcW w:w="845" w:type="dxa"/>
            <w:vAlign w:val="center"/>
          </w:tcPr>
          <w:p w14:paraId="4CB10C3A">
            <w:pPr>
              <w:snapToGrid w:val="0"/>
              <w:spacing w:line="360" w:lineRule="exact"/>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主观分/客观分属性</w:t>
            </w:r>
          </w:p>
        </w:tc>
        <w:tc>
          <w:tcPr>
            <w:tcW w:w="1105" w:type="dxa"/>
          </w:tcPr>
          <w:p w14:paraId="0CEAB594">
            <w:pPr>
              <w:snapToGrid w:val="0"/>
              <w:spacing w:line="360" w:lineRule="exact"/>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投标文件中评标标准相应的商务技术资料目录*</w:t>
            </w:r>
          </w:p>
        </w:tc>
      </w:tr>
      <w:tr w14:paraId="37AE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A7C045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p>
        </w:tc>
        <w:tc>
          <w:tcPr>
            <w:tcW w:w="5577" w:type="dxa"/>
            <w:vAlign w:val="center"/>
          </w:tcPr>
          <w:p w14:paraId="146485B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投标人具有有效期内的质量管理体系认证证书、环境管理体系认证证书、职业健康安全管理体系认证证书，每提供一个得1分，最高得3分。</w:t>
            </w:r>
          </w:p>
          <w:p w14:paraId="58FF3AF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证明材料：提供有效期内证明材料并投标人加盖公章，未按要求提供证明材料的不得分。</w:t>
            </w:r>
          </w:p>
        </w:tc>
        <w:tc>
          <w:tcPr>
            <w:tcW w:w="805" w:type="dxa"/>
            <w:vAlign w:val="center"/>
          </w:tcPr>
          <w:p w14:paraId="67ACB33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845" w:type="dxa"/>
            <w:vAlign w:val="center"/>
          </w:tcPr>
          <w:p w14:paraId="257FCE5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客观分</w:t>
            </w:r>
          </w:p>
        </w:tc>
        <w:tc>
          <w:tcPr>
            <w:tcW w:w="1105" w:type="dxa"/>
            <w:vAlign w:val="center"/>
          </w:tcPr>
          <w:p w14:paraId="7D46703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体系证书</w:t>
            </w:r>
          </w:p>
        </w:tc>
      </w:tr>
      <w:tr w14:paraId="4477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14:paraId="2D9F500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p>
        </w:tc>
        <w:tc>
          <w:tcPr>
            <w:tcW w:w="5577" w:type="dxa"/>
            <w:vAlign w:val="center"/>
          </w:tcPr>
          <w:p w14:paraId="7AB500E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根据投标人提供的项目服务实施方案</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p>
          <w:p w14:paraId="67543D7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全面，且有一定针对性的得4分；内容全面性，针对性一般的得3分；内容基本合理的得2分；内容有所欠缺的得1分；不提供不得分。</w:t>
            </w:r>
          </w:p>
        </w:tc>
        <w:tc>
          <w:tcPr>
            <w:tcW w:w="805" w:type="dxa"/>
            <w:vAlign w:val="center"/>
          </w:tcPr>
          <w:p w14:paraId="1DCF4CE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845" w:type="dxa"/>
            <w:vAlign w:val="center"/>
          </w:tcPr>
          <w:p w14:paraId="55A203C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Merge w:val="restart"/>
            <w:vAlign w:val="center"/>
          </w:tcPr>
          <w:p w14:paraId="3825B09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zh-TW" w:eastAsia="zh-CN"/>
                <w14:textFill>
                  <w14:solidFill>
                    <w14:schemeClr w14:val="tx1"/>
                  </w14:solidFill>
                </w14:textFill>
              </w:rPr>
              <w:t>服务方案</w:t>
            </w:r>
          </w:p>
        </w:tc>
      </w:tr>
      <w:tr w14:paraId="7486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2DC639D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5577" w:type="dxa"/>
            <w:vAlign w:val="center"/>
          </w:tcPr>
          <w:p w14:paraId="074C946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根据投标人提供的项目服务各工序衔接方案</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p>
          <w:p w14:paraId="3CCF377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全面，且有一定针对性的得4分；内容全面性，针对性一般的得3分；内容基本合理的得2分；内容有所欠缺的得1分；不提供不得分。</w:t>
            </w:r>
          </w:p>
        </w:tc>
        <w:tc>
          <w:tcPr>
            <w:tcW w:w="805" w:type="dxa"/>
            <w:vAlign w:val="center"/>
          </w:tcPr>
          <w:p w14:paraId="614B469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845" w:type="dxa"/>
            <w:vAlign w:val="center"/>
          </w:tcPr>
          <w:p w14:paraId="1272DC5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Merge w:val="continue"/>
            <w:vAlign w:val="center"/>
          </w:tcPr>
          <w:p w14:paraId="4E946B6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Cs w:val="21"/>
                <w:highlight w:val="none"/>
                <w14:textFill>
                  <w14:solidFill>
                    <w14:schemeClr w14:val="tx1"/>
                  </w14:solidFill>
                </w14:textFill>
              </w:rPr>
            </w:pPr>
          </w:p>
        </w:tc>
      </w:tr>
      <w:tr w14:paraId="5536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049DDA9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5577" w:type="dxa"/>
            <w:vAlign w:val="center"/>
          </w:tcPr>
          <w:p w14:paraId="1404305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根据投标人提出的服务实施方案与项目实施地现状相结合程度，方案中体现的服务效率和服务水平</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p>
          <w:p w14:paraId="3CC7B4C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全面，且有一定针对性的得4分；内容全面性，针对性一般的得3分；内容基本合理的得2分；内容有所欠缺的得1分；不提供不得分。</w:t>
            </w:r>
          </w:p>
        </w:tc>
        <w:tc>
          <w:tcPr>
            <w:tcW w:w="805" w:type="dxa"/>
            <w:vAlign w:val="center"/>
          </w:tcPr>
          <w:p w14:paraId="78BBA85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845" w:type="dxa"/>
            <w:vAlign w:val="center"/>
          </w:tcPr>
          <w:p w14:paraId="3D56939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Merge w:val="continue"/>
            <w:vAlign w:val="center"/>
          </w:tcPr>
          <w:p w14:paraId="5DDD726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Cs w:val="21"/>
                <w:highlight w:val="none"/>
                <w14:textFill>
                  <w14:solidFill>
                    <w14:schemeClr w14:val="tx1"/>
                  </w14:solidFill>
                </w14:textFill>
              </w:rPr>
            </w:pPr>
          </w:p>
        </w:tc>
      </w:tr>
      <w:tr w14:paraId="327B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682" w:type="dxa"/>
            <w:vAlign w:val="center"/>
          </w:tcPr>
          <w:p w14:paraId="66454EC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5577" w:type="dxa"/>
            <w:vAlign w:val="center"/>
          </w:tcPr>
          <w:p w14:paraId="0E4922F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根据投标人提供的项目质量管理方案</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r>
              <w:rPr>
                <w:rFonts w:hint="eastAsia" w:ascii="仿宋" w:hAnsi="仿宋" w:eastAsia="仿宋" w:cs="仿宋"/>
                <w:bCs/>
                <w:color w:val="000000" w:themeColor="text1"/>
                <w:szCs w:val="21"/>
                <w:highlight w:val="none"/>
                <w:lang w:val="en-US" w:eastAsia="zh-CN"/>
                <w14:textFill>
                  <w14:solidFill>
                    <w14:schemeClr w14:val="tx1"/>
                  </w14:solidFill>
                </w14:textFill>
              </w:rPr>
              <w:t>方案至少包括①质量目标、②质量保证措施、③安全保障措施、④质量监管方法及措施、监管配合、奖罚措施等；</w:t>
            </w:r>
          </w:p>
          <w:p w14:paraId="2DAFEC5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每点</w:t>
            </w:r>
            <w:r>
              <w:rPr>
                <w:rFonts w:hint="eastAsia" w:ascii="仿宋" w:hAnsi="仿宋" w:eastAsia="仿宋" w:cs="仿宋"/>
                <w:b/>
                <w:bCs w:val="0"/>
                <w:color w:val="000000" w:themeColor="text1"/>
                <w:szCs w:val="21"/>
                <w:highlight w:val="none"/>
                <w14:textFill>
                  <w14:solidFill>
                    <w14:schemeClr w14:val="tx1"/>
                  </w14:solidFill>
                </w14:textFill>
              </w:rPr>
              <w:t>内容全面，针对性强的得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2</w:t>
            </w:r>
            <w:r>
              <w:rPr>
                <w:rFonts w:hint="eastAsia" w:ascii="仿宋" w:hAnsi="仿宋" w:eastAsia="仿宋" w:cs="仿宋"/>
                <w:b/>
                <w:bCs w:val="0"/>
                <w:color w:val="000000" w:themeColor="text1"/>
                <w:szCs w:val="21"/>
                <w:highlight w:val="none"/>
                <w14:textFill>
                  <w14:solidFill>
                    <w14:schemeClr w14:val="tx1"/>
                  </w14:solidFill>
                </w14:textFill>
              </w:rPr>
              <w:t>分；内容全面性，针对性一般的得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1</w:t>
            </w:r>
            <w:r>
              <w:rPr>
                <w:rFonts w:hint="eastAsia" w:ascii="仿宋" w:hAnsi="仿宋" w:eastAsia="仿宋" w:cs="仿宋"/>
                <w:b/>
                <w:bCs w:val="0"/>
                <w:color w:val="000000" w:themeColor="text1"/>
                <w:szCs w:val="21"/>
                <w:highlight w:val="none"/>
                <w14:textFill>
                  <w14:solidFill>
                    <w14:schemeClr w14:val="tx1"/>
                  </w14:solidFill>
                </w14:textFill>
              </w:rPr>
              <w:t>分；内容基本合理的得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0.5</w:t>
            </w:r>
            <w:r>
              <w:rPr>
                <w:rFonts w:hint="eastAsia" w:ascii="仿宋" w:hAnsi="仿宋" w:eastAsia="仿宋" w:cs="仿宋"/>
                <w:b/>
                <w:bCs w:val="0"/>
                <w:color w:val="000000" w:themeColor="text1"/>
                <w:szCs w:val="21"/>
                <w:highlight w:val="none"/>
                <w14:textFill>
                  <w14:solidFill>
                    <w14:schemeClr w14:val="tx1"/>
                  </w14:solidFill>
                </w14:textFill>
              </w:rPr>
              <w:t>分；不提供不得分。</w:t>
            </w:r>
          </w:p>
        </w:tc>
        <w:tc>
          <w:tcPr>
            <w:tcW w:w="805" w:type="dxa"/>
            <w:vAlign w:val="center"/>
          </w:tcPr>
          <w:p w14:paraId="2C252B7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p>
        </w:tc>
        <w:tc>
          <w:tcPr>
            <w:tcW w:w="845" w:type="dxa"/>
            <w:vAlign w:val="center"/>
          </w:tcPr>
          <w:p w14:paraId="4D5968D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Align w:val="center"/>
          </w:tcPr>
          <w:p w14:paraId="25BB89B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质量管理</w:t>
            </w:r>
          </w:p>
        </w:tc>
      </w:tr>
      <w:tr w14:paraId="2CD3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682" w:type="dxa"/>
            <w:vAlign w:val="center"/>
          </w:tcPr>
          <w:p w14:paraId="3B8C6F5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5577" w:type="dxa"/>
            <w:vAlign w:val="center"/>
          </w:tcPr>
          <w:p w14:paraId="50D7D1C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根据投标人提供的项目组织实施方案</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r>
              <w:rPr>
                <w:rFonts w:hint="eastAsia" w:ascii="仿宋" w:hAnsi="仿宋" w:eastAsia="仿宋" w:cs="仿宋"/>
                <w:bCs/>
                <w:color w:val="000000" w:themeColor="text1"/>
                <w:szCs w:val="21"/>
                <w:highlight w:val="none"/>
                <w:lang w:val="en-US" w:eastAsia="zh-CN"/>
                <w14:textFill>
                  <w14:solidFill>
                    <w14:schemeClr w14:val="tx1"/>
                  </w14:solidFill>
                </w14:textFill>
              </w:rPr>
              <w:t>方案至少包括①组织管理、②组织架构等；</w:t>
            </w:r>
          </w:p>
          <w:p w14:paraId="419C441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全面，且有一定针对性的得4分；内容全面性，针对性一般的得3分；内容基本合理的得2分；内容有所欠缺的得1分；不提供不得分。</w:t>
            </w:r>
          </w:p>
        </w:tc>
        <w:tc>
          <w:tcPr>
            <w:tcW w:w="805" w:type="dxa"/>
            <w:vAlign w:val="center"/>
          </w:tcPr>
          <w:p w14:paraId="3AFA0C7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45" w:type="dxa"/>
            <w:vAlign w:val="center"/>
          </w:tcPr>
          <w:p w14:paraId="00FBB66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Align w:val="center"/>
          </w:tcPr>
          <w:p w14:paraId="27DE28D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组织管理</w:t>
            </w:r>
          </w:p>
        </w:tc>
      </w:tr>
      <w:tr w14:paraId="218C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B94EF0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5577" w:type="dxa"/>
            <w:vAlign w:val="center"/>
          </w:tcPr>
          <w:p w14:paraId="6717C95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根据投标人提供的监管制度</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r>
              <w:rPr>
                <w:rFonts w:hint="eastAsia" w:ascii="仿宋" w:hAnsi="仿宋" w:eastAsia="仿宋" w:cs="仿宋"/>
                <w:bCs/>
                <w:color w:val="000000" w:themeColor="text1"/>
                <w:szCs w:val="21"/>
                <w:highlight w:val="none"/>
                <w:lang w:val="en-US" w:eastAsia="zh-CN"/>
                <w14:textFill>
                  <w14:solidFill>
                    <w14:schemeClr w14:val="tx1"/>
                  </w14:solidFill>
                </w14:textFill>
              </w:rPr>
              <w:t>至少包括①廉政措施、②为防止出具虚假报告的监管制度、措施、惩治办法等、③不按规定验收的监管制度、措施、惩治办法等、④转包业务的监管制度、措施、惩治办法等、⑤其他违规行为的监管制度、措施、惩治办法等；</w:t>
            </w:r>
          </w:p>
          <w:p w14:paraId="2D3B4E5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全面，且有一定针对性的得4分；内容全面性，针对性一般的得3分；内容基本合理的得2分；内容有所欠缺的得1分；不提供不得分。</w:t>
            </w:r>
          </w:p>
        </w:tc>
        <w:tc>
          <w:tcPr>
            <w:tcW w:w="805" w:type="dxa"/>
            <w:vAlign w:val="center"/>
          </w:tcPr>
          <w:p w14:paraId="5C22493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45" w:type="dxa"/>
            <w:vAlign w:val="center"/>
          </w:tcPr>
          <w:p w14:paraId="4F39397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Align w:val="center"/>
          </w:tcPr>
          <w:p w14:paraId="17D09C5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监管制度</w:t>
            </w:r>
          </w:p>
        </w:tc>
      </w:tr>
      <w:tr w14:paraId="2B2E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8DAE0B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5577" w:type="dxa"/>
            <w:vAlign w:val="center"/>
          </w:tcPr>
          <w:p w14:paraId="4A9D969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根据投标人提供的人员管理方案</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r>
              <w:rPr>
                <w:rFonts w:hint="eastAsia" w:ascii="仿宋" w:hAnsi="仿宋" w:eastAsia="仿宋" w:cs="仿宋"/>
                <w:bCs/>
                <w:color w:val="000000" w:themeColor="text1"/>
                <w:szCs w:val="21"/>
                <w:highlight w:val="none"/>
                <w:lang w:val="en-US" w:eastAsia="zh-CN"/>
                <w14:textFill>
                  <w14:solidFill>
                    <w14:schemeClr w14:val="tx1"/>
                  </w14:solidFill>
                </w14:textFill>
              </w:rPr>
              <w:t>至少包括①人员考核方案、②合同执行期间的人员数量保障方案、③人员岗位设置、④服务人员专业能力、⑤人员管理规范等；</w:t>
            </w:r>
          </w:p>
          <w:p w14:paraId="5BCE497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每点</w:t>
            </w:r>
            <w:r>
              <w:rPr>
                <w:rFonts w:hint="eastAsia" w:ascii="仿宋" w:hAnsi="仿宋" w:eastAsia="仿宋" w:cs="仿宋"/>
                <w:b/>
                <w:bCs w:val="0"/>
                <w:color w:val="000000" w:themeColor="text1"/>
                <w:szCs w:val="21"/>
                <w:highlight w:val="none"/>
                <w14:textFill>
                  <w14:solidFill>
                    <w14:schemeClr w14:val="tx1"/>
                  </w14:solidFill>
                </w14:textFill>
              </w:rPr>
              <w:t>内容全面，针对性强的得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2</w:t>
            </w:r>
            <w:r>
              <w:rPr>
                <w:rFonts w:hint="eastAsia" w:ascii="仿宋" w:hAnsi="仿宋" w:eastAsia="仿宋" w:cs="仿宋"/>
                <w:b/>
                <w:bCs w:val="0"/>
                <w:color w:val="000000" w:themeColor="text1"/>
                <w:szCs w:val="21"/>
                <w:highlight w:val="none"/>
                <w14:textFill>
                  <w14:solidFill>
                    <w14:schemeClr w14:val="tx1"/>
                  </w14:solidFill>
                </w14:textFill>
              </w:rPr>
              <w:t>分；内容全面性，针对性一般的得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1</w:t>
            </w:r>
            <w:r>
              <w:rPr>
                <w:rFonts w:hint="eastAsia" w:ascii="仿宋" w:hAnsi="仿宋" w:eastAsia="仿宋" w:cs="仿宋"/>
                <w:b/>
                <w:bCs w:val="0"/>
                <w:color w:val="000000" w:themeColor="text1"/>
                <w:szCs w:val="21"/>
                <w:highlight w:val="none"/>
                <w14:textFill>
                  <w14:solidFill>
                    <w14:schemeClr w14:val="tx1"/>
                  </w14:solidFill>
                </w14:textFill>
              </w:rPr>
              <w:t>分；内容基本合理的得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0.5</w:t>
            </w:r>
            <w:r>
              <w:rPr>
                <w:rFonts w:hint="eastAsia" w:ascii="仿宋" w:hAnsi="仿宋" w:eastAsia="仿宋" w:cs="仿宋"/>
                <w:b/>
                <w:bCs w:val="0"/>
                <w:color w:val="000000" w:themeColor="text1"/>
                <w:szCs w:val="21"/>
                <w:highlight w:val="none"/>
                <w14:textFill>
                  <w14:solidFill>
                    <w14:schemeClr w14:val="tx1"/>
                  </w14:solidFill>
                </w14:textFill>
              </w:rPr>
              <w:t>分；不提供不得分。</w:t>
            </w:r>
          </w:p>
        </w:tc>
        <w:tc>
          <w:tcPr>
            <w:tcW w:w="805" w:type="dxa"/>
            <w:vAlign w:val="center"/>
          </w:tcPr>
          <w:p w14:paraId="0E3D15A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10</w:t>
            </w:r>
          </w:p>
        </w:tc>
        <w:tc>
          <w:tcPr>
            <w:tcW w:w="845" w:type="dxa"/>
            <w:vAlign w:val="center"/>
          </w:tcPr>
          <w:p w14:paraId="2B22594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Align w:val="center"/>
          </w:tcPr>
          <w:p w14:paraId="490FFB5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人员管理方案</w:t>
            </w:r>
          </w:p>
        </w:tc>
      </w:tr>
      <w:tr w14:paraId="4D10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2" w:type="dxa"/>
            <w:vAlign w:val="center"/>
          </w:tcPr>
          <w:p w14:paraId="7A33857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p>
        </w:tc>
        <w:tc>
          <w:tcPr>
            <w:tcW w:w="5577" w:type="dxa"/>
            <w:vAlign w:val="center"/>
          </w:tcPr>
          <w:p w14:paraId="6184376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根据投标人提供的</w:t>
            </w:r>
            <w:r>
              <w:rPr>
                <w:rFonts w:hint="eastAsia" w:ascii="仿宋" w:hAnsi="仿宋" w:eastAsia="仿宋" w:cs="仿宋"/>
                <w:bCs/>
                <w:color w:val="000000" w:themeColor="text1"/>
                <w:szCs w:val="21"/>
                <w:highlight w:val="none"/>
                <w:lang w:val="en-US" w:eastAsia="zh-CN"/>
                <w14:textFill>
                  <w14:solidFill>
                    <w14:schemeClr w14:val="tx1"/>
                  </w14:solidFill>
                </w14:textFill>
              </w:rPr>
              <w:t>人员培训方案的</w:t>
            </w:r>
            <w:r>
              <w:rPr>
                <w:rFonts w:hint="eastAsia" w:ascii="仿宋" w:hAnsi="仿宋" w:eastAsia="仿宋" w:cs="仿宋"/>
                <w:bCs/>
                <w:color w:val="000000" w:themeColor="text1"/>
                <w:szCs w:val="21"/>
                <w:highlight w:val="none"/>
                <w14:textFill>
                  <w14:solidFill>
                    <w14:schemeClr w14:val="tx1"/>
                  </w14:solidFill>
                </w14:textFill>
              </w:rPr>
              <w:t>完整性、合理性、科学性等进行综合评审；</w:t>
            </w:r>
          </w:p>
          <w:p w14:paraId="7EC7E1F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kern w:val="2"/>
                <w:sz w:val="2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w:t>
            </w:r>
            <w:r>
              <w:rPr>
                <w:rFonts w:hint="eastAsia" w:ascii="仿宋" w:hAnsi="仿宋" w:eastAsia="仿宋" w:cs="仿宋"/>
                <w:b/>
                <w:bCs w:val="0"/>
                <w:color w:val="000000" w:themeColor="text1"/>
                <w:kern w:val="2"/>
                <w:sz w:val="21"/>
                <w:szCs w:val="21"/>
                <w:highlight w:val="none"/>
                <w14:textFill>
                  <w14:solidFill>
                    <w14:schemeClr w14:val="tx1"/>
                  </w14:solidFill>
                </w14:textFill>
              </w:rPr>
              <w:t>得4分；内容全面性，针对性一般的得3分；内容基本合理的得2分；内容有所欠缺的得1分；不提供不得分。</w:t>
            </w:r>
          </w:p>
        </w:tc>
        <w:tc>
          <w:tcPr>
            <w:tcW w:w="805" w:type="dxa"/>
            <w:vAlign w:val="center"/>
          </w:tcPr>
          <w:p w14:paraId="065B458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45" w:type="dxa"/>
            <w:vAlign w:val="center"/>
          </w:tcPr>
          <w:p w14:paraId="3691750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主观分</w:t>
            </w:r>
          </w:p>
        </w:tc>
        <w:tc>
          <w:tcPr>
            <w:tcW w:w="1105" w:type="dxa"/>
            <w:vAlign w:val="center"/>
          </w:tcPr>
          <w:p w14:paraId="1FB1DEA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人员培训方案</w:t>
            </w:r>
          </w:p>
        </w:tc>
      </w:tr>
      <w:tr w14:paraId="6E63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2" w:type="dxa"/>
            <w:vAlign w:val="center"/>
          </w:tcPr>
          <w:p w14:paraId="5F270C9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p>
        </w:tc>
        <w:tc>
          <w:tcPr>
            <w:tcW w:w="5577" w:type="dxa"/>
            <w:vAlign w:val="center"/>
          </w:tcPr>
          <w:p w14:paraId="5A49A7C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根据投标人提供的</w:t>
            </w:r>
            <w:r>
              <w:rPr>
                <w:rFonts w:hint="eastAsia" w:ascii="仿宋" w:hAnsi="仿宋" w:eastAsia="仿宋" w:cs="仿宋"/>
                <w:bCs/>
                <w:color w:val="000000" w:themeColor="text1"/>
                <w:szCs w:val="21"/>
                <w:highlight w:val="none"/>
                <w:lang w:val="en-US" w:eastAsia="zh-CN"/>
                <w14:textFill>
                  <w14:solidFill>
                    <w14:schemeClr w14:val="tx1"/>
                  </w14:solidFill>
                </w14:textFill>
              </w:rPr>
              <w:t>①膳食管理（清洁制度、定期大扫除、定期消毒、菜品存放、库房管理），②日常饮食保障措施（食材源控制、安全操作、膳食保障、食谱公告、营养防治等），③食堂工作人员情况（年龄45岁以下、人员配比，岗位设置、厨师配置情况）等的整体食堂运营方案符合上级消防部门和食品监督部门的管理要求等情况</w:t>
            </w:r>
            <w:r>
              <w:rPr>
                <w:rFonts w:hint="eastAsia" w:ascii="仿宋" w:hAnsi="仿宋" w:eastAsia="仿宋" w:cs="仿宋"/>
                <w:bCs/>
                <w:color w:val="000000" w:themeColor="text1"/>
                <w:szCs w:val="21"/>
                <w:highlight w:val="none"/>
                <w14:textFill>
                  <w14:solidFill>
                    <w14:schemeClr w14:val="tx1"/>
                  </w14:solidFill>
                </w14:textFill>
              </w:rPr>
              <w:t>进行综合评审；</w:t>
            </w:r>
          </w:p>
          <w:p w14:paraId="0B67C27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w:t>
            </w:r>
            <w:r>
              <w:rPr>
                <w:rFonts w:hint="eastAsia" w:ascii="仿宋" w:hAnsi="仿宋" w:eastAsia="仿宋" w:cs="仿宋"/>
                <w:b/>
                <w:bCs w:val="0"/>
                <w:color w:val="000000" w:themeColor="text1"/>
                <w:kern w:val="2"/>
                <w:sz w:val="21"/>
                <w:szCs w:val="21"/>
                <w:highlight w:val="none"/>
                <w14:textFill>
                  <w14:solidFill>
                    <w14:schemeClr w14:val="tx1"/>
                  </w14:solidFill>
                </w14:textFill>
              </w:rPr>
              <w:t>得4分；内容全面性，针对性一般的得3分；内容基本合理的得2分；内容有所欠缺的得1分；不提供不得分。</w:t>
            </w:r>
          </w:p>
        </w:tc>
        <w:tc>
          <w:tcPr>
            <w:tcW w:w="805" w:type="dxa"/>
            <w:vAlign w:val="center"/>
          </w:tcPr>
          <w:p w14:paraId="5FB81D6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45" w:type="dxa"/>
            <w:vAlign w:val="center"/>
          </w:tcPr>
          <w:p w14:paraId="1545C7C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主观分</w:t>
            </w:r>
          </w:p>
        </w:tc>
        <w:tc>
          <w:tcPr>
            <w:tcW w:w="1105" w:type="dxa"/>
            <w:vAlign w:val="center"/>
          </w:tcPr>
          <w:p w14:paraId="6B6B107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居家养老服务照料中心食堂运营方案</w:t>
            </w:r>
          </w:p>
        </w:tc>
      </w:tr>
      <w:tr w14:paraId="732F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2" w:type="dxa"/>
            <w:vAlign w:val="center"/>
          </w:tcPr>
          <w:p w14:paraId="008F7B1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p>
        </w:tc>
        <w:tc>
          <w:tcPr>
            <w:tcW w:w="5577" w:type="dxa"/>
            <w:vAlign w:val="center"/>
          </w:tcPr>
          <w:p w14:paraId="7756C19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根据投标人提供的</w:t>
            </w:r>
            <w:r>
              <w:rPr>
                <w:rFonts w:hint="eastAsia" w:ascii="仿宋" w:hAnsi="仿宋" w:eastAsia="仿宋" w:cs="仿宋"/>
                <w:bCs/>
                <w:color w:val="000000" w:themeColor="text1"/>
                <w:szCs w:val="21"/>
                <w:highlight w:val="none"/>
                <w:lang w:val="en-US" w:eastAsia="zh-CN"/>
                <w14:textFill>
                  <w14:solidFill>
                    <w14:schemeClr w14:val="tx1"/>
                  </w14:solidFill>
                </w14:textFill>
              </w:rPr>
              <w:t>点位运营方案</w:t>
            </w:r>
            <w:r>
              <w:rPr>
                <w:rFonts w:hint="eastAsia" w:ascii="仿宋" w:hAnsi="仿宋" w:eastAsia="仿宋" w:cs="仿宋"/>
                <w:bCs/>
                <w:color w:val="000000" w:themeColor="text1"/>
                <w:szCs w:val="21"/>
                <w:highlight w:val="none"/>
                <w14:textFill>
                  <w14:solidFill>
                    <w14:schemeClr w14:val="tx1"/>
                  </w14:solidFill>
                </w14:textFill>
              </w:rPr>
              <w:t>的完整性、合理性、</w:t>
            </w:r>
            <w:r>
              <w:rPr>
                <w:rFonts w:hint="eastAsia" w:ascii="仿宋" w:hAnsi="仿宋" w:eastAsia="仿宋" w:cs="仿宋"/>
                <w:bCs/>
                <w:color w:val="000000" w:themeColor="text1"/>
                <w:szCs w:val="21"/>
                <w:highlight w:val="none"/>
                <w:lang w:val="en-US" w:eastAsia="zh-CN"/>
                <w14:textFill>
                  <w14:solidFill>
                    <w14:schemeClr w14:val="tx1"/>
                  </w14:solidFill>
                </w14:textFill>
              </w:rPr>
              <w:t>是否符合上级消防部门和民政部门的管理要求等情况</w:t>
            </w:r>
            <w:r>
              <w:rPr>
                <w:rFonts w:hint="eastAsia" w:ascii="仿宋" w:hAnsi="仿宋" w:eastAsia="仿宋" w:cs="仿宋"/>
                <w:bCs/>
                <w:color w:val="000000" w:themeColor="text1"/>
                <w:szCs w:val="21"/>
                <w:highlight w:val="none"/>
                <w14:textFill>
                  <w14:solidFill>
                    <w14:schemeClr w14:val="tx1"/>
                  </w14:solidFill>
                </w14:textFill>
              </w:rPr>
              <w:t>进行综合评审；</w:t>
            </w:r>
          </w:p>
          <w:p w14:paraId="63B266E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bCs w:val="0"/>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w:t>
            </w:r>
            <w:r>
              <w:rPr>
                <w:rFonts w:hint="eastAsia" w:ascii="仿宋" w:hAnsi="仿宋" w:eastAsia="仿宋" w:cs="仿宋"/>
                <w:b/>
                <w:bCs w:val="0"/>
                <w:color w:val="000000" w:themeColor="text1"/>
                <w:kern w:val="2"/>
                <w:sz w:val="21"/>
                <w:szCs w:val="21"/>
                <w:highlight w:val="none"/>
                <w14:textFill>
                  <w14:solidFill>
                    <w14:schemeClr w14:val="tx1"/>
                  </w14:solidFill>
                </w14:textFill>
              </w:rPr>
              <w:t>得4分；内容全面性，针对性一般的得3分；内容基本合理的得2分；内容有所欠缺的得1分；不提供不得分。</w:t>
            </w:r>
          </w:p>
        </w:tc>
        <w:tc>
          <w:tcPr>
            <w:tcW w:w="805" w:type="dxa"/>
            <w:vAlign w:val="center"/>
          </w:tcPr>
          <w:p w14:paraId="0802E68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45" w:type="dxa"/>
            <w:vAlign w:val="center"/>
          </w:tcPr>
          <w:p w14:paraId="444D285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主观分</w:t>
            </w:r>
          </w:p>
        </w:tc>
        <w:tc>
          <w:tcPr>
            <w:tcW w:w="1105" w:type="dxa"/>
            <w:vAlign w:val="center"/>
          </w:tcPr>
          <w:p w14:paraId="52E1280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点位运营方案</w:t>
            </w:r>
          </w:p>
        </w:tc>
      </w:tr>
      <w:tr w14:paraId="268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82" w:type="dxa"/>
            <w:vAlign w:val="center"/>
          </w:tcPr>
          <w:p w14:paraId="2B907B8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0</w:t>
            </w:r>
          </w:p>
        </w:tc>
        <w:tc>
          <w:tcPr>
            <w:tcW w:w="5577" w:type="dxa"/>
            <w:vAlign w:val="center"/>
          </w:tcPr>
          <w:p w14:paraId="7FB6CA6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w:t>
            </w:r>
            <w:r>
              <w:rPr>
                <w:rFonts w:hint="eastAsia" w:ascii="仿宋" w:hAnsi="仿宋" w:eastAsia="仿宋" w:cs="仿宋"/>
                <w:bCs/>
                <w:color w:val="000000" w:themeColor="text1"/>
                <w:szCs w:val="21"/>
                <w:highlight w:val="none"/>
                <w:lang w:val="zh-CN" w:eastAsia="zh-CN"/>
                <w14:textFill>
                  <w14:solidFill>
                    <w14:schemeClr w14:val="tx1"/>
                  </w14:solidFill>
                </w14:textFill>
              </w:rPr>
              <w:t>在</w:t>
            </w:r>
            <w:r>
              <w:rPr>
                <w:rFonts w:hint="eastAsia" w:ascii="仿宋" w:hAnsi="仿宋" w:eastAsia="仿宋" w:cs="仿宋"/>
                <w:bCs/>
                <w:color w:val="000000" w:themeColor="text1"/>
                <w:szCs w:val="21"/>
                <w:highlight w:val="none"/>
                <w:lang w:val="en-US" w:eastAsia="zh-CN"/>
                <w14:textFill>
                  <w14:solidFill>
                    <w14:schemeClr w14:val="tx1"/>
                  </w14:solidFill>
                </w14:textFill>
              </w:rPr>
              <w:t>项目所在地</w:t>
            </w:r>
            <w:r>
              <w:rPr>
                <w:rFonts w:hint="eastAsia" w:ascii="仿宋" w:hAnsi="仿宋" w:eastAsia="仿宋" w:cs="仿宋"/>
                <w:bCs/>
                <w:color w:val="000000" w:themeColor="text1"/>
                <w:szCs w:val="21"/>
                <w:highlight w:val="none"/>
                <w:lang w:val="zh-CN" w:eastAsia="zh-CN"/>
                <w14:textFill>
                  <w14:solidFill>
                    <w14:schemeClr w14:val="tx1"/>
                  </w14:solidFill>
                </w14:textFill>
              </w:rPr>
              <w:t>是否拥有常驻服务和技术支持机构</w:t>
            </w:r>
            <w:r>
              <w:rPr>
                <w:rFonts w:hint="eastAsia" w:ascii="仿宋" w:hAnsi="仿宋" w:eastAsia="仿宋" w:cs="仿宋"/>
                <w:b/>
                <w:bCs w:val="0"/>
                <w:color w:val="000000" w:themeColor="text1"/>
                <w:szCs w:val="21"/>
                <w:highlight w:val="none"/>
                <w:lang w:val="zh-CN" w:eastAsia="zh-CN"/>
                <w14:textFill>
                  <w14:solidFill>
                    <w14:schemeClr w14:val="tx1"/>
                  </w14:solidFill>
                </w14:textFill>
              </w:rPr>
              <w:t>（</w:t>
            </w:r>
            <w:r>
              <w:rPr>
                <w:rFonts w:hint="eastAsia" w:ascii="仿宋" w:hAnsi="仿宋" w:eastAsia="仿宋" w:cs="仿宋"/>
                <w:b/>
                <w:bCs w:val="0"/>
                <w:color w:val="000000" w:themeColor="text1"/>
                <w:szCs w:val="21"/>
                <w:highlight w:val="none"/>
                <w14:textFill>
                  <w14:solidFill>
                    <w14:schemeClr w14:val="tx1"/>
                  </w14:solidFill>
                </w14:textFill>
              </w:rPr>
              <w:t>提供营业执照注册地址或有效的租赁合同</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扫描件）</w:t>
            </w:r>
            <w:r>
              <w:rPr>
                <w:rFonts w:hint="eastAsia" w:ascii="仿宋" w:hAnsi="仿宋" w:eastAsia="仿宋" w:cs="仿宋"/>
                <w:bCs/>
                <w:color w:val="000000" w:themeColor="text1"/>
                <w:szCs w:val="21"/>
                <w:highlight w:val="none"/>
                <w:lang w:val="en-US" w:eastAsia="zh-CN"/>
                <w14:textFill>
                  <w14:solidFill>
                    <w14:schemeClr w14:val="tx1"/>
                  </w14:solidFill>
                </w14:textFill>
              </w:rPr>
              <w:t>，或承诺中标后设立</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（提供承诺函，格式自拟）</w:t>
            </w:r>
            <w:r>
              <w:rPr>
                <w:rFonts w:hint="eastAsia" w:ascii="仿宋" w:hAnsi="仿宋" w:eastAsia="仿宋" w:cs="仿宋"/>
                <w:bCs/>
                <w:color w:val="000000" w:themeColor="text1"/>
                <w:szCs w:val="21"/>
                <w:highlight w:val="none"/>
                <w:lang w:val="en-US" w:eastAsia="zh-CN"/>
                <w14:textFill>
                  <w14:solidFill>
                    <w14:schemeClr w14:val="tx1"/>
                  </w14:solidFill>
                </w14:textFill>
              </w:rPr>
              <w:t>。</w:t>
            </w:r>
          </w:p>
        </w:tc>
        <w:tc>
          <w:tcPr>
            <w:tcW w:w="805" w:type="dxa"/>
            <w:vAlign w:val="center"/>
          </w:tcPr>
          <w:p w14:paraId="3E0515A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000000" w:themeColor="text1"/>
                <w:szCs w:val="21"/>
                <w:highlight w:val="none"/>
                <w:lang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w:t>
            </w:r>
          </w:p>
        </w:tc>
        <w:tc>
          <w:tcPr>
            <w:tcW w:w="845" w:type="dxa"/>
            <w:vAlign w:val="center"/>
          </w:tcPr>
          <w:p w14:paraId="16224AE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客</w:t>
            </w:r>
            <w:r>
              <w:rPr>
                <w:rFonts w:hint="eastAsia" w:ascii="仿宋" w:hAnsi="仿宋" w:eastAsia="仿宋" w:cs="仿宋"/>
                <w:b w:val="0"/>
                <w:bCs w:val="0"/>
                <w:color w:val="000000" w:themeColor="text1"/>
                <w:szCs w:val="21"/>
                <w:highlight w:val="none"/>
                <w14:textFill>
                  <w14:solidFill>
                    <w14:schemeClr w14:val="tx1"/>
                  </w14:solidFill>
                </w14:textFill>
              </w:rPr>
              <w:t>观分</w:t>
            </w:r>
          </w:p>
        </w:tc>
        <w:tc>
          <w:tcPr>
            <w:tcW w:w="1105" w:type="dxa"/>
            <w:vMerge w:val="restart"/>
            <w:vAlign w:val="center"/>
          </w:tcPr>
          <w:p w14:paraId="3E9E353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应急服务的响应性及可行性</w:t>
            </w:r>
          </w:p>
        </w:tc>
      </w:tr>
      <w:tr w14:paraId="2C41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6FEC70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w:t>
            </w:r>
          </w:p>
        </w:tc>
        <w:tc>
          <w:tcPr>
            <w:tcW w:w="5577" w:type="dxa"/>
            <w:vAlign w:val="center"/>
          </w:tcPr>
          <w:p w14:paraId="2EADDFE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保证提供快捷及时上门服务，保证能够在15（含）分钟能到达的服务地点的得5分，15（不含）-30（含）分钟之内的得4分，30（不含）-45（含）分钟的得3分，45（不含）-60（含）分钟之内的得2分，60（不含）分钟之内的得1分，其余不得分。</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（提供地图软件截图和承诺函，格式自拟）</w:t>
            </w:r>
            <w:r>
              <w:rPr>
                <w:rFonts w:hint="eastAsia" w:ascii="仿宋" w:hAnsi="仿宋" w:eastAsia="仿宋" w:cs="仿宋"/>
                <w:bCs/>
                <w:color w:val="000000" w:themeColor="text1"/>
                <w:szCs w:val="21"/>
                <w:highlight w:val="none"/>
                <w:lang w:val="en-US" w:eastAsia="zh-CN"/>
                <w14:textFill>
                  <w14:solidFill>
                    <w14:schemeClr w14:val="tx1"/>
                  </w14:solidFill>
                </w14:textFill>
              </w:rPr>
              <w:t>。</w:t>
            </w:r>
          </w:p>
        </w:tc>
        <w:tc>
          <w:tcPr>
            <w:tcW w:w="805" w:type="dxa"/>
            <w:vAlign w:val="center"/>
          </w:tcPr>
          <w:p w14:paraId="61CBF10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w:t>
            </w:r>
          </w:p>
        </w:tc>
        <w:tc>
          <w:tcPr>
            <w:tcW w:w="845" w:type="dxa"/>
            <w:vAlign w:val="center"/>
          </w:tcPr>
          <w:p w14:paraId="0773E3A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客</w:t>
            </w:r>
            <w:r>
              <w:rPr>
                <w:rFonts w:hint="eastAsia" w:ascii="仿宋" w:hAnsi="仿宋" w:eastAsia="仿宋" w:cs="仿宋"/>
                <w:b w:val="0"/>
                <w:bCs w:val="0"/>
                <w:color w:val="000000" w:themeColor="text1"/>
                <w:szCs w:val="21"/>
                <w:highlight w:val="none"/>
                <w14:textFill>
                  <w14:solidFill>
                    <w14:schemeClr w14:val="tx1"/>
                  </w14:solidFill>
                </w14:textFill>
              </w:rPr>
              <w:t>观分</w:t>
            </w:r>
          </w:p>
        </w:tc>
        <w:tc>
          <w:tcPr>
            <w:tcW w:w="1105" w:type="dxa"/>
            <w:vMerge w:val="continue"/>
            <w:vAlign w:val="center"/>
          </w:tcPr>
          <w:p w14:paraId="11EF515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r>
      <w:tr w14:paraId="5820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DC6304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p>
        </w:tc>
        <w:tc>
          <w:tcPr>
            <w:tcW w:w="5577" w:type="dxa"/>
            <w:vAlign w:val="center"/>
          </w:tcPr>
          <w:p w14:paraId="7CBE2E5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根据投标人提供的项目应急处理方案的完整性、合理性、科学性等进行综合评审；</w:t>
            </w:r>
          </w:p>
          <w:p w14:paraId="12A05AC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lang w:val="en-US" w:eastAsia="zh-CN"/>
                <w14:textFill>
                  <w14:solidFill>
                    <w14:schemeClr w14:val="tx1"/>
                  </w14:solidFill>
                </w14:textFill>
              </w:rPr>
              <w:t>投标人提供内容全面，针对性强的得5分；内容相对全面，且有一定针对性的得4分；内容全面性，针对性一般的得3分；内容基本合理的得2分；内容有所欠缺的得1分；不提供不得分。</w:t>
            </w:r>
          </w:p>
        </w:tc>
        <w:tc>
          <w:tcPr>
            <w:tcW w:w="805" w:type="dxa"/>
            <w:vAlign w:val="center"/>
          </w:tcPr>
          <w:p w14:paraId="461FDA7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w:t>
            </w:r>
          </w:p>
        </w:tc>
        <w:tc>
          <w:tcPr>
            <w:tcW w:w="845" w:type="dxa"/>
            <w:vAlign w:val="center"/>
          </w:tcPr>
          <w:p w14:paraId="2664648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主</w:t>
            </w:r>
            <w:r>
              <w:rPr>
                <w:rFonts w:hint="eastAsia" w:ascii="仿宋" w:hAnsi="仿宋" w:eastAsia="仿宋" w:cs="仿宋"/>
                <w:b w:val="0"/>
                <w:bCs w:val="0"/>
                <w:color w:val="000000" w:themeColor="text1"/>
                <w:szCs w:val="21"/>
                <w:highlight w:val="none"/>
                <w14:textFill>
                  <w14:solidFill>
                    <w14:schemeClr w14:val="tx1"/>
                  </w14:solidFill>
                </w14:textFill>
              </w:rPr>
              <w:t>观分</w:t>
            </w:r>
          </w:p>
        </w:tc>
        <w:tc>
          <w:tcPr>
            <w:tcW w:w="1105" w:type="dxa"/>
            <w:vMerge w:val="continue"/>
            <w:vAlign w:val="center"/>
          </w:tcPr>
          <w:p w14:paraId="003CDD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r>
      <w:tr w14:paraId="3675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CE7116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13</w:t>
            </w:r>
          </w:p>
        </w:tc>
        <w:tc>
          <w:tcPr>
            <w:tcW w:w="5577" w:type="dxa"/>
            <w:vAlign w:val="center"/>
          </w:tcPr>
          <w:p w14:paraId="7319516D">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投标人提出有助提高项目服务的建议，每提供1个有效建议得1分，最多得2分。</w:t>
            </w:r>
          </w:p>
        </w:tc>
        <w:tc>
          <w:tcPr>
            <w:tcW w:w="805" w:type="dxa"/>
            <w:vAlign w:val="center"/>
          </w:tcPr>
          <w:p w14:paraId="238A0E0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p>
        </w:tc>
        <w:tc>
          <w:tcPr>
            <w:tcW w:w="845" w:type="dxa"/>
            <w:vAlign w:val="center"/>
          </w:tcPr>
          <w:p w14:paraId="2202FC3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主观分</w:t>
            </w:r>
          </w:p>
        </w:tc>
        <w:tc>
          <w:tcPr>
            <w:tcW w:w="1105" w:type="dxa"/>
            <w:vAlign w:val="center"/>
          </w:tcPr>
          <w:p w14:paraId="59F1199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合理化建议</w:t>
            </w:r>
          </w:p>
        </w:tc>
      </w:tr>
      <w:tr w14:paraId="06A7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14:paraId="1CC1ADE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14</w:t>
            </w:r>
          </w:p>
        </w:tc>
        <w:tc>
          <w:tcPr>
            <w:tcW w:w="5577" w:type="dxa"/>
            <w:vAlign w:val="center"/>
          </w:tcPr>
          <w:p w14:paraId="593EB23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项目总负责人：</w:t>
            </w:r>
          </w:p>
          <w:p w14:paraId="68292E0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1、项目总负责人具有四级及以上养老护理员职业技能证书的得2分，本项最高得2分。</w:t>
            </w:r>
          </w:p>
          <w:p w14:paraId="740C8A9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bCs w:val="0"/>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lang w:val="en-US" w:eastAsia="zh-CN"/>
                <w14:textFill>
                  <w14:solidFill>
                    <w14:schemeClr w14:val="tx1"/>
                  </w14:solidFill>
                </w14:textFill>
              </w:rPr>
              <w:t>证明材料：同时提供技能证书复印件和投标人为其缴纳的近三个月任意一月的社保证明</w:t>
            </w:r>
            <w:r>
              <w:rPr>
                <w:rFonts w:hint="eastAsia" w:ascii="仿宋" w:hAnsi="仿宋" w:eastAsia="仿宋" w:cs="仿宋"/>
                <w:b/>
                <w:bCs w:val="0"/>
                <w:color w:val="000000" w:themeColor="text1"/>
                <w:szCs w:val="21"/>
                <w:highlight w:val="none"/>
                <w14:textFill>
                  <w14:solidFill>
                    <w14:schemeClr w14:val="tx1"/>
                  </w14:solidFill>
                </w14:textFill>
              </w:rPr>
              <w:t>，未按要求提供证明材料的不得分。</w:t>
            </w:r>
          </w:p>
          <w:p w14:paraId="26E4D92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lang w:val="en-US" w:eastAsia="zh-CN"/>
                <w14:textFill>
                  <w14:solidFill>
                    <w14:schemeClr w14:val="tx1"/>
                  </w14:solidFill>
                </w14:textFill>
              </w:rPr>
              <w:t>项目总负责人具有①居家养老服务、②点位运营相关工作经验，每提供一类得1分，本项最高得2分。</w:t>
            </w:r>
          </w:p>
          <w:p w14:paraId="1295A26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证明材料：</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同时提供经验证明材料</w:t>
            </w:r>
            <w:r>
              <w:rPr>
                <w:rFonts w:hint="eastAsia" w:ascii="仿宋" w:hAnsi="仿宋" w:eastAsia="仿宋" w:cs="仿宋"/>
                <w:b/>
                <w:bCs w:val="0"/>
                <w:color w:val="000000" w:themeColor="text1"/>
                <w:szCs w:val="21"/>
                <w:highlight w:val="none"/>
                <w14:textFill>
                  <w14:solidFill>
                    <w14:schemeClr w14:val="tx1"/>
                  </w14:solidFill>
                </w14:textFill>
              </w:rPr>
              <w:t>复印件</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和投标人为其缴纳的近三个月任意一月的社保证明</w:t>
            </w:r>
            <w:r>
              <w:rPr>
                <w:rFonts w:hint="eastAsia" w:ascii="仿宋" w:hAnsi="仿宋" w:eastAsia="仿宋" w:cs="仿宋"/>
                <w:b/>
                <w:color w:val="000000" w:themeColor="text1"/>
                <w:szCs w:val="21"/>
                <w:highlight w:val="none"/>
                <w14:textFill>
                  <w14:solidFill>
                    <w14:schemeClr w14:val="tx1"/>
                  </w14:solidFill>
                </w14:textFill>
              </w:rPr>
              <w:t>，未按要求提供证明材料的不得分。</w:t>
            </w:r>
          </w:p>
          <w:p w14:paraId="285F8A1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lang w:val="en-US" w:eastAsia="zh-CN"/>
                <w14:textFill>
                  <w14:solidFill>
                    <w14:schemeClr w14:val="tx1"/>
                  </w14:solidFill>
                </w14:textFill>
              </w:rPr>
              <w:t>项目总负责人具有大学学历的得1分。</w:t>
            </w:r>
          </w:p>
          <w:p w14:paraId="6B0FA90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证明材料：</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同时提供学历证书</w:t>
            </w:r>
            <w:r>
              <w:rPr>
                <w:rFonts w:hint="eastAsia" w:ascii="仿宋" w:hAnsi="仿宋" w:eastAsia="仿宋" w:cs="仿宋"/>
                <w:b/>
                <w:bCs w:val="0"/>
                <w:color w:val="000000" w:themeColor="text1"/>
                <w:szCs w:val="21"/>
                <w:highlight w:val="none"/>
                <w14:textFill>
                  <w14:solidFill>
                    <w14:schemeClr w14:val="tx1"/>
                  </w14:solidFill>
                </w14:textFill>
              </w:rPr>
              <w:t>复印件</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和投标人为其缴纳的近三个月任意一月的社保证明</w:t>
            </w:r>
            <w:r>
              <w:rPr>
                <w:rFonts w:hint="eastAsia" w:ascii="仿宋" w:hAnsi="仿宋" w:eastAsia="仿宋" w:cs="仿宋"/>
                <w:b/>
                <w:color w:val="000000" w:themeColor="text1"/>
                <w:szCs w:val="21"/>
                <w:highlight w:val="none"/>
                <w14:textFill>
                  <w14:solidFill>
                    <w14:schemeClr w14:val="tx1"/>
                  </w14:solidFill>
                </w14:textFill>
              </w:rPr>
              <w:t>，未按要求提供证明材料的不得分。</w:t>
            </w:r>
          </w:p>
        </w:tc>
        <w:tc>
          <w:tcPr>
            <w:tcW w:w="805" w:type="dxa"/>
            <w:vAlign w:val="center"/>
          </w:tcPr>
          <w:p w14:paraId="2FA8F83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w:t>
            </w:r>
          </w:p>
        </w:tc>
        <w:tc>
          <w:tcPr>
            <w:tcW w:w="845" w:type="dxa"/>
            <w:vAlign w:val="center"/>
          </w:tcPr>
          <w:p w14:paraId="582B087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客</w:t>
            </w:r>
            <w:r>
              <w:rPr>
                <w:rFonts w:hint="eastAsia" w:ascii="仿宋" w:hAnsi="仿宋" w:eastAsia="仿宋" w:cs="仿宋"/>
                <w:b w:val="0"/>
                <w:bCs w:val="0"/>
                <w:color w:val="000000" w:themeColor="text1"/>
                <w:szCs w:val="21"/>
                <w:highlight w:val="none"/>
                <w14:textFill>
                  <w14:solidFill>
                    <w14:schemeClr w14:val="tx1"/>
                  </w14:solidFill>
                </w14:textFill>
              </w:rPr>
              <w:t>观分</w:t>
            </w:r>
          </w:p>
        </w:tc>
        <w:tc>
          <w:tcPr>
            <w:tcW w:w="1105" w:type="dxa"/>
            <w:vMerge w:val="restart"/>
            <w:vAlign w:val="center"/>
          </w:tcPr>
          <w:p w14:paraId="544AFAE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服务团队情况</w:t>
            </w:r>
          </w:p>
        </w:tc>
      </w:tr>
      <w:tr w14:paraId="65EB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7AF8901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5577" w:type="dxa"/>
            <w:vAlign w:val="center"/>
          </w:tcPr>
          <w:p w14:paraId="3317C15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项目上门服务负责人：</w:t>
            </w:r>
          </w:p>
          <w:p w14:paraId="37723C8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1、项目上门服务负责人具有四级及以上养老护理员职业技能证书的得2分，本项最高得2分。</w:t>
            </w:r>
          </w:p>
          <w:p w14:paraId="4533798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lang w:val="en-US" w:eastAsia="zh-CN"/>
                <w14:textFill>
                  <w14:solidFill>
                    <w14:schemeClr w14:val="tx1"/>
                  </w14:solidFill>
                </w14:textFill>
              </w:rPr>
              <w:t>证明材料：同时提供技能证书复印件和投标人为其缴纳的近三个月任意一月的社保证明</w:t>
            </w:r>
            <w:r>
              <w:rPr>
                <w:rFonts w:hint="eastAsia" w:ascii="仿宋" w:hAnsi="仿宋" w:eastAsia="仿宋" w:cs="仿宋"/>
                <w:b/>
                <w:bCs w:val="0"/>
                <w:color w:val="000000" w:themeColor="text1"/>
                <w:szCs w:val="21"/>
                <w:highlight w:val="none"/>
                <w14:textFill>
                  <w14:solidFill>
                    <w14:schemeClr w14:val="tx1"/>
                  </w14:solidFill>
                </w14:textFill>
              </w:rPr>
              <w:t>，未按要求提供证明材料的不得分。</w:t>
            </w:r>
          </w:p>
          <w:p w14:paraId="0B85B9B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2、项目上门服务负责人具有区域型居家养老上门服务相关工作经验得1分，本项最高得1分。</w:t>
            </w:r>
          </w:p>
          <w:p w14:paraId="64BEAC5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bCs w:val="0"/>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证明材料：</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同时提供经验证明材料</w:t>
            </w:r>
            <w:r>
              <w:rPr>
                <w:rFonts w:hint="eastAsia" w:ascii="仿宋" w:hAnsi="仿宋" w:eastAsia="仿宋" w:cs="仿宋"/>
                <w:b/>
                <w:bCs w:val="0"/>
                <w:color w:val="000000" w:themeColor="text1"/>
                <w:szCs w:val="21"/>
                <w:highlight w:val="none"/>
                <w14:textFill>
                  <w14:solidFill>
                    <w14:schemeClr w14:val="tx1"/>
                  </w14:solidFill>
                </w14:textFill>
              </w:rPr>
              <w:t>复印件</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和投标人为其缴纳的近三个月任意一月的社保证明</w:t>
            </w:r>
            <w:r>
              <w:rPr>
                <w:rFonts w:hint="eastAsia" w:ascii="仿宋" w:hAnsi="仿宋" w:eastAsia="仿宋" w:cs="仿宋"/>
                <w:b/>
                <w:color w:val="000000" w:themeColor="text1"/>
                <w:szCs w:val="21"/>
                <w:highlight w:val="none"/>
                <w14:textFill>
                  <w14:solidFill>
                    <w14:schemeClr w14:val="tx1"/>
                  </w14:solidFill>
                </w14:textFill>
              </w:rPr>
              <w:t>，未按要求提供证明材料的不得分。</w:t>
            </w:r>
          </w:p>
        </w:tc>
        <w:tc>
          <w:tcPr>
            <w:tcW w:w="805" w:type="dxa"/>
            <w:vAlign w:val="center"/>
          </w:tcPr>
          <w:p w14:paraId="5088FE2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w:t>
            </w:r>
          </w:p>
        </w:tc>
        <w:tc>
          <w:tcPr>
            <w:tcW w:w="845" w:type="dxa"/>
            <w:vAlign w:val="center"/>
          </w:tcPr>
          <w:p w14:paraId="4588444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客</w:t>
            </w:r>
            <w:r>
              <w:rPr>
                <w:rFonts w:hint="eastAsia" w:ascii="仿宋" w:hAnsi="仿宋" w:eastAsia="仿宋" w:cs="仿宋"/>
                <w:b w:val="0"/>
                <w:bCs w:val="0"/>
                <w:color w:val="000000" w:themeColor="text1"/>
                <w:szCs w:val="21"/>
                <w:highlight w:val="none"/>
                <w14:textFill>
                  <w14:solidFill>
                    <w14:schemeClr w14:val="tx1"/>
                  </w14:solidFill>
                </w14:textFill>
              </w:rPr>
              <w:t>观分</w:t>
            </w:r>
          </w:p>
        </w:tc>
        <w:tc>
          <w:tcPr>
            <w:tcW w:w="1105" w:type="dxa"/>
            <w:vMerge w:val="continue"/>
            <w:vAlign w:val="center"/>
          </w:tcPr>
          <w:p w14:paraId="41CD144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r>
      <w:tr w14:paraId="1EF1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5065682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5577" w:type="dxa"/>
            <w:vAlign w:val="center"/>
          </w:tcPr>
          <w:p w14:paraId="1D93537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项目点位负责人：</w:t>
            </w:r>
          </w:p>
          <w:p w14:paraId="34F325A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1、项目点位负责人具有四级及以上养老护理员职业技能证书的得2分，本项最高得2分。</w:t>
            </w:r>
          </w:p>
          <w:p w14:paraId="47BA976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lang w:val="en-US" w:eastAsia="zh-CN"/>
                <w14:textFill>
                  <w14:solidFill>
                    <w14:schemeClr w14:val="tx1"/>
                  </w14:solidFill>
                </w14:textFill>
              </w:rPr>
              <w:t>证明材料：同时提供技能证书复印件和投标人为其缴纳的近三个月任意一月的社保证明</w:t>
            </w:r>
            <w:r>
              <w:rPr>
                <w:rFonts w:hint="eastAsia" w:ascii="仿宋" w:hAnsi="仿宋" w:eastAsia="仿宋" w:cs="仿宋"/>
                <w:b/>
                <w:bCs w:val="0"/>
                <w:color w:val="000000" w:themeColor="text1"/>
                <w:szCs w:val="21"/>
                <w:highlight w:val="none"/>
                <w14:textFill>
                  <w14:solidFill>
                    <w14:schemeClr w14:val="tx1"/>
                  </w14:solidFill>
                </w14:textFill>
              </w:rPr>
              <w:t>，未按要求提供证明材料的不得分。</w:t>
            </w:r>
          </w:p>
          <w:p w14:paraId="1052178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2、项目点位负责人具有区域型居家养老点位运营相关工作经验得1分，本项最高得1分。</w:t>
            </w:r>
          </w:p>
          <w:p w14:paraId="48FCBAD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证明材料：</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同时提供经验证明材料</w:t>
            </w:r>
            <w:r>
              <w:rPr>
                <w:rFonts w:hint="eastAsia" w:ascii="仿宋" w:hAnsi="仿宋" w:eastAsia="仿宋" w:cs="仿宋"/>
                <w:b/>
                <w:bCs w:val="0"/>
                <w:color w:val="000000" w:themeColor="text1"/>
                <w:szCs w:val="21"/>
                <w:highlight w:val="none"/>
                <w14:textFill>
                  <w14:solidFill>
                    <w14:schemeClr w14:val="tx1"/>
                  </w14:solidFill>
                </w14:textFill>
              </w:rPr>
              <w:t>复印件</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和投标人为其缴纳的近三个月任意一月的社保证明</w:t>
            </w:r>
            <w:r>
              <w:rPr>
                <w:rFonts w:hint="eastAsia" w:ascii="仿宋" w:hAnsi="仿宋" w:eastAsia="仿宋" w:cs="仿宋"/>
                <w:b/>
                <w:color w:val="000000" w:themeColor="text1"/>
                <w:szCs w:val="21"/>
                <w:highlight w:val="none"/>
                <w14:textFill>
                  <w14:solidFill>
                    <w14:schemeClr w14:val="tx1"/>
                  </w14:solidFill>
                </w14:textFill>
              </w:rPr>
              <w:t>，未按要求提供证明材料的不得分。</w:t>
            </w:r>
          </w:p>
        </w:tc>
        <w:tc>
          <w:tcPr>
            <w:tcW w:w="805" w:type="dxa"/>
            <w:vAlign w:val="center"/>
          </w:tcPr>
          <w:p w14:paraId="66ACDC8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w:t>
            </w:r>
          </w:p>
        </w:tc>
        <w:tc>
          <w:tcPr>
            <w:tcW w:w="845" w:type="dxa"/>
            <w:vAlign w:val="center"/>
          </w:tcPr>
          <w:p w14:paraId="1528DF4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客观</w:t>
            </w:r>
            <w:r>
              <w:rPr>
                <w:rFonts w:hint="eastAsia" w:ascii="仿宋" w:hAnsi="仿宋" w:eastAsia="仿宋" w:cs="仿宋"/>
                <w:b w:val="0"/>
                <w:bCs w:val="0"/>
                <w:color w:val="000000" w:themeColor="text1"/>
                <w:szCs w:val="21"/>
                <w:highlight w:val="none"/>
                <w14:textFill>
                  <w14:solidFill>
                    <w14:schemeClr w14:val="tx1"/>
                  </w14:solidFill>
                </w14:textFill>
              </w:rPr>
              <w:t>分</w:t>
            </w:r>
          </w:p>
        </w:tc>
        <w:tc>
          <w:tcPr>
            <w:tcW w:w="1105" w:type="dxa"/>
            <w:vMerge w:val="continue"/>
            <w:vAlign w:val="center"/>
          </w:tcPr>
          <w:p w14:paraId="5678E91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r>
      <w:tr w14:paraId="51B1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072B83E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p>
        </w:tc>
        <w:tc>
          <w:tcPr>
            <w:tcW w:w="5577" w:type="dxa"/>
            <w:vAlign w:val="center"/>
          </w:tcPr>
          <w:p w14:paraId="4597C78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宋体"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投标人承诺为本项目配备的项目组成员（即一线服务人员）50%及以上具有良好的方言沟通能力</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（提供承诺函，格式自拟）</w:t>
            </w:r>
            <w:r>
              <w:rPr>
                <w:rFonts w:hint="eastAsia" w:ascii="仿宋" w:hAnsi="仿宋" w:eastAsia="仿宋" w:cs="仿宋"/>
                <w:bCs/>
                <w:color w:val="000000" w:themeColor="text1"/>
                <w:szCs w:val="21"/>
                <w:highlight w:val="none"/>
                <w:lang w:val="en-US" w:eastAsia="zh-CN"/>
                <w14:textFill>
                  <w14:solidFill>
                    <w14:schemeClr w14:val="tx1"/>
                  </w14:solidFill>
                </w14:textFill>
              </w:rPr>
              <w:t>。</w:t>
            </w:r>
          </w:p>
        </w:tc>
        <w:tc>
          <w:tcPr>
            <w:tcW w:w="805" w:type="dxa"/>
            <w:vAlign w:val="center"/>
          </w:tcPr>
          <w:p w14:paraId="5F0C6F1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p>
        </w:tc>
        <w:tc>
          <w:tcPr>
            <w:tcW w:w="845" w:type="dxa"/>
            <w:vAlign w:val="center"/>
          </w:tcPr>
          <w:p w14:paraId="389B255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客观分</w:t>
            </w:r>
          </w:p>
        </w:tc>
        <w:tc>
          <w:tcPr>
            <w:tcW w:w="1105" w:type="dxa"/>
            <w:vMerge w:val="continue"/>
            <w:vAlign w:val="center"/>
          </w:tcPr>
          <w:p w14:paraId="047C391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p>
        </w:tc>
      </w:tr>
      <w:tr w14:paraId="204C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313BF10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p>
        </w:tc>
        <w:tc>
          <w:tcPr>
            <w:tcW w:w="5577" w:type="dxa"/>
            <w:vAlign w:val="center"/>
          </w:tcPr>
          <w:p w14:paraId="73F2089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项目组成员（除项目总负责人、</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上门服务</w:t>
            </w:r>
            <w:r>
              <w:rPr>
                <w:rFonts w:hint="eastAsia" w:ascii="仿宋" w:hAnsi="仿宋" w:eastAsia="仿宋" w:cs="仿宋"/>
                <w:b w:val="0"/>
                <w:bCs/>
                <w:color w:val="000000" w:themeColor="text1"/>
                <w:sz w:val="21"/>
                <w:szCs w:val="21"/>
                <w:highlight w:val="none"/>
                <w14:textFill>
                  <w14:solidFill>
                    <w14:schemeClr w14:val="tx1"/>
                  </w14:solidFill>
                </w14:textFill>
              </w:rPr>
              <w:t>负责人</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点位负责人</w:t>
            </w:r>
            <w:r>
              <w:rPr>
                <w:rFonts w:hint="eastAsia" w:ascii="仿宋" w:hAnsi="仿宋" w:eastAsia="仿宋" w:cs="仿宋"/>
                <w:bCs/>
                <w:color w:val="000000" w:themeColor="text1"/>
                <w:szCs w:val="21"/>
                <w:highlight w:val="none"/>
                <w:lang w:val="en-US" w:eastAsia="zh-CN"/>
                <w14:textFill>
                  <w14:solidFill>
                    <w14:schemeClr w14:val="tx1"/>
                  </w14:solidFill>
                </w14:textFill>
              </w:rPr>
              <w:t>外）中具有心理咨询师证书、康复师证书、营养师证书、每具有一类证书的得2分，本项最高得6分。提供证明材料及其缴纳社保的证明材料，如人员为兼职或返聘人员，提供聘用合同或投标单位工资打款（支付）凭证，未提供不得分）。</w:t>
            </w:r>
          </w:p>
          <w:p w14:paraId="7E719F5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证明材料：</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同时提供证书证明材料</w:t>
            </w:r>
            <w:r>
              <w:rPr>
                <w:rFonts w:hint="eastAsia" w:ascii="仿宋" w:hAnsi="仿宋" w:eastAsia="仿宋" w:cs="仿宋"/>
                <w:b/>
                <w:bCs w:val="0"/>
                <w:color w:val="000000" w:themeColor="text1"/>
                <w:szCs w:val="21"/>
                <w:highlight w:val="none"/>
                <w14:textFill>
                  <w14:solidFill>
                    <w14:schemeClr w14:val="tx1"/>
                  </w14:solidFill>
                </w14:textFill>
              </w:rPr>
              <w:t>复印件</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和投标人为其缴纳的近三个月任意一月的社保证明（如人员为兼职或返聘人员，提供聘用合同或投标单位工资打款（支付）凭证）</w:t>
            </w:r>
            <w:r>
              <w:rPr>
                <w:rFonts w:hint="eastAsia" w:ascii="仿宋" w:hAnsi="仿宋" w:eastAsia="仿宋" w:cs="仿宋"/>
                <w:b/>
                <w:bCs w:val="0"/>
                <w:color w:val="000000" w:themeColor="text1"/>
                <w:szCs w:val="21"/>
                <w:highlight w:val="none"/>
                <w14:textFill>
                  <w14:solidFill>
                    <w14:schemeClr w14:val="tx1"/>
                  </w14:solidFill>
                </w14:textFill>
              </w:rPr>
              <w:t>，未按要求提供证明材料的不得分。</w:t>
            </w:r>
          </w:p>
        </w:tc>
        <w:tc>
          <w:tcPr>
            <w:tcW w:w="805" w:type="dxa"/>
            <w:vAlign w:val="center"/>
          </w:tcPr>
          <w:p w14:paraId="4A4DDA2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845" w:type="dxa"/>
            <w:vAlign w:val="center"/>
          </w:tcPr>
          <w:p w14:paraId="2DC8B84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客观分</w:t>
            </w:r>
          </w:p>
        </w:tc>
        <w:tc>
          <w:tcPr>
            <w:tcW w:w="1105" w:type="dxa"/>
            <w:vMerge w:val="continue"/>
            <w:vAlign w:val="center"/>
          </w:tcPr>
          <w:p w14:paraId="12683AC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p>
        </w:tc>
      </w:tr>
      <w:tr w14:paraId="799B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FD5EB7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15</w:t>
            </w:r>
          </w:p>
        </w:tc>
        <w:tc>
          <w:tcPr>
            <w:tcW w:w="5577" w:type="dxa"/>
          </w:tcPr>
          <w:p w14:paraId="5101AFE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投标人针对本项目服务期内接触到的项目资料、服务对象资料等其他与本项目相关的资料提供具体有效的保密方案</w:t>
            </w:r>
            <w:r>
              <w:rPr>
                <w:rFonts w:hint="eastAsia" w:ascii="仿宋" w:hAnsi="仿宋" w:eastAsia="仿宋" w:cs="仿宋"/>
                <w:bCs/>
                <w:color w:val="000000" w:themeColor="text1"/>
                <w:szCs w:val="21"/>
                <w:highlight w:val="none"/>
                <w14:textFill>
                  <w14:solidFill>
                    <w14:schemeClr w14:val="tx1"/>
                  </w14:solidFill>
                </w14:textFill>
              </w:rPr>
              <w:t>进行综合评审；</w:t>
            </w:r>
          </w:p>
          <w:p w14:paraId="24B3B7E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w:t>
            </w:r>
            <w:r>
              <w:rPr>
                <w:rFonts w:hint="eastAsia" w:ascii="仿宋" w:hAnsi="仿宋" w:eastAsia="仿宋" w:cs="仿宋"/>
                <w:b/>
                <w:bCs w:val="0"/>
                <w:color w:val="000000" w:themeColor="text1"/>
                <w:kern w:val="2"/>
                <w:sz w:val="21"/>
                <w:szCs w:val="21"/>
                <w:highlight w:val="none"/>
                <w14:textFill>
                  <w14:solidFill>
                    <w14:schemeClr w14:val="tx1"/>
                  </w14:solidFill>
                </w14:textFill>
              </w:rPr>
              <w:t>得4分；内容全面性，针对性一般的得3分；内容基本合理的得2分；内容有所欠缺的得1分；不提供不得分。</w:t>
            </w:r>
          </w:p>
        </w:tc>
        <w:tc>
          <w:tcPr>
            <w:tcW w:w="805" w:type="dxa"/>
            <w:vAlign w:val="center"/>
          </w:tcPr>
          <w:p w14:paraId="79196FE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45" w:type="dxa"/>
            <w:vAlign w:val="center"/>
          </w:tcPr>
          <w:p w14:paraId="6861D15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主观分</w:t>
            </w:r>
          </w:p>
        </w:tc>
        <w:tc>
          <w:tcPr>
            <w:tcW w:w="1105" w:type="dxa"/>
            <w:vAlign w:val="center"/>
          </w:tcPr>
          <w:p w14:paraId="1C73721E">
            <w:pPr>
              <w:keepNext w:val="0"/>
              <w:keepLines w:val="0"/>
              <w:pageBreakBefore w:val="0"/>
              <w:widowControl w:val="0"/>
              <w:kinsoku/>
              <w:wordWrap/>
              <w:overflowPunct/>
              <w:topLinePunct w:val="0"/>
              <w:autoSpaceDE/>
              <w:autoSpaceDN/>
              <w:bidi w:val="0"/>
              <w:adjustRightInd w:val="0"/>
              <w:spacing w:line="320" w:lineRule="exact"/>
              <w:jc w:val="center"/>
              <w:textAlignment w:val="auto"/>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保密方案</w:t>
            </w:r>
          </w:p>
        </w:tc>
      </w:tr>
    </w:tbl>
    <w:p w14:paraId="3B75F490">
      <w:pPr>
        <w:keepNext w:val="0"/>
        <w:keepLines w:val="0"/>
        <w:pageBreakBefore w:val="0"/>
        <w:widowControl w:val="0"/>
        <w:kinsoku/>
        <w:wordWrap/>
        <w:overflowPunct/>
        <w:topLinePunct w:val="0"/>
        <w:autoSpaceDE/>
        <w:autoSpaceDN/>
        <w:bidi w:val="0"/>
        <w:adjustRightInd w:val="0"/>
        <w:spacing w:line="320" w:lineRule="exact"/>
        <w:jc w:val="center"/>
        <w:textAlignment w:val="auto"/>
        <w:outlineLvl w:val="0"/>
        <w:rPr>
          <w:rFonts w:hint="eastAsia" w:ascii="仿宋" w:hAnsi="仿宋" w:eastAsia="仿宋"/>
          <w:b/>
          <w:color w:val="000000" w:themeColor="text1"/>
          <w:sz w:val="36"/>
          <w:szCs w:val="36"/>
          <w:highlight w:val="none"/>
          <w14:textFill>
            <w14:solidFill>
              <w14:schemeClr w14:val="tx1"/>
            </w14:solidFill>
          </w14:textFill>
        </w:rPr>
      </w:pPr>
    </w:p>
    <w:p w14:paraId="086956DB">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outlineLvl w:val="0"/>
        <w:rPr>
          <w:rFonts w:hint="eastAsia" w:ascii="仿宋" w:hAnsi="仿宋" w:eastAsia="仿宋"/>
          <w:b/>
          <w:color w:val="000000" w:themeColor="text1"/>
          <w:sz w:val="36"/>
          <w:szCs w:val="36"/>
          <w:highlight w:val="none"/>
          <w14:textFill>
            <w14:solidFill>
              <w14:schemeClr w14:val="tx1"/>
            </w14:solidFill>
          </w14:textFill>
        </w:rPr>
      </w:pPr>
    </w:p>
    <w:p w14:paraId="4FB02057">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outlineLvl w:val="0"/>
        <w:rPr>
          <w:rFonts w:hint="default" w:ascii="仿宋" w:hAnsi="仿宋" w:eastAsia="仿宋"/>
          <w:b/>
          <w:color w:val="000000" w:themeColor="text1"/>
          <w:sz w:val="36"/>
          <w:szCs w:val="36"/>
          <w:highlight w:val="none"/>
          <w:lang w:val="en-US" w:eastAsia="zh-CN"/>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评标办法前附表</w:t>
      </w:r>
      <w:r>
        <w:rPr>
          <w:rFonts w:hint="eastAsia" w:ascii="仿宋" w:hAnsi="仿宋" w:eastAsia="仿宋"/>
          <w:b/>
          <w:color w:val="000000" w:themeColor="text1"/>
          <w:sz w:val="36"/>
          <w:szCs w:val="36"/>
          <w:highlight w:val="none"/>
          <w:lang w:val="en-US" w:eastAsia="zh-CN"/>
          <w14:textFill>
            <w14:solidFill>
              <w14:schemeClr w14:val="tx1"/>
            </w14:solidFill>
          </w14:textFill>
        </w:rPr>
        <w:t>-标项二</w:t>
      </w:r>
    </w:p>
    <w:tbl>
      <w:tblPr>
        <w:tblStyle w:val="50"/>
        <w:tblW w:w="9014"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577"/>
        <w:gridCol w:w="805"/>
        <w:gridCol w:w="845"/>
        <w:gridCol w:w="1105"/>
      </w:tblGrid>
      <w:tr w14:paraId="2F89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23F2FA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5577" w:type="dxa"/>
            <w:vAlign w:val="center"/>
          </w:tcPr>
          <w:p w14:paraId="1C69201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评标标准</w:t>
            </w:r>
          </w:p>
        </w:tc>
        <w:tc>
          <w:tcPr>
            <w:tcW w:w="805" w:type="dxa"/>
            <w:vAlign w:val="center"/>
          </w:tcPr>
          <w:p w14:paraId="7DEE97A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权重</w:t>
            </w:r>
          </w:p>
        </w:tc>
        <w:tc>
          <w:tcPr>
            <w:tcW w:w="845" w:type="dxa"/>
            <w:vAlign w:val="center"/>
          </w:tcPr>
          <w:p w14:paraId="5B04171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主观分/客观分属性</w:t>
            </w:r>
          </w:p>
        </w:tc>
        <w:tc>
          <w:tcPr>
            <w:tcW w:w="1105" w:type="dxa"/>
          </w:tcPr>
          <w:p w14:paraId="193A5F6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投标文件中评标标准相应的商务技术资料目录*</w:t>
            </w:r>
          </w:p>
        </w:tc>
      </w:tr>
      <w:tr w14:paraId="54B9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8D1FC1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p>
        </w:tc>
        <w:tc>
          <w:tcPr>
            <w:tcW w:w="5577" w:type="dxa"/>
            <w:vAlign w:val="center"/>
          </w:tcPr>
          <w:p w14:paraId="150A443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投标人具有有效期内的质量管理体系认证证书、环境管理体系认证证书、职业健康安全管理体系认证证书，每提供一个得1分，最高得3分。</w:t>
            </w:r>
          </w:p>
          <w:p w14:paraId="218AB4D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证明材料：提供有效期内证明材料并投标人加盖公章，未按要求提供证明材料的不得分。</w:t>
            </w:r>
          </w:p>
        </w:tc>
        <w:tc>
          <w:tcPr>
            <w:tcW w:w="805" w:type="dxa"/>
            <w:vAlign w:val="center"/>
          </w:tcPr>
          <w:p w14:paraId="43BEDB2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845" w:type="dxa"/>
            <w:vAlign w:val="center"/>
          </w:tcPr>
          <w:p w14:paraId="2D81254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客观分</w:t>
            </w:r>
          </w:p>
        </w:tc>
        <w:tc>
          <w:tcPr>
            <w:tcW w:w="1105" w:type="dxa"/>
            <w:vAlign w:val="center"/>
          </w:tcPr>
          <w:p w14:paraId="58C401F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体系证书</w:t>
            </w:r>
          </w:p>
        </w:tc>
      </w:tr>
      <w:tr w14:paraId="028E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14:paraId="00D832F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p>
        </w:tc>
        <w:tc>
          <w:tcPr>
            <w:tcW w:w="5577" w:type="dxa"/>
            <w:vAlign w:val="center"/>
          </w:tcPr>
          <w:p w14:paraId="17E869F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根据投标人提供的项目服务实施方案</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p>
          <w:p w14:paraId="768A53A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全面，且有一定针对性的得4分；内容全面性，针对性一般的得3分；内容基本合理的得2分；内容有所欠缺的得1分；不提供不得分。</w:t>
            </w:r>
          </w:p>
        </w:tc>
        <w:tc>
          <w:tcPr>
            <w:tcW w:w="805" w:type="dxa"/>
            <w:vAlign w:val="center"/>
          </w:tcPr>
          <w:p w14:paraId="1F70722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845" w:type="dxa"/>
            <w:vAlign w:val="center"/>
          </w:tcPr>
          <w:p w14:paraId="3ACDD85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Merge w:val="restart"/>
            <w:vAlign w:val="center"/>
          </w:tcPr>
          <w:p w14:paraId="07614AB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zh-TW" w:eastAsia="zh-CN"/>
                <w14:textFill>
                  <w14:solidFill>
                    <w14:schemeClr w14:val="tx1"/>
                  </w14:solidFill>
                </w14:textFill>
              </w:rPr>
              <w:t>服务方案</w:t>
            </w:r>
          </w:p>
        </w:tc>
      </w:tr>
      <w:tr w14:paraId="44D1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64CDE55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5577" w:type="dxa"/>
            <w:vAlign w:val="center"/>
          </w:tcPr>
          <w:p w14:paraId="2EBEE84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根据投标人提供的项目服务各工序衔接方案</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p>
          <w:p w14:paraId="23E79C8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全面，且有一定针对性的得4分；内容全面性，针对性一般的得3分；内容基本合理的得2分；内容有所欠缺的得1分；不提供不得分。</w:t>
            </w:r>
          </w:p>
        </w:tc>
        <w:tc>
          <w:tcPr>
            <w:tcW w:w="805" w:type="dxa"/>
            <w:vAlign w:val="center"/>
          </w:tcPr>
          <w:p w14:paraId="64E3208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845" w:type="dxa"/>
            <w:vAlign w:val="center"/>
          </w:tcPr>
          <w:p w14:paraId="3A06986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Merge w:val="continue"/>
            <w:vAlign w:val="center"/>
          </w:tcPr>
          <w:p w14:paraId="649D3A4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Cs w:val="21"/>
                <w:highlight w:val="none"/>
                <w14:textFill>
                  <w14:solidFill>
                    <w14:schemeClr w14:val="tx1"/>
                  </w14:solidFill>
                </w14:textFill>
              </w:rPr>
            </w:pPr>
          </w:p>
        </w:tc>
      </w:tr>
      <w:tr w14:paraId="39DC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783E10C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5577" w:type="dxa"/>
            <w:vAlign w:val="center"/>
          </w:tcPr>
          <w:p w14:paraId="32F65DD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根据投标人提出的服务实施方案与项目实施地现状相结合程度，方案中体现的服务效率和服务水平</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p>
          <w:p w14:paraId="503B8DF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全面，且有一定针对性的得4分；内容全面性，针对性一般的得3分；内容基本合理的得2分；内容有所欠缺的得1分；不提供不得分。</w:t>
            </w:r>
          </w:p>
        </w:tc>
        <w:tc>
          <w:tcPr>
            <w:tcW w:w="805" w:type="dxa"/>
            <w:vAlign w:val="center"/>
          </w:tcPr>
          <w:p w14:paraId="70DF92B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845" w:type="dxa"/>
            <w:vAlign w:val="center"/>
          </w:tcPr>
          <w:p w14:paraId="4B1CA0F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Merge w:val="continue"/>
            <w:vAlign w:val="center"/>
          </w:tcPr>
          <w:p w14:paraId="12D7199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Cs w:val="21"/>
                <w:highlight w:val="none"/>
                <w14:textFill>
                  <w14:solidFill>
                    <w14:schemeClr w14:val="tx1"/>
                  </w14:solidFill>
                </w14:textFill>
              </w:rPr>
            </w:pPr>
          </w:p>
        </w:tc>
      </w:tr>
      <w:tr w14:paraId="253F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682" w:type="dxa"/>
            <w:vAlign w:val="center"/>
          </w:tcPr>
          <w:p w14:paraId="4E07545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5577" w:type="dxa"/>
            <w:vAlign w:val="center"/>
          </w:tcPr>
          <w:p w14:paraId="6BED3FF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根据投标人提供的项目质量管理方案</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r>
              <w:rPr>
                <w:rFonts w:hint="eastAsia" w:ascii="仿宋" w:hAnsi="仿宋" w:eastAsia="仿宋" w:cs="仿宋"/>
                <w:bCs/>
                <w:color w:val="000000" w:themeColor="text1"/>
                <w:szCs w:val="21"/>
                <w:highlight w:val="none"/>
                <w:lang w:val="en-US" w:eastAsia="zh-CN"/>
                <w14:textFill>
                  <w14:solidFill>
                    <w14:schemeClr w14:val="tx1"/>
                  </w14:solidFill>
                </w14:textFill>
              </w:rPr>
              <w:t>方案至少包括①质量目标、②质量保证措施、③安全保障措施、④质量监管方法及措施、监管配合、奖罚措施等；</w:t>
            </w:r>
          </w:p>
          <w:p w14:paraId="2E04797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每点</w:t>
            </w:r>
            <w:r>
              <w:rPr>
                <w:rFonts w:hint="eastAsia" w:ascii="仿宋" w:hAnsi="仿宋" w:eastAsia="仿宋" w:cs="仿宋"/>
                <w:b/>
                <w:bCs w:val="0"/>
                <w:color w:val="000000" w:themeColor="text1"/>
                <w:szCs w:val="21"/>
                <w:highlight w:val="none"/>
                <w14:textFill>
                  <w14:solidFill>
                    <w14:schemeClr w14:val="tx1"/>
                  </w14:solidFill>
                </w14:textFill>
              </w:rPr>
              <w:t>内容全面，针对性强的得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2</w:t>
            </w:r>
            <w:r>
              <w:rPr>
                <w:rFonts w:hint="eastAsia" w:ascii="仿宋" w:hAnsi="仿宋" w:eastAsia="仿宋" w:cs="仿宋"/>
                <w:b/>
                <w:bCs w:val="0"/>
                <w:color w:val="000000" w:themeColor="text1"/>
                <w:szCs w:val="21"/>
                <w:highlight w:val="none"/>
                <w14:textFill>
                  <w14:solidFill>
                    <w14:schemeClr w14:val="tx1"/>
                  </w14:solidFill>
                </w14:textFill>
              </w:rPr>
              <w:t>分；内容全面性，针对性一般的得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1</w:t>
            </w:r>
            <w:r>
              <w:rPr>
                <w:rFonts w:hint="eastAsia" w:ascii="仿宋" w:hAnsi="仿宋" w:eastAsia="仿宋" w:cs="仿宋"/>
                <w:b/>
                <w:bCs w:val="0"/>
                <w:color w:val="000000" w:themeColor="text1"/>
                <w:szCs w:val="21"/>
                <w:highlight w:val="none"/>
                <w14:textFill>
                  <w14:solidFill>
                    <w14:schemeClr w14:val="tx1"/>
                  </w14:solidFill>
                </w14:textFill>
              </w:rPr>
              <w:t>分；内容基本合理的得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0.5</w:t>
            </w:r>
            <w:r>
              <w:rPr>
                <w:rFonts w:hint="eastAsia" w:ascii="仿宋" w:hAnsi="仿宋" w:eastAsia="仿宋" w:cs="仿宋"/>
                <w:b/>
                <w:bCs w:val="0"/>
                <w:color w:val="000000" w:themeColor="text1"/>
                <w:szCs w:val="21"/>
                <w:highlight w:val="none"/>
                <w14:textFill>
                  <w14:solidFill>
                    <w14:schemeClr w14:val="tx1"/>
                  </w14:solidFill>
                </w14:textFill>
              </w:rPr>
              <w:t>分；不提供不得分。</w:t>
            </w:r>
          </w:p>
        </w:tc>
        <w:tc>
          <w:tcPr>
            <w:tcW w:w="805" w:type="dxa"/>
            <w:vAlign w:val="center"/>
          </w:tcPr>
          <w:p w14:paraId="6260A0F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p>
        </w:tc>
        <w:tc>
          <w:tcPr>
            <w:tcW w:w="845" w:type="dxa"/>
            <w:vAlign w:val="center"/>
          </w:tcPr>
          <w:p w14:paraId="686DDFD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Align w:val="center"/>
          </w:tcPr>
          <w:p w14:paraId="72CB629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质量管理</w:t>
            </w:r>
          </w:p>
        </w:tc>
      </w:tr>
      <w:tr w14:paraId="6285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682" w:type="dxa"/>
            <w:vAlign w:val="center"/>
          </w:tcPr>
          <w:p w14:paraId="116B433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5577" w:type="dxa"/>
            <w:vAlign w:val="center"/>
          </w:tcPr>
          <w:p w14:paraId="6DC6835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根据投标人提供的项目组织实施方案</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r>
              <w:rPr>
                <w:rFonts w:hint="eastAsia" w:ascii="仿宋" w:hAnsi="仿宋" w:eastAsia="仿宋" w:cs="仿宋"/>
                <w:bCs/>
                <w:color w:val="000000" w:themeColor="text1"/>
                <w:szCs w:val="21"/>
                <w:highlight w:val="none"/>
                <w:lang w:val="en-US" w:eastAsia="zh-CN"/>
                <w14:textFill>
                  <w14:solidFill>
                    <w14:schemeClr w14:val="tx1"/>
                  </w14:solidFill>
                </w14:textFill>
              </w:rPr>
              <w:t>方案至少包括①组织管理、②组织架构等；</w:t>
            </w:r>
          </w:p>
          <w:p w14:paraId="000549E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全面，且有一定针对性的得4分；内容全面性，针对性一般的得3分；内容基本合理的得2分；内容有所欠缺的得1分；不提供不得分。</w:t>
            </w:r>
          </w:p>
        </w:tc>
        <w:tc>
          <w:tcPr>
            <w:tcW w:w="805" w:type="dxa"/>
            <w:vAlign w:val="center"/>
          </w:tcPr>
          <w:p w14:paraId="75066AD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45" w:type="dxa"/>
            <w:vAlign w:val="center"/>
          </w:tcPr>
          <w:p w14:paraId="2C5AA91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Align w:val="center"/>
          </w:tcPr>
          <w:p w14:paraId="265250C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组织管理</w:t>
            </w:r>
          </w:p>
        </w:tc>
      </w:tr>
      <w:tr w14:paraId="10BA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2AB660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5577" w:type="dxa"/>
            <w:vAlign w:val="center"/>
          </w:tcPr>
          <w:p w14:paraId="3FA811D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根据投标人提供的监管制度</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r>
              <w:rPr>
                <w:rFonts w:hint="eastAsia" w:ascii="仿宋" w:hAnsi="仿宋" w:eastAsia="仿宋" w:cs="仿宋"/>
                <w:bCs/>
                <w:color w:val="000000" w:themeColor="text1"/>
                <w:szCs w:val="21"/>
                <w:highlight w:val="none"/>
                <w:lang w:val="en-US" w:eastAsia="zh-CN"/>
                <w14:textFill>
                  <w14:solidFill>
                    <w14:schemeClr w14:val="tx1"/>
                  </w14:solidFill>
                </w14:textFill>
              </w:rPr>
              <w:t>至少包括①廉政措施、②为防止出具虚假报告的监管制度、措施、惩治办法等、③不按规定验收的监管制度、措施、惩治办法等、④转包业务的监管制度、措施、惩治办法等、⑤其他违规行为的监管制度、措施、惩治办法等；</w:t>
            </w:r>
          </w:p>
          <w:p w14:paraId="6DBA8DB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全面，且有一定针对性的得4分；内容全面性，针对性一般的得3分；内容基本合理的得2分；内容有所欠缺的得1分；不提供不得分。</w:t>
            </w:r>
          </w:p>
        </w:tc>
        <w:tc>
          <w:tcPr>
            <w:tcW w:w="805" w:type="dxa"/>
            <w:vAlign w:val="center"/>
          </w:tcPr>
          <w:p w14:paraId="557A0FD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45" w:type="dxa"/>
            <w:vAlign w:val="center"/>
          </w:tcPr>
          <w:p w14:paraId="234A67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Align w:val="center"/>
          </w:tcPr>
          <w:p w14:paraId="3EEEE58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监管制度</w:t>
            </w:r>
          </w:p>
        </w:tc>
      </w:tr>
      <w:tr w14:paraId="39EC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B7C489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5577" w:type="dxa"/>
            <w:vAlign w:val="center"/>
          </w:tcPr>
          <w:p w14:paraId="79642C9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根据投标人提供的人员管理方案</w:t>
            </w:r>
            <w:r>
              <w:rPr>
                <w:rFonts w:hint="eastAsia" w:ascii="仿宋" w:hAnsi="仿宋" w:eastAsia="仿宋" w:cs="仿宋"/>
                <w:bCs/>
                <w:color w:val="000000" w:themeColor="text1"/>
                <w:szCs w:val="21"/>
                <w:highlight w:val="none"/>
                <w14:textFill>
                  <w14:solidFill>
                    <w14:schemeClr w14:val="tx1"/>
                  </w14:solidFill>
                </w14:textFill>
              </w:rPr>
              <w:t>的完整性、合理性、科学性等</w:t>
            </w:r>
            <w:r>
              <w:rPr>
                <w:rFonts w:hint="eastAsia" w:ascii="仿宋" w:hAnsi="仿宋" w:eastAsia="仿宋" w:cs="仿宋"/>
                <w:bCs/>
                <w:color w:val="000000" w:themeColor="text1"/>
                <w:szCs w:val="21"/>
                <w:highlight w:val="none"/>
                <w:lang w:val="en-US" w:eastAsia="zh-CN"/>
                <w14:textFill>
                  <w14:solidFill>
                    <w14:schemeClr w14:val="tx1"/>
                  </w14:solidFill>
                </w14:textFill>
              </w:rPr>
              <w:t>情况</w:t>
            </w:r>
            <w:r>
              <w:rPr>
                <w:rFonts w:hint="eastAsia" w:ascii="仿宋" w:hAnsi="仿宋" w:eastAsia="仿宋" w:cs="仿宋"/>
                <w:bCs/>
                <w:color w:val="000000" w:themeColor="text1"/>
                <w:szCs w:val="21"/>
                <w:highlight w:val="none"/>
                <w14:textFill>
                  <w14:solidFill>
                    <w14:schemeClr w14:val="tx1"/>
                  </w14:solidFill>
                </w14:textFill>
              </w:rPr>
              <w:t>进行综合评审；</w:t>
            </w:r>
            <w:r>
              <w:rPr>
                <w:rFonts w:hint="eastAsia" w:ascii="仿宋" w:hAnsi="仿宋" w:eastAsia="仿宋" w:cs="仿宋"/>
                <w:bCs/>
                <w:color w:val="000000" w:themeColor="text1"/>
                <w:szCs w:val="21"/>
                <w:highlight w:val="none"/>
                <w:lang w:val="en-US" w:eastAsia="zh-CN"/>
                <w14:textFill>
                  <w14:solidFill>
                    <w14:schemeClr w14:val="tx1"/>
                  </w14:solidFill>
                </w14:textFill>
              </w:rPr>
              <w:t>至少包括①人员考核方案、②合同执行期间的人员数量保障方案、③人员岗位设置、④服务人员专业能力、⑤人员管理规范等；</w:t>
            </w:r>
          </w:p>
          <w:p w14:paraId="5272368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每点</w:t>
            </w:r>
            <w:r>
              <w:rPr>
                <w:rFonts w:hint="eastAsia" w:ascii="仿宋" w:hAnsi="仿宋" w:eastAsia="仿宋" w:cs="仿宋"/>
                <w:b/>
                <w:bCs w:val="0"/>
                <w:color w:val="000000" w:themeColor="text1"/>
                <w:szCs w:val="21"/>
                <w:highlight w:val="none"/>
                <w14:textFill>
                  <w14:solidFill>
                    <w14:schemeClr w14:val="tx1"/>
                  </w14:solidFill>
                </w14:textFill>
              </w:rPr>
              <w:t>内容全面，针对性强的得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3</w:t>
            </w:r>
            <w:r>
              <w:rPr>
                <w:rFonts w:hint="eastAsia" w:ascii="仿宋" w:hAnsi="仿宋" w:eastAsia="仿宋" w:cs="仿宋"/>
                <w:b/>
                <w:bCs w:val="0"/>
                <w:color w:val="000000" w:themeColor="text1"/>
                <w:szCs w:val="21"/>
                <w:highlight w:val="none"/>
                <w14:textFill>
                  <w14:solidFill>
                    <w14:schemeClr w14:val="tx1"/>
                  </w14:solidFill>
                </w14:textFill>
              </w:rPr>
              <w:t>分；内容全面性，针对性一般的得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2</w:t>
            </w:r>
            <w:r>
              <w:rPr>
                <w:rFonts w:hint="eastAsia" w:ascii="仿宋" w:hAnsi="仿宋" w:eastAsia="仿宋" w:cs="仿宋"/>
                <w:b/>
                <w:bCs w:val="0"/>
                <w:color w:val="000000" w:themeColor="text1"/>
                <w:szCs w:val="21"/>
                <w:highlight w:val="none"/>
                <w14:textFill>
                  <w14:solidFill>
                    <w14:schemeClr w14:val="tx1"/>
                  </w14:solidFill>
                </w14:textFill>
              </w:rPr>
              <w:t>分；内容基本合理的得</w:t>
            </w:r>
            <w:r>
              <w:rPr>
                <w:rFonts w:hint="eastAsia" w:ascii="仿宋" w:hAnsi="仿宋" w:eastAsia="仿宋" w:cs="仿宋"/>
                <w:b/>
                <w:bCs w:val="0"/>
                <w:color w:val="000000" w:themeColor="text1"/>
                <w:szCs w:val="21"/>
                <w:highlight w:val="none"/>
                <w:lang w:val="en-US" w:eastAsia="zh-CN"/>
                <w14:textFill>
                  <w14:solidFill>
                    <w14:schemeClr w14:val="tx1"/>
                  </w14:solidFill>
                </w14:textFill>
              </w:rPr>
              <w:t>1</w:t>
            </w:r>
            <w:r>
              <w:rPr>
                <w:rFonts w:hint="eastAsia" w:ascii="仿宋" w:hAnsi="仿宋" w:eastAsia="仿宋" w:cs="仿宋"/>
                <w:b/>
                <w:bCs w:val="0"/>
                <w:color w:val="000000" w:themeColor="text1"/>
                <w:szCs w:val="21"/>
                <w:highlight w:val="none"/>
                <w14:textFill>
                  <w14:solidFill>
                    <w14:schemeClr w14:val="tx1"/>
                  </w14:solidFill>
                </w14:textFill>
              </w:rPr>
              <w:t>分；不提供不得分。</w:t>
            </w:r>
          </w:p>
        </w:tc>
        <w:tc>
          <w:tcPr>
            <w:tcW w:w="805" w:type="dxa"/>
            <w:vAlign w:val="center"/>
          </w:tcPr>
          <w:p w14:paraId="6C3C11D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15</w:t>
            </w:r>
          </w:p>
        </w:tc>
        <w:tc>
          <w:tcPr>
            <w:tcW w:w="845" w:type="dxa"/>
            <w:vAlign w:val="center"/>
          </w:tcPr>
          <w:p w14:paraId="36B61C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105" w:type="dxa"/>
            <w:vAlign w:val="center"/>
          </w:tcPr>
          <w:p w14:paraId="4ED0726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人员管理方案</w:t>
            </w:r>
          </w:p>
        </w:tc>
      </w:tr>
      <w:tr w14:paraId="0419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2" w:type="dxa"/>
            <w:vAlign w:val="center"/>
          </w:tcPr>
          <w:p w14:paraId="53DE092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p>
        </w:tc>
        <w:tc>
          <w:tcPr>
            <w:tcW w:w="5577" w:type="dxa"/>
            <w:vAlign w:val="center"/>
          </w:tcPr>
          <w:p w14:paraId="6CB3252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根据投标人提供的</w:t>
            </w:r>
            <w:r>
              <w:rPr>
                <w:rFonts w:hint="eastAsia" w:ascii="仿宋" w:hAnsi="仿宋" w:eastAsia="仿宋" w:cs="仿宋"/>
                <w:bCs/>
                <w:color w:val="000000" w:themeColor="text1"/>
                <w:szCs w:val="21"/>
                <w:highlight w:val="none"/>
                <w:lang w:val="en-US" w:eastAsia="zh-CN"/>
                <w14:textFill>
                  <w14:solidFill>
                    <w14:schemeClr w14:val="tx1"/>
                  </w14:solidFill>
                </w14:textFill>
              </w:rPr>
              <w:t>人员培训方案方案的</w:t>
            </w:r>
            <w:r>
              <w:rPr>
                <w:rFonts w:hint="eastAsia" w:ascii="仿宋" w:hAnsi="仿宋" w:eastAsia="仿宋" w:cs="仿宋"/>
                <w:bCs/>
                <w:color w:val="000000" w:themeColor="text1"/>
                <w:szCs w:val="21"/>
                <w:highlight w:val="none"/>
                <w14:textFill>
                  <w14:solidFill>
                    <w14:schemeClr w14:val="tx1"/>
                  </w14:solidFill>
                </w14:textFill>
              </w:rPr>
              <w:t>完整性、合理性、科学性等进行综合评审；</w:t>
            </w:r>
          </w:p>
          <w:p w14:paraId="27E4408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kern w:val="2"/>
                <w:sz w:val="2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w:t>
            </w:r>
            <w:r>
              <w:rPr>
                <w:rFonts w:hint="eastAsia" w:ascii="仿宋" w:hAnsi="仿宋" w:eastAsia="仿宋" w:cs="仿宋"/>
                <w:b/>
                <w:bCs w:val="0"/>
                <w:color w:val="000000" w:themeColor="text1"/>
                <w:kern w:val="2"/>
                <w:sz w:val="21"/>
                <w:szCs w:val="21"/>
                <w:highlight w:val="none"/>
                <w14:textFill>
                  <w14:solidFill>
                    <w14:schemeClr w14:val="tx1"/>
                  </w14:solidFill>
                </w14:textFill>
              </w:rPr>
              <w:t>得4分；内容全面性，针对性一般的得3分；内容基本合理的得2分；内容有所欠缺的得1分；不提供不得分。</w:t>
            </w:r>
          </w:p>
        </w:tc>
        <w:tc>
          <w:tcPr>
            <w:tcW w:w="805" w:type="dxa"/>
            <w:vAlign w:val="center"/>
          </w:tcPr>
          <w:p w14:paraId="334BFF3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45" w:type="dxa"/>
            <w:vAlign w:val="center"/>
          </w:tcPr>
          <w:p w14:paraId="4FC4CF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主观分</w:t>
            </w:r>
          </w:p>
        </w:tc>
        <w:tc>
          <w:tcPr>
            <w:tcW w:w="1105" w:type="dxa"/>
            <w:vAlign w:val="center"/>
          </w:tcPr>
          <w:p w14:paraId="07233C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人员培训方案</w:t>
            </w:r>
          </w:p>
        </w:tc>
      </w:tr>
      <w:tr w14:paraId="5416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2" w:type="dxa"/>
            <w:vAlign w:val="center"/>
          </w:tcPr>
          <w:p w14:paraId="05D420A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p>
        </w:tc>
        <w:tc>
          <w:tcPr>
            <w:tcW w:w="5577" w:type="dxa"/>
            <w:vAlign w:val="center"/>
          </w:tcPr>
          <w:p w14:paraId="4ABA8B6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w:t>
            </w:r>
            <w:r>
              <w:rPr>
                <w:rFonts w:hint="eastAsia" w:ascii="仿宋" w:hAnsi="仿宋" w:eastAsia="仿宋" w:cs="仿宋"/>
                <w:bCs/>
                <w:color w:val="000000" w:themeColor="text1"/>
                <w:szCs w:val="21"/>
                <w:highlight w:val="none"/>
                <w:lang w:val="zh-CN" w:eastAsia="zh-CN"/>
                <w14:textFill>
                  <w14:solidFill>
                    <w14:schemeClr w14:val="tx1"/>
                  </w14:solidFill>
                </w14:textFill>
              </w:rPr>
              <w:t>在</w:t>
            </w:r>
            <w:r>
              <w:rPr>
                <w:rFonts w:hint="eastAsia" w:ascii="仿宋" w:hAnsi="仿宋" w:eastAsia="仿宋" w:cs="仿宋"/>
                <w:bCs/>
                <w:color w:val="000000" w:themeColor="text1"/>
                <w:szCs w:val="21"/>
                <w:highlight w:val="none"/>
                <w:lang w:val="en-US" w:eastAsia="zh-CN"/>
                <w14:textFill>
                  <w14:solidFill>
                    <w14:schemeClr w14:val="tx1"/>
                  </w14:solidFill>
                </w14:textFill>
              </w:rPr>
              <w:t>项目所在地</w:t>
            </w:r>
            <w:r>
              <w:rPr>
                <w:rFonts w:hint="eastAsia" w:ascii="仿宋" w:hAnsi="仿宋" w:eastAsia="仿宋" w:cs="仿宋"/>
                <w:bCs/>
                <w:color w:val="000000" w:themeColor="text1"/>
                <w:szCs w:val="21"/>
                <w:highlight w:val="none"/>
                <w:lang w:val="zh-CN" w:eastAsia="zh-CN"/>
                <w14:textFill>
                  <w14:solidFill>
                    <w14:schemeClr w14:val="tx1"/>
                  </w14:solidFill>
                </w14:textFill>
              </w:rPr>
              <w:t>是否拥有常驻服务和技术支持机构</w:t>
            </w:r>
            <w:r>
              <w:rPr>
                <w:rFonts w:hint="eastAsia" w:ascii="仿宋" w:hAnsi="仿宋" w:eastAsia="仿宋" w:cs="仿宋"/>
                <w:b/>
                <w:bCs w:val="0"/>
                <w:color w:val="000000" w:themeColor="text1"/>
                <w:szCs w:val="21"/>
                <w:highlight w:val="none"/>
                <w:lang w:val="zh-CN" w:eastAsia="zh-CN"/>
                <w14:textFill>
                  <w14:solidFill>
                    <w14:schemeClr w14:val="tx1"/>
                  </w14:solidFill>
                </w14:textFill>
              </w:rPr>
              <w:t>（</w:t>
            </w:r>
            <w:r>
              <w:rPr>
                <w:rFonts w:hint="eastAsia" w:ascii="仿宋" w:hAnsi="仿宋" w:eastAsia="仿宋" w:cs="仿宋"/>
                <w:b/>
                <w:bCs w:val="0"/>
                <w:color w:val="000000" w:themeColor="text1"/>
                <w:szCs w:val="21"/>
                <w:highlight w:val="none"/>
                <w14:textFill>
                  <w14:solidFill>
                    <w14:schemeClr w14:val="tx1"/>
                  </w14:solidFill>
                </w14:textFill>
              </w:rPr>
              <w:t>提供营业执照注册地址或有效的租赁合同</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扫描件）</w:t>
            </w:r>
            <w:r>
              <w:rPr>
                <w:rFonts w:hint="eastAsia" w:ascii="仿宋" w:hAnsi="仿宋" w:eastAsia="仿宋" w:cs="仿宋"/>
                <w:bCs/>
                <w:color w:val="000000" w:themeColor="text1"/>
                <w:szCs w:val="21"/>
                <w:highlight w:val="none"/>
                <w:lang w:val="en-US" w:eastAsia="zh-CN"/>
                <w14:textFill>
                  <w14:solidFill>
                    <w14:schemeClr w14:val="tx1"/>
                  </w14:solidFill>
                </w14:textFill>
              </w:rPr>
              <w:t>，或承诺中标后设立</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（提供承诺函，格式自拟）</w:t>
            </w:r>
            <w:r>
              <w:rPr>
                <w:rFonts w:hint="eastAsia" w:ascii="仿宋" w:hAnsi="仿宋" w:eastAsia="仿宋" w:cs="仿宋"/>
                <w:bCs/>
                <w:color w:val="000000" w:themeColor="text1"/>
                <w:szCs w:val="21"/>
                <w:highlight w:val="none"/>
                <w:lang w:val="en-US" w:eastAsia="zh-CN"/>
                <w14:textFill>
                  <w14:solidFill>
                    <w14:schemeClr w14:val="tx1"/>
                  </w14:solidFill>
                </w14:textFill>
              </w:rPr>
              <w:t>。</w:t>
            </w:r>
          </w:p>
        </w:tc>
        <w:tc>
          <w:tcPr>
            <w:tcW w:w="805" w:type="dxa"/>
            <w:vAlign w:val="center"/>
          </w:tcPr>
          <w:p w14:paraId="3D65B56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000000" w:themeColor="text1"/>
                <w:szCs w:val="21"/>
                <w:highlight w:val="none"/>
                <w:lang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w:t>
            </w:r>
          </w:p>
        </w:tc>
        <w:tc>
          <w:tcPr>
            <w:tcW w:w="845" w:type="dxa"/>
            <w:vAlign w:val="center"/>
          </w:tcPr>
          <w:p w14:paraId="372A913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客</w:t>
            </w:r>
            <w:r>
              <w:rPr>
                <w:rFonts w:hint="eastAsia" w:ascii="仿宋" w:hAnsi="仿宋" w:eastAsia="仿宋" w:cs="仿宋"/>
                <w:b w:val="0"/>
                <w:bCs w:val="0"/>
                <w:color w:val="000000" w:themeColor="text1"/>
                <w:szCs w:val="21"/>
                <w:highlight w:val="none"/>
                <w14:textFill>
                  <w14:solidFill>
                    <w14:schemeClr w14:val="tx1"/>
                  </w14:solidFill>
                </w14:textFill>
              </w:rPr>
              <w:t>观分</w:t>
            </w:r>
          </w:p>
        </w:tc>
        <w:tc>
          <w:tcPr>
            <w:tcW w:w="1105" w:type="dxa"/>
            <w:vMerge w:val="restart"/>
            <w:vAlign w:val="center"/>
          </w:tcPr>
          <w:p w14:paraId="4349850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应急服务的响应性及可行性</w:t>
            </w:r>
          </w:p>
        </w:tc>
      </w:tr>
      <w:tr w14:paraId="392B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3E063D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p>
        </w:tc>
        <w:tc>
          <w:tcPr>
            <w:tcW w:w="5577" w:type="dxa"/>
            <w:vAlign w:val="center"/>
          </w:tcPr>
          <w:p w14:paraId="6C127DF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保证提供快捷及时上门服务，保证能够在15（含）分钟能到达的服务地点的得5分，15（不含）-30（含）分钟之内的得4分，30（不含）-45（含）分钟的得3分，45（不含）-60（含）分钟之内的得2分，60（不含）分钟之内的得1分，其余不得分。</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（提供地图软件截图和承诺函，格式自拟）</w:t>
            </w:r>
            <w:r>
              <w:rPr>
                <w:rFonts w:hint="eastAsia" w:ascii="仿宋" w:hAnsi="仿宋" w:eastAsia="仿宋" w:cs="仿宋"/>
                <w:bCs/>
                <w:color w:val="000000" w:themeColor="text1"/>
                <w:szCs w:val="21"/>
                <w:highlight w:val="none"/>
                <w:lang w:val="en-US" w:eastAsia="zh-CN"/>
                <w14:textFill>
                  <w14:solidFill>
                    <w14:schemeClr w14:val="tx1"/>
                  </w14:solidFill>
                </w14:textFill>
              </w:rPr>
              <w:t>。</w:t>
            </w:r>
          </w:p>
        </w:tc>
        <w:tc>
          <w:tcPr>
            <w:tcW w:w="805" w:type="dxa"/>
            <w:vAlign w:val="center"/>
          </w:tcPr>
          <w:p w14:paraId="5772F22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w:t>
            </w:r>
          </w:p>
        </w:tc>
        <w:tc>
          <w:tcPr>
            <w:tcW w:w="845" w:type="dxa"/>
            <w:vAlign w:val="center"/>
          </w:tcPr>
          <w:p w14:paraId="7DDDC83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客</w:t>
            </w:r>
            <w:r>
              <w:rPr>
                <w:rFonts w:hint="eastAsia" w:ascii="仿宋" w:hAnsi="仿宋" w:eastAsia="仿宋" w:cs="仿宋"/>
                <w:b w:val="0"/>
                <w:bCs w:val="0"/>
                <w:color w:val="000000" w:themeColor="text1"/>
                <w:szCs w:val="21"/>
                <w:highlight w:val="none"/>
                <w14:textFill>
                  <w14:solidFill>
                    <w14:schemeClr w14:val="tx1"/>
                  </w14:solidFill>
                </w14:textFill>
              </w:rPr>
              <w:t>观分</w:t>
            </w:r>
          </w:p>
        </w:tc>
        <w:tc>
          <w:tcPr>
            <w:tcW w:w="1105" w:type="dxa"/>
            <w:vMerge w:val="continue"/>
            <w:vAlign w:val="center"/>
          </w:tcPr>
          <w:p w14:paraId="0D42CCB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r>
      <w:tr w14:paraId="6980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1A8511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10</w:t>
            </w:r>
          </w:p>
        </w:tc>
        <w:tc>
          <w:tcPr>
            <w:tcW w:w="5577" w:type="dxa"/>
            <w:vAlign w:val="center"/>
          </w:tcPr>
          <w:p w14:paraId="43620C1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根据投标人提供的项目应急处理方案的完整性、合理性、科学性等进行综合评审；</w:t>
            </w:r>
          </w:p>
          <w:p w14:paraId="3D41A14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lang w:val="en-US" w:eastAsia="zh-CN"/>
                <w14:textFill>
                  <w14:solidFill>
                    <w14:schemeClr w14:val="tx1"/>
                  </w14:solidFill>
                </w14:textFill>
              </w:rPr>
              <w:t>投标人提供内容全面，针对性强的得5分；内容相对全面，且有一定针对性的得4分；内容全面性，针对性一般的得3分；内容基本合理的得2分；内容有所欠缺的得1分；不提供不得分。</w:t>
            </w:r>
          </w:p>
        </w:tc>
        <w:tc>
          <w:tcPr>
            <w:tcW w:w="805" w:type="dxa"/>
            <w:vAlign w:val="center"/>
          </w:tcPr>
          <w:p w14:paraId="6A7C8EE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w:t>
            </w:r>
          </w:p>
        </w:tc>
        <w:tc>
          <w:tcPr>
            <w:tcW w:w="845" w:type="dxa"/>
            <w:vAlign w:val="center"/>
          </w:tcPr>
          <w:p w14:paraId="72DA248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主</w:t>
            </w:r>
            <w:r>
              <w:rPr>
                <w:rFonts w:hint="eastAsia" w:ascii="仿宋" w:hAnsi="仿宋" w:eastAsia="仿宋" w:cs="仿宋"/>
                <w:b w:val="0"/>
                <w:bCs w:val="0"/>
                <w:color w:val="000000" w:themeColor="text1"/>
                <w:szCs w:val="21"/>
                <w:highlight w:val="none"/>
                <w14:textFill>
                  <w14:solidFill>
                    <w14:schemeClr w14:val="tx1"/>
                  </w14:solidFill>
                </w14:textFill>
              </w:rPr>
              <w:t>观分</w:t>
            </w:r>
          </w:p>
        </w:tc>
        <w:tc>
          <w:tcPr>
            <w:tcW w:w="1105" w:type="dxa"/>
            <w:vMerge w:val="continue"/>
            <w:vAlign w:val="center"/>
          </w:tcPr>
          <w:p w14:paraId="1A8A4F5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p>
        </w:tc>
      </w:tr>
      <w:tr w14:paraId="1929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D24399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w:t>
            </w:r>
          </w:p>
        </w:tc>
        <w:tc>
          <w:tcPr>
            <w:tcW w:w="5577" w:type="dxa"/>
            <w:vAlign w:val="center"/>
          </w:tcPr>
          <w:p w14:paraId="29272FBE">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投标人提出有助提高项目服务的建议，每提供1个有效建议得2分，最多得4分。</w:t>
            </w:r>
          </w:p>
        </w:tc>
        <w:tc>
          <w:tcPr>
            <w:tcW w:w="805" w:type="dxa"/>
            <w:vAlign w:val="center"/>
          </w:tcPr>
          <w:p w14:paraId="58FB140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845" w:type="dxa"/>
            <w:vAlign w:val="center"/>
          </w:tcPr>
          <w:p w14:paraId="77D1F3F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主观分</w:t>
            </w:r>
          </w:p>
        </w:tc>
        <w:tc>
          <w:tcPr>
            <w:tcW w:w="1105" w:type="dxa"/>
            <w:vAlign w:val="center"/>
          </w:tcPr>
          <w:p w14:paraId="350AB35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合理化建议</w:t>
            </w:r>
          </w:p>
        </w:tc>
      </w:tr>
      <w:tr w14:paraId="2071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14:paraId="7FF40A3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p>
        </w:tc>
        <w:tc>
          <w:tcPr>
            <w:tcW w:w="5577" w:type="dxa"/>
            <w:vAlign w:val="center"/>
          </w:tcPr>
          <w:p w14:paraId="2BE85A1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项目负责人：</w:t>
            </w:r>
          </w:p>
          <w:p w14:paraId="01834F1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1、项目负责人具有四级及以上养老护理员职业技能证书的得3分，本项最高得3分。</w:t>
            </w:r>
          </w:p>
          <w:p w14:paraId="140D35F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bCs w:val="0"/>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lang w:val="en-US" w:eastAsia="zh-CN"/>
                <w14:textFill>
                  <w14:solidFill>
                    <w14:schemeClr w14:val="tx1"/>
                  </w14:solidFill>
                </w14:textFill>
              </w:rPr>
              <w:t>证明材料：同时提供技能证书复印件和投标人为其缴纳的社保证明</w:t>
            </w:r>
            <w:r>
              <w:rPr>
                <w:rFonts w:hint="eastAsia" w:ascii="仿宋" w:hAnsi="仿宋" w:eastAsia="仿宋" w:cs="仿宋"/>
                <w:b/>
                <w:bCs w:val="0"/>
                <w:color w:val="000000" w:themeColor="text1"/>
                <w:szCs w:val="21"/>
                <w:highlight w:val="none"/>
                <w14:textFill>
                  <w14:solidFill>
                    <w14:schemeClr w14:val="tx1"/>
                  </w14:solidFill>
                </w14:textFill>
              </w:rPr>
              <w:t>，未按要求提供证明材料的不得分。</w:t>
            </w:r>
          </w:p>
          <w:p w14:paraId="6B924F5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宋体"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lang w:val="en-US" w:eastAsia="zh-CN"/>
                <w14:textFill>
                  <w14:solidFill>
                    <w14:schemeClr w14:val="tx1"/>
                  </w14:solidFill>
                </w14:textFill>
              </w:rPr>
              <w:t>项目负责人类似上门服务工作经验的得2分，本项最高得2分。</w:t>
            </w:r>
          </w:p>
          <w:p w14:paraId="76DB8AC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证明材料：</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同时提供经验证明材料</w:t>
            </w:r>
            <w:r>
              <w:rPr>
                <w:rFonts w:hint="eastAsia" w:ascii="仿宋" w:hAnsi="仿宋" w:eastAsia="仿宋" w:cs="仿宋"/>
                <w:b/>
                <w:bCs w:val="0"/>
                <w:color w:val="000000" w:themeColor="text1"/>
                <w:szCs w:val="21"/>
                <w:highlight w:val="none"/>
                <w14:textFill>
                  <w14:solidFill>
                    <w14:schemeClr w14:val="tx1"/>
                  </w14:solidFill>
                </w14:textFill>
              </w:rPr>
              <w:t>复印件</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和投标人为其缴纳的近三个月任意一月的社保证明</w:t>
            </w:r>
            <w:r>
              <w:rPr>
                <w:rFonts w:hint="eastAsia" w:ascii="仿宋" w:hAnsi="仿宋" w:eastAsia="仿宋" w:cs="仿宋"/>
                <w:b/>
                <w:color w:val="000000" w:themeColor="text1"/>
                <w:szCs w:val="21"/>
                <w:highlight w:val="none"/>
                <w14:textFill>
                  <w14:solidFill>
                    <w14:schemeClr w14:val="tx1"/>
                  </w14:solidFill>
                </w14:textFill>
              </w:rPr>
              <w:t>，未按要求提供证明材料的不得分。</w:t>
            </w:r>
          </w:p>
          <w:p w14:paraId="0EA4AAA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lang w:val="en-US" w:eastAsia="zh-CN"/>
                <w14:textFill>
                  <w14:solidFill>
                    <w14:schemeClr w14:val="tx1"/>
                  </w14:solidFill>
                </w14:textFill>
              </w:rPr>
              <w:t>项目负责人具有大学学历的得2分。</w:t>
            </w:r>
          </w:p>
          <w:p w14:paraId="45E4D28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证明材料：</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同时提供学历证书</w:t>
            </w:r>
            <w:r>
              <w:rPr>
                <w:rFonts w:hint="eastAsia" w:ascii="仿宋" w:hAnsi="仿宋" w:eastAsia="仿宋" w:cs="仿宋"/>
                <w:b/>
                <w:bCs w:val="0"/>
                <w:color w:val="000000" w:themeColor="text1"/>
                <w:szCs w:val="21"/>
                <w:highlight w:val="none"/>
                <w14:textFill>
                  <w14:solidFill>
                    <w14:schemeClr w14:val="tx1"/>
                  </w14:solidFill>
                </w14:textFill>
              </w:rPr>
              <w:t>复印件</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和投标人为其缴纳的近三个月任意一月的社保证明</w:t>
            </w:r>
            <w:r>
              <w:rPr>
                <w:rFonts w:hint="eastAsia" w:ascii="仿宋" w:hAnsi="仿宋" w:eastAsia="仿宋" w:cs="仿宋"/>
                <w:b/>
                <w:color w:val="000000" w:themeColor="text1"/>
                <w:szCs w:val="21"/>
                <w:highlight w:val="none"/>
                <w14:textFill>
                  <w14:solidFill>
                    <w14:schemeClr w14:val="tx1"/>
                  </w14:solidFill>
                </w14:textFill>
              </w:rPr>
              <w:t>，未按要求提供证明材料的不得分。</w:t>
            </w:r>
          </w:p>
        </w:tc>
        <w:tc>
          <w:tcPr>
            <w:tcW w:w="805" w:type="dxa"/>
            <w:vAlign w:val="center"/>
          </w:tcPr>
          <w:p w14:paraId="3BBF722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7</w:t>
            </w:r>
          </w:p>
        </w:tc>
        <w:tc>
          <w:tcPr>
            <w:tcW w:w="845" w:type="dxa"/>
            <w:vAlign w:val="center"/>
          </w:tcPr>
          <w:p w14:paraId="0874645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客</w:t>
            </w:r>
            <w:r>
              <w:rPr>
                <w:rFonts w:hint="eastAsia" w:ascii="仿宋" w:hAnsi="仿宋" w:eastAsia="仿宋" w:cs="仿宋"/>
                <w:b w:val="0"/>
                <w:bCs w:val="0"/>
                <w:color w:val="000000" w:themeColor="text1"/>
                <w:szCs w:val="21"/>
                <w:highlight w:val="none"/>
                <w14:textFill>
                  <w14:solidFill>
                    <w14:schemeClr w14:val="tx1"/>
                  </w14:solidFill>
                </w14:textFill>
              </w:rPr>
              <w:t>观分</w:t>
            </w:r>
          </w:p>
        </w:tc>
        <w:tc>
          <w:tcPr>
            <w:tcW w:w="1105" w:type="dxa"/>
            <w:vMerge w:val="restart"/>
            <w:vAlign w:val="center"/>
          </w:tcPr>
          <w:p w14:paraId="2E22227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服务团队情况</w:t>
            </w:r>
          </w:p>
        </w:tc>
      </w:tr>
      <w:tr w14:paraId="3581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6C2A14F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p>
        </w:tc>
        <w:tc>
          <w:tcPr>
            <w:tcW w:w="5577" w:type="dxa"/>
            <w:vAlign w:val="center"/>
          </w:tcPr>
          <w:p w14:paraId="02EF64E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投标人为每个街道配备的站长具有四级及以上养老护理员职业技能证书的得2分，本项最高得6分。</w:t>
            </w:r>
          </w:p>
          <w:p w14:paraId="415E777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Cs w:val="21"/>
                <w:highlight w:val="none"/>
                <w:lang w:val="en-US" w:eastAsia="zh-CN"/>
                <w14:textFill>
                  <w14:solidFill>
                    <w14:schemeClr w14:val="tx1"/>
                  </w14:solidFill>
                </w14:textFill>
              </w:rPr>
              <w:t>证明材料：同时提供技能证书复印件和投标人为其缴纳的社保证明</w:t>
            </w:r>
            <w:r>
              <w:rPr>
                <w:rFonts w:hint="eastAsia" w:ascii="仿宋" w:hAnsi="仿宋" w:eastAsia="仿宋" w:cs="仿宋"/>
                <w:b/>
                <w:bCs w:val="0"/>
                <w:color w:val="000000" w:themeColor="text1"/>
                <w:szCs w:val="21"/>
                <w:highlight w:val="none"/>
                <w14:textFill>
                  <w14:solidFill>
                    <w14:schemeClr w14:val="tx1"/>
                  </w14:solidFill>
                </w14:textFill>
              </w:rPr>
              <w:t>，未按要求提供证明材料的不得分。</w:t>
            </w:r>
          </w:p>
        </w:tc>
        <w:tc>
          <w:tcPr>
            <w:tcW w:w="805" w:type="dxa"/>
            <w:vAlign w:val="center"/>
          </w:tcPr>
          <w:p w14:paraId="544DEFC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6</w:t>
            </w:r>
          </w:p>
        </w:tc>
        <w:tc>
          <w:tcPr>
            <w:tcW w:w="845" w:type="dxa"/>
            <w:vAlign w:val="center"/>
          </w:tcPr>
          <w:p w14:paraId="3F03CC8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客</w:t>
            </w:r>
            <w:r>
              <w:rPr>
                <w:rFonts w:hint="eastAsia" w:ascii="仿宋" w:hAnsi="仿宋" w:eastAsia="仿宋" w:cs="仿宋"/>
                <w:b w:val="0"/>
                <w:bCs w:val="0"/>
                <w:color w:val="000000" w:themeColor="text1"/>
                <w:szCs w:val="21"/>
                <w:highlight w:val="none"/>
                <w14:textFill>
                  <w14:solidFill>
                    <w14:schemeClr w14:val="tx1"/>
                  </w14:solidFill>
                </w14:textFill>
              </w:rPr>
              <w:t>观分</w:t>
            </w:r>
          </w:p>
        </w:tc>
        <w:tc>
          <w:tcPr>
            <w:tcW w:w="1105" w:type="dxa"/>
            <w:vMerge w:val="continue"/>
            <w:vAlign w:val="center"/>
          </w:tcPr>
          <w:p w14:paraId="1C4079F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p>
        </w:tc>
      </w:tr>
      <w:tr w14:paraId="79CF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1201835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p>
        </w:tc>
        <w:tc>
          <w:tcPr>
            <w:tcW w:w="5577" w:type="dxa"/>
            <w:vAlign w:val="center"/>
          </w:tcPr>
          <w:p w14:paraId="3A7AD06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投标人承诺为本项目配备的项目组成员（即一线服务人员）50%及以上具有良好的方言沟通能力</w:t>
            </w:r>
            <w:r>
              <w:rPr>
                <w:rFonts w:hint="eastAsia" w:ascii="仿宋" w:hAnsi="仿宋" w:eastAsia="仿宋" w:cs="仿宋"/>
                <w:b/>
                <w:bCs w:val="0"/>
                <w:color w:val="000000" w:themeColor="text1"/>
                <w:szCs w:val="21"/>
                <w:highlight w:val="none"/>
                <w:lang w:val="en-US" w:eastAsia="zh-CN"/>
                <w14:textFill>
                  <w14:solidFill>
                    <w14:schemeClr w14:val="tx1"/>
                  </w14:solidFill>
                </w14:textFill>
              </w:rPr>
              <w:t>（提供承诺函，格式自拟）</w:t>
            </w:r>
            <w:r>
              <w:rPr>
                <w:rFonts w:hint="eastAsia" w:ascii="仿宋" w:hAnsi="仿宋" w:eastAsia="仿宋" w:cs="仿宋"/>
                <w:bCs/>
                <w:color w:val="000000" w:themeColor="text1"/>
                <w:szCs w:val="21"/>
                <w:highlight w:val="none"/>
                <w:lang w:val="en-US" w:eastAsia="zh-CN"/>
                <w14:textFill>
                  <w14:solidFill>
                    <w14:schemeClr w14:val="tx1"/>
                  </w14:solidFill>
                </w14:textFill>
              </w:rPr>
              <w:t>。</w:t>
            </w:r>
          </w:p>
        </w:tc>
        <w:tc>
          <w:tcPr>
            <w:tcW w:w="805" w:type="dxa"/>
            <w:vAlign w:val="center"/>
          </w:tcPr>
          <w:p w14:paraId="1ED91A2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845" w:type="dxa"/>
            <w:vAlign w:val="center"/>
          </w:tcPr>
          <w:p w14:paraId="6F08D37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客观分</w:t>
            </w:r>
          </w:p>
        </w:tc>
        <w:tc>
          <w:tcPr>
            <w:tcW w:w="1105" w:type="dxa"/>
            <w:vMerge w:val="continue"/>
            <w:vAlign w:val="center"/>
          </w:tcPr>
          <w:p w14:paraId="5F72DB7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p>
        </w:tc>
      </w:tr>
      <w:tr w14:paraId="129F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0EE7F39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p>
        </w:tc>
        <w:tc>
          <w:tcPr>
            <w:tcW w:w="5577" w:type="dxa"/>
            <w:vAlign w:val="center"/>
          </w:tcPr>
          <w:p w14:paraId="4A7EE9F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项目组成员（除项目负责人外）中具有心理咨询师证书、康复师证书、营养师证书每具有一类证书的得2分，本项最高得6分。提供证明材料及其缴纳社保的证明材料，如人员为兼职或返聘人员，提供聘用合同或投标单位工资打款（支付）凭证，未提供不得分）。</w:t>
            </w:r>
          </w:p>
          <w:p w14:paraId="10C012A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证明材料：</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同时提供证书证明材料</w:t>
            </w:r>
            <w:r>
              <w:rPr>
                <w:rFonts w:hint="eastAsia" w:ascii="仿宋" w:hAnsi="仿宋" w:eastAsia="仿宋" w:cs="仿宋"/>
                <w:b/>
                <w:bCs w:val="0"/>
                <w:color w:val="000000" w:themeColor="text1"/>
                <w:szCs w:val="21"/>
                <w:highlight w:val="none"/>
                <w14:textFill>
                  <w14:solidFill>
                    <w14:schemeClr w14:val="tx1"/>
                  </w14:solidFill>
                </w14:textFill>
              </w:rPr>
              <w:t>复印件</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和投标人为其缴纳的近三个月任意一月的社保证明（如人员为兼职或返聘人员，提供聘用合同或投标单位工资打款（支付）凭证）</w:t>
            </w:r>
            <w:r>
              <w:rPr>
                <w:rFonts w:hint="eastAsia" w:ascii="仿宋" w:hAnsi="仿宋" w:eastAsia="仿宋" w:cs="仿宋"/>
                <w:b/>
                <w:bCs w:val="0"/>
                <w:color w:val="000000" w:themeColor="text1"/>
                <w:szCs w:val="21"/>
                <w:highlight w:val="none"/>
                <w14:textFill>
                  <w14:solidFill>
                    <w14:schemeClr w14:val="tx1"/>
                  </w14:solidFill>
                </w14:textFill>
              </w:rPr>
              <w:t>，未按要求提供证明材料的不得分。</w:t>
            </w:r>
          </w:p>
        </w:tc>
        <w:tc>
          <w:tcPr>
            <w:tcW w:w="805" w:type="dxa"/>
            <w:vAlign w:val="center"/>
          </w:tcPr>
          <w:p w14:paraId="62AA8EA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845" w:type="dxa"/>
            <w:vAlign w:val="center"/>
          </w:tcPr>
          <w:p w14:paraId="2A0992A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客观分</w:t>
            </w:r>
          </w:p>
        </w:tc>
        <w:tc>
          <w:tcPr>
            <w:tcW w:w="1105" w:type="dxa"/>
            <w:vMerge w:val="continue"/>
            <w:vAlign w:val="center"/>
          </w:tcPr>
          <w:p w14:paraId="79ACAD5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p>
        </w:tc>
      </w:tr>
      <w:tr w14:paraId="73DA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985477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13</w:t>
            </w:r>
          </w:p>
        </w:tc>
        <w:tc>
          <w:tcPr>
            <w:tcW w:w="5577" w:type="dxa"/>
          </w:tcPr>
          <w:p w14:paraId="13594DB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投标人针对本项目服务期内接触到的项目资料、服务对象资料等其他与本项目相关的资料提供具体有效的保密方案</w:t>
            </w:r>
            <w:r>
              <w:rPr>
                <w:rFonts w:hint="eastAsia" w:ascii="仿宋" w:hAnsi="仿宋" w:eastAsia="仿宋" w:cs="仿宋"/>
                <w:bCs/>
                <w:color w:val="000000" w:themeColor="text1"/>
                <w:szCs w:val="21"/>
                <w:highlight w:val="none"/>
                <w14:textFill>
                  <w14:solidFill>
                    <w14:schemeClr w14:val="tx1"/>
                  </w14:solidFill>
                </w14:textFill>
              </w:rPr>
              <w:t>进行综合评审；</w:t>
            </w:r>
          </w:p>
          <w:p w14:paraId="68E2DA6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投标人提供内容全面，针对性强的得5分；内容</w:t>
            </w:r>
            <w:r>
              <w:rPr>
                <w:rFonts w:hint="eastAsia" w:ascii="仿宋" w:hAnsi="仿宋" w:eastAsia="仿宋" w:cs="仿宋"/>
                <w:b/>
                <w:bCs w:val="0"/>
                <w:color w:val="000000" w:themeColor="text1"/>
                <w:szCs w:val="21"/>
                <w:highlight w:val="none"/>
                <w:lang w:val="en-US" w:eastAsia="zh-CN"/>
                <w14:textFill>
                  <w14:solidFill>
                    <w14:schemeClr w14:val="tx1"/>
                  </w14:solidFill>
                </w14:textFill>
              </w:rPr>
              <w:t>相对</w:t>
            </w:r>
            <w:r>
              <w:rPr>
                <w:rFonts w:hint="eastAsia" w:ascii="仿宋" w:hAnsi="仿宋" w:eastAsia="仿宋" w:cs="仿宋"/>
                <w:b/>
                <w:bCs w:val="0"/>
                <w:color w:val="000000" w:themeColor="text1"/>
                <w:szCs w:val="21"/>
                <w:highlight w:val="none"/>
                <w14:textFill>
                  <w14:solidFill>
                    <w14:schemeClr w14:val="tx1"/>
                  </w14:solidFill>
                </w14:textFill>
              </w:rPr>
              <w:t>全面，且有一定针对性的</w:t>
            </w:r>
            <w:r>
              <w:rPr>
                <w:rFonts w:hint="eastAsia" w:ascii="仿宋" w:hAnsi="仿宋" w:eastAsia="仿宋" w:cs="仿宋"/>
                <w:b/>
                <w:bCs w:val="0"/>
                <w:color w:val="000000" w:themeColor="text1"/>
                <w:kern w:val="2"/>
                <w:sz w:val="21"/>
                <w:szCs w:val="21"/>
                <w:highlight w:val="none"/>
                <w14:textFill>
                  <w14:solidFill>
                    <w14:schemeClr w14:val="tx1"/>
                  </w14:solidFill>
                </w14:textFill>
              </w:rPr>
              <w:t>得4分；内容全面性，针对性一般的得3分；内容基本合理的得2分；内容有所欠缺的得1分；不提供不得分。</w:t>
            </w:r>
          </w:p>
        </w:tc>
        <w:tc>
          <w:tcPr>
            <w:tcW w:w="805" w:type="dxa"/>
            <w:vAlign w:val="center"/>
          </w:tcPr>
          <w:p w14:paraId="28D53AF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845" w:type="dxa"/>
            <w:vAlign w:val="center"/>
          </w:tcPr>
          <w:p w14:paraId="5768E2E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主观分</w:t>
            </w:r>
          </w:p>
        </w:tc>
        <w:tc>
          <w:tcPr>
            <w:tcW w:w="1105" w:type="dxa"/>
            <w:vAlign w:val="center"/>
          </w:tcPr>
          <w:p w14:paraId="3A0D4ACA">
            <w:pPr>
              <w:keepNext w:val="0"/>
              <w:keepLines w:val="0"/>
              <w:pageBreakBefore w:val="0"/>
              <w:widowControl w:val="0"/>
              <w:kinsoku/>
              <w:wordWrap/>
              <w:overflowPunct/>
              <w:topLinePunct w:val="0"/>
              <w:autoSpaceDE/>
              <w:autoSpaceDN/>
              <w:bidi w:val="0"/>
              <w:adjustRightInd w:val="0"/>
              <w:spacing w:line="320" w:lineRule="exact"/>
              <w:jc w:val="center"/>
              <w:textAlignment w:val="auto"/>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保密方案</w:t>
            </w:r>
          </w:p>
        </w:tc>
      </w:tr>
    </w:tbl>
    <w:p w14:paraId="480A59E9">
      <w:pPr>
        <w:snapToGrid w:val="0"/>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b/>
          <w:color w:val="000000" w:themeColor="text1"/>
          <w:sz w:val="24"/>
          <w:highlight w:val="none"/>
          <w:lang w:val="en-US" w:eastAsia="zh-CN"/>
          <w14:textFill>
            <w14:solidFill>
              <w14:schemeClr w14:val="tx1"/>
            </w14:solidFill>
          </w14:textFill>
        </w:rPr>
        <w:t>①</w:t>
      </w:r>
      <w:r>
        <w:rPr>
          <w:rFonts w:hint="eastAsia" w:ascii="仿宋" w:hAnsi="仿宋" w:eastAsia="仿宋" w:cs="仿宋"/>
          <w:color w:val="000000" w:themeColor="text1"/>
          <w:sz w:val="24"/>
          <w:highlight w:val="none"/>
          <w14:textFill>
            <w14:solidFill>
              <w14:schemeClr w14:val="tx1"/>
            </w14:solidFill>
          </w14:textFill>
        </w:rPr>
        <w:t>供应商编制响应文件（商务技术文件部分）时，建议按此目录（序号和内容）提供评标标准相应的商务技术资料。 </w:t>
      </w:r>
      <w:r>
        <w:rPr>
          <w:rFonts w:hint="eastAsia" w:ascii="仿宋" w:hAnsi="仿宋" w:eastAsia="仿宋" w:cs="仿宋"/>
          <w:color w:val="000000" w:themeColor="text1"/>
          <w:sz w:val="24"/>
          <w:highlight w:val="none"/>
          <w:lang w:val="en-US" w:eastAsia="zh-CN"/>
          <w14:textFill>
            <w14:solidFill>
              <w14:schemeClr w14:val="tx1"/>
            </w14:solidFill>
          </w14:textFill>
        </w:rPr>
        <w:t>②</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本服务内容价格按照固定单价进行报价</w:t>
      </w:r>
      <w:r>
        <w:rPr>
          <w:rFonts w:hint="eastAsia" w:ascii="仿宋" w:hAnsi="仿宋" w:eastAsia="仿宋" w:cs="仿宋"/>
          <w:color w:val="000000" w:themeColor="text1"/>
          <w:sz w:val="24"/>
          <w:highlight w:val="none"/>
          <w:lang w:val="en-US" w:eastAsia="zh-CN"/>
          <w14:textFill>
            <w14:solidFill>
              <w14:schemeClr w14:val="tx1"/>
            </w14:solidFill>
          </w14:textFill>
        </w:rPr>
        <w:t>，不设置价格评审。</w:t>
      </w:r>
    </w:p>
    <w:p w14:paraId="1810A573">
      <w:pP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一、评标方法</w:t>
      </w:r>
    </w:p>
    <w:p w14:paraId="0677EE4A">
      <w:pPr>
        <w:adjustRightInd/>
        <w:spacing w:line="360" w:lineRule="auto"/>
        <w:ind w:firstLine="472" w:firstLineChars="196"/>
        <w:rPr>
          <w:rFonts w:ascii="仿宋" w:hAnsi="仿宋" w:eastAsia="仿宋" w:cs="Arial"/>
          <w:color w:val="000000" w:themeColor="text1"/>
          <w:kern w:val="0"/>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t>1.</w:t>
      </w:r>
      <w:r>
        <w:rPr>
          <w:rFonts w:hint="eastAsia" w:ascii="仿宋" w:hAnsi="仿宋" w:eastAsia="仿宋" w:cs="Arial"/>
          <w:b/>
          <w:color w:val="000000" w:themeColor="text1"/>
          <w:kern w:val="0"/>
          <w:sz w:val="24"/>
          <w:highlight w:val="none"/>
          <w14:textFill>
            <w14:solidFill>
              <w14:schemeClr w14:val="tx1"/>
            </w14:solidFill>
          </w14:textFill>
        </w:rPr>
        <w:t>本项目采用质量优先法。</w:t>
      </w:r>
      <w:r>
        <w:rPr>
          <w:rFonts w:hint="eastAsia" w:ascii="仿宋" w:hAnsi="仿宋" w:eastAsia="仿宋" w:cs="Arial"/>
          <w:color w:val="000000" w:themeColor="text1"/>
          <w:kern w:val="0"/>
          <w:sz w:val="24"/>
          <w:highlight w:val="none"/>
          <w14:textFill>
            <w14:solidFill>
              <w14:schemeClr w14:val="tx1"/>
            </w14:solidFill>
          </w14:textFill>
        </w:rPr>
        <w:t>质量优先法是指对满足采购需求且响应报价不超过</w:t>
      </w:r>
      <w:r>
        <w:rPr>
          <w:rFonts w:hint="eastAsia" w:ascii="仿宋" w:hAnsi="仿宋" w:eastAsia="仿宋" w:cs="Arial"/>
          <w:color w:val="000000" w:themeColor="text1"/>
          <w:kern w:val="0"/>
          <w:sz w:val="24"/>
          <w:highlight w:val="none"/>
          <w:lang w:val="en-US" w:eastAsia="zh-CN"/>
          <w14:textFill>
            <w14:solidFill>
              <w14:schemeClr w14:val="tx1"/>
            </w14:solidFill>
          </w14:textFill>
        </w:rPr>
        <w:t>服务</w:t>
      </w:r>
      <w:r>
        <w:rPr>
          <w:rFonts w:hint="eastAsia" w:ascii="仿宋" w:hAnsi="仿宋" w:eastAsia="仿宋" w:cs="Arial"/>
          <w:color w:val="000000" w:themeColor="text1"/>
          <w:kern w:val="0"/>
          <w:sz w:val="24"/>
          <w:highlight w:val="none"/>
          <w14:textFill>
            <w14:solidFill>
              <w14:schemeClr w14:val="tx1"/>
            </w14:solidFill>
          </w14:textFill>
        </w:rPr>
        <w:t>单价的货物、服务进行质量综合评分，按照质量评分从高到低排序，根据征集文件规定的淘汰率或者入围供应商数量上限，确定入围供应商的评审方法。</w:t>
      </w:r>
    </w:p>
    <w:p w14:paraId="4233E1CA">
      <w:pPr>
        <w:adjustRightInd/>
        <w:spacing w:line="360" w:lineRule="auto"/>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二、评标标准</w:t>
      </w:r>
    </w:p>
    <w:p w14:paraId="69501F2D">
      <w:pPr>
        <w:spacing w:line="360" w:lineRule="auto"/>
        <w:ind w:firstLine="472" w:firstLineChars="196"/>
        <w:rPr>
          <w:rFonts w:ascii="仿宋" w:hAnsi="仿宋" w:eastAsia="仿宋" w:cs="仿宋_GB2312"/>
          <w:b/>
          <w:color w:val="000000" w:themeColor="text1"/>
          <w:sz w:val="24"/>
          <w:highlight w:val="none"/>
          <w14:textFill>
            <w14:solidFill>
              <w14:schemeClr w14:val="tx1"/>
            </w14:solidFill>
          </w14:textFill>
        </w:rPr>
      </w:pPr>
      <w:r>
        <w:rPr>
          <w:rFonts w:ascii="仿宋" w:hAnsi="仿宋" w:eastAsia="仿宋" w:cs="仿宋_GB2312"/>
          <w:b/>
          <w:color w:val="000000" w:themeColor="text1"/>
          <w:sz w:val="24"/>
          <w:highlight w:val="none"/>
          <w14:textFill>
            <w14:solidFill>
              <w14:schemeClr w14:val="tx1"/>
            </w14:solidFill>
          </w14:textFill>
        </w:rPr>
        <w:t>2.</w:t>
      </w:r>
      <w:r>
        <w:rPr>
          <w:rFonts w:hint="eastAsia" w:ascii="仿宋" w:hAnsi="仿宋" w:eastAsia="仿宋" w:cs="仿宋_GB2312"/>
          <w:b/>
          <w:color w:val="000000" w:themeColor="text1"/>
          <w:sz w:val="24"/>
          <w:highlight w:val="none"/>
          <w14:textFill>
            <w14:solidFill>
              <w14:schemeClr w14:val="tx1"/>
            </w14:solidFill>
          </w14:textFill>
        </w:rPr>
        <w:t>评标标准：</w:t>
      </w:r>
      <w:r>
        <w:rPr>
          <w:rFonts w:hint="eastAsia" w:ascii="仿宋" w:hAnsi="仿宋" w:eastAsia="仿宋" w:cs="Arial"/>
          <w:color w:val="000000" w:themeColor="text1"/>
          <w:kern w:val="0"/>
          <w:sz w:val="24"/>
          <w:highlight w:val="none"/>
          <w14:textFill>
            <w14:solidFill>
              <w14:schemeClr w14:val="tx1"/>
            </w14:solidFill>
          </w14:textFill>
        </w:rPr>
        <w:t>见评标办法前附表。</w:t>
      </w:r>
    </w:p>
    <w:p w14:paraId="63530E5A">
      <w:pPr>
        <w:spacing w:line="360" w:lineRule="auto"/>
        <w:outlineLvl w:val="0"/>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三、评标程序</w:t>
      </w:r>
    </w:p>
    <w:p w14:paraId="53B70E7D">
      <w:pPr>
        <w:spacing w:line="360" w:lineRule="auto"/>
        <w:ind w:firstLine="472" w:firstLineChars="19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3.1符合性审查。</w:t>
      </w:r>
      <w:r>
        <w:rPr>
          <w:rFonts w:hint="eastAsia" w:ascii="仿宋" w:hAnsi="仿宋" w:eastAsia="仿宋" w:cs="Arial"/>
          <w:color w:val="000000" w:themeColor="text1"/>
          <w:kern w:val="0"/>
          <w:sz w:val="24"/>
          <w:highlight w:val="none"/>
          <w14:textFill>
            <w14:solidFill>
              <w14:schemeClr w14:val="tx1"/>
            </w14:solidFill>
          </w14:textFill>
        </w:rPr>
        <w:t>评标委员会应当对符合资格的供应商的响应文件进行符合性审查，以确定其是否满足征集文件的实质性要求。不满足征集文件的实质性要求的，投标无效。</w:t>
      </w:r>
    </w:p>
    <w:p w14:paraId="11CA6BDF">
      <w:pPr>
        <w:spacing w:line="360" w:lineRule="auto"/>
        <w:ind w:firstLine="472" w:firstLineChars="19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3.2 比较与评价。</w:t>
      </w:r>
      <w:r>
        <w:rPr>
          <w:rFonts w:hint="eastAsia" w:ascii="仿宋" w:hAnsi="仿宋" w:eastAsia="仿宋" w:cs="Arial"/>
          <w:color w:val="000000" w:themeColor="text1"/>
          <w:kern w:val="0"/>
          <w:sz w:val="24"/>
          <w:highlight w:val="none"/>
          <w14:textFill>
            <w14:solidFill>
              <w14:schemeClr w14:val="tx1"/>
            </w14:solidFill>
          </w14:textFill>
        </w:rPr>
        <w:t>评标委员会应当按照征集文件中规定的评标方法和标准，对符合性审查合格的响应文件进行商务和技术评估，综合比较与评价。</w:t>
      </w:r>
    </w:p>
    <w:p w14:paraId="4CC30F57">
      <w:pPr>
        <w:spacing w:line="360" w:lineRule="auto"/>
        <w:ind w:firstLine="472" w:firstLineChars="19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3.3汇总商务技术得分。</w:t>
      </w:r>
      <w:r>
        <w:rPr>
          <w:rFonts w:hint="eastAsia" w:ascii="仿宋" w:hAnsi="仿宋" w:eastAsia="仿宋" w:cs="Arial"/>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14:paraId="6080A916">
      <w:pPr>
        <w:spacing w:line="360" w:lineRule="auto"/>
        <w:ind w:firstLine="472" w:firstLineChars="196"/>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3.4报价评审。</w:t>
      </w:r>
    </w:p>
    <w:p w14:paraId="200D5132">
      <w:pPr>
        <w:pStyle w:val="97"/>
        <w:spacing w:before="0"/>
        <w:ind w:firstLine="508" w:firstLineChars="212"/>
        <w:rPr>
          <w:rFonts w:ascii="仿宋" w:hAnsi="仿宋" w:eastAsia="仿宋" w:cs="Arial"/>
          <w:color w:val="000000" w:themeColor="text1"/>
          <w:kern w:val="0"/>
          <w:szCs w:val="24"/>
          <w:highlight w:val="none"/>
          <w14:textFill>
            <w14:solidFill>
              <w14:schemeClr w14:val="tx1"/>
            </w14:solidFill>
          </w14:textFill>
        </w:rPr>
      </w:pPr>
      <w:r>
        <w:rPr>
          <w:rFonts w:hint="eastAsia" w:ascii="仿宋" w:hAnsi="仿宋" w:eastAsia="仿宋" w:cs="Arial"/>
          <w:color w:val="000000" w:themeColor="text1"/>
          <w:kern w:val="0"/>
          <w:szCs w:val="24"/>
          <w:highlight w:val="none"/>
          <w14:textFill>
            <w14:solidFill>
              <w14:schemeClr w14:val="tx1"/>
            </w14:solidFill>
          </w14:textFill>
        </w:rPr>
        <w:t>3.4.1响应文件报价出现前后不一致的，按照下列规定修正：</w:t>
      </w:r>
    </w:p>
    <w:p w14:paraId="6EA1F303">
      <w:pPr>
        <w:pStyle w:val="97"/>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3.4.1.1响应文件中投标</w:t>
      </w:r>
      <w:r>
        <w:rPr>
          <w:rFonts w:ascii="仿宋" w:hAnsi="仿宋" w:eastAsia="仿宋" w:cs="仿宋"/>
          <w:color w:val="000000" w:themeColor="text1"/>
          <w:kern w:val="0"/>
          <w:szCs w:val="24"/>
          <w:highlight w:val="none"/>
          <w14:textFill>
            <w14:solidFill>
              <w14:schemeClr w14:val="tx1"/>
            </w14:solidFill>
          </w14:textFill>
        </w:rPr>
        <w:t>(开标)一览表</w:t>
      </w:r>
      <w:r>
        <w:rPr>
          <w:rFonts w:hint="eastAsia" w:ascii="仿宋" w:hAnsi="仿宋" w:eastAsia="仿宋" w:cs="仿宋"/>
          <w:color w:val="000000" w:themeColor="text1"/>
          <w:kern w:val="0"/>
          <w:szCs w:val="24"/>
          <w:highlight w:val="none"/>
          <w14:textFill>
            <w14:solidFill>
              <w14:schemeClr w14:val="tx1"/>
            </w14:solidFill>
          </w14:textFill>
        </w:rPr>
        <w:t>内容与响应文件中相应内容不一致的，以投标(开标)一览表为准;</w:t>
      </w:r>
    </w:p>
    <w:p w14:paraId="7354D78F">
      <w:pPr>
        <w:pStyle w:val="97"/>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52B09737">
      <w:pPr>
        <w:pStyle w:val="97"/>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037BEA17">
      <w:pPr>
        <w:pStyle w:val="97"/>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0DA1FEF1">
      <w:pPr>
        <w:pStyle w:val="97"/>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《政府采购货物和服务征集投标管理办法》第五十一条第二款的规定经供应商确认后产生约束力。</w:t>
      </w:r>
    </w:p>
    <w:p w14:paraId="33EB236B">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3.4.2响应文件出现不是唯一的、有选择性响应报价的，投标无效。</w:t>
      </w:r>
    </w:p>
    <w:p w14:paraId="41AFADA2">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3.4.3响应报价超过征集文件中规定的预算金额或者最高限价的，投标无效。</w:t>
      </w:r>
    </w:p>
    <w:p w14:paraId="48273A0D">
      <w:pPr>
        <w:pStyle w:val="97"/>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38C78582">
      <w:pPr>
        <w:pStyle w:val="97"/>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响应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443CD41">
      <w:pPr>
        <w:spacing w:line="360" w:lineRule="auto"/>
        <w:ind w:firstLine="482" w:firstLineChars="200"/>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b/>
          <w:color w:val="000000" w:themeColor="text1"/>
          <w:kern w:val="0"/>
          <w:sz w:val="24"/>
          <w:highlight w:val="none"/>
          <w14:textFill>
            <w14:solidFill>
              <w14:schemeClr w14:val="tx1"/>
            </w14:solidFill>
          </w14:textFill>
        </w:rPr>
        <w:t>3.5</w:t>
      </w:r>
      <w:r>
        <w:rPr>
          <w:rFonts w:hint="eastAsia" w:ascii="仿宋" w:hAnsi="仿宋" w:eastAsia="仿宋" w:cs="仿宋"/>
          <w:b/>
          <w:color w:val="000000" w:themeColor="text1"/>
          <w:kern w:val="0"/>
          <w:sz w:val="24"/>
          <w:highlight w:val="none"/>
          <w14:textFill>
            <w14:solidFill>
              <w14:schemeClr w14:val="tx1"/>
            </w14:solidFill>
          </w14:textFill>
        </w:rPr>
        <w:t>排序与入围。</w:t>
      </w:r>
      <w:r>
        <w:rPr>
          <w:rFonts w:hint="eastAsia" w:ascii="仿宋" w:hAnsi="仿宋" w:eastAsia="仿宋" w:cs="仿宋"/>
          <w:color w:val="000000" w:themeColor="text1"/>
          <w:kern w:val="0"/>
          <w:sz w:val="24"/>
          <w:highlight w:val="none"/>
          <w14:textFill>
            <w14:solidFill>
              <w14:schemeClr w14:val="tx1"/>
            </w14:solidFill>
          </w14:textFill>
        </w:rPr>
        <w:t>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14:paraId="685EB899">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评标委员会根据排序从后往前按比例淘汰单位（淘汰比例为进入排序单位数量的20%，向上取整数），</w:t>
      </w:r>
      <w:r>
        <w:rPr>
          <w:rFonts w:hint="eastAsia" w:ascii="仿宋" w:hAnsi="仿宋" w:eastAsia="仿宋" w:cs="仿宋"/>
          <w:color w:val="000000" w:themeColor="text1"/>
          <w:kern w:val="0"/>
          <w:sz w:val="24"/>
          <w:highlight w:val="none"/>
          <w:lang w:val="en-US" w:eastAsia="zh-CN"/>
          <w14:textFill>
            <w14:solidFill>
              <w14:schemeClr w14:val="tx1"/>
            </w14:solidFill>
          </w14:textFill>
        </w:rPr>
        <w:t>淘汰后剩余单位多于6家的，按照排序先后选择6家单位；淘汰后剩余单位小于等于6家的，全部入围。</w:t>
      </w:r>
      <w:r>
        <w:rPr>
          <w:rFonts w:hint="eastAsia" w:ascii="仿宋" w:hAnsi="仿宋" w:eastAsia="仿宋" w:cs="仿宋"/>
          <w:color w:val="000000" w:themeColor="text1"/>
          <w:kern w:val="0"/>
          <w:sz w:val="24"/>
          <w:highlight w:val="none"/>
          <w14:textFill>
            <w14:solidFill>
              <w14:schemeClr w14:val="tx1"/>
            </w14:solidFill>
          </w14:textFill>
        </w:rPr>
        <w:t>征集供应商数量：</w:t>
      </w:r>
      <w:r>
        <w:rPr>
          <w:rFonts w:hint="eastAsia" w:ascii="仿宋" w:hAnsi="仿宋" w:eastAsia="仿宋" w:cs="仿宋"/>
          <w:color w:val="000000" w:themeColor="text1"/>
          <w:kern w:val="0"/>
          <w:sz w:val="24"/>
          <w:highlight w:val="none"/>
          <w:lang w:val="en-US" w:eastAsia="zh-CN"/>
          <w14:textFill>
            <w14:solidFill>
              <w14:schemeClr w14:val="tx1"/>
            </w14:solidFill>
          </w14:textFill>
        </w:rPr>
        <w:t>每标项</w:t>
      </w:r>
      <w:r>
        <w:rPr>
          <w:rFonts w:hint="eastAsia" w:ascii="仿宋" w:hAnsi="仿宋" w:eastAsia="仿宋" w:cs="仿宋"/>
          <w:color w:val="000000" w:themeColor="text1"/>
          <w:kern w:val="0"/>
          <w:sz w:val="24"/>
          <w:highlight w:val="none"/>
          <w14:textFill>
            <w14:solidFill>
              <w14:schemeClr w14:val="tx1"/>
            </w14:solidFill>
          </w14:textFill>
        </w:rPr>
        <w:t>最多</w:t>
      </w:r>
      <w:r>
        <w:rPr>
          <w:rFonts w:hint="eastAsia" w:ascii="仿宋" w:hAnsi="仿宋" w:eastAsia="仿宋" w:cs="仿宋"/>
          <w:color w:val="000000" w:themeColor="text1"/>
          <w:kern w:val="0"/>
          <w:sz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highlight w:val="none"/>
          <w14:textFill>
            <w14:solidFill>
              <w14:schemeClr w14:val="tx1"/>
            </w14:solidFill>
          </w14:textFill>
        </w:rPr>
        <w:t>家。</w:t>
      </w:r>
    </w:p>
    <w:p w14:paraId="0EF08D67">
      <w:pPr>
        <w:spacing w:line="360" w:lineRule="auto"/>
        <w:ind w:firstLine="472" w:firstLineChars="19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3.6编写评标报告。</w:t>
      </w:r>
      <w:r>
        <w:rPr>
          <w:rFonts w:hint="eastAsia" w:ascii="仿宋" w:hAnsi="仿宋" w:eastAsia="仿宋" w:cs="Arial"/>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23EC52">
      <w:pPr>
        <w:widowControl/>
        <w:shd w:val="clear" w:color="auto" w:fill="FFFFFF"/>
        <w:adjustRightInd/>
        <w:spacing w:after="225" w:line="315" w:lineRule="atLeast"/>
        <w:jc w:val="left"/>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四、评标中的其他事项</w:t>
      </w:r>
    </w:p>
    <w:p w14:paraId="691FFBCA">
      <w:pPr>
        <w:pStyle w:val="97"/>
        <w:spacing w:before="0"/>
        <w:ind w:firstLine="472" w:firstLineChars="196"/>
        <w:rPr>
          <w:rFonts w:ascii="仿宋" w:hAnsi="仿宋" w:eastAsia="仿宋" w:cs="Arial"/>
          <w:color w:val="000000" w:themeColor="text1"/>
          <w:kern w:val="0"/>
          <w:szCs w:val="24"/>
          <w:highlight w:val="none"/>
          <w14:textFill>
            <w14:solidFill>
              <w14:schemeClr w14:val="tx1"/>
            </w14:solidFill>
          </w14:textFill>
        </w:rPr>
      </w:pPr>
      <w:r>
        <w:rPr>
          <w:rFonts w:hint="eastAsia" w:ascii="仿宋" w:hAnsi="仿宋" w:eastAsia="仿宋" w:cs="Arial"/>
          <w:b/>
          <w:color w:val="000000" w:themeColor="text1"/>
          <w:kern w:val="0"/>
          <w:szCs w:val="24"/>
          <w:highlight w:val="none"/>
          <w14:textFill>
            <w14:solidFill>
              <w14:schemeClr w14:val="tx1"/>
            </w14:solidFill>
          </w14:textFill>
        </w:rPr>
        <w:t>4.1供应商澄清、说明或者补正。</w:t>
      </w:r>
      <w:r>
        <w:rPr>
          <w:rFonts w:hint="eastAsia" w:ascii="仿宋" w:hAnsi="仿宋" w:eastAsia="仿宋" w:cs="Arial"/>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7B0D149">
      <w:pPr>
        <w:pStyle w:val="21"/>
        <w:spacing w:line="360" w:lineRule="auto"/>
        <w:ind w:left="954" w:leftChars="226" w:hanging="479" w:firstLineChars="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Arial"/>
          <w:b/>
          <w:color w:val="000000" w:themeColor="text1"/>
          <w:kern w:val="0"/>
          <w:highlight w:val="none"/>
          <w14:textFill>
            <w14:solidFill>
              <w14:schemeClr w14:val="tx1"/>
            </w14:solidFill>
          </w14:textFill>
        </w:rPr>
        <w:t>4.2投标无效。</w:t>
      </w:r>
      <w:r>
        <w:rPr>
          <w:rFonts w:hint="eastAsia" w:ascii="仿宋" w:hAnsi="仿宋" w:eastAsia="仿宋" w:cs="仿宋_GB2312"/>
          <w:color w:val="000000" w:themeColor="text1"/>
          <w:highlight w:val="none"/>
          <w14:textFill>
            <w14:solidFill>
              <w14:schemeClr w14:val="tx1"/>
            </w14:solidFill>
          </w14:textFill>
        </w:rPr>
        <w:t>有下列情况之一的，投标无效：</w:t>
      </w:r>
    </w:p>
    <w:p w14:paraId="180E4719">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4.2.1供应商不具备征集文件中规定的资格要求的（供应商未提供有效的资格文件的，视为供应商不具备征集文件中规定的资格要求）；</w:t>
      </w:r>
    </w:p>
    <w:p w14:paraId="5C7F4BD1">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4.2.2响应文件未按照征集文件要求签署、盖章的；</w:t>
      </w:r>
    </w:p>
    <w:p w14:paraId="53A2347B">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4.2.3征集人拟采购的产品属于政府强制采购的节能产品品目清单范围的，供应商未按征集文件要求提供国家确定的认证机构出具的、处于有效期之内的节能产品认证证书的；</w:t>
      </w:r>
    </w:p>
    <w:p w14:paraId="6741172F">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4.2.4响应文件含有征集人不能接受的附加条件的；</w:t>
      </w:r>
    </w:p>
    <w:p w14:paraId="68B2CB76">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4.2.5响应文件中承诺的投标有效期少于征集文件中载明的投标有效期的；</w:t>
      </w:r>
    </w:p>
    <w:p w14:paraId="0B4CCF70">
      <w:pPr>
        <w:snapToGrid w:val="0"/>
        <w:spacing w:line="360" w:lineRule="auto"/>
        <w:ind w:firstLine="120" w:firstLineChars="50"/>
        <w:jc w:val="left"/>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 xml:space="preserve">   4.2.6响应文件出现不是唯一的、有选择性响应报价的;</w:t>
      </w:r>
    </w:p>
    <w:p w14:paraId="1D1C7ACE">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4.2.7响应报价超过征集文件中规定的预算金额或者最高限价的;</w:t>
      </w:r>
    </w:p>
    <w:p w14:paraId="358BF7E0">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09034566">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4.2.9供应商对根据修正原则修正后的报价不确认的；</w:t>
      </w:r>
    </w:p>
    <w:p w14:paraId="1455419E">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4.2.10供应商提供虚假材料投标的；</w:t>
      </w:r>
    </w:p>
    <w:p w14:paraId="428FBB38">
      <w:pPr>
        <w:spacing w:line="360" w:lineRule="auto"/>
        <w:ind w:firstLine="240" w:firstLineChars="1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 xml:space="preserve">  4.2.11供应商有恶意串通、妨碍其他供应商的竞争行为、损害征集人或者其他供应商的合法权益情形的；</w:t>
      </w:r>
    </w:p>
    <w:p w14:paraId="4E5A3ECF">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4.2.12供应商仅提交备份响应文件，没有在电子交易平台传输递交响应文件的，投标无效；</w:t>
      </w:r>
    </w:p>
    <w:p w14:paraId="7D8ADBA7">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4.2.13 响应文件不满足征集文件的其它实质性要求的；</w:t>
      </w:r>
    </w:p>
    <w:p w14:paraId="69DE34D0">
      <w:pPr>
        <w:spacing w:line="360" w:lineRule="auto"/>
        <w:ind w:firstLine="480" w:firstLineChars="200"/>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1F8A12CE">
      <w:pPr>
        <w:pStyle w:val="21"/>
        <w:snapToGrid w:val="0"/>
        <w:spacing w:line="360" w:lineRule="auto"/>
        <w:ind w:firstLine="472" w:firstLineChars="196"/>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b/>
          <w:color w:val="000000" w:themeColor="text1"/>
          <w:highlight w:val="none"/>
          <w14:textFill>
            <w14:solidFill>
              <w14:schemeClr w14:val="tx1"/>
            </w14:solidFill>
          </w14:textFill>
        </w:rPr>
        <w:t>5.废标。</w:t>
      </w:r>
      <w:r>
        <w:rPr>
          <w:rFonts w:hint="eastAsia" w:ascii="仿宋" w:hAnsi="仿宋" w:eastAsia="仿宋" w:cs="仿宋_GB2312"/>
          <w:color w:val="000000" w:themeColor="text1"/>
          <w:highlight w:val="none"/>
          <w14:textFill>
            <w14:solidFill>
              <w14:schemeClr w14:val="tx1"/>
            </w14:solidFill>
          </w14:textFill>
        </w:rPr>
        <w:t>根据《中华人民共和国政府采购法》第三十六条之规定，在采购中，出现下列情形之一的，应予废标：</w:t>
      </w:r>
    </w:p>
    <w:p w14:paraId="10D286B9">
      <w:pPr>
        <w:pStyle w:val="21"/>
        <w:snapToGrid w:val="0"/>
        <w:spacing w:line="360" w:lineRule="auto"/>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5.1符合专业条件的供应商或者对征集文件作实质响应的供应商不足3家的；</w:t>
      </w:r>
    </w:p>
    <w:p w14:paraId="5B8C10A9">
      <w:pPr>
        <w:pStyle w:val="21"/>
        <w:snapToGrid w:val="0"/>
        <w:spacing w:line="360" w:lineRule="auto"/>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5.2出现影响采购公正的违法、违规行为的；</w:t>
      </w:r>
    </w:p>
    <w:p w14:paraId="2D15B416">
      <w:pPr>
        <w:pStyle w:val="21"/>
        <w:snapToGrid w:val="0"/>
        <w:spacing w:line="360" w:lineRule="auto"/>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5.3供应商的报价均超过了采购预算，征集人不能支付的；</w:t>
      </w:r>
    </w:p>
    <w:p w14:paraId="2ADA7F52">
      <w:pPr>
        <w:pStyle w:val="21"/>
        <w:snapToGrid w:val="0"/>
        <w:spacing w:line="360" w:lineRule="auto"/>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5.4因重大变故，采购任务取消的。</w:t>
      </w:r>
    </w:p>
    <w:p w14:paraId="057376CE">
      <w:pPr>
        <w:pStyle w:val="21"/>
        <w:snapToGrid w:val="0"/>
        <w:spacing w:line="360" w:lineRule="auto"/>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废标后，采购代理机构应当将废标理由通知所有供应商。</w:t>
      </w:r>
    </w:p>
    <w:p w14:paraId="3A9ED5A9">
      <w:pPr>
        <w:pStyle w:val="21"/>
        <w:snapToGrid w:val="0"/>
        <w:spacing w:line="360" w:lineRule="auto"/>
        <w:ind w:firstLine="482"/>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b/>
          <w:color w:val="000000" w:themeColor="text1"/>
          <w:highlight w:val="none"/>
          <w14:textFill>
            <w14:solidFill>
              <w14:schemeClr w14:val="tx1"/>
            </w14:solidFill>
          </w14:textFill>
        </w:rPr>
        <w:t>6.修改征集文件，重新组织采购活动。</w:t>
      </w:r>
      <w:r>
        <w:rPr>
          <w:rFonts w:hint="eastAsia" w:ascii="仿宋" w:hAnsi="仿宋" w:eastAsia="仿宋" w:cs="仿宋_GB2312"/>
          <w:color w:val="000000" w:themeColor="text1"/>
          <w:highlight w:val="none"/>
          <w14:textFill>
            <w14:solidFill>
              <w14:schemeClr w14:val="tx1"/>
            </w14:solidFill>
          </w14:textFill>
        </w:rPr>
        <w:t>评标委员会发现征集文件存在歧义、重大缺陷导致评标工作无法进行，或者征集文件内容违反国家有关强制性规定的，将停止评标工作，并与征集人、采购代理机构沟通并作书面记录。征集人、采购代理机构确认后，将修改征集文件，重新组织采购活动。</w:t>
      </w:r>
    </w:p>
    <w:p w14:paraId="453DD25B">
      <w:pPr>
        <w:pStyle w:val="21"/>
        <w:snapToGrid w:val="0"/>
        <w:spacing w:line="360" w:lineRule="auto"/>
        <w:ind w:firstLine="482"/>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Helvetica"/>
          <w:b/>
          <w:color w:val="000000" w:themeColor="text1"/>
          <w:kern w:val="0"/>
          <w:highlight w:val="none"/>
          <w14:textFill>
            <w14:solidFill>
              <w14:schemeClr w14:val="tx1"/>
            </w14:solidFill>
          </w14:textFill>
        </w:rPr>
        <w:t>7.重新开展采购。</w:t>
      </w:r>
      <w:r>
        <w:rPr>
          <w:rFonts w:hint="eastAsia" w:ascii="仿宋" w:hAnsi="仿宋" w:eastAsia="仿宋" w:cs="仿宋_GB2312"/>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14:paraId="0675907E">
      <w:pPr>
        <w:pStyle w:val="21"/>
        <w:snapToGrid w:val="0"/>
        <w:spacing w:line="360" w:lineRule="auto"/>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7.1未确定中标或者中标人的，终止本次政府采购活动，重新开展政府采购活动。</w:t>
      </w:r>
    </w:p>
    <w:p w14:paraId="1B857DBA">
      <w:pPr>
        <w:pStyle w:val="21"/>
        <w:snapToGrid w:val="0"/>
        <w:spacing w:line="360" w:lineRule="auto"/>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5FFFDA8D">
      <w:pPr>
        <w:pStyle w:val="21"/>
        <w:snapToGrid w:val="0"/>
        <w:spacing w:line="360" w:lineRule="auto"/>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492408FC">
      <w:pPr>
        <w:pStyle w:val="21"/>
        <w:snapToGrid w:val="0"/>
        <w:spacing w:line="360" w:lineRule="auto"/>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7.4政府采购合同已经履行，给征集人、供应商造成损失的，由责任人承担赔偿责任。</w:t>
      </w:r>
    </w:p>
    <w:p w14:paraId="69E5A21E">
      <w:pPr>
        <w:pStyle w:val="21"/>
        <w:snapToGrid w:val="0"/>
        <w:spacing w:line="360" w:lineRule="auto"/>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r>
        <w:rPr>
          <w:rFonts w:ascii="仿宋" w:hAnsi="仿宋" w:eastAsia="仿宋" w:cs="仿宋_GB2312"/>
          <w:color w:val="000000" w:themeColor="text1"/>
          <w:highlight w:val="none"/>
          <w14:textFill>
            <w14:solidFill>
              <w14:schemeClr w14:val="tx1"/>
            </w14:solidFill>
          </w14:textFill>
        </w:rPr>
        <w:br w:type="page"/>
      </w:r>
    </w:p>
    <w:p w14:paraId="0F9A91F4">
      <w:pPr>
        <w:pStyle w:val="21"/>
        <w:snapToGrid w:val="0"/>
        <w:spacing w:line="360" w:lineRule="auto"/>
        <w:ind w:right="-512" w:firstLine="0" w:firstLineChars="0"/>
        <w:jc w:val="center"/>
        <w:rPr>
          <w:rFonts w:hint="eastAsia" w:ascii="仿宋" w:hAnsi="仿宋" w:eastAsia="仿宋" w:cs="仿宋_GB2312"/>
          <w:b/>
          <w:color w:val="000000" w:themeColor="text1"/>
          <w:sz w:val="36"/>
          <w:szCs w:val="36"/>
          <w:highlight w:val="none"/>
          <w:lang w:eastAsia="zh-CN"/>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第五部分</w:t>
      </w:r>
      <w:bookmarkEnd w:id="412"/>
      <w:bookmarkEnd w:id="413"/>
      <w:bookmarkEnd w:id="414"/>
      <w:r>
        <w:rPr>
          <w:rFonts w:hint="eastAsia" w:ascii="仿宋" w:hAnsi="仿宋" w:eastAsia="仿宋" w:cs="仿宋_GB2312"/>
          <w:b/>
          <w:color w:val="000000" w:themeColor="text1"/>
          <w:sz w:val="36"/>
          <w:szCs w:val="36"/>
          <w:highlight w:val="none"/>
          <w:lang w:eastAsia="zh-CN"/>
          <w14:textFill>
            <w14:solidFill>
              <w14:schemeClr w14:val="tx1"/>
            </w14:solidFill>
          </w14:textFill>
        </w:rPr>
        <w:t>拟签订的框架协议文本和采购合同文本</w:t>
      </w:r>
    </w:p>
    <w:p w14:paraId="4B819C9D">
      <w:pPr>
        <w:pageBreakBefore w:val="0"/>
        <w:kinsoku/>
        <w:overflowPunct/>
        <w:autoSpaceDE/>
        <w:autoSpaceDN/>
        <w:bidi w:val="0"/>
        <w:adjustRightInd w:val="0"/>
        <w:snapToGrid w:val="0"/>
        <w:spacing w:line="360" w:lineRule="auto"/>
        <w:jc w:val="center"/>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415" w:name="_Toc331685783"/>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eastAsia="zh-CN"/>
          <w14:textFill>
            <w14:solidFill>
              <w14:schemeClr w14:val="tx1"/>
            </w14:solidFill>
          </w14:textFill>
        </w:rPr>
        <w:t>杭州市滨江区2025-2026年居家养老综合服务封闭式框架协议</w:t>
      </w:r>
    </w:p>
    <w:p w14:paraId="0A8FB036">
      <w:pPr>
        <w:pageBreakBefore w:val="0"/>
        <w:kinsoku/>
        <w:overflowPunct/>
        <w:autoSpaceDE/>
        <w:autoSpaceDN/>
        <w:bidi w:val="0"/>
        <w:adjustRightInd w:val="0"/>
        <w:snapToGrid w:val="0"/>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标项一</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2A052437">
      <w:pPr>
        <w:pageBreakBefore w:val="0"/>
        <w:kinsoku/>
        <w:overflowPunct/>
        <w:autoSpaceDE/>
        <w:autoSpaceDN/>
        <w:bidi w:val="0"/>
        <w:adjustRightInd w:val="0"/>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p>
    <w:bookmarkEnd w:id="415"/>
    <w:p w14:paraId="1706CEDB">
      <w:pPr>
        <w:keepNext w:val="0"/>
        <w:keepLines w:val="0"/>
        <w:pageBreakBefore w:val="0"/>
        <w:kinsoku/>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甲方（征集人）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749185FC">
      <w:pPr>
        <w:keepNext w:val="0"/>
        <w:keepLines w:val="0"/>
        <w:pageBreakBefore w:val="0"/>
        <w:kinsoku/>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乙方（入围</w:t>
      </w:r>
      <w:r>
        <w:rPr>
          <w:rFonts w:hint="eastAsia" w:ascii="仿宋" w:hAnsi="仿宋" w:eastAsia="仿宋" w:cs="仿宋"/>
          <w:b/>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6AE40F0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经过公开征集，确定乙方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lang w:eastAsia="zh-CN"/>
          <w14:textFill>
            <w14:solidFill>
              <w14:schemeClr w14:val="tx1"/>
            </w14:solidFill>
          </w14:textFill>
        </w:rPr>
        <w:t>杭州市滨江区2025-2026年居家养老综合服务封闭式框架协议采购项目</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标项一</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的入围单位，为明确双方权利义务，经协商一致，签订本协议书。协议期内，乙方、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双方签署《政府采购框架协议采购合同》（以下简称“合同”）。</w:t>
      </w:r>
    </w:p>
    <w:p w14:paraId="6E2F5D4E">
      <w:pPr>
        <w:pStyle w:val="28"/>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一、定义</w:t>
      </w:r>
    </w:p>
    <w:p w14:paraId="75DBF0E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本协议中的下列术语应解释为：</w:t>
      </w:r>
    </w:p>
    <w:p w14:paraId="46023D0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1.“协议”系指甲方与乙方签署的、载明甲方与乙方协利义务的协议，包括所有的附件、附录和其他构成协议的所有文件。</w:t>
      </w:r>
    </w:p>
    <w:p w14:paraId="3097FC8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2.“甲方”系指</w:t>
      </w:r>
      <w:r>
        <w:rPr>
          <w:rFonts w:hint="eastAsia" w:ascii="仿宋" w:hAnsi="仿宋" w:eastAsia="仿宋" w:cs="仿宋"/>
          <w:color w:val="000000" w:themeColor="text1"/>
          <w:sz w:val="24"/>
          <w:szCs w:val="24"/>
          <w:highlight w:val="none"/>
          <w:lang w:eastAsia="zh-CN"/>
          <w14:textFill>
            <w14:solidFill>
              <w14:schemeClr w14:val="tx1"/>
            </w14:solidFill>
          </w14:textFill>
        </w:rPr>
        <w:t>杭州市滨江区民政局。</w:t>
      </w:r>
    </w:p>
    <w:p w14:paraId="75B301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3.“乙方”系指本次入围</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p>
    <w:p w14:paraId="49A5267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”系指</w:t>
      </w:r>
      <w:r>
        <w:rPr>
          <w:rFonts w:hint="eastAsia" w:ascii="仿宋" w:hAnsi="仿宋" w:eastAsia="仿宋" w:cs="仿宋"/>
          <w:color w:val="000000" w:themeColor="text1"/>
          <w:sz w:val="24"/>
          <w:szCs w:val="24"/>
          <w:highlight w:val="none"/>
          <w:lang w:eastAsia="zh-CN"/>
          <w14:textFill>
            <w14:solidFill>
              <w14:schemeClr w14:val="tx1"/>
            </w14:solidFill>
          </w14:textFill>
        </w:rPr>
        <w:t>杭州市滨江区民政局</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滨江区</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辖区范围内的3个街道</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与甲方享有同等权力。本协议下述各处所指甲方同时包含</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w:t>
      </w:r>
    </w:p>
    <w:p w14:paraId="4B0D7AC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5.“征集文件”是指“</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杭州市滨江区2025-2026年居家养老综合服务封闭式框架协议采购项目</w:t>
      </w:r>
      <w:r>
        <w:rPr>
          <w:rFonts w:hint="eastAsia" w:ascii="仿宋" w:hAnsi="仿宋" w:eastAsia="仿宋" w:cs="仿宋"/>
          <w:color w:val="000000" w:themeColor="text1"/>
          <w:sz w:val="24"/>
          <w:szCs w:val="24"/>
          <w:highlight w:val="none"/>
          <w14:textFill>
            <w14:solidFill>
              <w14:schemeClr w14:val="tx1"/>
            </w14:solidFill>
          </w14:textFill>
        </w:rPr>
        <w:t>”征集文件。</w:t>
      </w:r>
    </w:p>
    <w:p w14:paraId="058F2E23">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二、文件组成</w:t>
      </w:r>
    </w:p>
    <w:p w14:paraId="19C3340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以下文件为本协议的组成部分，应该认为是一个整体，彼此相互解释，相互补充。组成协议的多个文件的优先支配地位的次序如下：</w:t>
      </w:r>
    </w:p>
    <w:p w14:paraId="04B6531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1.本协议书；</w:t>
      </w:r>
    </w:p>
    <w:p w14:paraId="6FB3744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2.入围通知书；</w:t>
      </w:r>
    </w:p>
    <w:p w14:paraId="724D4A4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3.入围</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响应文件；</w:t>
      </w:r>
    </w:p>
    <w:p w14:paraId="5BFCD93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4.补充文件（若有）；</w:t>
      </w:r>
    </w:p>
    <w:p w14:paraId="160CFF5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5.征集文件。</w:t>
      </w:r>
    </w:p>
    <w:p w14:paraId="0FE874C5">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、有效期限</w:t>
      </w:r>
    </w:p>
    <w:p w14:paraId="76A74BB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本项目服务期两年，具体起止时间为2025年 月 日至2026年 月 日。合同一年一签，服务期内实行月度考核。服务期内乙方月度考核分出现两次90分（不含）以下的或满足“清退机制”条件之一的，甲方有权随时与乙方暂停服务终止合同，</w:t>
      </w:r>
      <w:r>
        <w:rPr>
          <w:rFonts w:hint="eastAsia" w:ascii="仿宋" w:hAnsi="仿宋" w:eastAsia="仿宋" w:cs="仿宋"/>
          <w:b w:val="0"/>
          <w:bCs w:val="0"/>
          <w:color w:val="000000" w:themeColor="text1"/>
          <w:sz w:val="24"/>
          <w:szCs w:val="24"/>
          <w:highlight w:val="none"/>
          <w14:textFill>
            <w14:solidFill>
              <w14:schemeClr w14:val="tx1"/>
            </w14:solidFill>
          </w14:textFill>
        </w:rPr>
        <w:t>在服务期限，如</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szCs w:val="24"/>
          <w:highlight w:val="none"/>
          <w14:textFill>
            <w14:solidFill>
              <w14:schemeClr w14:val="tx1"/>
            </w14:solidFill>
          </w14:textFill>
        </w:rPr>
        <w:t>考核不通过的，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 w:val="0"/>
          <w:bCs w:val="0"/>
          <w:color w:val="000000" w:themeColor="text1"/>
          <w:sz w:val="24"/>
          <w:szCs w:val="24"/>
          <w:highlight w:val="none"/>
          <w14:textFill>
            <w14:solidFill>
              <w14:schemeClr w14:val="tx1"/>
            </w14:solidFill>
          </w14:textFill>
        </w:rPr>
        <w:t>有权无责终止合同履行，重新组织采购活动。</w:t>
      </w:r>
      <w:r>
        <w:rPr>
          <w:rFonts w:hint="eastAsia" w:ascii="仿宋" w:hAnsi="仿宋" w:eastAsia="仿宋" w:cs="仿宋"/>
          <w:b/>
          <w:bCs/>
          <w:color w:val="000000" w:themeColor="text1"/>
          <w:sz w:val="24"/>
          <w:szCs w:val="24"/>
          <w:highlight w:val="none"/>
          <w14:textFill>
            <w14:solidFill>
              <w14:schemeClr w14:val="tx1"/>
            </w14:solidFill>
          </w14:textFill>
        </w:rPr>
        <w:br w:type="textWrapping"/>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四</w:t>
      </w:r>
      <w:r>
        <w:rPr>
          <w:rFonts w:hint="eastAsia" w:ascii="仿宋" w:hAnsi="仿宋" w:eastAsia="仿宋" w:cs="仿宋"/>
          <w:b/>
          <w:bCs/>
          <w:color w:val="000000" w:themeColor="text1"/>
          <w:sz w:val="24"/>
          <w:szCs w:val="24"/>
          <w:highlight w:val="none"/>
          <w14:textFill>
            <w14:solidFill>
              <w14:schemeClr w14:val="tx1"/>
            </w14:solidFill>
          </w14:textFill>
        </w:rPr>
        <w:t>、适用框架协议的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甲方（或服务对象）</w:t>
      </w:r>
      <w:r>
        <w:rPr>
          <w:rFonts w:hint="eastAsia" w:ascii="仿宋" w:hAnsi="仿宋" w:eastAsia="仿宋" w:cs="仿宋"/>
          <w:b/>
          <w:bCs/>
          <w:color w:val="000000" w:themeColor="text1"/>
          <w:sz w:val="24"/>
          <w:szCs w:val="24"/>
          <w:highlight w:val="none"/>
          <w14:textFill>
            <w14:solidFill>
              <w14:schemeClr w14:val="tx1"/>
            </w14:solidFill>
          </w14:textFill>
        </w:rPr>
        <w:t>：</w:t>
      </w:r>
    </w:p>
    <w:p w14:paraId="0328E9E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杭州市滨江区民政局与滨江区辖区范围内的3个街道</w:t>
      </w:r>
      <w:r>
        <w:rPr>
          <w:rFonts w:hint="eastAsia" w:ascii="仿宋" w:hAnsi="仿宋" w:eastAsia="仿宋" w:cs="仿宋"/>
          <w:color w:val="000000" w:themeColor="text1"/>
          <w:sz w:val="24"/>
          <w:szCs w:val="24"/>
          <w:highlight w:val="none"/>
          <w14:textFill>
            <w14:solidFill>
              <w14:schemeClr w14:val="tx1"/>
            </w14:solidFill>
          </w14:textFill>
        </w:rPr>
        <w:t>。</w:t>
      </w:r>
    </w:p>
    <w:p w14:paraId="330FFF98">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、履行合同的地域范围：</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杭州市滨江区</w:t>
      </w:r>
      <w:r>
        <w:rPr>
          <w:rFonts w:hint="eastAsia" w:ascii="仿宋" w:hAnsi="仿宋" w:eastAsia="仿宋" w:cs="仿宋"/>
          <w:b/>
          <w:bCs/>
          <w:color w:val="000000" w:themeColor="text1"/>
          <w:sz w:val="24"/>
          <w:szCs w:val="24"/>
          <w:highlight w:val="none"/>
          <w14:textFill>
            <w14:solidFill>
              <w14:schemeClr w14:val="tx1"/>
            </w14:solidFill>
          </w14:textFill>
        </w:rPr>
        <w:t>。</w:t>
      </w:r>
    </w:p>
    <w:p w14:paraId="52188378">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、采购需求</w:t>
      </w:r>
    </w:p>
    <w:p w14:paraId="54933ED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详见征集文件。</w:t>
      </w:r>
    </w:p>
    <w:p w14:paraId="505D9913">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服务单价</w:t>
      </w:r>
    </w:p>
    <w:p w14:paraId="33B60D5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固定单价</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color w:val="000000" w:themeColor="text1"/>
          <w:sz w:val="24"/>
          <w:szCs w:val="24"/>
          <w:highlight w:val="none"/>
          <w:lang w:val="en-US" w:eastAsia="zh-CN"/>
          <w14:textFill>
            <w14:solidFill>
              <w14:schemeClr w14:val="tx1"/>
            </w14:solidFill>
          </w14:textFill>
        </w:rPr>
        <w:t>35元/小时</w:t>
      </w:r>
    </w:p>
    <w:p w14:paraId="4D1D9EAA">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4"/>
          <w:highlight w:val="none"/>
          <w14:textFill>
            <w14:solidFill>
              <w14:schemeClr w14:val="tx1"/>
            </w14:solidFill>
          </w14:textFill>
        </w:rPr>
        <w:t>、协议价格</w:t>
      </w:r>
    </w:p>
    <w:p w14:paraId="21E11549">
      <w:pPr>
        <w:keepNext w:val="0"/>
        <w:keepLines w:val="0"/>
        <w:pageBreakBefore w:val="0"/>
        <w:kinsoku/>
        <w:overflowPunct/>
        <w:autoSpaceDE/>
        <w:autoSpaceDN/>
        <w:bidi w:val="0"/>
        <w:adjustRightInd w:val="0"/>
        <w:snapToGrid w:val="0"/>
        <w:spacing w:line="360" w:lineRule="auto"/>
        <w:ind w:left="0" w:leftChars="0" w:firstLine="480" w:firstLineChars="200"/>
        <w:rPr>
          <w:rFonts w:hint="default" w:ascii="仿宋" w:hAnsi="仿宋" w:eastAsia="仿宋" w:cs="仿宋"/>
          <w:b/>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固定单价</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color w:val="000000" w:themeColor="text1"/>
          <w:sz w:val="24"/>
          <w:szCs w:val="24"/>
          <w:highlight w:val="none"/>
          <w:lang w:val="en-US" w:eastAsia="zh-CN"/>
          <w14:textFill>
            <w14:solidFill>
              <w14:schemeClr w14:val="tx1"/>
            </w14:solidFill>
          </w14:textFill>
        </w:rPr>
        <w:t>35元/小时</w:t>
      </w:r>
    </w:p>
    <w:p w14:paraId="19D830F3">
      <w:pPr>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snapToGrid w:val="0"/>
          <w:color w:val="000000" w:themeColor="text1"/>
          <w:sz w:val="24"/>
          <w:szCs w:val="24"/>
          <w:highlight w:val="none"/>
          <w:lang w:val="en-US" w:eastAsia="zh-CN"/>
          <w14:textFill>
            <w14:solidFill>
              <w14:schemeClr w14:val="tx1"/>
            </w14:solidFill>
          </w14:textFill>
        </w:rPr>
        <w:t>九</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、资金支付方式、时间和条件</w:t>
      </w:r>
    </w:p>
    <w:p w14:paraId="3B8C261B">
      <w:pPr>
        <w:widowControl/>
        <w:wordWrap w:val="0"/>
        <w:topLinePunct/>
        <w:snapToGrid w:val="0"/>
        <w:spacing w:line="360" w:lineRule="auto"/>
        <w:ind w:firstLine="482"/>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1.区域型居家养老综合运营服务付款方式：</w:t>
      </w:r>
    </w:p>
    <w:p w14:paraId="1CA4B095">
      <w:pPr>
        <w:widowControl/>
        <w:wordWrap w:val="0"/>
        <w:topLinePunct/>
        <w:snapToGrid w:val="0"/>
        <w:spacing w:line="360" w:lineRule="auto"/>
        <w:ind w:firstLine="482"/>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1.1上门服务：</w:t>
      </w:r>
    </w:p>
    <w:p w14:paraId="6A1D4C4D">
      <w:pPr>
        <w:widowControl/>
        <w:wordWrap w:val="0"/>
        <w:topLinePunct/>
        <w:snapToGrid w:val="0"/>
        <w:spacing w:line="360" w:lineRule="auto"/>
        <w:ind w:firstLine="482"/>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甲方和所服务的街社核实每月服务明细后由街社进行支付。</w:t>
      </w:r>
    </w:p>
    <w:p w14:paraId="045A4995">
      <w:pPr>
        <w:keepNext w:val="0"/>
        <w:keepLines w:val="0"/>
        <w:pageBreakBefore w:val="0"/>
        <w:widowControl/>
        <w:kinsoku/>
        <w:wordWrap w:val="0"/>
        <w:overflowPunct/>
        <w:topLinePunct/>
        <w:autoSpaceDE/>
        <w:autoSpaceDN/>
        <w:bidi w:val="0"/>
        <w:snapToGrid w:val="0"/>
        <w:spacing w:line="360" w:lineRule="auto"/>
        <w:ind w:firstLine="480" w:firstLineChars="200"/>
        <w:textAlignment w:val="baseline"/>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本项目每月按照实际服务时间进行结算。</w:t>
      </w:r>
    </w:p>
    <w:p w14:paraId="4AF7C2D2">
      <w:pPr>
        <w:widowControl/>
        <w:wordWrap w:val="0"/>
        <w:topLinePunct/>
        <w:snapToGrid w:val="0"/>
        <w:spacing w:line="360" w:lineRule="auto"/>
        <w:ind w:firstLine="482"/>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由乙方每月按实际发生的各项服务时间，凭乙方开具的正式发票和员工工资发放凭证复印件，向所服务的街道进行结算。</w:t>
      </w:r>
    </w:p>
    <w:p w14:paraId="095FC3B7">
      <w:pPr>
        <w:widowControl/>
        <w:wordWrap w:val="0"/>
        <w:topLinePunct/>
        <w:snapToGrid w:val="0"/>
        <w:spacing w:line="360" w:lineRule="auto"/>
        <w:ind w:firstLine="482"/>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如省市要求有变化，甲方要求更换资金结算支付方式的，需改用甲方要求的支付方式，具体以双方协商为准。</w:t>
      </w:r>
    </w:p>
    <w:p w14:paraId="5AA09420">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1.2点位运营服务</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相关补贴：根据实际运营情况，结合考核结果由乙方每月凭开具的正式发票与街道、社区进行结算。</w:t>
      </w:r>
    </w:p>
    <w:p w14:paraId="6AA6BFF9">
      <w:pPr>
        <w:pStyle w:val="28"/>
        <w:keepNext w:val="0"/>
        <w:keepLines w:val="0"/>
        <w:pageBreakBefore w:val="0"/>
        <w:kinsoku/>
        <w:wordWrap/>
        <w:overflowPunct/>
        <w:topLinePunct w:val="0"/>
        <w:autoSpaceDE/>
        <w:autoSpaceDN/>
        <w:bidi w:val="0"/>
        <w:adjustRightInd w:val="0"/>
        <w:snapToGrid w:val="0"/>
        <w:spacing w:line="360" w:lineRule="auto"/>
        <w:ind w:left="0" w:leftChars="0" w:firstLine="477" w:firstLineChars="198"/>
        <w:textAlignment w:val="auto"/>
        <w:rPr>
          <w:rFonts w:hint="eastAsia" w:ascii="仿宋" w:hAnsi="仿宋" w:eastAsia="仿宋" w:cs="仿宋"/>
          <w:b/>
          <w:snapToGrid w:val="0"/>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lang w:val="en-US" w:eastAsia="zh-CN"/>
          <w14:textFill>
            <w14:solidFill>
              <w14:schemeClr w14:val="tx1"/>
            </w14:solidFill>
          </w14:textFill>
        </w:rPr>
        <w:t>十</w:t>
      </w:r>
      <w:r>
        <w:rPr>
          <w:rFonts w:hint="eastAsia" w:ascii="仿宋" w:hAnsi="仿宋" w:eastAsia="仿宋" w:cs="仿宋"/>
          <w:b/>
          <w:snapToGrid w:val="0"/>
          <w:color w:val="000000" w:themeColor="text1"/>
          <w:sz w:val="24"/>
          <w:szCs w:val="24"/>
          <w:highlight w:val="none"/>
          <w14:textFill>
            <w14:solidFill>
              <w14:schemeClr w14:val="tx1"/>
            </w14:solidFill>
          </w14:textFill>
        </w:rPr>
        <w:t>、转包或分包</w:t>
      </w:r>
    </w:p>
    <w:p w14:paraId="76F9CF2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本项目不得以任何形式进行转包和分包。</w:t>
      </w:r>
    </w:p>
    <w:p w14:paraId="3021E3F7">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十一、甲方的权利和义务</w:t>
      </w:r>
    </w:p>
    <w:p w14:paraId="007AD82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1.甲方负责第二阶段合同授予提供工作便利；</w:t>
      </w:r>
    </w:p>
    <w:p w14:paraId="20B08C70">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2.甲方负责第二阶段合同价和需求标准执行情况进行管理； </w:t>
      </w:r>
    </w:p>
    <w:p w14:paraId="437C9396">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3.甲方负责对第二阶段确定成交</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情况进行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监督与</w:t>
      </w:r>
      <w:r>
        <w:rPr>
          <w:rFonts w:hint="eastAsia" w:ascii="仿宋" w:hAnsi="仿宋" w:eastAsia="仿宋" w:cs="仿宋"/>
          <w:color w:val="000000" w:themeColor="text1"/>
          <w:sz w:val="24"/>
          <w:szCs w:val="24"/>
          <w:highlight w:val="none"/>
          <w14:textFill>
            <w14:solidFill>
              <w14:schemeClr w14:val="tx1"/>
            </w14:solidFill>
          </w14:textFill>
        </w:rPr>
        <w:t>管理；</w:t>
      </w:r>
    </w:p>
    <w:p w14:paraId="5C8D563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4.甲方</w:t>
      </w:r>
      <w:r>
        <w:rPr>
          <w:rFonts w:hint="eastAsia" w:ascii="仿宋" w:hAnsi="仿宋" w:eastAsia="仿宋" w:cs="仿宋"/>
          <w:color w:val="000000" w:themeColor="text1"/>
          <w:sz w:val="24"/>
          <w:szCs w:val="24"/>
          <w:highlight w:val="none"/>
          <w:lang w:val="en-US" w:eastAsia="zh-CN"/>
          <w14:textFill>
            <w14:solidFill>
              <w14:schemeClr w14:val="tx1"/>
            </w14:solidFill>
          </w14:textFill>
        </w:rPr>
        <w:t>依托政采云平台建立用户反馈和评价机制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接受甲方对入围乙方履行框架协议和采购合同情况的反馈与评价，并将用户反馈和评价情况向甲方公开，作为第二阶段直接选定成交乙方的参考；  </w:t>
      </w:r>
    </w:p>
    <w:p w14:paraId="512BD3C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5.公开封闭式框架协议的第二阶段成交结果；</w:t>
      </w:r>
    </w:p>
    <w:p w14:paraId="65F225E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6.办理入围</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清退和补充相关事宜。</w:t>
      </w:r>
    </w:p>
    <w:p w14:paraId="79C945AD">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十二、乙方的权利和义务</w:t>
      </w:r>
    </w:p>
    <w:p w14:paraId="50C4725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1.乙方有权监督第二阶段确定成交</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 xml:space="preserve">方式； </w:t>
      </w:r>
    </w:p>
    <w:p w14:paraId="303959C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2.乙方接受甲方的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管理、监督、考核等</w:t>
      </w:r>
      <w:r>
        <w:rPr>
          <w:rFonts w:hint="eastAsia" w:ascii="仿宋" w:hAnsi="仿宋" w:eastAsia="仿宋" w:cs="仿宋"/>
          <w:color w:val="000000" w:themeColor="text1"/>
          <w:sz w:val="24"/>
          <w:szCs w:val="24"/>
          <w:highlight w:val="none"/>
          <w14:textFill>
            <w14:solidFill>
              <w14:schemeClr w14:val="tx1"/>
            </w14:solidFill>
          </w14:textFill>
        </w:rPr>
        <w:t>；</w:t>
      </w:r>
    </w:p>
    <w:p w14:paraId="1570A352">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3.乙方组建的项目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成员应</w:t>
      </w:r>
      <w:r>
        <w:rPr>
          <w:rFonts w:hint="eastAsia" w:ascii="仿宋" w:hAnsi="仿宋" w:eastAsia="仿宋" w:cs="仿宋"/>
          <w:color w:val="000000" w:themeColor="text1"/>
          <w:sz w:val="24"/>
          <w:szCs w:val="24"/>
          <w:highlight w:val="none"/>
          <w:lang w:val="en-US" w:eastAsia="zh-CN"/>
          <w14:textFill>
            <w14:solidFill>
              <w14:schemeClr w14:val="tx1"/>
            </w14:solidFill>
          </w14:textFill>
        </w:rPr>
        <w:t>确保到位到岗</w:t>
      </w:r>
      <w:r>
        <w:rPr>
          <w:rFonts w:hint="eastAsia" w:ascii="仿宋" w:hAnsi="仿宋" w:eastAsia="仿宋" w:cs="仿宋"/>
          <w:color w:val="000000" w:themeColor="text1"/>
          <w:sz w:val="24"/>
          <w:szCs w:val="24"/>
          <w:highlight w:val="none"/>
          <w14:textFill>
            <w14:solidFill>
              <w14:schemeClr w14:val="tx1"/>
            </w14:solidFill>
          </w14:textFill>
        </w:rPr>
        <w:t>；</w:t>
      </w:r>
    </w:p>
    <w:p w14:paraId="7337D892">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.乙方不得将工作转包给其他单位或个人；</w:t>
      </w:r>
    </w:p>
    <w:p w14:paraId="3CFBB68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.乙方不得隐瞒、虚报单位资质、资格、人员及违法行为被禁止或限制参加政府采购活动等情况。</w:t>
      </w:r>
    </w:p>
    <w:p w14:paraId="07B632B6">
      <w:pPr>
        <w:pStyle w:val="22"/>
        <w:pageBreakBefore w:val="0"/>
        <w:kinsoku/>
        <w:wordWrap/>
        <w:overflowPunct/>
        <w:topLinePunct w:val="0"/>
        <w:autoSpaceDE/>
        <w:autoSpaceDN/>
        <w:bidi w:val="0"/>
        <w:spacing w:line="500" w:lineRule="exact"/>
        <w:ind w:firstLine="480"/>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0"/>
          <w:sz w:val="24"/>
          <w:highlight w:val="none"/>
          <w:lang w:val="en-US" w:eastAsia="zh-CN"/>
          <w14:textFill>
            <w14:solidFill>
              <w14:schemeClr w14:val="tx1"/>
            </w14:solidFill>
          </w14:textFill>
        </w:rPr>
        <w:t>十三、考</w:t>
      </w: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核机制</w:t>
      </w:r>
    </w:p>
    <w:p w14:paraId="5B687D9F">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本项目服务期两年，具体起止时间在合同中约定。合同一年一签，服务期内实行月度考核。服务期内乙方月度考核分出现两次85分（不含）以下的或满足“清退机制”条件之一的，甲方有权随时与乙方暂停服务终止合同，因合同终止对甲方造成的损失由乙方自行承担。</w:t>
      </w:r>
    </w:p>
    <w:p w14:paraId="19EAFD07">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（1）考核细则</w:t>
      </w:r>
    </w:p>
    <w:p w14:paraId="0DBE75DB">
      <w:pPr>
        <w:pStyle w:val="78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服务期内，甲方每月对乙方进行考核（合同签订后第一月度考核细则见下表，后续由甲方按服务情况不定期调整次月考核细则）。服务期内乙方月度考核分出现90分（不含）以下，月度考核每扣1分罚款1000元，由甲方从待付款项中一次性扣除，如待付款项不足支付考核罚款，乙方应当在知晓具体金额后10日内补足罚款。</w:t>
      </w:r>
    </w:p>
    <w:tbl>
      <w:tblPr>
        <w:tblStyle w:val="49"/>
        <w:tblW w:w="9051" w:type="dxa"/>
        <w:jc w:val="center"/>
        <w:tblLayout w:type="fixed"/>
        <w:tblCellMar>
          <w:top w:w="0" w:type="dxa"/>
          <w:left w:w="108" w:type="dxa"/>
          <w:bottom w:w="0" w:type="dxa"/>
          <w:right w:w="108" w:type="dxa"/>
        </w:tblCellMar>
      </w:tblPr>
      <w:tblGrid>
        <w:gridCol w:w="689"/>
        <w:gridCol w:w="487"/>
        <w:gridCol w:w="4692"/>
        <w:gridCol w:w="1621"/>
        <w:gridCol w:w="675"/>
        <w:gridCol w:w="887"/>
      </w:tblGrid>
      <w:tr w14:paraId="6C802126">
        <w:tblPrEx>
          <w:tblCellMar>
            <w:top w:w="0" w:type="dxa"/>
            <w:left w:w="108" w:type="dxa"/>
            <w:bottom w:w="0" w:type="dxa"/>
            <w:right w:w="108" w:type="dxa"/>
          </w:tblCellMar>
        </w:tblPrEx>
        <w:trPr>
          <w:trHeight w:val="186" w:hRule="atLeast"/>
          <w:jc w:val="center"/>
        </w:trPr>
        <w:tc>
          <w:tcPr>
            <w:tcW w:w="9051" w:type="dxa"/>
            <w:gridSpan w:val="6"/>
            <w:tcBorders>
              <w:top w:val="single" w:color="auto" w:sz="4" w:space="0"/>
              <w:left w:val="single" w:color="auto" w:sz="4" w:space="0"/>
              <w:bottom w:val="single" w:color="auto" w:sz="4" w:space="0"/>
              <w:right w:val="single" w:color="auto" w:sz="4" w:space="0"/>
            </w:tcBorders>
            <w:noWrap w:val="0"/>
            <w:vAlign w:val="center"/>
          </w:tcPr>
          <w:p w14:paraId="4F61900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考核细则</w:t>
            </w:r>
          </w:p>
        </w:tc>
      </w:tr>
      <w:tr w14:paraId="25A1DA2A">
        <w:tblPrEx>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4CFD19F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评分项目</w:t>
            </w:r>
          </w:p>
        </w:tc>
        <w:tc>
          <w:tcPr>
            <w:tcW w:w="5179" w:type="dxa"/>
            <w:gridSpan w:val="2"/>
            <w:tcBorders>
              <w:top w:val="single" w:color="auto" w:sz="4" w:space="0"/>
              <w:left w:val="single" w:color="auto" w:sz="4" w:space="0"/>
              <w:bottom w:val="single" w:color="auto" w:sz="4" w:space="0"/>
              <w:right w:val="single" w:color="auto" w:sz="4" w:space="0"/>
            </w:tcBorders>
            <w:noWrap w:val="0"/>
            <w:vAlign w:val="center"/>
          </w:tcPr>
          <w:p w14:paraId="4213EF3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000000" w:themeColor="text1"/>
                <w:kern w:val="2"/>
                <w:sz w:val="20"/>
                <w:szCs w:val="20"/>
                <w:highlight w:val="none"/>
                <w:u w:val="none"/>
                <w:shd w:val="clear" w:color="auto" w:fill="auto"/>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具体内容</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4DBE615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分值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9322A2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扣分</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937AD4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扣分点</w:t>
            </w:r>
          </w:p>
        </w:tc>
      </w:tr>
      <w:tr w14:paraId="6F1D6093">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2363EF3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服务内容</w:t>
            </w:r>
          </w:p>
          <w:p w14:paraId="446A3CE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3F311EA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5E18C1B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首次上门未按要求与接受服务的老年人或其代理人签订具有法律效力的服务协议并发放服务卡（内容包括但不限于老人名称、补贴金额、服务内容、点单方式等），或未补充每月新增。（需提供协议复印件）</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1B98742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7D7501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79389E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01C3A08">
        <w:tblPrEx>
          <w:tblCellMar>
            <w:top w:w="0" w:type="dxa"/>
            <w:left w:w="108" w:type="dxa"/>
            <w:bottom w:w="0" w:type="dxa"/>
            <w:right w:w="108" w:type="dxa"/>
          </w:tblCellMar>
        </w:tblPrEx>
        <w:trPr>
          <w:trHeight w:val="69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087F29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98FB3C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2FEF7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对享受政府购买服务的居家养老服务对象提供服务时服务人员未携带能正常使用的POS机上门为服务对象服务或未全程电子化管理。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5903F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309246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BC9F5D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9BC83BA">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B95748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083A520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600BA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乙方未按照招投标文件及服务协议进行服务。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BA26C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BD16C3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57DFAF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08927AA">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8566F1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587DF3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B79A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上门服务前未与老人提前预约时间。服务结束后未及时结算。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5C69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4F4E44A">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5A0B7EF">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CBAE208">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D3BD0A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8F10BD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98544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服务开始与结束未向老人讲明和解释服务全过程，未足时按采购人服务要求进行服务，服务结束后未与老人沟通服务满意度或老人的服务满意度少于100分。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6B63A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2DFF7D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B99120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3C55789">
        <w:tblPrEx>
          <w:tblCellMar>
            <w:top w:w="0" w:type="dxa"/>
            <w:left w:w="108" w:type="dxa"/>
            <w:bottom w:w="0" w:type="dxa"/>
            <w:right w:w="108" w:type="dxa"/>
          </w:tblCellMar>
        </w:tblPrEx>
        <w:trPr>
          <w:trHeight w:val="300" w:hRule="atLeast"/>
          <w:jc w:val="center"/>
        </w:trPr>
        <w:tc>
          <w:tcPr>
            <w:tcW w:w="689" w:type="dxa"/>
            <w:vMerge w:val="restart"/>
            <w:tcBorders>
              <w:top w:val="single" w:color="auto" w:sz="4" w:space="0"/>
              <w:left w:val="single" w:color="auto" w:sz="4" w:space="0"/>
              <w:right w:val="single" w:color="auto" w:sz="4" w:space="0"/>
            </w:tcBorders>
            <w:noWrap w:val="0"/>
            <w:vAlign w:val="center"/>
          </w:tcPr>
          <w:p w14:paraId="774ED92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w:t>
            </w:r>
          </w:p>
          <w:p w14:paraId="014AD69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7E9D122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0A555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服务人员不具有合法的劳动从业资格或服务期内年龄低于60周岁。（需提供服务人员身份证、意外险、健康证、劳动合同/劳务协议、上岗证或者职业技能培训证等文件的复印件）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5950E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18235E2">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F816FA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77C21A1">
        <w:tblPrEx>
          <w:tblCellMar>
            <w:top w:w="0" w:type="dxa"/>
            <w:left w:w="108" w:type="dxa"/>
            <w:bottom w:w="0" w:type="dxa"/>
            <w:right w:w="108" w:type="dxa"/>
          </w:tblCellMar>
        </w:tblPrEx>
        <w:trPr>
          <w:trHeight w:val="300" w:hRule="atLeast"/>
          <w:jc w:val="center"/>
        </w:trPr>
        <w:tc>
          <w:tcPr>
            <w:tcW w:w="689" w:type="dxa"/>
            <w:vMerge w:val="continue"/>
            <w:tcBorders>
              <w:left w:val="single" w:color="auto" w:sz="4" w:space="0"/>
              <w:right w:val="single" w:color="auto" w:sz="4" w:space="0"/>
            </w:tcBorders>
            <w:noWrap w:val="0"/>
            <w:vAlign w:val="center"/>
          </w:tcPr>
          <w:p w14:paraId="5055515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DE3055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602CB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乙方每季度未组织至少一次的服务人员培训，包括技能、礼仪、奖惩等内容。（提供相关培训内容、签到表、照片、活动记录表等台账资料）</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26DE1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704A264">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E698F3F">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D9747C1">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21805AE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CD68F3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2F619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服务人员未统一着装、佩戴工牌。</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1DD5D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7636E76">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89322F4">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2233478">
        <w:tblPrEx>
          <w:tblCellMar>
            <w:top w:w="0" w:type="dxa"/>
            <w:left w:w="108" w:type="dxa"/>
            <w:bottom w:w="0" w:type="dxa"/>
            <w:right w:w="108" w:type="dxa"/>
          </w:tblCellMar>
        </w:tblPrEx>
        <w:trPr>
          <w:trHeight w:val="90" w:hRule="atLeast"/>
          <w:jc w:val="center"/>
        </w:trPr>
        <w:tc>
          <w:tcPr>
            <w:tcW w:w="689" w:type="dxa"/>
            <w:vMerge w:val="continue"/>
            <w:tcBorders>
              <w:left w:val="single" w:color="auto" w:sz="4" w:space="0"/>
              <w:right w:val="single" w:color="auto" w:sz="4" w:space="0"/>
            </w:tcBorders>
            <w:noWrap w:val="0"/>
            <w:vAlign w:val="center"/>
          </w:tcPr>
          <w:p w14:paraId="0FB3CCF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0B7ECB9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826A6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服务中未文明操作、礼貌待人、主动服务、尊老敬老。</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7C22A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43838D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B3A977D">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3EF14BC">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635C2BC4">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039BECA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1B2C9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服务人员平台信息</w:t>
            </w: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未及时更新或不符</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CC521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347DE4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892FC82">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B77CB0A">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6594C6D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79A643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CC534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服务响应不及时</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：老人主动预约服务，未按承诺的时间联系老人并确认好具体上门服务的时间的。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52A6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E5DFE0D">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D09436C">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C672A78">
        <w:tblPrEx>
          <w:tblCellMar>
            <w:top w:w="0" w:type="dxa"/>
            <w:left w:w="108" w:type="dxa"/>
            <w:bottom w:w="0" w:type="dxa"/>
            <w:right w:w="108" w:type="dxa"/>
          </w:tblCellMar>
        </w:tblPrEx>
        <w:trPr>
          <w:trHeight w:val="384" w:hRule="atLeast"/>
          <w:jc w:val="center"/>
        </w:trPr>
        <w:tc>
          <w:tcPr>
            <w:tcW w:w="689" w:type="dxa"/>
            <w:vMerge w:val="continue"/>
            <w:tcBorders>
              <w:left w:val="single" w:color="auto" w:sz="4" w:space="0"/>
              <w:right w:val="single" w:color="auto" w:sz="4" w:space="0"/>
            </w:tcBorders>
            <w:noWrap w:val="0"/>
            <w:vAlign w:val="center"/>
          </w:tcPr>
          <w:p w14:paraId="2019A66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BDF628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5B732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服务人员或项目负责人平台信息与服务人员或项目负责人实际信息不一致。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B7116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881F42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249994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7FCF378">
        <w:tblPrEx>
          <w:tblCellMar>
            <w:top w:w="0" w:type="dxa"/>
            <w:left w:w="108" w:type="dxa"/>
            <w:bottom w:w="0" w:type="dxa"/>
            <w:right w:w="108" w:type="dxa"/>
          </w:tblCellMar>
        </w:tblPrEx>
        <w:trPr>
          <w:trHeight w:val="440" w:hRule="atLeast"/>
          <w:jc w:val="center"/>
        </w:trPr>
        <w:tc>
          <w:tcPr>
            <w:tcW w:w="689" w:type="dxa"/>
            <w:vMerge w:val="continue"/>
            <w:tcBorders>
              <w:left w:val="single" w:color="auto" w:sz="4" w:space="0"/>
              <w:right w:val="single" w:color="auto" w:sz="4" w:space="0"/>
            </w:tcBorders>
            <w:noWrap w:val="0"/>
            <w:vAlign w:val="center"/>
          </w:tcPr>
          <w:p w14:paraId="3192C23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2096A6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94D65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乙方更换项目负责人或项目负责人与实际不一致的。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98472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FE803B5">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2D64A90">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EDD54A6">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55D0985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4EC3D7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54634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乙方更换服务人员或服务人员与实际不一致的。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D6E3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0407F8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FEA43B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24C57DC">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2FD20AD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A1027B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04080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服务人员未按照标段人数配备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D473F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A4F66F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25467D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ACB68C5">
        <w:tblPrEx>
          <w:tblCellMar>
            <w:top w:w="0" w:type="dxa"/>
            <w:left w:w="108" w:type="dxa"/>
            <w:bottom w:w="0" w:type="dxa"/>
            <w:right w:w="108" w:type="dxa"/>
          </w:tblCellMar>
        </w:tblPrEx>
        <w:trPr>
          <w:trHeight w:val="47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689FF6A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服务质量考核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10EB29F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427E8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上报服务工单的服务时间、服务内容与实际服务时间、服务内容不一致。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1774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C439A7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D2B134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F9A839C">
        <w:tblPrEx>
          <w:tblCellMar>
            <w:top w:w="0" w:type="dxa"/>
            <w:left w:w="108" w:type="dxa"/>
            <w:bottom w:w="0" w:type="dxa"/>
            <w:right w:w="108" w:type="dxa"/>
          </w:tblCellMar>
        </w:tblPrEx>
        <w:trPr>
          <w:trHeight w:val="4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BACB79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2A42D3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EA34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服务人员入户后未经老人允许就开始服务，或上一单服务未结束就进入下一单服务的。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B06A6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9B74EF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269318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3B3173F">
        <w:tblPrEx>
          <w:tblCellMar>
            <w:top w:w="0" w:type="dxa"/>
            <w:left w:w="108" w:type="dxa"/>
            <w:bottom w:w="0" w:type="dxa"/>
            <w:right w:w="108" w:type="dxa"/>
          </w:tblCellMar>
        </w:tblPrEx>
        <w:trPr>
          <w:trHeight w:val="6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C54A4A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CE7986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8D2C1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对两单间隔时间异常（如跨社区、服务订单无间隔时间或间隔过短情况）或项目重叠的无法提供相应证明的。</w:t>
            </w: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（两单间隔时间不少于20分钟；两单支付时间不少于60分钟）</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38480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0.3分/次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319CC1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9FEA2F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0EAB0C5">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6CC36E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679FD2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7D4E2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网络或电话方式收到老人投诉或负面舆情，由</w:t>
            </w:r>
            <w:r>
              <w:rPr>
                <w:rFonts w:hint="eastAsia" w:ascii="仿宋" w:hAnsi="仿宋" w:eastAsia="仿宋" w:cs="仿宋"/>
                <w:color w:val="000000" w:themeColor="text1"/>
                <w:spacing w:val="0"/>
                <w:kern w:val="0"/>
                <w:sz w:val="20"/>
                <w:szCs w:val="20"/>
                <w:highlight w:val="none"/>
                <w:u w:val="none"/>
                <w:lang w:val="en-US" w:eastAsia="zh-CN" w:bidi="ar"/>
                <w14:textFill>
                  <w14:solidFill>
                    <w14:schemeClr w14:val="tx1"/>
                  </w14:solidFill>
                </w14:textFill>
              </w:rPr>
              <w:t>第三方监管单位</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入户进行核实，核实为有效投诉的。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013C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ED1EE5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F9F6BB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66B9980C">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8B69B0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F30196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647F3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发生重大责任事故和违法违纪行为等事件的。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2ADAF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C0B941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D86573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1FD85C3">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9AD578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742FEA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D61CB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未及时结算或隔日结算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6C53A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B62AFE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7A9950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2A7CE6D">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502D64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D34DFC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w:t>
            </w:r>
          </w:p>
        </w:tc>
        <w:tc>
          <w:tcPr>
            <w:tcW w:w="46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48B241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服务满意度（由第三方测评单位抽取名单，向老人、家属、社区、街道进行满意度回访。并将相关情况及时反馈街道、社区，由街道、社区及时作出后续处理）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78290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&lt;80%  3分/次</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0B897E7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vMerge w:val="restart"/>
            <w:tcBorders>
              <w:top w:val="single" w:color="auto" w:sz="4" w:space="0"/>
              <w:left w:val="single" w:color="auto" w:sz="4" w:space="0"/>
              <w:bottom w:val="single" w:color="auto" w:sz="4" w:space="0"/>
              <w:right w:val="single" w:color="auto" w:sz="4" w:space="0"/>
            </w:tcBorders>
            <w:noWrap w:val="0"/>
            <w:vAlign w:val="center"/>
          </w:tcPr>
          <w:p w14:paraId="38EE077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57433A5">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882B17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8B4392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DFB526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BD19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80-89% 2分/次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223760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60AFB0F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0348203">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A7851D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76ADDE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6CBCF8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3983C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90-95% 1分/次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A8EFF4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78779AF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B03DD7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ACFC87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DBA5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A5308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高龄普惠人群占每月服务老人比例不达标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CB870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51EDE7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3C6BEB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6EAA84C">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80DFD0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EEF61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44056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1小时单量占每月服务单量比例不达标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4D0E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BF9F7A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7A94CD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3FD6676">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95A2E8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B358A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1CCB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未按标准服务，协助排查过程中出现的自己拿市民卡、带走老人市民卡、服务不足时、中途离开等行为</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DEA0C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B8F197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E91B42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5B47BBD">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6A61FD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E312A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EF711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非不可抗力原因未开展服务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51AD6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25A790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27E615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F803982">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63975A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8E298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7154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服务人员每月服务时长超过200小时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FA400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3B2F36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841DD0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67449C2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328E35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C809B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4E2AC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市局回访服务人员未及时接听电话</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C0A30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0.1分/个</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761584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1F618F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DB12E5E">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CB0FFE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B5193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7034C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市局回访服务人员未开展服务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364A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F83BA4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ACCA2F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6AF4992">
        <w:tblPrEx>
          <w:tblCellMar>
            <w:top w:w="0" w:type="dxa"/>
            <w:left w:w="108" w:type="dxa"/>
            <w:bottom w:w="0" w:type="dxa"/>
            <w:right w:w="108" w:type="dxa"/>
          </w:tblCellMar>
        </w:tblPrEx>
        <w:trPr>
          <w:trHeight w:val="34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3AB1FAE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服务完成情况</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27A702E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7FC4B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未在每月25日前完成老人信息变动情况（包括老人及其监护人地址电话更新、去世老人、跨区变动、拒单老人）的上报。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3085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485D01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52C0A4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5DF988F">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4223DB4">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AFAFB1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E46D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未在每月提交1篇信息稿或专报。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270A0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226042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DD89C0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2702558">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C45B0CC">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E3D22E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40BFD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每年信息稿或专报被区级及以上媒体（含新媒体、纸媒等）录用量少于1篇的。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359E5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077AE2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6C0DEE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2D07579">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326B5FE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eastAsia="zh-CN"/>
                <w14:textFill>
                  <w14:solidFill>
                    <w14:schemeClr w14:val="tx1"/>
                  </w14:solidFill>
                </w14:textFill>
              </w:rPr>
              <w:t>加分项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182E86E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34E98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服务特色与创新（须经民政局认定且符合要求的特色服务）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95153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48571D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1506AC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D2D2CCA">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615B381">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D0F904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C3065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服务出色，获得老人或家属称赞的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3B381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8C948B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E2329D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ED2419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089353E">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39B818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6796DF2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为老服务公益性活动</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523D3ED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96B96E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96309B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4F7980C">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76DAE10C">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52779B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1B6C520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遇到突发情况，紧急应对，化险为夷的</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7856882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B5F37B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D05C02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16D9E95">
        <w:tblPrEx>
          <w:tblCellMar>
            <w:top w:w="0" w:type="dxa"/>
            <w:left w:w="108" w:type="dxa"/>
            <w:bottom w:w="0" w:type="dxa"/>
            <w:right w:w="108" w:type="dxa"/>
          </w:tblCellMar>
        </w:tblPrEx>
        <w:trPr>
          <w:trHeight w:val="190"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589402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乙方</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50BF026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4E6AFFA">
        <w:tblPrEx>
          <w:tblCellMar>
            <w:top w:w="0" w:type="dxa"/>
            <w:left w:w="108" w:type="dxa"/>
            <w:bottom w:w="0" w:type="dxa"/>
            <w:right w:w="108" w:type="dxa"/>
          </w:tblCellMar>
        </w:tblPrEx>
        <w:trPr>
          <w:trHeight w:val="288"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30354E5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小计扣分</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77D10D2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bl>
    <w:p w14:paraId="378444AE">
      <w:pPr>
        <w:pStyle w:val="21"/>
        <w:keepNext w:val="0"/>
        <w:keepLines w:val="0"/>
        <w:pageBreakBefore w:val="0"/>
        <w:widowControl w:val="0"/>
        <w:kinsoku/>
        <w:wordWrap/>
        <w:overflowPunct/>
        <w:topLinePunct w:val="0"/>
        <w:autoSpaceDE/>
        <w:autoSpaceDN/>
        <w:bidi w:val="0"/>
        <w:adjustRightInd w:val="0"/>
        <w:snapToGrid/>
        <w:spacing w:line="520" w:lineRule="exact"/>
        <w:ind w:left="0" w:leftChars="0" w:firstLine="482" w:firstLineChars="200"/>
        <w:textAlignment w:val="auto"/>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（2）清退机制（如有以下行为之一的甲方有权随时与供应商暂停服务终止合同，并视情况列入黑名单，2年内拒绝参加滨江区区域型居家养老服务项目）</w:t>
      </w:r>
    </w:p>
    <w:tbl>
      <w:tblPr>
        <w:tblStyle w:val="49"/>
        <w:tblW w:w="9051" w:type="dxa"/>
        <w:jc w:val="center"/>
        <w:tblLayout w:type="fixed"/>
        <w:tblCellMar>
          <w:top w:w="0" w:type="dxa"/>
          <w:left w:w="108" w:type="dxa"/>
          <w:bottom w:w="0" w:type="dxa"/>
          <w:right w:w="108" w:type="dxa"/>
        </w:tblCellMar>
      </w:tblPr>
      <w:tblGrid>
        <w:gridCol w:w="1176"/>
        <w:gridCol w:w="7875"/>
      </w:tblGrid>
      <w:tr w14:paraId="4BC395F9">
        <w:tblPrEx>
          <w:tblCellMar>
            <w:top w:w="0" w:type="dxa"/>
            <w:left w:w="108" w:type="dxa"/>
            <w:bottom w:w="0" w:type="dxa"/>
            <w:right w:w="108" w:type="dxa"/>
          </w:tblCellMar>
        </w:tblPrEx>
        <w:trPr>
          <w:trHeight w:val="186" w:hRule="atLeast"/>
          <w:jc w:val="center"/>
        </w:trPr>
        <w:tc>
          <w:tcPr>
            <w:tcW w:w="9051" w:type="dxa"/>
            <w:gridSpan w:val="2"/>
            <w:tcBorders>
              <w:top w:val="single" w:color="000000" w:sz="4" w:space="0"/>
              <w:left w:val="single" w:color="000000" w:sz="4" w:space="0"/>
              <w:bottom w:val="single" w:color="000000" w:sz="4" w:space="0"/>
              <w:right w:val="single" w:color="000000" w:sz="4" w:space="0"/>
            </w:tcBorders>
            <w:noWrap w:val="0"/>
            <w:vAlign w:val="center"/>
          </w:tcPr>
          <w:p w14:paraId="298A177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清退机制细则</w:t>
            </w:r>
          </w:p>
        </w:tc>
      </w:tr>
      <w:tr w14:paraId="67D11C9C">
        <w:tblPrEx>
          <w:tblCellMar>
            <w:top w:w="0" w:type="dxa"/>
            <w:left w:w="108" w:type="dxa"/>
            <w:bottom w:w="0" w:type="dxa"/>
            <w:right w:w="108" w:type="dxa"/>
          </w:tblCellMar>
        </w:tblPrEx>
        <w:trPr>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8E82F7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288242A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具体内容</w:t>
            </w:r>
          </w:p>
        </w:tc>
      </w:tr>
      <w:tr w14:paraId="33344D6C">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4593EE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D21DFD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乙方更换后的项目负责人或服务人员，不满足采购需求的年龄、证件等要求的。</w:t>
            </w:r>
          </w:p>
        </w:tc>
      </w:tr>
      <w:tr w14:paraId="7CF8B252">
        <w:tblPrEx>
          <w:tblCellMar>
            <w:top w:w="0" w:type="dxa"/>
            <w:left w:w="108" w:type="dxa"/>
            <w:bottom w:w="0" w:type="dxa"/>
            <w:right w:w="108" w:type="dxa"/>
          </w:tblCellMar>
        </w:tblPrEx>
        <w:trPr>
          <w:trHeight w:val="342"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54C5704">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E102AE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逾期未交月度考核罚款的。</w:t>
            </w:r>
          </w:p>
        </w:tc>
      </w:tr>
      <w:tr w14:paraId="4B64CD6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857965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227528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服务期内月度考核分出现两次85分（不含）以下的。</w:t>
            </w:r>
          </w:p>
        </w:tc>
      </w:tr>
      <w:tr w14:paraId="4FEDEBF6">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E41A43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4</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453B436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非法骗取套取政府财政资金，发现虚假交易、套现补贴且金额超5000元及以上的（退一罚十）。</w:t>
            </w:r>
          </w:p>
        </w:tc>
      </w:tr>
      <w:tr w14:paraId="54516BD9">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E7B941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5</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0AB42E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违法违规开展服务协议外的其他活动。</w:t>
            </w:r>
          </w:p>
        </w:tc>
      </w:tr>
      <w:tr w14:paraId="7733754B">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C04AA8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6</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4F2861E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泄露老人个人隐私信息。</w:t>
            </w:r>
          </w:p>
        </w:tc>
      </w:tr>
      <w:tr w14:paraId="42E41999">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C4F534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7</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AB4739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发生殴打、体罚等欺老虐老行为。</w:t>
            </w:r>
          </w:p>
        </w:tc>
      </w:tr>
      <w:tr w14:paraId="1CEE81B3">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56286C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8</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1D31B35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未按操作规程或标准提供服务，引发较大安全责任事故。</w:t>
            </w:r>
          </w:p>
        </w:tc>
      </w:tr>
      <w:tr w14:paraId="624181CA">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B8A5F7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9</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097D0F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故意隐瞒不及时报安全责任事故，检查发现安全隐患拒不整改。</w:t>
            </w:r>
          </w:p>
        </w:tc>
      </w:tr>
      <w:tr w14:paraId="71827B93">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6B4841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10</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75384F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经查实，被老年人或及家属等年度投诉不能超过5次（不含5次）。</w:t>
            </w:r>
          </w:p>
        </w:tc>
      </w:tr>
      <w:tr w14:paraId="19B78101">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B29F05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7B78C1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因合同纠纷造成群体性事件或不良社会舆论，或其他不良行为。</w:t>
            </w:r>
          </w:p>
        </w:tc>
      </w:tr>
      <w:tr w14:paraId="38649604">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83875C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2E312CC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经第三方测评，年度老人满意度低于95%并核查属实的。</w:t>
            </w:r>
          </w:p>
        </w:tc>
      </w:tr>
      <w:tr w14:paraId="19AC49F9">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75C569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2D84DD6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出现违法违规经营行为且超两次或拒不改正的，国家、省、市规定应当列入的其他严重失信情形.</w:t>
            </w:r>
          </w:p>
        </w:tc>
      </w:tr>
    </w:tbl>
    <w:p w14:paraId="43F6409B">
      <w:pPr>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b/>
          <w:bCs/>
          <w:snapToGrid w:val="0"/>
          <w:color w:val="000000" w:themeColor="text1"/>
          <w:kern w:val="0"/>
          <w:sz w:val="24"/>
          <w:highlight w:val="none"/>
          <w:lang w:val="en-US" w:eastAsia="zh-CN"/>
          <w14:textFill>
            <w14:solidFill>
              <w14:schemeClr w14:val="tx1"/>
            </w14:solidFill>
          </w14:textFill>
        </w:rPr>
        <w:t>十四、</w:t>
      </w:r>
      <w:r>
        <w:rPr>
          <w:rFonts w:hint="eastAsia" w:ascii="仿宋" w:hAnsi="仿宋" w:eastAsia="仿宋" w:cs="仿宋"/>
          <w:b/>
          <w:bCs/>
          <w:snapToGrid w:val="0"/>
          <w:color w:val="000000" w:themeColor="text1"/>
          <w:kern w:val="0"/>
          <w:sz w:val="24"/>
          <w:highlight w:val="none"/>
          <w:lang w:eastAsia="zh-CN"/>
          <w14:textFill>
            <w14:solidFill>
              <w14:schemeClr w14:val="tx1"/>
            </w14:solidFill>
          </w14:textFill>
        </w:rPr>
        <w:t>补充规则</w:t>
      </w:r>
    </w:p>
    <w:p w14:paraId="14FFC152">
      <w:pPr>
        <w:pageBreakBefore w:val="0"/>
        <w:kinsoku/>
        <w:overflowPunct/>
        <w:autoSpaceDE/>
        <w:autoSpaceDN/>
        <w:bidi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1.</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清退后，剩余入围乙方不足入围乙方总数70%且影响框架协议执行的，框架协议有效期内，</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甲方</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将补充征集乙方。</w:t>
      </w:r>
    </w:p>
    <w:p w14:paraId="4926213C">
      <w:pPr>
        <w:pageBreakBefore w:val="0"/>
        <w:kinsoku/>
        <w:overflowPunct/>
        <w:autoSpaceDE/>
        <w:autoSpaceDN/>
        <w:bidi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2.甲方</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补充征集乙方的，补充征集的条件、程序、评审方法和淘汰比例与初次征集相同。补充征集应当遵守原框架协议的有效期。补充征集期间，原框架协议继续履行。</w:t>
      </w:r>
    </w:p>
    <w:p w14:paraId="7AC43FE2">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sz w:val="24"/>
          <w:szCs w:val="24"/>
          <w:highlight w:val="none"/>
          <w14:textFill>
            <w14:solidFill>
              <w14:schemeClr w14:val="tx1"/>
            </w14:solidFill>
          </w14:textFill>
        </w:rPr>
        <w:t>十</w:t>
      </w:r>
      <w:r>
        <w:rPr>
          <w:rFonts w:hint="eastAsia" w:ascii="仿宋" w:hAnsi="仿宋" w:eastAsia="仿宋" w:cs="仿宋"/>
          <w:b/>
          <w:snapToGrid w:val="0"/>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snapToGrid w:val="0"/>
          <w:color w:val="000000" w:themeColor="text1"/>
          <w:sz w:val="24"/>
          <w:szCs w:val="24"/>
          <w:highlight w:val="none"/>
          <w14:textFill>
            <w14:solidFill>
              <w14:schemeClr w14:val="tx1"/>
            </w14:solidFill>
          </w14:textFill>
        </w:rPr>
        <w:t>、违约处理</w:t>
      </w:r>
    </w:p>
    <w:p w14:paraId="7B60B2FE">
      <w:pPr>
        <w:keepNext w:val="0"/>
        <w:keepLines w:val="0"/>
        <w:pageBreakBefore w:val="0"/>
        <w:numPr>
          <w:ilvl w:val="0"/>
          <w:numId w:val="0"/>
        </w:numPr>
        <w:kinsoku/>
        <w:overflowPunct/>
        <w:autoSpaceDE/>
        <w:autoSpaceDN/>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除不可抗力外，如果乙方没有按照本</w:t>
      </w:r>
      <w:r>
        <w:rPr>
          <w:rFonts w:hint="eastAsia" w:ascii="仿宋" w:hAnsi="仿宋" w:eastAsia="仿宋" w:cs="仿宋"/>
          <w:color w:val="000000" w:themeColor="text1"/>
          <w:sz w:val="24"/>
          <w:szCs w:val="24"/>
          <w:highlight w:val="none"/>
          <w:lang w:val="en-US" w:eastAsia="zh-CN"/>
          <w14:textFill>
            <w14:solidFill>
              <w14:schemeClr w14:val="tx1"/>
            </w14:solidFill>
          </w14:textFill>
        </w:rPr>
        <w:t>协议</w:t>
      </w:r>
      <w:r>
        <w:rPr>
          <w:rFonts w:hint="eastAsia" w:ascii="仿宋" w:hAnsi="仿宋" w:eastAsia="仿宋" w:cs="仿宋"/>
          <w:color w:val="000000" w:themeColor="text1"/>
          <w:sz w:val="24"/>
          <w:szCs w:val="24"/>
          <w:highlight w:val="none"/>
          <w14:textFill>
            <w14:solidFill>
              <w14:schemeClr w14:val="tx1"/>
            </w14:solidFill>
          </w14:textFill>
        </w:rPr>
        <w:t>约定的期限、地点和方式服务的，那么甲方可要求乙方支付违约金，违约金每日按</w:t>
      </w:r>
      <w:r>
        <w:rPr>
          <w:rFonts w:hint="eastAsia" w:ascii="仿宋" w:hAnsi="仿宋" w:eastAsia="仿宋" w:cs="仿宋"/>
          <w:color w:val="000000" w:themeColor="text1"/>
          <w:sz w:val="24"/>
          <w:szCs w:val="24"/>
          <w:highlight w:val="none"/>
          <w:lang w:val="en-US" w:eastAsia="zh-CN"/>
          <w14:textFill>
            <w14:solidFill>
              <w14:schemeClr w14:val="tx1"/>
            </w14:solidFill>
          </w14:textFill>
        </w:rPr>
        <w:t>1000元</w:t>
      </w:r>
      <w:r>
        <w:rPr>
          <w:rFonts w:hint="eastAsia" w:ascii="仿宋" w:hAnsi="仿宋" w:eastAsia="仿宋" w:cs="仿宋"/>
          <w:color w:val="000000" w:themeColor="text1"/>
          <w:sz w:val="24"/>
          <w:szCs w:val="24"/>
          <w:highlight w:val="none"/>
          <w14:textFill>
            <w14:solidFill>
              <w14:schemeClr w14:val="tx1"/>
            </w14:solidFill>
          </w14:textFill>
        </w:rPr>
        <w:t>计算，最高限额为</w:t>
      </w:r>
      <w:r>
        <w:rPr>
          <w:rFonts w:hint="eastAsia" w:ascii="仿宋" w:hAnsi="仿宋" w:eastAsia="仿宋" w:cs="仿宋"/>
          <w:color w:val="000000" w:themeColor="text1"/>
          <w:sz w:val="24"/>
          <w:szCs w:val="24"/>
          <w:highlight w:val="none"/>
          <w:lang w:val="en-US" w:eastAsia="zh-CN"/>
          <w14:textFill>
            <w14:solidFill>
              <w14:schemeClr w14:val="tx1"/>
            </w14:solidFill>
          </w14:textFill>
        </w:rPr>
        <w:t>2万元</w:t>
      </w:r>
      <w:r>
        <w:rPr>
          <w:rFonts w:hint="eastAsia" w:ascii="仿宋" w:hAnsi="仿宋" w:eastAsia="仿宋" w:cs="仿宋"/>
          <w:color w:val="000000" w:themeColor="text1"/>
          <w:sz w:val="24"/>
          <w:szCs w:val="24"/>
          <w:highlight w:val="none"/>
          <w14:textFill>
            <w14:solidFill>
              <w14:schemeClr w14:val="tx1"/>
            </w14:solidFill>
          </w14:textFill>
        </w:rPr>
        <w:t>；违约金计算数额达到前述最高限额之日起，甲方有权在要求乙方支付违约金的同时，书面通知乙方解除本合同；</w:t>
      </w:r>
    </w:p>
    <w:p w14:paraId="04DF6185">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szCs w:val="24"/>
          <w:highlight w:val="none"/>
          <w:u w:val="single"/>
          <w14:textFill>
            <w14:solidFill>
              <w14:schemeClr w14:val="tx1"/>
            </w14:solidFill>
          </w14:textFill>
        </w:rPr>
        <w:t>万分之五</w:t>
      </w:r>
      <w:r>
        <w:rPr>
          <w:rFonts w:hint="eastAsia" w:ascii="仿宋" w:hAnsi="仿宋" w:eastAsia="仿宋" w:cs="仿宋"/>
          <w:color w:val="000000" w:themeColor="text1"/>
          <w:sz w:val="24"/>
          <w:szCs w:val="24"/>
          <w:highlight w:val="none"/>
          <w14:textFill>
            <w14:solidFill>
              <w14:schemeClr w14:val="tx1"/>
            </w14:solidFill>
          </w14:textFill>
        </w:rPr>
        <w:t>计算，最高限额为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1万元</w:t>
      </w:r>
      <w:r>
        <w:rPr>
          <w:rFonts w:hint="eastAsia" w:ascii="仿宋" w:hAnsi="仿宋" w:eastAsia="仿宋" w:cs="仿宋"/>
          <w:color w:val="000000" w:themeColor="text1"/>
          <w:sz w:val="24"/>
          <w:szCs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17DF37BA">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6AAFF1">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75ADFF">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ED8FF4">
      <w:pPr>
        <w:keepNext w:val="0"/>
        <w:keepLines w:val="0"/>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如果出现政府采购监督管理部门在处理投诉事项期间，书面通知甲方暂停采购活动的情形，或者询问或质疑事项可能影响</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结果的，导致甲方中止履行合同的情形，均不视为甲方违约。</w:t>
      </w:r>
    </w:p>
    <w:p w14:paraId="4497AF37">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sz w:val="24"/>
          <w:szCs w:val="24"/>
          <w:highlight w:val="none"/>
          <w14:textFill>
            <w14:solidFill>
              <w14:schemeClr w14:val="tx1"/>
            </w14:solidFill>
          </w14:textFill>
        </w:rPr>
        <w:t>十</w:t>
      </w:r>
      <w:r>
        <w:rPr>
          <w:rFonts w:hint="eastAsia" w:ascii="仿宋" w:hAnsi="仿宋" w:eastAsia="仿宋" w:cs="仿宋"/>
          <w:b/>
          <w:snapToGrid w:val="0"/>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snapToGrid w:val="0"/>
          <w:color w:val="000000" w:themeColor="text1"/>
          <w:sz w:val="24"/>
          <w:szCs w:val="24"/>
          <w:highlight w:val="none"/>
          <w14:textFill>
            <w14:solidFill>
              <w14:schemeClr w14:val="tx1"/>
            </w14:solidFill>
          </w14:textFill>
        </w:rPr>
        <w:t>、不可抗力事件处理</w:t>
      </w:r>
    </w:p>
    <w:p w14:paraId="48640E72">
      <w:pPr>
        <w:keepNext w:val="0"/>
        <w:keepLines w:val="0"/>
        <w:pageBreakBefore w:val="0"/>
        <w:widowControl/>
        <w:shd w:val="clear" w:color="auto"/>
        <w:kinsoku/>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1.在合同有效期内，因不可抗力事件导致不能履行合同，则合同履行至合同到期日止。</w:t>
      </w:r>
    </w:p>
    <w:p w14:paraId="04AD988A">
      <w:pPr>
        <w:keepNext w:val="0"/>
        <w:keepLines w:val="0"/>
        <w:pageBreakBefore w:val="0"/>
        <w:numPr>
          <w:ilvl w:val="0"/>
          <w:numId w:val="0"/>
        </w:numPr>
        <w:shd w:val="clea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2.不可抗力事件发生后，应立即通知对方，并寄送有关权威机构出具的证明。</w:t>
      </w:r>
    </w:p>
    <w:p w14:paraId="7C301ED8">
      <w:pPr>
        <w:keepNext w:val="0"/>
        <w:keepLines w:val="0"/>
        <w:pageBreakBefore w:val="0"/>
        <w:numPr>
          <w:ilvl w:val="0"/>
          <w:numId w:val="0"/>
        </w:numPr>
        <w:kinsoku/>
        <w:overflowPunct/>
        <w:autoSpaceDE/>
        <w:autoSpaceDN/>
        <w:bidi w:val="0"/>
        <w:adjustRightInd w:val="0"/>
        <w:snapToGrid w:val="0"/>
        <w:spacing w:line="360" w:lineRule="auto"/>
        <w:ind w:left="0" w:leftChars="0" w:firstLine="482"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十七、</w:t>
      </w:r>
      <w:r>
        <w:rPr>
          <w:rFonts w:hint="eastAsia" w:ascii="仿宋" w:hAnsi="仿宋" w:eastAsia="仿宋" w:cs="仿宋"/>
          <w:b/>
          <w:bCs/>
          <w:color w:val="000000" w:themeColor="text1"/>
          <w:sz w:val="24"/>
          <w:szCs w:val="24"/>
          <w:highlight w:val="none"/>
          <w14:textFill>
            <w14:solidFill>
              <w14:schemeClr w14:val="tx1"/>
            </w14:solidFill>
          </w14:textFill>
        </w:rPr>
        <w:t>乙方</w:t>
      </w:r>
      <w:r>
        <w:rPr>
          <w:rFonts w:hint="eastAsia" w:ascii="仿宋" w:hAnsi="仿宋" w:eastAsia="仿宋" w:cs="仿宋"/>
          <w:b/>
          <w:bCs/>
          <w:color w:val="000000" w:themeColor="text1"/>
          <w:sz w:val="24"/>
          <w:szCs w:val="24"/>
          <w:highlight w:val="none"/>
          <w:lang w:eastAsia="zh-CN"/>
          <w14:textFill>
            <w14:solidFill>
              <w14:schemeClr w14:val="tx1"/>
            </w14:solidFill>
          </w14:textFill>
        </w:rPr>
        <w:t>和甲方</w:t>
      </w:r>
      <w:r>
        <w:rPr>
          <w:rFonts w:hint="eastAsia" w:ascii="仿宋" w:hAnsi="仿宋" w:eastAsia="仿宋" w:cs="仿宋"/>
          <w:b/>
          <w:bCs/>
          <w:color w:val="000000" w:themeColor="text1"/>
          <w:sz w:val="24"/>
          <w:szCs w:val="24"/>
          <w:highlight w:val="none"/>
          <w14:textFill>
            <w14:solidFill>
              <w14:schemeClr w14:val="tx1"/>
            </w14:solidFill>
          </w14:textFill>
        </w:rPr>
        <w:t>发生争议的</w:t>
      </w:r>
      <w:r>
        <w:rPr>
          <w:rFonts w:hint="eastAsia" w:ascii="仿宋" w:hAnsi="仿宋" w:eastAsia="仿宋" w:cs="仿宋"/>
          <w:b/>
          <w:bCs/>
          <w:color w:val="000000" w:themeColor="text1"/>
          <w:sz w:val="24"/>
          <w:szCs w:val="24"/>
          <w:highlight w:val="none"/>
          <w:lang w:eastAsia="zh-CN"/>
          <w14:textFill>
            <w14:solidFill>
              <w14:schemeClr w14:val="tx1"/>
            </w14:solidFill>
          </w14:textFill>
        </w:rPr>
        <w:t>处理</w:t>
      </w:r>
    </w:p>
    <w:p w14:paraId="78CEF2D0">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双方如</w:t>
      </w:r>
      <w:r>
        <w:rPr>
          <w:rFonts w:hint="eastAsia" w:ascii="仿宋" w:hAnsi="仿宋" w:eastAsia="仿宋" w:cs="仿宋"/>
          <w:color w:val="000000" w:themeColor="text1"/>
          <w:sz w:val="24"/>
          <w:szCs w:val="24"/>
          <w:highlight w:val="none"/>
          <w14:textFill>
            <w14:solidFill>
              <w14:schemeClr w14:val="tx1"/>
            </w14:solidFill>
          </w14:textFill>
        </w:rPr>
        <w:t>发生</w:t>
      </w:r>
      <w:r>
        <w:rPr>
          <w:rFonts w:hint="eastAsia" w:ascii="仿宋" w:hAnsi="仿宋" w:eastAsia="仿宋" w:cs="仿宋"/>
          <w:color w:val="000000" w:themeColor="text1"/>
          <w:sz w:val="24"/>
          <w:szCs w:val="24"/>
          <w:highlight w:val="none"/>
          <w:lang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纠纷，应当</w:t>
      </w:r>
      <w:r>
        <w:rPr>
          <w:rFonts w:hint="eastAsia" w:ascii="仿宋" w:hAnsi="仿宋" w:eastAsia="仿宋" w:cs="仿宋"/>
          <w:color w:val="000000" w:themeColor="text1"/>
          <w:sz w:val="24"/>
          <w:szCs w:val="24"/>
          <w:highlight w:val="none"/>
          <w:lang w:eastAsia="zh-CN"/>
          <w14:textFill>
            <w14:solidFill>
              <w14:schemeClr w14:val="tx1"/>
            </w14:solidFill>
          </w14:textFill>
        </w:rPr>
        <w:t>友好</w:t>
      </w:r>
      <w:r>
        <w:rPr>
          <w:rFonts w:hint="eastAsia" w:ascii="仿宋" w:hAnsi="仿宋" w:eastAsia="仿宋" w:cs="仿宋"/>
          <w:color w:val="000000" w:themeColor="text1"/>
          <w:sz w:val="24"/>
          <w:szCs w:val="24"/>
          <w:highlight w:val="none"/>
          <w14:textFill>
            <w14:solidFill>
              <w14:schemeClr w14:val="tx1"/>
            </w14:solidFill>
          </w14:textFill>
        </w:rPr>
        <w:t>协商，并按《中华人民共和国民法典》</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《中华人民共和国政府采购法》、《中华人民共和国政府采购法实施条例》、《政府采购框架协议采购方式管理暂行办法》</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相关法律、法规、规章的规定</w:t>
      </w:r>
      <w:r>
        <w:rPr>
          <w:rFonts w:hint="eastAsia" w:ascii="仿宋" w:hAnsi="仿宋" w:eastAsia="仿宋" w:cs="仿宋"/>
          <w:color w:val="000000" w:themeColor="text1"/>
          <w:sz w:val="24"/>
          <w:szCs w:val="24"/>
          <w:highlight w:val="none"/>
          <w:lang w:eastAsia="zh-CN"/>
          <w14:textFill>
            <w14:solidFill>
              <w14:schemeClr w14:val="tx1"/>
            </w14:solidFill>
          </w14:textFill>
        </w:rPr>
        <w:t>及本项目征集文件的要求</w:t>
      </w:r>
      <w:r>
        <w:rPr>
          <w:rFonts w:hint="eastAsia" w:ascii="仿宋" w:hAnsi="仿宋" w:eastAsia="仿宋" w:cs="仿宋"/>
          <w:color w:val="000000" w:themeColor="text1"/>
          <w:sz w:val="24"/>
          <w:szCs w:val="24"/>
          <w:highlight w:val="none"/>
          <w14:textFill>
            <w14:solidFill>
              <w14:schemeClr w14:val="tx1"/>
            </w14:solidFill>
          </w14:textFill>
        </w:rPr>
        <w:t>处理。</w:t>
      </w:r>
    </w:p>
    <w:p w14:paraId="35473822">
      <w:pPr>
        <w:keepNext w:val="0"/>
        <w:keepLines w:val="0"/>
        <w:pageBreakBefore w:val="0"/>
        <w:numPr>
          <w:ilvl w:val="0"/>
          <w:numId w:val="0"/>
        </w:numPr>
        <w:kinsoku/>
        <w:overflowPunct/>
        <w:autoSpaceDE/>
        <w:autoSpaceDN/>
        <w:bidi w:val="0"/>
        <w:adjustRightInd w:val="0"/>
        <w:snapToGrid w:val="0"/>
        <w:spacing w:line="360" w:lineRule="auto"/>
        <w:ind w:left="0" w:leftChars="0" w:firstLine="482"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十八、</w:t>
      </w:r>
      <w:r>
        <w:rPr>
          <w:rFonts w:hint="eastAsia" w:ascii="仿宋" w:hAnsi="仿宋" w:eastAsia="仿宋" w:cs="仿宋"/>
          <w:b/>
          <w:bCs/>
          <w:color w:val="000000" w:themeColor="text1"/>
          <w:sz w:val="24"/>
          <w:szCs w:val="24"/>
          <w:highlight w:val="none"/>
          <w14:textFill>
            <w14:solidFill>
              <w14:schemeClr w14:val="tx1"/>
            </w14:solidFill>
          </w14:textFill>
        </w:rPr>
        <w:t>本协议</w:t>
      </w:r>
      <w:r>
        <w:rPr>
          <w:rFonts w:hint="eastAsia" w:ascii="仿宋" w:hAnsi="仿宋" w:eastAsia="仿宋" w:cs="仿宋"/>
          <w:b/>
          <w:bCs/>
          <w:color w:val="000000" w:themeColor="text1"/>
          <w:sz w:val="24"/>
          <w:szCs w:val="24"/>
          <w:highlight w:val="none"/>
          <w:lang w:eastAsia="zh-CN"/>
          <w14:textFill>
            <w14:solidFill>
              <w14:schemeClr w14:val="tx1"/>
            </w14:solidFill>
          </w14:textFill>
        </w:rPr>
        <w:t>发生</w:t>
      </w:r>
      <w:r>
        <w:rPr>
          <w:rFonts w:hint="eastAsia" w:ascii="仿宋" w:hAnsi="仿宋" w:eastAsia="仿宋" w:cs="仿宋"/>
          <w:b/>
          <w:bCs/>
          <w:color w:val="000000" w:themeColor="text1"/>
          <w:sz w:val="24"/>
          <w:szCs w:val="24"/>
          <w:highlight w:val="none"/>
          <w14:textFill>
            <w14:solidFill>
              <w14:schemeClr w14:val="tx1"/>
            </w14:solidFill>
          </w14:textFill>
        </w:rPr>
        <w:t>争议的</w:t>
      </w:r>
      <w:r>
        <w:rPr>
          <w:rFonts w:hint="eastAsia" w:ascii="仿宋" w:hAnsi="仿宋" w:eastAsia="仿宋" w:cs="仿宋"/>
          <w:b/>
          <w:bCs/>
          <w:color w:val="000000" w:themeColor="text1"/>
          <w:sz w:val="24"/>
          <w:szCs w:val="24"/>
          <w:highlight w:val="none"/>
          <w:lang w:eastAsia="zh-CN"/>
          <w14:textFill>
            <w14:solidFill>
              <w14:schemeClr w14:val="tx1"/>
            </w14:solidFill>
          </w14:textFill>
        </w:rPr>
        <w:t>处理</w:t>
      </w:r>
    </w:p>
    <w:p w14:paraId="66D55504">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双方在执行合同中所发生的一切争议，应通过协商解决。如协商不成，可向甲方所在地法院起诉。</w:t>
      </w:r>
    </w:p>
    <w:p w14:paraId="2D2519D6">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sz w:val="24"/>
          <w:szCs w:val="24"/>
          <w:highlight w:val="none"/>
          <w14:textFill>
            <w14:solidFill>
              <w14:schemeClr w14:val="tx1"/>
            </w14:solidFill>
          </w14:textFill>
        </w:rPr>
        <w:t>十</w:t>
      </w:r>
      <w:r>
        <w:rPr>
          <w:rFonts w:hint="eastAsia" w:ascii="仿宋" w:hAnsi="仿宋" w:eastAsia="仿宋" w:cs="仿宋"/>
          <w:b/>
          <w:snapToGrid w:val="0"/>
          <w:color w:val="000000" w:themeColor="text1"/>
          <w:sz w:val="24"/>
          <w:szCs w:val="24"/>
          <w:highlight w:val="none"/>
          <w:lang w:val="en-US" w:eastAsia="zh-CN"/>
          <w14:textFill>
            <w14:solidFill>
              <w14:schemeClr w14:val="tx1"/>
            </w14:solidFill>
          </w14:textFill>
        </w:rPr>
        <w:t>九</w:t>
      </w:r>
      <w:r>
        <w:rPr>
          <w:rFonts w:hint="eastAsia" w:ascii="仿宋" w:hAnsi="仿宋" w:eastAsia="仿宋" w:cs="仿宋"/>
          <w:b/>
          <w:snapToGrid w:val="0"/>
          <w:color w:val="000000" w:themeColor="text1"/>
          <w:sz w:val="24"/>
          <w:szCs w:val="24"/>
          <w:highlight w:val="none"/>
          <w14:textFill>
            <w14:solidFill>
              <w14:schemeClr w14:val="tx1"/>
            </w14:solidFill>
          </w14:textFill>
        </w:rPr>
        <w:t>、协议生效</w:t>
      </w:r>
      <w:r>
        <w:rPr>
          <w:rFonts w:hint="eastAsia" w:ascii="仿宋" w:hAnsi="仿宋" w:eastAsia="仿宋" w:cs="仿宋"/>
          <w:b/>
          <w:snapToGrid w:val="0"/>
          <w:color w:val="000000" w:themeColor="text1"/>
          <w:sz w:val="24"/>
          <w:szCs w:val="24"/>
          <w:highlight w:val="none"/>
          <w:lang w:eastAsia="zh-CN"/>
          <w14:textFill>
            <w14:solidFill>
              <w14:schemeClr w14:val="tx1"/>
            </w14:solidFill>
          </w14:textFill>
        </w:rPr>
        <w:t>及其他</w:t>
      </w:r>
    </w:p>
    <w:p w14:paraId="06738F0D">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1</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w:t>
      </w:r>
      <w:r>
        <w:rPr>
          <w:rFonts w:hint="eastAsia" w:ascii="仿宋" w:hAnsi="仿宋" w:eastAsia="仿宋" w:cs="仿宋"/>
          <w:snapToGrid w:val="0"/>
          <w:color w:val="000000" w:themeColor="text1"/>
          <w:sz w:val="24"/>
          <w:szCs w:val="24"/>
          <w:highlight w:val="none"/>
          <w14:textFill>
            <w14:solidFill>
              <w14:schemeClr w14:val="tx1"/>
            </w14:solidFill>
          </w14:textFill>
        </w:rPr>
        <w:t>合同经双方加盖单位公章后生效。</w:t>
      </w:r>
    </w:p>
    <w:p w14:paraId="358AA9F7">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2</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w:t>
      </w:r>
      <w:r>
        <w:rPr>
          <w:rFonts w:hint="eastAsia" w:ascii="仿宋" w:hAnsi="仿宋" w:eastAsia="仿宋" w:cs="仿宋"/>
          <w:snapToGrid w:val="0"/>
          <w:color w:val="000000" w:themeColor="text1"/>
          <w:sz w:val="24"/>
          <w:szCs w:val="24"/>
          <w:highlight w:val="none"/>
          <w14:textFill>
            <w14:solidFill>
              <w14:schemeClr w14:val="tx1"/>
            </w14:solidFill>
          </w14:textFill>
        </w:rPr>
        <w:t>本合同未尽事宜，遵照《</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中华人民共和国</w:t>
      </w:r>
      <w:r>
        <w:rPr>
          <w:rFonts w:hint="eastAsia" w:ascii="仿宋" w:hAnsi="仿宋" w:eastAsia="仿宋" w:cs="仿宋"/>
          <w:snapToGrid w:val="0"/>
          <w:color w:val="000000" w:themeColor="text1"/>
          <w:sz w:val="24"/>
          <w:szCs w:val="24"/>
          <w:highlight w:val="none"/>
          <w14:textFill>
            <w14:solidFill>
              <w14:schemeClr w14:val="tx1"/>
            </w14:solidFill>
          </w14:textFill>
        </w:rPr>
        <w:t>民法典》有关条文执行。</w:t>
      </w:r>
    </w:p>
    <w:p w14:paraId="66F7BB11">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3</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w:t>
      </w:r>
      <w:r>
        <w:rPr>
          <w:rFonts w:hint="eastAsia" w:ascii="仿宋" w:hAnsi="仿宋" w:eastAsia="仿宋" w:cs="仿宋"/>
          <w:snapToGrid w:val="0"/>
          <w:color w:val="000000" w:themeColor="text1"/>
          <w:sz w:val="24"/>
          <w:szCs w:val="24"/>
          <w:highlight w:val="none"/>
          <w14:textFill>
            <w14:solidFill>
              <w14:schemeClr w14:val="tx1"/>
            </w14:solidFill>
          </w14:textFill>
        </w:rPr>
        <w:t>本合同正本一式</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snapToGrid w:val="0"/>
          <w:color w:val="000000" w:themeColor="text1"/>
          <w:sz w:val="24"/>
          <w:szCs w:val="24"/>
          <w:highlight w:val="none"/>
          <w14:textFill>
            <w14:solidFill>
              <w14:schemeClr w14:val="tx1"/>
            </w14:solidFill>
          </w14:textFill>
        </w:rPr>
        <w:t>份，具有同等法律效力，甲乙双方各执</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snapToGrid w:val="0"/>
          <w:color w:val="000000" w:themeColor="text1"/>
          <w:sz w:val="24"/>
          <w:szCs w:val="24"/>
          <w:highlight w:val="none"/>
          <w14:textFill>
            <w14:solidFill>
              <w14:schemeClr w14:val="tx1"/>
            </w14:solidFill>
          </w14:textFill>
        </w:rPr>
        <w:t>份。</w:t>
      </w:r>
    </w:p>
    <w:p w14:paraId="1511753C">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p>
    <w:p w14:paraId="64FCA5E2">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p>
    <w:p w14:paraId="280469D1">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甲方（盖章）：                       乙方（盖章）：</w:t>
      </w:r>
    </w:p>
    <w:p w14:paraId="2CA78A1C">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p>
    <w:p w14:paraId="4603F2BD">
      <w:pPr>
        <w:pStyle w:val="28"/>
        <w:keepNext w:val="0"/>
        <w:keepLines w:val="0"/>
        <w:pageBreakBefore w:val="0"/>
        <w:kinsoku/>
        <w:wordWrap/>
        <w:overflowPunct/>
        <w:topLinePunct w:val="0"/>
        <w:autoSpaceDE/>
        <w:autoSpaceDN/>
        <w:bidi w:val="0"/>
        <w:adjustRightInd w:val="0"/>
        <w:snapToGrid w:val="0"/>
        <w:spacing w:line="360" w:lineRule="auto"/>
        <w:ind w:left="0" w:leftChars="0" w:firstLine="3631" w:firstLineChars="1513"/>
        <w:jc w:val="right"/>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签订</w:t>
      </w:r>
      <w:r>
        <w:rPr>
          <w:rFonts w:hint="eastAsia" w:ascii="仿宋" w:hAnsi="仿宋" w:eastAsia="仿宋" w:cs="仿宋"/>
          <w:snapToGrid w:val="0"/>
          <w:color w:val="000000" w:themeColor="text1"/>
          <w:sz w:val="24"/>
          <w:szCs w:val="24"/>
          <w:highlight w:val="none"/>
          <w14:textFill>
            <w14:solidFill>
              <w14:schemeClr w14:val="tx1"/>
            </w14:solidFill>
          </w14:textFill>
        </w:rPr>
        <w:t>日期：      年   月   日</w:t>
      </w:r>
    </w:p>
    <w:p w14:paraId="0BAFA640">
      <w:pPr>
        <w:snapToGrid w:val="0"/>
        <w:spacing w:line="360" w:lineRule="auto"/>
        <w:jc w:val="left"/>
        <w:rPr>
          <w:rFonts w:hint="eastAsia" w:ascii="仿宋" w:hAnsi="仿宋" w:eastAsia="仿宋" w:cs="仿宋"/>
          <w:color w:val="000000" w:themeColor="text1"/>
          <w:sz w:val="24"/>
          <w:highlight w:val="none"/>
          <w:lang w:val="zh-CN"/>
          <w14:textFill>
            <w14:solidFill>
              <w14:schemeClr w14:val="tx1"/>
            </w14:solidFill>
          </w14:textFill>
        </w:rPr>
      </w:pPr>
    </w:p>
    <w:p w14:paraId="2BF94AF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C6A4DDF">
      <w:pPr>
        <w:pStyle w:val="2"/>
        <w:rPr>
          <w:rFonts w:hint="eastAsia" w:ascii="仿宋" w:hAnsi="仿宋" w:eastAsia="仿宋" w:cs="仿宋"/>
          <w:color w:val="000000" w:themeColor="text1"/>
          <w:sz w:val="24"/>
          <w:highlight w:val="none"/>
          <w14:textFill>
            <w14:solidFill>
              <w14:schemeClr w14:val="tx1"/>
            </w14:solidFill>
          </w14:textFill>
        </w:rPr>
      </w:pPr>
    </w:p>
    <w:p w14:paraId="202FF0E8">
      <w:pPr>
        <w:rPr>
          <w:rFonts w:hint="eastAsia" w:ascii="仿宋" w:hAnsi="仿宋" w:eastAsia="仿宋" w:cs="仿宋"/>
          <w:color w:val="000000" w:themeColor="text1"/>
          <w:sz w:val="24"/>
          <w:highlight w:val="none"/>
          <w14:textFill>
            <w14:solidFill>
              <w14:schemeClr w14:val="tx1"/>
            </w14:solidFill>
          </w14:textFill>
        </w:rPr>
      </w:pPr>
    </w:p>
    <w:p w14:paraId="16C9E11D">
      <w:pPr>
        <w:keepNext w:val="0"/>
        <w:keepLines w:val="0"/>
        <w:pageBreakBefore w:val="0"/>
        <w:kinsoku/>
        <w:wordWrap w:val="0"/>
        <w:overflowPunct/>
        <w:topLinePunct/>
        <w:autoSpaceDE/>
        <w:autoSpaceDN/>
        <w:bidi w:val="0"/>
        <w:adjustRightInd w:val="0"/>
        <w:snapToGrid w:val="0"/>
        <w:spacing w:line="360" w:lineRule="auto"/>
        <w:ind w:firstLine="562" w:firstLineChars="200"/>
        <w:jc w:val="center"/>
        <w:rPr>
          <w:rFonts w:hint="eastAsia" w:ascii="仿宋" w:hAnsi="仿宋" w:eastAsia="仿宋" w:cs="仿宋"/>
          <w:b/>
          <w:bCs/>
          <w:color w:val="000000" w:themeColor="text1"/>
          <w:kern w:val="0"/>
          <w:sz w:val="28"/>
          <w:szCs w:val="28"/>
          <w:highlight w:val="none"/>
          <w14:textFill>
            <w14:solidFill>
              <w14:schemeClr w14:val="tx1"/>
            </w14:solidFill>
          </w14:textFill>
        </w:rPr>
      </w:pPr>
    </w:p>
    <w:p w14:paraId="0B948461">
      <w:pPr>
        <w:keepNext w:val="0"/>
        <w:keepLines w:val="0"/>
        <w:pageBreakBefore w:val="0"/>
        <w:kinsoku/>
        <w:wordWrap w:val="0"/>
        <w:overflowPunct/>
        <w:topLinePunct/>
        <w:autoSpaceDE/>
        <w:autoSpaceDN/>
        <w:bidi w:val="0"/>
        <w:adjustRightInd w:val="0"/>
        <w:snapToGrid w:val="0"/>
        <w:spacing w:line="360" w:lineRule="auto"/>
        <w:ind w:firstLine="562" w:firstLineChars="200"/>
        <w:jc w:val="center"/>
        <w:rPr>
          <w:rFonts w:hint="eastAsia" w:ascii="仿宋" w:hAnsi="仿宋" w:eastAsia="仿宋" w:cs="仿宋"/>
          <w:b/>
          <w:bCs/>
          <w:color w:val="000000" w:themeColor="text1"/>
          <w:kern w:val="0"/>
          <w:sz w:val="28"/>
          <w:szCs w:val="28"/>
          <w:highlight w:val="none"/>
          <w14:textFill>
            <w14:solidFill>
              <w14:schemeClr w14:val="tx1"/>
            </w14:solidFill>
          </w14:textFill>
        </w:rPr>
      </w:pPr>
    </w:p>
    <w:p w14:paraId="79C3E906">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b/>
          <w:bCs/>
          <w:color w:val="000000" w:themeColor="text1"/>
          <w:kern w:val="0"/>
          <w:sz w:val="28"/>
          <w:szCs w:val="28"/>
          <w:highlight w:val="none"/>
          <w:lang w:eastAsia="zh-CN"/>
          <w14:textFill>
            <w14:solidFill>
              <w14:schemeClr w14:val="tx1"/>
            </w14:solidFill>
          </w14:textFill>
        </w:rPr>
      </w:pP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br w:type="page"/>
      </w:r>
    </w:p>
    <w:p w14:paraId="5B9CF771">
      <w:pPr>
        <w:keepNext w:val="0"/>
        <w:keepLines w:val="0"/>
        <w:pageBreakBefore w:val="0"/>
        <w:kinsoku/>
        <w:wordWrap w:val="0"/>
        <w:overflowPunct/>
        <w:topLinePunct/>
        <w:autoSpaceDE/>
        <w:autoSpaceDN/>
        <w:bidi w:val="0"/>
        <w:adjustRightInd w:val="0"/>
        <w:snapToGrid w:val="0"/>
        <w:spacing w:line="360" w:lineRule="auto"/>
        <w:ind w:firstLine="562" w:firstLineChars="200"/>
        <w:jc w:val="center"/>
        <w:rPr>
          <w:rFonts w:hint="default" w:ascii="仿宋" w:hAnsi="仿宋" w:eastAsia="仿宋" w:cs="仿宋"/>
          <w:b/>
          <w:bCs/>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杭州市滨江区2025-2026年居家养老综合服务封闭式框架协议采购项目（</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标项一）</w:t>
      </w:r>
      <w:r>
        <w:rPr>
          <w:rFonts w:hint="eastAsia" w:ascii="仿宋" w:hAnsi="仿宋" w:eastAsia="仿宋" w:cs="仿宋"/>
          <w:b/>
          <w:bCs/>
          <w:color w:val="000000" w:themeColor="text1"/>
          <w:kern w:val="0"/>
          <w:sz w:val="28"/>
          <w:szCs w:val="28"/>
          <w:highlight w:val="none"/>
          <w14:textFill>
            <w14:solidFill>
              <w14:schemeClr w14:val="tx1"/>
            </w14:solidFill>
          </w14:textFill>
        </w:rPr>
        <w:t>采购合同</w:t>
      </w:r>
    </w:p>
    <w:p w14:paraId="6CCB8B9D">
      <w:pPr>
        <w:keepNext w:val="0"/>
        <w:keepLines w:val="0"/>
        <w:pageBreakBefore w:val="0"/>
        <w:widowControl/>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（本合同为合同样稿，最终稿由</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各方</w:t>
      </w:r>
      <w:r>
        <w:rPr>
          <w:rFonts w:hint="eastAsia" w:ascii="仿宋" w:hAnsi="仿宋" w:eastAsia="仿宋" w:cs="仿宋"/>
          <w:color w:val="000000" w:themeColor="text1"/>
          <w:kern w:val="0"/>
          <w:sz w:val="24"/>
          <w:szCs w:val="24"/>
          <w:highlight w:val="none"/>
          <w14:textFill>
            <w14:solidFill>
              <w14:schemeClr w14:val="tx1"/>
            </w14:solidFill>
          </w14:textFill>
        </w:rPr>
        <w:t>协商后确定）</w:t>
      </w:r>
    </w:p>
    <w:p w14:paraId="216AC0E3">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甲  方：</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杭州市滨江区民政局</w:t>
      </w:r>
    </w:p>
    <w:p w14:paraId="7538F766">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乙  方：</w:t>
      </w:r>
    </w:p>
    <w:p w14:paraId="592BEDC8">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丙</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方：</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街道</w:t>
      </w:r>
    </w:p>
    <w:p w14:paraId="6E3BE224">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经过公开</w:t>
      </w:r>
      <w:r>
        <w:rPr>
          <w:rFonts w:hint="eastAsia" w:ascii="仿宋" w:hAnsi="仿宋" w:eastAsia="仿宋" w:cs="仿宋"/>
          <w:color w:val="000000" w:themeColor="text1"/>
          <w:sz w:val="24"/>
          <w:szCs w:val="24"/>
          <w:highlight w:val="none"/>
          <w:lang w:val="en-US" w:eastAsia="zh-CN"/>
          <w14:textFill>
            <w14:solidFill>
              <w14:schemeClr w14:val="tx1"/>
            </w14:solidFill>
          </w14:textFill>
        </w:rPr>
        <w:t>征集</w:t>
      </w:r>
      <w:r>
        <w:rPr>
          <w:rFonts w:hint="eastAsia" w:ascii="仿宋" w:hAnsi="仿宋" w:eastAsia="仿宋" w:cs="仿宋"/>
          <w:color w:val="000000" w:themeColor="text1"/>
          <w:sz w:val="24"/>
          <w:szCs w:val="24"/>
          <w:highlight w:val="none"/>
          <w14:textFill>
            <w14:solidFill>
              <w14:schemeClr w14:val="tx1"/>
            </w14:solidFill>
          </w14:textFill>
        </w:rPr>
        <w:t>采购（编号：      ），确定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人，</w:t>
      </w:r>
      <w:r>
        <w:rPr>
          <w:rFonts w:hint="eastAsia" w:ascii="仿宋" w:hAnsi="仿宋" w:eastAsia="仿宋" w:cs="仿宋"/>
          <w:color w:val="000000" w:themeColor="text1"/>
          <w:sz w:val="24"/>
          <w:szCs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仿宋" w:hAnsi="仿宋" w:eastAsia="仿宋" w:cs="仿宋"/>
          <w:color w:val="000000" w:themeColor="text1"/>
          <w:sz w:val="24"/>
          <w:szCs w:val="24"/>
          <w:highlight w:val="none"/>
          <w14:textFill>
            <w14:solidFill>
              <w14:schemeClr w14:val="tx1"/>
            </w14:solidFill>
          </w14:textFill>
        </w:rPr>
        <w:t>甲乙</w:t>
      </w:r>
      <w:r>
        <w:rPr>
          <w:rFonts w:hint="eastAsia" w:ascii="仿宋" w:hAnsi="仿宋" w:eastAsia="仿宋" w:cs="仿宋"/>
          <w:color w:val="000000" w:themeColor="text1"/>
          <w:sz w:val="24"/>
          <w:szCs w:val="24"/>
          <w:highlight w:val="none"/>
          <w:lang w:eastAsia="zh-CN"/>
          <w14:textFill>
            <w14:solidFill>
              <w14:schemeClr w14:val="tx1"/>
            </w14:solidFill>
          </w14:textFill>
        </w:rPr>
        <w:t>丙三</w:t>
      </w:r>
      <w:r>
        <w:rPr>
          <w:rFonts w:hint="eastAsia" w:ascii="仿宋" w:hAnsi="仿宋" w:eastAsia="仿宋" w:cs="仿宋"/>
          <w:color w:val="000000" w:themeColor="text1"/>
          <w:sz w:val="24"/>
          <w:szCs w:val="24"/>
          <w:highlight w:val="none"/>
          <w14:textFill>
            <w14:solidFill>
              <w14:schemeClr w14:val="tx1"/>
            </w14:solidFill>
          </w14:textFill>
        </w:rPr>
        <w:t>方</w:t>
      </w:r>
      <w:r>
        <w:rPr>
          <w:rFonts w:hint="eastAsia" w:ascii="仿宋" w:hAnsi="仿宋" w:eastAsia="仿宋" w:cs="仿宋"/>
          <w:color w:val="000000" w:themeColor="text1"/>
          <w:sz w:val="24"/>
          <w:szCs w:val="24"/>
          <w:highlight w:val="none"/>
          <w:lang w:val="zh-CN"/>
          <w14:textFill>
            <w14:solidFill>
              <w14:schemeClr w14:val="tx1"/>
            </w14:solidFill>
          </w14:textFill>
        </w:rPr>
        <w:t>协商一致，约定以下合同</w:t>
      </w:r>
      <w:r>
        <w:rPr>
          <w:rFonts w:hint="eastAsia" w:ascii="仿宋" w:hAnsi="仿宋" w:eastAsia="仿宋" w:cs="仿宋"/>
          <w:color w:val="000000" w:themeColor="text1"/>
          <w:sz w:val="24"/>
          <w:szCs w:val="24"/>
          <w:highlight w:val="none"/>
          <w14:textFill>
            <w14:solidFill>
              <w14:schemeClr w14:val="tx1"/>
            </w14:solidFill>
          </w14:textFill>
        </w:rPr>
        <w:t>条款，以兹共同遵守、全面履行。</w:t>
      </w:r>
    </w:p>
    <w:p w14:paraId="422C3611">
      <w:pPr>
        <w:keepNext w:val="0"/>
        <w:keepLines w:val="0"/>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第一条</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14:textFill>
            <w14:solidFill>
              <w14:schemeClr w14:val="tx1"/>
            </w14:solidFill>
          </w14:textFill>
        </w:rPr>
        <w:t>合同概况</w:t>
      </w:r>
    </w:p>
    <w:p w14:paraId="0CEDE4D3">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甲方作为委托人，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丙方作为本街道辖区范围内的具体实施人，</w:t>
      </w:r>
      <w:r>
        <w:rPr>
          <w:rFonts w:hint="eastAsia" w:ascii="仿宋" w:hAnsi="仿宋" w:eastAsia="仿宋" w:cs="仿宋"/>
          <w:color w:val="000000" w:themeColor="text1"/>
          <w:kern w:val="0"/>
          <w:sz w:val="24"/>
          <w:szCs w:val="24"/>
          <w:highlight w:val="none"/>
          <w14:textFill>
            <w14:solidFill>
              <w14:schemeClr w14:val="tx1"/>
            </w14:solidFill>
          </w14:textFill>
        </w:rPr>
        <w:t>乙方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作为</w:t>
      </w:r>
      <w:r>
        <w:rPr>
          <w:rFonts w:hint="eastAsia" w:ascii="仿宋" w:hAnsi="仿宋" w:eastAsia="仿宋" w:cs="仿宋"/>
          <w:color w:val="000000" w:themeColor="text1"/>
          <w:kern w:val="0"/>
          <w:sz w:val="24"/>
          <w:szCs w:val="24"/>
          <w:highlight w:val="none"/>
          <w14:textFill>
            <w14:solidFill>
              <w14:schemeClr w14:val="tx1"/>
            </w14:solidFill>
          </w14:textFill>
        </w:rPr>
        <w:t>受委托人向甲方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、丙方</w:t>
      </w:r>
      <w:r>
        <w:rPr>
          <w:rFonts w:hint="eastAsia" w:ascii="仿宋" w:hAnsi="仿宋" w:eastAsia="仿宋" w:cs="仿宋"/>
          <w:color w:val="000000" w:themeColor="text1"/>
          <w:kern w:val="0"/>
          <w:sz w:val="24"/>
          <w:szCs w:val="24"/>
          <w:highlight w:val="none"/>
          <w14:textFill>
            <w14:solidFill>
              <w14:schemeClr w14:val="tx1"/>
            </w14:solidFill>
          </w14:textFill>
        </w:rPr>
        <w:t>提供服务，</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三方</w:t>
      </w:r>
      <w:r>
        <w:rPr>
          <w:rFonts w:hint="eastAsia" w:ascii="仿宋" w:hAnsi="仿宋" w:eastAsia="仿宋" w:cs="仿宋"/>
          <w:color w:val="000000" w:themeColor="text1"/>
          <w:kern w:val="0"/>
          <w:sz w:val="24"/>
          <w:szCs w:val="24"/>
          <w:highlight w:val="none"/>
          <w14:textFill>
            <w14:solidFill>
              <w14:schemeClr w14:val="tx1"/>
            </w14:solidFill>
          </w14:textFill>
        </w:rPr>
        <w:t>按照法律法规以及合同规定开展相关工作。</w:t>
      </w:r>
    </w:p>
    <w:p w14:paraId="608FF98F">
      <w:pPr>
        <w:keepNext w:val="0"/>
        <w:keepLines w:val="0"/>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第二条</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14:textFill>
            <w14:solidFill>
              <w14:schemeClr w14:val="tx1"/>
            </w14:solidFill>
          </w14:textFill>
        </w:rPr>
        <w:t>服务期限</w:t>
      </w:r>
    </w:p>
    <w:p w14:paraId="151F24AA">
      <w:pPr>
        <w:keepNext w:val="0"/>
        <w:keepLines w:val="0"/>
        <w:pageBreakBefore w:val="0"/>
        <w:kinsoku/>
        <w:overflowPunct/>
        <w:autoSpaceDE/>
        <w:autoSpaceDN/>
        <w:bidi w:val="0"/>
        <w:adjustRightInd w:val="0"/>
        <w:snapToGrid w:val="0"/>
        <w:spacing w:line="360" w:lineRule="auto"/>
        <w:ind w:firstLine="480" w:firstLineChars="20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本项目服务期两年，具体起止时间为2025年 月 日至2026年 月 日。合同一年一签，服务期内实行月度考核。服务期内乙方月度考核分出现两次85分（不含）以下的或满足“清退机制”条件之一的，甲方有权随时与乙方暂停服务终止合同，</w:t>
      </w:r>
      <w:r>
        <w:rPr>
          <w:rFonts w:hint="eastAsia" w:ascii="仿宋" w:hAnsi="仿宋" w:eastAsia="仿宋" w:cs="仿宋"/>
          <w:color w:val="000000" w:themeColor="text1"/>
          <w:kern w:val="0"/>
          <w:sz w:val="24"/>
          <w:szCs w:val="24"/>
          <w:highlight w:val="none"/>
          <w14:textFill>
            <w14:solidFill>
              <w14:schemeClr w14:val="tx1"/>
            </w14:solidFill>
          </w14:textFill>
        </w:rPr>
        <w:t>在服务期限，如</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kern w:val="0"/>
          <w:sz w:val="24"/>
          <w:szCs w:val="24"/>
          <w:highlight w:val="none"/>
          <w14:textFill>
            <w14:solidFill>
              <w14:schemeClr w14:val="tx1"/>
            </w14:solidFill>
          </w14:textFill>
        </w:rPr>
        <w:t>考核不通过的，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kern w:val="0"/>
          <w:sz w:val="24"/>
          <w:szCs w:val="24"/>
          <w:highlight w:val="none"/>
          <w14:textFill>
            <w14:solidFill>
              <w14:schemeClr w14:val="tx1"/>
            </w14:solidFill>
          </w14:textFill>
        </w:rPr>
        <w:t>有权无责终止合同履行，重新组织采购活动。</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第三条 </w:t>
      </w:r>
      <w:r>
        <w:rPr>
          <w:rFonts w:hint="eastAsia" w:ascii="仿宋" w:hAnsi="仿宋" w:eastAsia="仿宋" w:cs="仿宋"/>
          <w:b/>
          <w:bCs/>
          <w:color w:val="000000" w:themeColor="text1"/>
          <w:sz w:val="24"/>
          <w:szCs w:val="24"/>
          <w:highlight w:val="none"/>
          <w14:textFill>
            <w14:solidFill>
              <w14:schemeClr w14:val="tx1"/>
            </w14:solidFill>
          </w14:textFill>
        </w:rPr>
        <w:t>合同价格</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与形式</w:t>
      </w:r>
    </w:p>
    <w:p w14:paraId="20741B20">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固定单价</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35元/小时</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14:paraId="3A495E7F">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w:t>
      </w:r>
      <w:r>
        <w:rPr>
          <w:rFonts w:hint="eastAsia" w:ascii="仿宋" w:hAnsi="仿宋" w:eastAsia="仿宋" w:cs="仿宋"/>
          <w:bCs/>
          <w:color w:val="000000" w:themeColor="text1"/>
          <w:kern w:val="0"/>
          <w:sz w:val="24"/>
          <w:szCs w:val="24"/>
          <w:highlight w:val="none"/>
          <w14:textFill>
            <w14:solidFill>
              <w14:schemeClr w14:val="tx1"/>
            </w14:solidFill>
          </w14:textFill>
        </w:rPr>
        <w:t>以上合同价包含本项目实施所需的一切费用。</w:t>
      </w:r>
    </w:p>
    <w:p w14:paraId="5832FE3F">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合同形式：固定</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单价</w:t>
      </w:r>
      <w:r>
        <w:rPr>
          <w:rFonts w:hint="eastAsia" w:ascii="仿宋" w:hAnsi="仿宋" w:eastAsia="仿宋" w:cs="仿宋"/>
          <w:bCs/>
          <w:color w:val="000000" w:themeColor="text1"/>
          <w:kern w:val="0"/>
          <w:sz w:val="24"/>
          <w:szCs w:val="24"/>
          <w:highlight w:val="none"/>
          <w14:textFill>
            <w14:solidFill>
              <w14:schemeClr w14:val="tx1"/>
            </w14:solidFill>
          </w14:textFill>
        </w:rPr>
        <w:t>合同。</w:t>
      </w:r>
    </w:p>
    <w:p w14:paraId="76142C51">
      <w:pPr>
        <w:keepNext w:val="0"/>
        <w:keepLines w:val="0"/>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第</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kern w:val="0"/>
          <w:sz w:val="24"/>
          <w:szCs w:val="24"/>
          <w:highlight w:val="none"/>
          <w14:textFill>
            <w14:solidFill>
              <w14:schemeClr w14:val="tx1"/>
            </w14:solidFill>
          </w14:textFill>
        </w:rPr>
        <w:t>条</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14:textFill>
            <w14:solidFill>
              <w14:schemeClr w14:val="tx1"/>
            </w14:solidFill>
          </w14:textFill>
        </w:rPr>
        <w:t>服务内容</w:t>
      </w:r>
    </w:p>
    <w:p w14:paraId="7004AFCA">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区域型居家养老综合运营服务内容主要包括：场馆运营、活动开展、养老服务规划、食堂管理、配餐服务（食堂服务人数约为10000人）、</w:t>
      </w: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上门服务</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等。运营机构按照甲方要求的人数派遣符合甲方要求的工作人员在工作日内工作，专职服务人员须遵守甲方制度，服从甲方管理，按照甲方规定的时间上、下班，每周对甲方汇报进展情况。运营机构派驻专职人员在甲方场地工作时所发生的意外事故，均由乙方负责处理并承担相应经济及法律责任。</w:t>
      </w:r>
    </w:p>
    <w:p w14:paraId="7B055D7E">
      <w:pPr>
        <w:pageBreakBefore w:val="0"/>
        <w:numPr>
          <w:ilvl w:val="0"/>
          <w:numId w:val="0"/>
        </w:numPr>
        <w:kinsoku/>
        <w:wordWrap/>
        <w:overflowPunct/>
        <w:topLinePunct w:val="0"/>
        <w:autoSpaceDE/>
        <w:autoSpaceDN/>
        <w:bidi w:val="0"/>
        <w:snapToGrid w:val="0"/>
        <w:spacing w:line="500" w:lineRule="exact"/>
        <w:ind w:firstLine="482" w:firstLineChars="200"/>
        <w:jc w:val="left"/>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1.人员配备</w:t>
      </w:r>
    </w:p>
    <w:p w14:paraId="725BF6FC">
      <w:pPr>
        <w:pStyle w:val="21"/>
        <w:snapToGrid/>
        <w:spacing w:line="500" w:lineRule="exact"/>
        <w:ind w:firstLine="480" w:firstLineChars="200"/>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1.1</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区域型居家养老综合运营服务</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配备项目总负责人1名，负责</w:t>
      </w:r>
      <w:r>
        <w:rPr>
          <w:rFonts w:hint="eastAsia" w:ascii="仿宋" w:hAnsi="仿宋" w:eastAsia="仿宋" w:cs="仿宋"/>
          <w:b w:val="0"/>
          <w:bCs w:val="0"/>
          <w:snapToGrid/>
          <w:color w:val="000000" w:themeColor="text1"/>
          <w:kern w:val="2"/>
          <w:sz w:val="24"/>
          <w:szCs w:val="24"/>
          <w:highlight w:val="none"/>
          <w:lang w:val="en-US" w:eastAsia="zh-CN"/>
          <w14:textFill>
            <w14:solidFill>
              <w14:schemeClr w14:val="tx1"/>
            </w14:solidFill>
          </w14:textFill>
        </w:rPr>
        <w:t>项目的</w:t>
      </w: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统筹协调及与采购人的沟通协调工作，服务期内不得兼职其他岗位及其他与本项目的无关工作。</w:t>
      </w:r>
    </w:p>
    <w:p w14:paraId="7F08BF5E">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配备上门服务负责人1人、点位负责人1人，每个点位专职服务人员不少于1人（如居家养老照料中心和助餐服务点不在同一地点则需提供专职服务人员不少于2人），年龄不超过55周岁，高中及以上学历；每个点位协管人员不少于1人（如居家养老照料中心和助餐服务点不在同一地点则需提供协管人员不少于2人），年龄不超过60周岁；西兴街道辖区内配备持证护理员需不少于10人、长河街道辖区内配备持证护理员需不少于15人、浦沿街道辖区内配备持证护理员需不少于12人，其中护理员须具备养老护理员职业技能等级证书五级及以上且人员年龄均不得超过60周岁。</w:t>
      </w:r>
    </w:p>
    <w:p w14:paraId="59A5922A">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1.2专职服务人员应具备一定的养老服务相关专业知识，应持有老年人服务与管理、家政服务与管理、护理（或老年护理方向）、中医护理、中医康复保健、康复技术、康复治疗技术、护理学、康复治疗学专业毕业证书，或持有人力社保部门颁发的社会工作者证书、心理咨询师证书、健康管理师证书、营养师证书、护士执业证书等。（至少1人持有1项即可）</w:t>
      </w:r>
    </w:p>
    <w:p w14:paraId="3B10508C">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1.3卫生保洁人员若干（可兼职）。</w:t>
      </w:r>
    </w:p>
    <w:p w14:paraId="5CBB73F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1.4尊重并保护老年人隐私及相关信息。</w:t>
      </w:r>
    </w:p>
    <w:p w14:paraId="65782D2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1.5服务人员、养老护理人员应经过相应上岗培训，掌握服务项目所需的知识与技能，热情服务，举止得当，统一服装。</w:t>
      </w:r>
    </w:p>
    <w:p w14:paraId="3F635D4C">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2.服务环境</w:t>
      </w:r>
    </w:p>
    <w:p w14:paraId="600637A6">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2.1定期检查消防设施、器具应完好有效，疏散指示标志明显。</w:t>
      </w:r>
    </w:p>
    <w:p w14:paraId="61A666E4">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2.2保证场所门面整洁、美观，场所内环境、卫生、通风条件良好；居家养老服务标志清晰、牢固，服务场所内公共信息图形符号符合规定要求。</w:t>
      </w:r>
    </w:p>
    <w:p w14:paraId="39F439FD">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2.3服务指南和管理制度完善，卫生防疫制度和突发事件处理应急预案健全。</w:t>
      </w:r>
    </w:p>
    <w:p w14:paraId="419159EB">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2.4保证居家养老服务电话、网络畅通，多媒体设施、报纸、刊物、健身器材和乐器等设备完好；床位和防寒降暑设施完好。</w:t>
      </w:r>
    </w:p>
    <w:p w14:paraId="6BDAD6D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2.5保证各功能教室等服务场所每天开放。</w:t>
      </w:r>
    </w:p>
    <w:p w14:paraId="5991610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2.6保证采卫生间通风系统完好，室内地面干燥、防滑，无障碍设施及紧急呼叫按钮完好。</w:t>
      </w:r>
    </w:p>
    <w:p w14:paraId="2ED1225E">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2.7按食品卫生安全规定要求对老年人就餐厨（餐）具进行消毒。</w:t>
      </w:r>
    </w:p>
    <w:p w14:paraId="600D41C6">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3.老人服务内容</w:t>
      </w:r>
    </w:p>
    <w:p w14:paraId="5B570EA9">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3.1服务对象覆盖本辖区内的所有老年人，掌握失独、孤寡、空巢老人情况并落实日常看护。</w:t>
      </w:r>
    </w:p>
    <w:p w14:paraId="6285C042">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3.2立管理制度，服务人员、服务项目、服务承诺、收费标准公示上墙。</w:t>
      </w:r>
    </w:p>
    <w:p w14:paraId="61AB465A">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3.3建立服务对象信息档案，各项服务资料完整，保证信息安全。</w:t>
      </w:r>
    </w:p>
    <w:p w14:paraId="1B85B42A">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3.4提供上门服务格式合同（条款包括服务对象姓名、住址、服务时间、服务内容及质量标准、收费标准、约定的其他事项等），服务时签订合同。</w:t>
      </w:r>
    </w:p>
    <w:p w14:paraId="2CEE1223">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3.5参与辖区内的养老服务需求评估、养老服务补贴和低保老人等工作。</w:t>
      </w:r>
    </w:p>
    <w:p w14:paraId="2128FDE5">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3.6根据县民政局安排，为享受政府养老服务补贴、并接受居家养老服务的困难老人提供相关上门服务。若上级部门统一购买其他项目服务，并由专业从事居家养老服务的组织和机构提供服务的，要主动做好相关配合工作。</w:t>
      </w:r>
    </w:p>
    <w:p w14:paraId="3698DB72">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3.7提供医养结合、助餐、送餐等服务。同时，向辖区内的其他老年人提供无偿或有偿的上门服务。</w:t>
      </w:r>
    </w:p>
    <w:p w14:paraId="45FA225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3.8在工作时间内，接到服务预约需求电话，应在10分钟内给予安排并回复。</w:t>
      </w:r>
    </w:p>
    <w:p w14:paraId="570725A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3.9运行资金专款专用，有详细使用记录。</w:t>
      </w:r>
    </w:p>
    <w:p w14:paraId="0B795BC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3.10建立服务规范，有较为完善的员工管理考核办法，并按章实施。</w:t>
      </w:r>
    </w:p>
    <w:p w14:paraId="7BFC9B5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3.11建立社会公众、志愿者、专职服务人员等参与社会公益活动的激励机制。</w:t>
      </w:r>
    </w:p>
    <w:p w14:paraId="1DB753E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3.12能通过定期召开座谈会、设立意见箱或意见簿、询问服务对象等形式听取群众的意见和建议；服务对象提出的合理意见和建议能及时研究采纳，并在工作加以改进。</w:t>
      </w:r>
    </w:p>
    <w:p w14:paraId="4CEB570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4.提供助餐服务要求</w:t>
      </w:r>
    </w:p>
    <w:p w14:paraId="24292ED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4.1积极配合上级部门对老年食堂工作的检查、考 察、评估等工作,配合做好其他单位参观、学习等工作。</w:t>
      </w:r>
    </w:p>
    <w:p w14:paraId="1CF570B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4.2应做好被服务老人的个人隐私资料的保密工作，不得随意泄露，不得利用资料谋取不正当利益。</w:t>
      </w:r>
    </w:p>
    <w:p w14:paraId="6383908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4.3负责食堂的日常管理与运营。</w:t>
      </w:r>
    </w:p>
    <w:p w14:paraId="129F82B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4.4引入具体服务项目的合作单位、社会组织应具有合法的服务资质。严禁向老年人变相推销保健产品、收取高额或不合理费用。对查证属实乱收费行为的，立即终止合同，并根据相关规定进行相应处理。</w:t>
      </w:r>
    </w:p>
    <w:p w14:paraId="095C261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4.5运营的食堂应管理制度上墙，场所卫生整洁，食堂工作人员应体检、培训合格。</w:t>
      </w:r>
    </w:p>
    <w:p w14:paraId="208EFE4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4.6如出现饭菜质量差、卫生状况差、就餐人员意见反应强烈等问题，且拒不改正，采购单位有权单方面终止协议。</w:t>
      </w:r>
    </w:p>
    <w:p w14:paraId="5F90E0D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4.7除不可抗力事件外，不得以任何理由不及时或不充足供应甲方居民膳食。否则，乙方应赔偿由此造成的全部损失</w:t>
      </w:r>
    </w:p>
    <w:p w14:paraId="664166B7">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default"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第五条 解除合同</w:t>
      </w:r>
    </w:p>
    <w:p w14:paraId="78E55A8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有下列情形之一的，采购合同的三方当事人可以解除合同：</w:t>
      </w:r>
    </w:p>
    <w:p w14:paraId="10542A8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因不可抗力致使不能实现合同目的；</w:t>
      </w:r>
    </w:p>
    <w:p w14:paraId="7197045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1.2</w:t>
      </w:r>
      <w:r>
        <w:rPr>
          <w:rFonts w:hint="eastAsia" w:ascii="仿宋" w:hAnsi="仿宋" w:eastAsia="仿宋" w:cs="仿宋"/>
          <w:color w:val="000000" w:themeColor="text1"/>
          <w:kern w:val="0"/>
          <w:sz w:val="24"/>
          <w:highlight w:val="none"/>
          <w:lang w:eastAsia="zh-CN"/>
          <w14:textFill>
            <w14:solidFill>
              <w14:schemeClr w14:val="tx1"/>
            </w14:solidFill>
          </w14:textFill>
        </w:rPr>
        <w:t xml:space="preserve">在履行期限届满之前，乙方明确表示或者以自己的行为表示不履行主要义务； </w:t>
      </w:r>
    </w:p>
    <w:p w14:paraId="1E1A843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1.3</w:t>
      </w:r>
      <w:r>
        <w:rPr>
          <w:rFonts w:hint="eastAsia" w:ascii="仿宋" w:hAnsi="仿宋" w:eastAsia="仿宋" w:cs="仿宋"/>
          <w:color w:val="000000" w:themeColor="text1"/>
          <w:kern w:val="0"/>
          <w:sz w:val="24"/>
          <w:highlight w:val="none"/>
          <w:lang w:eastAsia="zh-CN"/>
          <w14:textFill>
            <w14:solidFill>
              <w14:schemeClr w14:val="tx1"/>
            </w14:solidFill>
          </w14:textFill>
        </w:rPr>
        <w:t>乙方迟延履行主要义务，经催告后在合理期限内仍未履行；</w:t>
      </w:r>
    </w:p>
    <w:p w14:paraId="22652B6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1.4</w:t>
      </w:r>
      <w:r>
        <w:rPr>
          <w:rFonts w:hint="eastAsia" w:ascii="仿宋" w:hAnsi="仿宋" w:eastAsia="仿宋" w:cs="仿宋"/>
          <w:color w:val="000000" w:themeColor="text1"/>
          <w:kern w:val="0"/>
          <w:sz w:val="24"/>
          <w:highlight w:val="none"/>
          <w:lang w:eastAsia="zh-CN"/>
          <w14:textFill>
            <w14:solidFill>
              <w14:schemeClr w14:val="tx1"/>
            </w14:solidFill>
          </w14:textFill>
        </w:rPr>
        <w:t xml:space="preserve">乙方迟延履行义务或者有其他违约行为致使不能实现合同目的； </w:t>
      </w:r>
    </w:p>
    <w:p w14:paraId="5B32EB5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lang w:eastAsia="zh-CN"/>
          <w14:textFill>
            <w14:solidFill>
              <w14:schemeClr w14:val="tx1"/>
            </w14:solidFill>
          </w14:textFill>
        </w:rPr>
        <w:t>乙方转包，或者未经甲方同意采取分包方式履行合同；</w:t>
      </w:r>
    </w:p>
    <w:p w14:paraId="5F5B162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1.6乙方及其工作人员</w:t>
      </w:r>
      <w:r>
        <w:rPr>
          <w:rFonts w:hint="default" w:ascii="仿宋" w:hAnsi="仿宋" w:eastAsia="仿宋" w:cs="仿宋"/>
          <w:color w:val="000000" w:themeColor="text1"/>
          <w:kern w:val="0"/>
          <w:sz w:val="24"/>
          <w:highlight w:val="none"/>
          <w:lang w:eastAsia="zh-CN"/>
          <w14:textFill>
            <w14:solidFill>
              <w14:schemeClr w14:val="tx1"/>
            </w14:solidFill>
          </w14:textFill>
        </w:rPr>
        <w:t>发生欺老虐老情况的</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1EF57A7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1.7乙方虚假承诺，未履行投标文件中承诺的；</w:t>
      </w:r>
    </w:p>
    <w:p w14:paraId="6BC8BBE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1.8乙方拖欠员工工资，工资发放不及时的；</w:t>
      </w:r>
    </w:p>
    <w:p w14:paraId="4CEA916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1.9乙方</w:t>
      </w:r>
      <w:r>
        <w:rPr>
          <w:rFonts w:hint="eastAsia" w:ascii="仿宋" w:hAnsi="仿宋" w:eastAsia="仿宋" w:cs="仿宋"/>
          <w:color w:val="000000" w:themeColor="text1"/>
          <w:kern w:val="0"/>
          <w:sz w:val="24"/>
          <w:highlight w:val="none"/>
          <w:lang w:eastAsia="zh-CN"/>
          <w14:textFill>
            <w14:solidFill>
              <w14:schemeClr w14:val="tx1"/>
            </w14:solidFill>
          </w14:textFill>
        </w:rPr>
        <w:t>不按规定提供服务、不执行运行补助情况等虚假违规行为的</w:t>
      </w:r>
      <w:r>
        <w:rPr>
          <w:rFonts w:hint="default" w:ascii="仿宋" w:hAnsi="仿宋" w:eastAsia="仿宋" w:cs="仿宋"/>
          <w:color w:val="000000" w:themeColor="text1"/>
          <w:kern w:val="0"/>
          <w:sz w:val="24"/>
          <w:highlight w:val="none"/>
          <w:lang w:eastAsia="zh-CN"/>
          <w14:textFill>
            <w14:solidFill>
              <w14:schemeClr w14:val="tx1"/>
            </w14:solidFill>
          </w14:textFill>
        </w:rPr>
        <w:t>；</w:t>
      </w:r>
    </w:p>
    <w:p w14:paraId="76BFE8E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1.10</w:t>
      </w:r>
      <w:r>
        <w:rPr>
          <w:rFonts w:hint="default" w:ascii="仿宋" w:hAnsi="仿宋" w:eastAsia="仿宋" w:cs="仿宋"/>
          <w:color w:val="000000" w:themeColor="text1"/>
          <w:kern w:val="0"/>
          <w:sz w:val="24"/>
          <w:highlight w:val="none"/>
          <w:lang w:eastAsia="zh-CN"/>
          <w14:textFill>
            <w14:solidFill>
              <w14:schemeClr w14:val="tx1"/>
            </w14:solidFill>
          </w14:textFill>
        </w:rPr>
        <w:t>发生重大安全责任事故或存在重大安全隐患</w:t>
      </w:r>
      <w:r>
        <w:rPr>
          <w:rFonts w:hint="eastAsia" w:ascii="仿宋" w:hAnsi="仿宋" w:eastAsia="仿宋" w:cs="仿宋"/>
          <w:color w:val="000000" w:themeColor="text1"/>
          <w:kern w:val="0"/>
          <w:sz w:val="24"/>
          <w:highlight w:val="none"/>
          <w:lang w:val="en-US" w:eastAsia="zh-CN"/>
          <w14:textFill>
            <w14:solidFill>
              <w14:schemeClr w14:val="tx1"/>
            </w14:solidFill>
          </w14:textFill>
        </w:rPr>
        <w:t>被职能部门勒令停业</w:t>
      </w:r>
      <w:r>
        <w:rPr>
          <w:rFonts w:hint="default" w:ascii="仿宋" w:hAnsi="仿宋" w:eastAsia="仿宋" w:cs="仿宋"/>
          <w:color w:val="000000" w:themeColor="text1"/>
          <w:kern w:val="0"/>
          <w:sz w:val="24"/>
          <w:highlight w:val="none"/>
          <w:lang w:eastAsia="zh-CN"/>
          <w14:textFill>
            <w14:solidFill>
              <w14:schemeClr w14:val="tx1"/>
            </w14:solidFill>
          </w14:textFill>
        </w:rPr>
        <w:t>的；</w:t>
      </w:r>
    </w:p>
    <w:p w14:paraId="6026317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1.11</w:t>
      </w:r>
      <w:r>
        <w:rPr>
          <w:rFonts w:hint="eastAsia" w:ascii="仿宋" w:hAnsi="仿宋" w:eastAsia="仿宋" w:cs="仿宋"/>
          <w:color w:val="000000" w:themeColor="text1"/>
          <w:kern w:val="0"/>
          <w:sz w:val="24"/>
          <w:highlight w:val="none"/>
          <w:lang w:eastAsia="zh-CN"/>
          <w14:textFill>
            <w14:solidFill>
              <w14:schemeClr w14:val="tx1"/>
            </w14:solidFill>
          </w14:textFill>
        </w:rPr>
        <w:t>违约金达到合同约定的最高限额；</w:t>
      </w:r>
    </w:p>
    <w:p w14:paraId="5F4350A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1.12</w:t>
      </w:r>
      <w:r>
        <w:rPr>
          <w:rFonts w:hint="eastAsia" w:ascii="仿宋" w:hAnsi="仿宋" w:eastAsia="仿宋" w:cs="仿宋"/>
          <w:color w:val="000000" w:themeColor="text1"/>
          <w:kern w:val="0"/>
          <w:sz w:val="24"/>
          <w:highlight w:val="none"/>
          <w:lang w:eastAsia="zh-CN"/>
          <w14:textFill>
            <w14:solidFill>
              <w14:schemeClr w14:val="tx1"/>
            </w14:solidFill>
          </w14:textFill>
        </w:rPr>
        <w:t>法律法规规定的其他情形。</w:t>
      </w:r>
    </w:p>
    <w:p w14:paraId="4825BC4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2.甲方解除合同的，合同于甲方发出书面解除合同通知书送达乙方之日起解除。乙方应在合同解除后</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10</w:t>
      </w:r>
      <w:r>
        <w:rPr>
          <w:rFonts w:hint="eastAsia" w:ascii="仿宋" w:hAnsi="仿宋" w:eastAsia="仿宋" w:cs="仿宋"/>
          <w:color w:val="000000" w:themeColor="text1"/>
          <w:kern w:val="0"/>
          <w:sz w:val="24"/>
          <w:highlight w:val="none"/>
          <w:lang w:eastAsia="zh-CN"/>
          <w14:textFill>
            <w14:solidFill>
              <w14:schemeClr w14:val="tx1"/>
            </w14:solidFill>
          </w14:textFill>
        </w:rPr>
        <w:t>日内退还甲方已支付的合同款，逾期退还合同款的，每日按未退还金额的</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 xml:space="preserve"> 1 %</w:t>
      </w:r>
      <w:r>
        <w:rPr>
          <w:rFonts w:hint="eastAsia" w:ascii="仿宋" w:hAnsi="仿宋" w:eastAsia="仿宋" w:cs="仿宋"/>
          <w:color w:val="000000" w:themeColor="text1"/>
          <w:kern w:val="0"/>
          <w:sz w:val="24"/>
          <w:highlight w:val="none"/>
          <w:lang w:eastAsia="zh-CN"/>
          <w14:textFill>
            <w14:solidFill>
              <w14:schemeClr w14:val="tx1"/>
            </w14:solidFill>
          </w14:textFill>
        </w:rPr>
        <w:t>支付违约金。</w:t>
      </w:r>
    </w:p>
    <w:p w14:paraId="44E6339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3.因乙方的原因导致合同解除，给甲方造成损失的，乙方应予以赔偿，赔偿事宜三方协商确定。</w:t>
      </w:r>
    </w:p>
    <w:p w14:paraId="1037555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textAlignment w:val="baseline"/>
        <w:rPr>
          <w:rFonts w:hint="eastAsia" w:ascii="仿宋" w:hAnsi="仿宋" w:eastAsia="仿宋" w:cs="仿宋"/>
          <w:b w:val="0"/>
          <w:bCs/>
          <w:color w:val="000000" w:themeColor="text1"/>
          <w:kern w:val="2"/>
          <w:sz w:val="24"/>
          <w:highlight w:val="none"/>
          <w:lang w:eastAsia="zh-CN"/>
          <w14:textFill>
            <w14:solidFill>
              <w14:schemeClr w14:val="tx1"/>
            </w14:solidFill>
          </w14:textFill>
        </w:rPr>
      </w:pPr>
      <w:r>
        <w:rPr>
          <w:rFonts w:hint="eastAsia" w:ascii="仿宋" w:hAnsi="仿宋" w:eastAsia="仿宋" w:cs="仿宋"/>
          <w:b w:val="0"/>
          <w:bCs/>
          <w:color w:val="000000" w:themeColor="text1"/>
          <w:kern w:val="2"/>
          <w:sz w:val="24"/>
          <w:highlight w:val="none"/>
          <w:lang w:val="en-US" w:eastAsia="zh-CN"/>
          <w14:textFill>
            <w14:solidFill>
              <w14:schemeClr w14:val="tx1"/>
            </w14:solidFill>
          </w14:textFill>
        </w:rPr>
        <w:t>4</w:t>
      </w:r>
      <w:r>
        <w:rPr>
          <w:rFonts w:hint="eastAsia" w:ascii="仿宋" w:hAnsi="仿宋" w:eastAsia="仿宋" w:cs="仿宋"/>
          <w:b w:val="0"/>
          <w:bCs/>
          <w:color w:val="000000" w:themeColor="text1"/>
          <w:kern w:val="2"/>
          <w:sz w:val="24"/>
          <w:highlight w:val="none"/>
          <w:lang w:eastAsia="zh-CN"/>
          <w14:textFill>
            <w14:solidFill>
              <w14:schemeClr w14:val="tx1"/>
            </w14:solidFill>
          </w14:textFill>
        </w:rPr>
        <w:t>.解除合同的，应当报同级财政部门备案。</w:t>
      </w:r>
    </w:p>
    <w:p w14:paraId="07B62E49">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textAlignment w:val="baseline"/>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第六条 </w:t>
      </w:r>
      <w:r>
        <w:rPr>
          <w:rFonts w:hint="eastAsia" w:ascii="仿宋" w:hAnsi="仿宋" w:eastAsia="仿宋" w:cs="仿宋"/>
          <w:b/>
          <w:color w:val="000000" w:themeColor="text1"/>
          <w:sz w:val="24"/>
          <w:szCs w:val="24"/>
          <w:highlight w:val="none"/>
          <w14:textFill>
            <w14:solidFill>
              <w14:schemeClr w14:val="tx1"/>
            </w14:solidFill>
          </w14:textFill>
        </w:rPr>
        <w:t>资金拨付方式</w:t>
      </w:r>
    </w:p>
    <w:p w14:paraId="30070801">
      <w:pPr>
        <w:widowControl/>
        <w:wordWrap w:val="0"/>
        <w:topLinePunct/>
        <w:snapToGrid w:val="0"/>
        <w:spacing w:line="360" w:lineRule="auto"/>
        <w:ind w:firstLine="482"/>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1.区域型居家养老综合运营服务付款方式：</w:t>
      </w:r>
    </w:p>
    <w:p w14:paraId="76C52CD3">
      <w:pPr>
        <w:widowControl/>
        <w:wordWrap w:val="0"/>
        <w:topLinePunct/>
        <w:snapToGrid w:val="0"/>
        <w:spacing w:line="360" w:lineRule="auto"/>
        <w:ind w:firstLine="482"/>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1.1上门服务：</w:t>
      </w:r>
    </w:p>
    <w:p w14:paraId="78827A43">
      <w:pPr>
        <w:widowControl/>
        <w:wordWrap w:val="0"/>
        <w:topLinePunct/>
        <w:snapToGrid w:val="0"/>
        <w:spacing w:line="360" w:lineRule="auto"/>
        <w:ind w:firstLine="482"/>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甲方和所服务的街社核实每月服务明细后由街社进行支付。</w:t>
      </w:r>
    </w:p>
    <w:p w14:paraId="3B089D96">
      <w:pPr>
        <w:keepNext w:val="0"/>
        <w:keepLines w:val="0"/>
        <w:pageBreakBefore w:val="0"/>
        <w:widowControl/>
        <w:kinsoku/>
        <w:wordWrap w:val="0"/>
        <w:overflowPunct/>
        <w:topLinePunct/>
        <w:autoSpaceDE/>
        <w:autoSpaceDN/>
        <w:bidi w:val="0"/>
        <w:snapToGrid w:val="0"/>
        <w:spacing w:line="360" w:lineRule="auto"/>
        <w:ind w:firstLine="480" w:firstLineChars="200"/>
        <w:textAlignment w:val="baseline"/>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本项目每月按照实际服务时间进行结算。</w:t>
      </w:r>
    </w:p>
    <w:p w14:paraId="61D643C4">
      <w:pPr>
        <w:widowControl/>
        <w:wordWrap w:val="0"/>
        <w:topLinePunct/>
        <w:snapToGrid w:val="0"/>
        <w:spacing w:line="360" w:lineRule="auto"/>
        <w:ind w:firstLine="482"/>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由乙方每月按实际发生的各项服务时间，凭乙方开具的正式发票和员工工资发放凭证复印件，向所服务的街道进行结算。</w:t>
      </w:r>
    </w:p>
    <w:p w14:paraId="6FBB7A2A">
      <w:pPr>
        <w:widowControl/>
        <w:wordWrap w:val="0"/>
        <w:topLinePunct/>
        <w:snapToGrid w:val="0"/>
        <w:spacing w:line="360" w:lineRule="auto"/>
        <w:ind w:firstLine="482"/>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如省市要求有变化，甲方要求更换资金结算支付方式的，需改用甲方要求的支付方式，具体以双方协商为准。</w:t>
      </w:r>
    </w:p>
    <w:p w14:paraId="719C9B2C">
      <w:pPr>
        <w:widowControl/>
        <w:wordWrap w:val="0"/>
        <w:topLinePunct/>
        <w:snapToGrid w:val="0"/>
        <w:spacing w:line="360" w:lineRule="auto"/>
        <w:ind w:leftChars="0" w:firstLine="480" w:firstLineChars="200"/>
        <w:textAlignment w:val="baseline"/>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0"/>
          <w:kern w:val="2"/>
          <w:sz w:val="24"/>
          <w:szCs w:val="24"/>
          <w:highlight w:val="none"/>
          <w:lang w:val="en-US" w:eastAsia="zh-CN" w:bidi="ar-SA"/>
          <w14:textFill>
            <w14:solidFill>
              <w14:schemeClr w14:val="tx1"/>
            </w14:solidFill>
          </w14:textFill>
        </w:rPr>
        <w:t>1.2点位运营服务相关补贴：根据实际运营情况，结合考核结果由乙方每月凭开具的正式发票与街道、社区进行结算。</w:t>
      </w:r>
    </w:p>
    <w:p w14:paraId="550F5014">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第七条 </w:t>
      </w:r>
      <w:r>
        <w:rPr>
          <w:rFonts w:hint="eastAsia" w:ascii="仿宋" w:hAnsi="仿宋" w:eastAsia="仿宋" w:cs="仿宋"/>
          <w:b/>
          <w:bCs/>
          <w:color w:val="000000" w:themeColor="text1"/>
          <w:sz w:val="24"/>
          <w:szCs w:val="24"/>
          <w:highlight w:val="none"/>
          <w14:textFill>
            <w14:solidFill>
              <w14:schemeClr w14:val="tx1"/>
            </w14:solidFill>
          </w14:textFill>
        </w:rPr>
        <w:t>转让和分包</w:t>
      </w:r>
    </w:p>
    <w:p w14:paraId="1B2743A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本项目不得以任何形式进行转包和分</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包。</w:t>
      </w:r>
    </w:p>
    <w:p w14:paraId="64754A8B">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eastAsia="zh-CN"/>
          <w14:textFill>
            <w14:solidFill>
              <w14:schemeClr w14:val="tx1"/>
            </w14:solidFill>
          </w14:textFill>
        </w:rPr>
        <w:t>第</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条</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三方</w:t>
      </w:r>
      <w:r>
        <w:rPr>
          <w:rFonts w:hint="eastAsia" w:ascii="仿宋" w:hAnsi="仿宋" w:eastAsia="仿宋" w:cs="仿宋"/>
          <w:b/>
          <w:bCs w:val="0"/>
          <w:color w:val="000000" w:themeColor="text1"/>
          <w:sz w:val="24"/>
          <w:szCs w:val="24"/>
          <w:highlight w:val="none"/>
          <w14:textFill>
            <w14:solidFill>
              <w14:schemeClr w14:val="tx1"/>
            </w14:solidFill>
          </w14:textFill>
        </w:rPr>
        <w:t>权利和义务</w:t>
      </w:r>
    </w:p>
    <w:p w14:paraId="64B36A0E">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1.甲方权利和义务</w:t>
      </w:r>
    </w:p>
    <w:p w14:paraId="3D6399F7">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1.1甲方负责本项目的组织实施、监督管理、政策宣传推广、服务保障等工作。</w:t>
      </w:r>
    </w:p>
    <w:p w14:paraId="21FF1226">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甲方有权随时向乙方了解项目进度</w:t>
      </w:r>
      <w:r>
        <w:rPr>
          <w:rFonts w:hint="eastAsia" w:ascii="仿宋" w:hAnsi="仿宋" w:eastAsia="仿宋" w:cs="仿宋"/>
          <w:color w:val="000000" w:themeColor="text1"/>
          <w:sz w:val="24"/>
          <w:szCs w:val="24"/>
          <w:highlight w:val="none"/>
          <w:lang w:eastAsia="zh-CN"/>
          <w14:textFill>
            <w14:solidFill>
              <w14:schemeClr w14:val="tx1"/>
            </w14:solidFill>
          </w14:textFill>
        </w:rPr>
        <w:t>、运行情况</w:t>
      </w:r>
      <w:r>
        <w:rPr>
          <w:rFonts w:hint="eastAsia" w:ascii="仿宋" w:hAnsi="仿宋" w:eastAsia="仿宋" w:cs="仿宋"/>
          <w:color w:val="000000" w:themeColor="text1"/>
          <w:sz w:val="24"/>
          <w:szCs w:val="24"/>
          <w:highlight w:val="none"/>
          <w14:textFill>
            <w14:solidFill>
              <w14:schemeClr w14:val="tx1"/>
            </w14:solidFill>
          </w14:textFill>
        </w:rPr>
        <w:t>，并要求乙方提供项目相关资料。</w:t>
      </w:r>
    </w:p>
    <w:p w14:paraId="21377EB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甲方有权对项目资金使用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服务质量</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情况进行</w:t>
      </w:r>
      <w:r>
        <w:rPr>
          <w:rFonts w:hint="eastAsia" w:ascii="仿宋" w:hAnsi="仿宋" w:eastAsia="仿宋" w:cs="仿宋"/>
          <w:color w:val="000000" w:themeColor="text1"/>
          <w:sz w:val="24"/>
          <w:szCs w:val="24"/>
          <w:highlight w:val="none"/>
          <w:lang w:eastAsia="zh-CN"/>
          <w14:textFill>
            <w14:solidFill>
              <w14:schemeClr w14:val="tx1"/>
            </w14:solidFill>
          </w14:textFill>
        </w:rPr>
        <w:t>审核、</w:t>
      </w:r>
      <w:r>
        <w:rPr>
          <w:rFonts w:hint="eastAsia" w:ascii="仿宋" w:hAnsi="仿宋" w:eastAsia="仿宋" w:cs="仿宋"/>
          <w:color w:val="000000" w:themeColor="text1"/>
          <w:sz w:val="24"/>
          <w:szCs w:val="24"/>
          <w:highlight w:val="none"/>
          <w14:textFill>
            <w14:solidFill>
              <w14:schemeClr w14:val="tx1"/>
            </w14:solidFill>
          </w14:textFill>
        </w:rPr>
        <w:t>监督、检查，并要求乙方提供相关资料。</w:t>
      </w:r>
    </w:p>
    <w:p w14:paraId="5F332AE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5BE29C5D">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甲方有权在乙方履行合同过程中出现损害或可能损害公共利益、公共安全情形时终止本合同。</w:t>
      </w:r>
    </w:p>
    <w:p w14:paraId="41EA4BB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甲方有权根据国家政策或法律法规的变动对服务项目的需求标准和质量要求作出相应变动或者取消项目。</w:t>
      </w:r>
    </w:p>
    <w:p w14:paraId="0657FF27">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w:t>
      </w:r>
      <w:r>
        <w:rPr>
          <w:rFonts w:hint="eastAsia" w:ascii="仿宋" w:hAnsi="仿宋" w:eastAsia="仿宋" w:cs="仿宋"/>
          <w:color w:val="000000" w:themeColor="text1"/>
          <w:sz w:val="24"/>
          <w:szCs w:val="24"/>
          <w:highlight w:val="none"/>
          <w14:textFill>
            <w14:solidFill>
              <w14:schemeClr w14:val="tx1"/>
            </w14:solidFill>
          </w14:textFill>
        </w:rPr>
        <w:t>甲方有权将乙方履行合同情况及不符合政府购买服务管理规定情况，向相关部门报告并纳入不良信用记录、年检（报）、评估、执法等监管体系中。</w:t>
      </w:r>
    </w:p>
    <w:p w14:paraId="390BF0AC">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t>甲方应及时向乙方提供与履行本合同相关的所有必须的文件、资料。</w:t>
      </w:r>
    </w:p>
    <w:p w14:paraId="5037A82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甲方应为乙方履行本合同过程中与相关政府部门及其他第三方的沟通、协调提供必要的协助。</w:t>
      </w:r>
    </w:p>
    <w:p w14:paraId="30F31673">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1.10</w:t>
      </w:r>
      <w:r>
        <w:rPr>
          <w:rFonts w:hint="eastAsia" w:ascii="仿宋" w:hAnsi="仿宋" w:eastAsia="仿宋" w:cs="仿宋"/>
          <w:color w:val="000000" w:themeColor="text1"/>
          <w:sz w:val="24"/>
          <w:szCs w:val="24"/>
          <w:highlight w:val="none"/>
          <w14:textFill>
            <w14:solidFill>
              <w14:schemeClr w14:val="tx1"/>
            </w14:solidFill>
          </w14:textFill>
        </w:rPr>
        <w:t>甲方应按照合同约定支付服务费用。</w:t>
      </w:r>
    </w:p>
    <w:p w14:paraId="1BF21AFE">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乙方的权利和义务</w:t>
      </w:r>
    </w:p>
    <w:p w14:paraId="75DC8D0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乙方有权按照本合同约定向甲方收取服务费用。</w:t>
      </w:r>
    </w:p>
    <w:p w14:paraId="0AE9DC26">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乙方有权自甲方</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处获得与提供本合同项下服务相关的所有必须的文件、资料。</w:t>
      </w:r>
    </w:p>
    <w:p w14:paraId="46B9C1B1">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乙方应配备具有相应资质、特定经验的工作人员负责项目实施，组建的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成员应</w:t>
      </w:r>
      <w:r>
        <w:rPr>
          <w:rFonts w:hint="eastAsia" w:ascii="仿宋" w:hAnsi="仿宋" w:eastAsia="仿宋" w:cs="仿宋"/>
          <w:color w:val="000000" w:themeColor="text1"/>
          <w:sz w:val="24"/>
          <w:szCs w:val="24"/>
          <w:highlight w:val="none"/>
          <w:lang w:val="en-US" w:eastAsia="zh-CN"/>
          <w14:textFill>
            <w14:solidFill>
              <w14:schemeClr w14:val="tx1"/>
            </w14:solidFill>
          </w14:textFill>
        </w:rPr>
        <w:t>确保到位到岗，</w:t>
      </w:r>
      <w:r>
        <w:rPr>
          <w:rFonts w:hint="eastAsia" w:ascii="仿宋" w:hAnsi="仿宋" w:eastAsia="仿宋" w:cs="仿宋"/>
          <w:color w:val="000000" w:themeColor="text1"/>
          <w:sz w:val="24"/>
          <w:szCs w:val="24"/>
          <w:highlight w:val="none"/>
          <w14:textFill>
            <w14:solidFill>
              <w14:schemeClr w14:val="tx1"/>
            </w14:solidFill>
          </w14:textFill>
        </w:rPr>
        <w:t>按照本合同约定的标准、要求和时间完成项目。</w:t>
      </w:r>
    </w:p>
    <w:p w14:paraId="57C18CBD">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乙方不得以任何理由将本合同项下的服务项目转包给第三方承担。</w:t>
      </w:r>
    </w:p>
    <w:p w14:paraId="25C65C7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乙方应全面履行本项目实施过程中的相关安全管理职责，因乙方未尽到管理职责发生安全事故的，由乙方承担相应的法律责任。</w:t>
      </w:r>
    </w:p>
    <w:p w14:paraId="76F6A13C">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color w:val="000000" w:themeColor="text1"/>
          <w:sz w:val="24"/>
          <w:szCs w:val="24"/>
          <w:highlight w:val="none"/>
          <w14:textFill>
            <w14:solidFill>
              <w14:schemeClr w14:val="tx1"/>
            </w14:solidFill>
          </w14:textFill>
        </w:rPr>
        <w:t>乙方承诺根据本合同提供的服务及相关的技术资料，均已取得有关知识产权的权利人的合法授权。如发生涉及到专利权、著作权、商标权等争议，乙方负责处理并承担由此引起的全部法律及经济责任。</w:t>
      </w:r>
    </w:p>
    <w:p w14:paraId="1CCB158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color w:val="000000" w:themeColor="text1"/>
          <w:sz w:val="24"/>
          <w:szCs w:val="24"/>
          <w:highlight w:val="none"/>
          <w14:textFill>
            <w14:solidFill>
              <w14:schemeClr w14:val="tx1"/>
            </w14:solidFill>
          </w14:textFill>
        </w:rPr>
        <w:t>乙方应接受并配合甲方</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或甲方</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组织的对本合同履行情况的监督与检查，对于甲方</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指出的问题，应及时作出合理解释或予以纠正。</w:t>
      </w:r>
    </w:p>
    <w:p w14:paraId="1204F52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乙方应对</w:t>
      </w:r>
      <w:r>
        <w:rPr>
          <w:rFonts w:hint="eastAsia" w:ascii="仿宋" w:hAnsi="仿宋" w:eastAsia="仿宋" w:cs="仿宋"/>
          <w:color w:val="000000" w:themeColor="text1"/>
          <w:sz w:val="24"/>
          <w:szCs w:val="24"/>
          <w:highlight w:val="none"/>
          <w:lang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资金进行规范的财务管理和会计核算，加强自身监督，确保资金规范管理和使用。</w:t>
      </w:r>
    </w:p>
    <w:p w14:paraId="745D380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2.9乙方应建立健全管理与报告制度，按要求向甲方、丙方提供项目执行情况、服务总结等材料，并配合甲方、丙方及甲方、丙方组织的监督检查。</w:t>
      </w:r>
    </w:p>
    <w:p w14:paraId="6EFB009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2.10乙方不得隐瞒、虚报单位资质、资格、人员及违法行为被禁止或限制参加政府采购活动等情况。</w:t>
      </w:r>
    </w:p>
    <w:p w14:paraId="581C5BFD">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2.11乙方有权监督第二阶段确定成交乙方方式。</w:t>
      </w:r>
    </w:p>
    <w:p w14:paraId="7D6933DF">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丙方的权利和义务</w:t>
      </w:r>
    </w:p>
    <w:p w14:paraId="066F799E">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3.1丙方负责本街道辖区范围内养老服务“爱心卡”的组织实施、监督管理、政策宣传推广、投诉案件受理及处理、信息上报、服务保障等工作。</w:t>
      </w:r>
    </w:p>
    <w:p w14:paraId="5173F598">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丙</w:t>
      </w:r>
      <w:r>
        <w:rPr>
          <w:rFonts w:hint="eastAsia" w:ascii="仿宋" w:hAnsi="仿宋" w:eastAsia="仿宋" w:cs="仿宋"/>
          <w:color w:val="000000" w:themeColor="text1"/>
          <w:sz w:val="24"/>
          <w:szCs w:val="24"/>
          <w:highlight w:val="none"/>
          <w14:textFill>
            <w14:solidFill>
              <w14:schemeClr w14:val="tx1"/>
            </w14:solidFill>
          </w14:textFill>
        </w:rPr>
        <w:t>方有权随时向乙方了解</w:t>
      </w:r>
      <w:r>
        <w:rPr>
          <w:rFonts w:hint="eastAsia" w:ascii="仿宋" w:hAnsi="仿宋" w:eastAsia="仿宋" w:cs="仿宋"/>
          <w:color w:val="000000" w:themeColor="text1"/>
          <w:sz w:val="24"/>
          <w:szCs w:val="24"/>
          <w:highlight w:val="none"/>
          <w:lang w:eastAsia="zh-CN"/>
          <w14:textFill>
            <w14:solidFill>
              <w14:schemeClr w14:val="tx1"/>
            </w14:solidFill>
          </w14:textFill>
        </w:rPr>
        <w:t>本街道辖区范围内服务</w:t>
      </w:r>
      <w:r>
        <w:rPr>
          <w:rFonts w:hint="eastAsia" w:ascii="仿宋" w:hAnsi="仿宋" w:eastAsia="仿宋" w:cs="仿宋"/>
          <w:color w:val="000000" w:themeColor="text1"/>
          <w:sz w:val="24"/>
          <w:szCs w:val="24"/>
          <w:highlight w:val="none"/>
          <w14:textFill>
            <w14:solidFill>
              <w14:schemeClr w14:val="tx1"/>
            </w14:solidFill>
          </w14:textFill>
        </w:rPr>
        <w:t>进度</w:t>
      </w:r>
      <w:r>
        <w:rPr>
          <w:rFonts w:hint="eastAsia" w:ascii="仿宋" w:hAnsi="仿宋" w:eastAsia="仿宋" w:cs="仿宋"/>
          <w:color w:val="000000" w:themeColor="text1"/>
          <w:sz w:val="24"/>
          <w:szCs w:val="24"/>
          <w:highlight w:val="none"/>
          <w:lang w:eastAsia="zh-CN"/>
          <w14:textFill>
            <w14:solidFill>
              <w14:schemeClr w14:val="tx1"/>
            </w14:solidFill>
          </w14:textFill>
        </w:rPr>
        <w:t>、运行情况</w:t>
      </w:r>
      <w:r>
        <w:rPr>
          <w:rFonts w:hint="eastAsia" w:ascii="仿宋" w:hAnsi="仿宋" w:eastAsia="仿宋" w:cs="仿宋"/>
          <w:color w:val="000000" w:themeColor="text1"/>
          <w:sz w:val="24"/>
          <w:szCs w:val="24"/>
          <w:highlight w:val="none"/>
          <w14:textFill>
            <w14:solidFill>
              <w14:schemeClr w14:val="tx1"/>
            </w14:solidFill>
          </w14:textFill>
        </w:rPr>
        <w:t>，并要求乙方提供</w:t>
      </w:r>
      <w:r>
        <w:rPr>
          <w:rFonts w:hint="eastAsia" w:ascii="仿宋" w:hAnsi="仿宋" w:eastAsia="仿宋" w:cs="仿宋"/>
          <w:color w:val="000000" w:themeColor="text1"/>
          <w:sz w:val="24"/>
          <w:szCs w:val="24"/>
          <w:highlight w:val="none"/>
          <w:lang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相关资料。</w:t>
      </w:r>
    </w:p>
    <w:p w14:paraId="120C448E">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3.3丙</w:t>
      </w:r>
      <w:r>
        <w:rPr>
          <w:rFonts w:hint="eastAsia" w:ascii="仿宋" w:hAnsi="仿宋" w:eastAsia="仿宋" w:cs="仿宋"/>
          <w:color w:val="000000" w:themeColor="text1"/>
          <w:sz w:val="24"/>
          <w:szCs w:val="24"/>
          <w:highlight w:val="none"/>
          <w14:textFill>
            <w14:solidFill>
              <w14:schemeClr w14:val="tx1"/>
            </w14:solidFill>
          </w14:textFill>
        </w:rPr>
        <w:t>方有权对</w:t>
      </w:r>
      <w:r>
        <w:rPr>
          <w:rFonts w:hint="eastAsia" w:ascii="仿宋" w:hAnsi="仿宋" w:eastAsia="仿宋" w:cs="仿宋"/>
          <w:color w:val="000000" w:themeColor="text1"/>
          <w:sz w:val="24"/>
          <w:szCs w:val="24"/>
          <w:highlight w:val="none"/>
          <w:lang w:eastAsia="zh-CN"/>
          <w14:textFill>
            <w14:solidFill>
              <w14:schemeClr w14:val="tx1"/>
            </w14:solidFill>
          </w14:textFill>
        </w:rPr>
        <w:t>本街道辖区范围内服务</w:t>
      </w:r>
      <w:r>
        <w:rPr>
          <w:rFonts w:hint="eastAsia" w:ascii="仿宋" w:hAnsi="仿宋" w:eastAsia="仿宋" w:cs="仿宋"/>
          <w:color w:val="000000" w:themeColor="text1"/>
          <w:sz w:val="24"/>
          <w:szCs w:val="24"/>
          <w:highlight w:val="none"/>
          <w14:textFill>
            <w14:solidFill>
              <w14:schemeClr w14:val="tx1"/>
            </w14:solidFill>
          </w14:textFill>
        </w:rPr>
        <w:t>资金使用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服务质量</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情况进行</w:t>
      </w:r>
      <w:r>
        <w:rPr>
          <w:rFonts w:hint="eastAsia" w:ascii="仿宋" w:hAnsi="仿宋" w:eastAsia="仿宋" w:cs="仿宋"/>
          <w:color w:val="000000" w:themeColor="text1"/>
          <w:sz w:val="24"/>
          <w:szCs w:val="24"/>
          <w:highlight w:val="none"/>
          <w:lang w:eastAsia="zh-CN"/>
          <w14:textFill>
            <w14:solidFill>
              <w14:schemeClr w14:val="tx1"/>
            </w14:solidFill>
          </w14:textFill>
        </w:rPr>
        <w:t>审核、</w:t>
      </w:r>
      <w:r>
        <w:rPr>
          <w:rFonts w:hint="eastAsia" w:ascii="仿宋" w:hAnsi="仿宋" w:eastAsia="仿宋" w:cs="仿宋"/>
          <w:color w:val="000000" w:themeColor="text1"/>
          <w:sz w:val="24"/>
          <w:szCs w:val="24"/>
          <w:highlight w:val="none"/>
          <w14:textFill>
            <w14:solidFill>
              <w14:schemeClr w14:val="tx1"/>
            </w14:solidFill>
          </w14:textFill>
        </w:rPr>
        <w:t>监督、检查</w:t>
      </w:r>
      <w:r>
        <w:rPr>
          <w:rFonts w:hint="eastAsia" w:ascii="仿宋" w:hAnsi="仿宋" w:eastAsia="仿宋" w:cs="仿宋"/>
          <w:color w:val="000000" w:themeColor="text1"/>
          <w:sz w:val="24"/>
          <w:szCs w:val="24"/>
          <w:highlight w:val="none"/>
          <w:lang w:eastAsia="zh-CN"/>
          <w14:textFill>
            <w14:solidFill>
              <w14:schemeClr w14:val="tx1"/>
            </w14:solidFill>
          </w14:textFill>
        </w:rPr>
        <w:t>、汇总、上报等</w:t>
      </w:r>
      <w:r>
        <w:rPr>
          <w:rFonts w:hint="eastAsia" w:ascii="仿宋" w:hAnsi="仿宋" w:eastAsia="仿宋" w:cs="仿宋"/>
          <w:color w:val="000000" w:themeColor="text1"/>
          <w:sz w:val="24"/>
          <w:szCs w:val="24"/>
          <w:highlight w:val="none"/>
          <w14:textFill>
            <w14:solidFill>
              <w14:schemeClr w14:val="tx1"/>
            </w14:solidFill>
          </w14:textFill>
        </w:rPr>
        <w:t>，并要求乙方提供相关资料。</w:t>
      </w:r>
    </w:p>
    <w:p w14:paraId="028E57A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3.4</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有权按照本合同约定或有关法律法规，对本</w:t>
      </w:r>
      <w:r>
        <w:rPr>
          <w:rFonts w:hint="eastAsia" w:ascii="仿宋" w:hAnsi="仿宋" w:eastAsia="仿宋" w:cs="仿宋"/>
          <w:color w:val="000000" w:themeColor="text1"/>
          <w:sz w:val="24"/>
          <w:szCs w:val="24"/>
          <w:highlight w:val="none"/>
          <w:lang w:eastAsia="zh-CN"/>
          <w14:textFill>
            <w14:solidFill>
              <w14:schemeClr w14:val="tx1"/>
            </w14:solidFill>
          </w14:textFill>
        </w:rPr>
        <w:t>辖区范围内服务情况</w:t>
      </w:r>
      <w:r>
        <w:rPr>
          <w:rFonts w:hint="eastAsia" w:ascii="仿宋" w:hAnsi="仿宋" w:eastAsia="仿宋" w:cs="仿宋"/>
          <w:color w:val="000000" w:themeColor="text1"/>
          <w:sz w:val="24"/>
          <w:szCs w:val="24"/>
          <w:highlight w:val="none"/>
          <w14:textFill>
            <w14:solidFill>
              <w14:schemeClr w14:val="tx1"/>
            </w14:solidFill>
          </w14:textFill>
        </w:rPr>
        <w:t>进行监督和检查，有权要求乙方按照监督检查情况制定相应措施并加以整改。</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不因行使该监督和检查权而承担任何责任，也不因此减轻或免除乙方根据本合同约定或相关法律法规规定应承担的任何义务或责任。</w:t>
      </w:r>
    </w:p>
    <w:p w14:paraId="6732F9D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r>
        <w:rPr>
          <w:rFonts w:hint="eastAsia" w:ascii="仿宋" w:hAnsi="仿宋" w:eastAsia="仿宋" w:cs="仿宋"/>
          <w:color w:val="000000" w:themeColor="text1"/>
          <w:sz w:val="24"/>
          <w:szCs w:val="24"/>
          <w:highlight w:val="none"/>
          <w:lang w:eastAsia="zh-CN"/>
          <w14:textFill>
            <w14:solidFill>
              <w14:schemeClr w14:val="tx1"/>
            </w14:solidFill>
          </w14:textFill>
        </w:rPr>
        <w:t>丙</w:t>
      </w:r>
      <w:r>
        <w:rPr>
          <w:rFonts w:hint="eastAsia" w:ascii="仿宋" w:hAnsi="仿宋" w:eastAsia="仿宋" w:cs="仿宋"/>
          <w:color w:val="000000" w:themeColor="text1"/>
          <w:sz w:val="24"/>
          <w:szCs w:val="24"/>
          <w:highlight w:val="none"/>
          <w14:textFill>
            <w14:solidFill>
              <w14:schemeClr w14:val="tx1"/>
            </w14:solidFill>
          </w14:textFill>
        </w:rPr>
        <w:t>方有权在乙方履行合同过程中出现损害或可能损害公共利益、公共安全情形时</w:t>
      </w:r>
      <w:r>
        <w:rPr>
          <w:rFonts w:hint="eastAsia" w:ascii="仿宋" w:hAnsi="仿宋" w:eastAsia="仿宋" w:cs="仿宋"/>
          <w:color w:val="000000" w:themeColor="text1"/>
          <w:sz w:val="24"/>
          <w:szCs w:val="24"/>
          <w:highlight w:val="none"/>
          <w:lang w:eastAsia="zh-CN"/>
          <w14:textFill>
            <w14:solidFill>
              <w14:schemeClr w14:val="tx1"/>
            </w14:solidFill>
          </w14:textFill>
        </w:rPr>
        <w:t>及时上报给甲方，经甲方审核通过后</w:t>
      </w:r>
      <w:r>
        <w:rPr>
          <w:rFonts w:hint="eastAsia" w:ascii="仿宋" w:hAnsi="仿宋" w:eastAsia="仿宋" w:cs="仿宋"/>
          <w:color w:val="000000" w:themeColor="text1"/>
          <w:sz w:val="24"/>
          <w:szCs w:val="24"/>
          <w:highlight w:val="none"/>
          <w14:textFill>
            <w14:solidFill>
              <w14:schemeClr w14:val="tx1"/>
            </w14:solidFill>
          </w14:textFill>
        </w:rPr>
        <w:t>终止本合同。</w:t>
      </w:r>
    </w:p>
    <w:p w14:paraId="2630BC9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3.6</w:t>
      </w:r>
      <w:r>
        <w:rPr>
          <w:rFonts w:hint="eastAsia" w:ascii="仿宋" w:hAnsi="仿宋" w:eastAsia="仿宋" w:cs="仿宋"/>
          <w:color w:val="000000" w:themeColor="text1"/>
          <w:sz w:val="24"/>
          <w:szCs w:val="24"/>
          <w:highlight w:val="none"/>
          <w:lang w:eastAsia="zh-CN"/>
          <w14:textFill>
            <w14:solidFill>
              <w14:schemeClr w14:val="tx1"/>
            </w14:solidFill>
          </w14:textFill>
        </w:rPr>
        <w:t>丙</w:t>
      </w:r>
      <w:r>
        <w:rPr>
          <w:rFonts w:hint="eastAsia" w:ascii="仿宋" w:hAnsi="仿宋" w:eastAsia="仿宋" w:cs="仿宋"/>
          <w:color w:val="000000" w:themeColor="text1"/>
          <w:sz w:val="24"/>
          <w:szCs w:val="24"/>
          <w:highlight w:val="none"/>
          <w14:textFill>
            <w14:solidFill>
              <w14:schemeClr w14:val="tx1"/>
            </w14:solidFill>
          </w14:textFill>
        </w:rPr>
        <w:t>方有权将乙方履行合同情况及不符合政府购买服务管理规定情况，向相关部门报告。</w:t>
      </w:r>
    </w:p>
    <w:p w14:paraId="588D4277">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3.7</w:t>
      </w:r>
      <w:r>
        <w:rPr>
          <w:rFonts w:hint="eastAsia" w:ascii="仿宋" w:hAnsi="仿宋" w:eastAsia="仿宋" w:cs="仿宋"/>
          <w:color w:val="000000" w:themeColor="text1"/>
          <w:sz w:val="24"/>
          <w:szCs w:val="24"/>
          <w:highlight w:val="none"/>
          <w:lang w:eastAsia="zh-CN"/>
          <w14:textFill>
            <w14:solidFill>
              <w14:schemeClr w14:val="tx1"/>
            </w14:solidFill>
          </w14:textFill>
        </w:rPr>
        <w:t>丙</w:t>
      </w:r>
      <w:r>
        <w:rPr>
          <w:rFonts w:hint="eastAsia" w:ascii="仿宋" w:hAnsi="仿宋" w:eastAsia="仿宋" w:cs="仿宋"/>
          <w:color w:val="000000" w:themeColor="text1"/>
          <w:sz w:val="24"/>
          <w:szCs w:val="24"/>
          <w:highlight w:val="none"/>
          <w14:textFill>
            <w14:solidFill>
              <w14:schemeClr w14:val="tx1"/>
            </w14:solidFill>
          </w14:textFill>
        </w:rPr>
        <w:t>方应及时向乙方提供与履行本合同相关的所有必须的文件、资料。</w:t>
      </w:r>
    </w:p>
    <w:p w14:paraId="697C8511">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3.8</w:t>
      </w:r>
      <w:r>
        <w:rPr>
          <w:rFonts w:hint="eastAsia" w:ascii="仿宋" w:hAnsi="仿宋" w:eastAsia="仿宋" w:cs="仿宋"/>
          <w:color w:val="000000" w:themeColor="text1"/>
          <w:sz w:val="24"/>
          <w:szCs w:val="24"/>
          <w:highlight w:val="none"/>
          <w:lang w:eastAsia="zh-CN"/>
          <w14:textFill>
            <w14:solidFill>
              <w14:schemeClr w14:val="tx1"/>
            </w14:solidFill>
          </w14:textFill>
        </w:rPr>
        <w:t>丙</w:t>
      </w:r>
      <w:r>
        <w:rPr>
          <w:rFonts w:hint="eastAsia" w:ascii="仿宋" w:hAnsi="仿宋" w:eastAsia="仿宋" w:cs="仿宋"/>
          <w:color w:val="000000" w:themeColor="text1"/>
          <w:sz w:val="24"/>
          <w:szCs w:val="24"/>
          <w:highlight w:val="none"/>
          <w14:textFill>
            <w14:solidFill>
              <w14:schemeClr w14:val="tx1"/>
            </w14:solidFill>
          </w14:textFill>
        </w:rPr>
        <w:t>方应为乙方履行本合同过程中与相关政府部门及其他第三方的沟通、协调提供必要的协助。</w:t>
      </w:r>
    </w:p>
    <w:p w14:paraId="0EE468DE">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3.9</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丙方应按照合同约定及时向甲方上报相应的服务监管情况</w:t>
      </w:r>
      <w:r>
        <w:rPr>
          <w:rFonts w:hint="eastAsia" w:ascii="仿宋" w:hAnsi="仿宋" w:eastAsia="仿宋" w:cs="仿宋"/>
          <w:color w:val="000000" w:themeColor="text1"/>
          <w:sz w:val="24"/>
          <w:szCs w:val="24"/>
          <w:highlight w:val="none"/>
          <w14:textFill>
            <w14:solidFill>
              <w14:schemeClr w14:val="tx1"/>
            </w14:solidFill>
          </w14:textFill>
        </w:rPr>
        <w:t>。</w:t>
      </w:r>
    </w:p>
    <w:p w14:paraId="29230C6B">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第</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九</w:t>
      </w:r>
      <w:r>
        <w:rPr>
          <w:rFonts w:hint="eastAsia" w:ascii="仿宋" w:hAnsi="仿宋" w:eastAsia="仿宋" w:cs="仿宋"/>
          <w:b/>
          <w:bCs/>
          <w:color w:val="000000" w:themeColor="text1"/>
          <w:kern w:val="0"/>
          <w:sz w:val="24"/>
          <w:szCs w:val="24"/>
          <w:highlight w:val="none"/>
          <w14:textFill>
            <w14:solidFill>
              <w14:schemeClr w14:val="tx1"/>
            </w14:solidFill>
          </w14:textFill>
        </w:rPr>
        <w:t xml:space="preserve">条 </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三方</w:t>
      </w:r>
      <w:r>
        <w:rPr>
          <w:rFonts w:hint="eastAsia" w:ascii="仿宋" w:hAnsi="仿宋" w:eastAsia="仿宋" w:cs="仿宋"/>
          <w:b/>
          <w:bCs/>
          <w:color w:val="000000" w:themeColor="text1"/>
          <w:kern w:val="0"/>
          <w:sz w:val="24"/>
          <w:szCs w:val="24"/>
          <w:highlight w:val="none"/>
          <w14:textFill>
            <w14:solidFill>
              <w14:schemeClr w14:val="tx1"/>
            </w14:solidFill>
          </w14:textFill>
        </w:rPr>
        <w:t>保密协议</w:t>
      </w:r>
    </w:p>
    <w:p w14:paraId="5CFC22F0">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乙方对履行本服务期限间知悉的甲方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、丙方</w:t>
      </w:r>
      <w:r>
        <w:rPr>
          <w:rFonts w:hint="eastAsia" w:ascii="仿宋" w:hAnsi="仿宋" w:eastAsia="仿宋" w:cs="仿宋"/>
          <w:color w:val="000000" w:themeColor="text1"/>
          <w:kern w:val="0"/>
          <w:sz w:val="24"/>
          <w:szCs w:val="24"/>
          <w:highlight w:val="none"/>
          <w14:textFill>
            <w14:solidFill>
              <w14:schemeClr w14:val="tx1"/>
            </w14:solidFill>
          </w14:textFill>
        </w:rPr>
        <w:t>秘密附有保密责任，且乙方的保密责任不因本合同的终止而终止。</w:t>
      </w:r>
    </w:p>
    <w:p w14:paraId="10F07BE3">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未经甲方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、丙方</w:t>
      </w:r>
      <w:r>
        <w:rPr>
          <w:rFonts w:hint="eastAsia" w:ascii="仿宋" w:hAnsi="仿宋" w:eastAsia="仿宋" w:cs="仿宋"/>
          <w:color w:val="000000" w:themeColor="text1"/>
          <w:kern w:val="0"/>
          <w:sz w:val="24"/>
          <w:szCs w:val="24"/>
          <w:highlight w:val="none"/>
          <w14:textFill>
            <w14:solidFill>
              <w14:schemeClr w14:val="tx1"/>
            </w14:solidFill>
          </w14:textFill>
        </w:rPr>
        <w:t>同意，乙方服务人员不得擅自记录、复印、拍摄、摘抄、收藏甲方单位的任何文件资料和信息，不得随意翻阅与工作无关的文件和资料，严禁将甲方单位内部会议、谈话内容泄露给第三方。</w:t>
      </w:r>
    </w:p>
    <w:p w14:paraId="034A8996">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十</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违约责任</w:t>
      </w:r>
    </w:p>
    <w:p w14:paraId="4D5A6762">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除不可抗力外，如果乙方没有按照本</w:t>
      </w:r>
      <w:r>
        <w:rPr>
          <w:rFonts w:hint="eastAsia" w:ascii="仿宋" w:hAnsi="仿宋" w:eastAsia="仿宋" w:cs="仿宋"/>
          <w:color w:val="000000" w:themeColor="text1"/>
          <w:sz w:val="24"/>
          <w:szCs w:val="24"/>
          <w:highlight w:val="none"/>
          <w:lang w:val="en-US" w:eastAsia="zh-CN"/>
          <w14:textFill>
            <w14:solidFill>
              <w14:schemeClr w14:val="tx1"/>
            </w14:solidFill>
          </w14:textFill>
        </w:rPr>
        <w:t>协议</w:t>
      </w:r>
      <w:r>
        <w:rPr>
          <w:rFonts w:hint="eastAsia" w:ascii="仿宋" w:hAnsi="仿宋" w:eastAsia="仿宋" w:cs="仿宋"/>
          <w:color w:val="000000" w:themeColor="text1"/>
          <w:sz w:val="24"/>
          <w:szCs w:val="24"/>
          <w:highlight w:val="none"/>
          <w14:textFill>
            <w14:solidFill>
              <w14:schemeClr w14:val="tx1"/>
            </w14:solidFill>
          </w14:textFill>
        </w:rPr>
        <w:t>约定的期限、地点和方式服务的，那么甲方可要求乙方支付违约金，违约金每日按</w:t>
      </w:r>
      <w:r>
        <w:rPr>
          <w:rFonts w:hint="eastAsia" w:ascii="仿宋" w:hAnsi="仿宋" w:eastAsia="仿宋" w:cs="仿宋"/>
          <w:color w:val="000000" w:themeColor="text1"/>
          <w:sz w:val="24"/>
          <w:szCs w:val="24"/>
          <w:highlight w:val="none"/>
          <w:lang w:val="en-US" w:eastAsia="zh-CN"/>
          <w14:textFill>
            <w14:solidFill>
              <w14:schemeClr w14:val="tx1"/>
            </w14:solidFill>
          </w14:textFill>
        </w:rPr>
        <w:t>1000元</w:t>
      </w:r>
      <w:r>
        <w:rPr>
          <w:rFonts w:hint="eastAsia" w:ascii="仿宋" w:hAnsi="仿宋" w:eastAsia="仿宋" w:cs="仿宋"/>
          <w:color w:val="000000" w:themeColor="text1"/>
          <w:sz w:val="24"/>
          <w:szCs w:val="24"/>
          <w:highlight w:val="none"/>
          <w14:textFill>
            <w14:solidFill>
              <w14:schemeClr w14:val="tx1"/>
            </w14:solidFill>
          </w14:textFill>
        </w:rPr>
        <w:t>计算，最高限额为</w:t>
      </w:r>
      <w:r>
        <w:rPr>
          <w:rFonts w:hint="eastAsia" w:ascii="仿宋" w:hAnsi="仿宋" w:eastAsia="仿宋" w:cs="仿宋"/>
          <w:color w:val="000000" w:themeColor="text1"/>
          <w:sz w:val="24"/>
          <w:szCs w:val="24"/>
          <w:highlight w:val="none"/>
          <w:lang w:val="en-US" w:eastAsia="zh-CN"/>
          <w14:textFill>
            <w14:solidFill>
              <w14:schemeClr w14:val="tx1"/>
            </w14:solidFill>
          </w14:textFill>
        </w:rPr>
        <w:t>2万元</w:t>
      </w:r>
      <w:r>
        <w:rPr>
          <w:rFonts w:hint="eastAsia" w:ascii="仿宋" w:hAnsi="仿宋" w:eastAsia="仿宋" w:cs="仿宋"/>
          <w:color w:val="000000" w:themeColor="text1"/>
          <w:sz w:val="24"/>
          <w:szCs w:val="24"/>
          <w:highlight w:val="none"/>
          <w14:textFill>
            <w14:solidFill>
              <w14:schemeClr w14:val="tx1"/>
            </w14:solidFill>
          </w14:textFill>
        </w:rPr>
        <w:t>；违约金计算数额达到前述最高限额之日起，甲方有权在要求乙方支付违约金的同时，书面通知乙方解除本合同；</w:t>
      </w:r>
    </w:p>
    <w:p w14:paraId="27BBA779">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szCs w:val="24"/>
          <w:highlight w:val="none"/>
          <w:u w:val="single"/>
          <w14:textFill>
            <w14:solidFill>
              <w14:schemeClr w14:val="tx1"/>
            </w14:solidFill>
          </w14:textFill>
        </w:rPr>
        <w:t>万分之五</w:t>
      </w:r>
      <w:r>
        <w:rPr>
          <w:rFonts w:hint="eastAsia" w:ascii="仿宋" w:hAnsi="仿宋" w:eastAsia="仿宋" w:cs="仿宋"/>
          <w:color w:val="000000" w:themeColor="text1"/>
          <w:sz w:val="24"/>
          <w:szCs w:val="24"/>
          <w:highlight w:val="none"/>
          <w14:textFill>
            <w14:solidFill>
              <w14:schemeClr w14:val="tx1"/>
            </w14:solidFill>
          </w14:textFill>
        </w:rPr>
        <w:t>计算，最高限额为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1万元</w:t>
      </w:r>
      <w:r>
        <w:rPr>
          <w:rFonts w:hint="eastAsia" w:ascii="仿宋" w:hAnsi="仿宋" w:eastAsia="仿宋" w:cs="仿宋"/>
          <w:color w:val="000000" w:themeColor="text1"/>
          <w:sz w:val="24"/>
          <w:szCs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0A3354E7">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838CF7">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6EDD609">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492D98D">
      <w:pPr>
        <w:keepNext w:val="0"/>
        <w:keepLines w:val="0"/>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如果出现政府采购监督管理部门在处理投诉事项期间，书面通知甲方暂停采购活动的情形，或者询问或质疑事项可能影响</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结果的，导致甲方中止履行合同的情形，均不视为甲方违约。</w:t>
      </w:r>
    </w:p>
    <w:p w14:paraId="32DA5393">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不可抗力事件处理</w:t>
      </w:r>
    </w:p>
    <w:p w14:paraId="4CA349AD">
      <w:pPr>
        <w:pageBreakBefore w:val="0"/>
        <w:widowControl/>
        <w:shd w:val="clear" w:color="auto"/>
        <w:kinsoku/>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1.在合同有效期内，因不可抗力事件导致不能履行合同，则合同履行至合同到期日止。</w:t>
      </w:r>
    </w:p>
    <w:p w14:paraId="71A67A85">
      <w:pPr>
        <w:pageBreakBefore w:val="0"/>
        <w:widowControl/>
        <w:shd w:val="clear" w:color="auto"/>
        <w:kinsoku/>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2.不可抗力事件发生后，应立即通知对方，并寄送有关权威机构出具的证明。</w:t>
      </w:r>
    </w:p>
    <w:p w14:paraId="788C6467">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争议的解决</w:t>
      </w:r>
    </w:p>
    <w:p w14:paraId="45E6A5F8">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本合同为政府采购之合同，在发生服务质量问题时，甲方</w:t>
      </w:r>
      <w:r>
        <w:rPr>
          <w:rFonts w:hint="eastAsia" w:ascii="仿宋" w:hAnsi="仿宋" w:eastAsia="仿宋" w:cs="仿宋"/>
          <w:bCs/>
          <w:color w:val="000000" w:themeColor="text1"/>
          <w:sz w:val="24"/>
          <w:szCs w:val="24"/>
          <w:highlight w:val="none"/>
          <w:lang w:eastAsia="zh-CN"/>
          <w14:textFill>
            <w14:solidFill>
              <w14:schemeClr w14:val="tx1"/>
            </w14:solidFill>
          </w14:textFill>
        </w:rPr>
        <w:t>、丙方</w:t>
      </w:r>
      <w:r>
        <w:rPr>
          <w:rFonts w:hint="eastAsia" w:ascii="仿宋" w:hAnsi="仿宋" w:eastAsia="仿宋" w:cs="仿宋"/>
          <w:bCs/>
          <w:color w:val="000000" w:themeColor="text1"/>
          <w:sz w:val="24"/>
          <w:szCs w:val="24"/>
          <w:highlight w:val="none"/>
          <w14:textFill>
            <w14:solidFill>
              <w14:schemeClr w14:val="tx1"/>
            </w14:solidFill>
          </w14:textFill>
        </w:rPr>
        <w:t>有权直接向乙方索赔，签订必要的书面处理协议。如协商不成，可向甲方所在地法院起诉。</w:t>
      </w:r>
    </w:p>
    <w:p w14:paraId="6378BC14">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第十</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14:textFill>
            <w14:solidFill>
              <w14:schemeClr w14:val="tx1"/>
            </w14:solidFill>
          </w14:textFill>
        </w:rPr>
        <w:t>条</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适用法律</w:t>
      </w:r>
    </w:p>
    <w:p w14:paraId="68EC8DD1">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本合同按照中华人民共和国现行法律、法规进行解释。</w:t>
      </w:r>
    </w:p>
    <w:p w14:paraId="304A0EF1">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合同的生效</w:t>
      </w:r>
    </w:p>
    <w:p w14:paraId="7AE86562">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本合同经</w:t>
      </w:r>
      <w:r>
        <w:rPr>
          <w:rFonts w:hint="eastAsia" w:ascii="仿宋" w:hAnsi="仿宋" w:eastAsia="仿宋" w:cs="仿宋"/>
          <w:color w:val="000000" w:themeColor="text1"/>
          <w:sz w:val="24"/>
          <w:szCs w:val="24"/>
          <w:highlight w:val="none"/>
          <w:lang w:val="en-US" w:eastAsia="zh-CN"/>
          <w14:textFill>
            <w14:solidFill>
              <w14:schemeClr w14:val="tx1"/>
            </w14:solidFill>
          </w14:textFill>
        </w:rPr>
        <w:t>甲乙丙三方</w:t>
      </w:r>
      <w:r>
        <w:rPr>
          <w:rFonts w:hint="eastAsia" w:ascii="仿宋" w:hAnsi="仿宋" w:eastAsia="仿宋" w:cs="仿宋"/>
          <w:color w:val="000000" w:themeColor="text1"/>
          <w:sz w:val="24"/>
          <w:szCs w:val="24"/>
          <w:highlight w:val="none"/>
          <w14:textFill>
            <w14:solidFill>
              <w14:schemeClr w14:val="tx1"/>
            </w14:solidFill>
          </w14:textFill>
        </w:rPr>
        <w:t>加盖公章后生效。</w:t>
      </w:r>
    </w:p>
    <w:p w14:paraId="1B8F5733">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本合同一式</w:t>
      </w:r>
      <w:r>
        <w:rPr>
          <w:rFonts w:hint="eastAsia" w:ascii="仿宋" w:hAnsi="仿宋" w:eastAsia="仿宋" w:cs="仿宋"/>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color w:val="000000" w:themeColor="text1"/>
          <w:sz w:val="24"/>
          <w:szCs w:val="24"/>
          <w:highlight w:val="none"/>
          <w14:textFill>
            <w14:solidFill>
              <w14:schemeClr w14:val="tx1"/>
            </w14:solidFill>
          </w14:textFill>
        </w:rPr>
        <w:t>份，甲乙</w:t>
      </w:r>
      <w:r>
        <w:rPr>
          <w:rFonts w:hint="eastAsia" w:ascii="仿宋" w:hAnsi="仿宋" w:eastAsia="仿宋" w:cs="仿宋"/>
          <w:color w:val="000000" w:themeColor="text1"/>
          <w:sz w:val="24"/>
          <w:szCs w:val="24"/>
          <w:highlight w:val="none"/>
          <w:lang w:eastAsia="zh-CN"/>
          <w14:textFill>
            <w14:solidFill>
              <w14:schemeClr w14:val="tx1"/>
            </w14:solidFill>
          </w14:textFill>
        </w:rPr>
        <w:t>丙三方</w:t>
      </w:r>
      <w:r>
        <w:rPr>
          <w:rFonts w:hint="eastAsia" w:ascii="仿宋" w:hAnsi="仿宋" w:eastAsia="仿宋" w:cs="仿宋"/>
          <w:color w:val="000000" w:themeColor="text1"/>
          <w:sz w:val="24"/>
          <w:szCs w:val="24"/>
          <w:highlight w:val="none"/>
          <w14:textFill>
            <w14:solidFill>
              <w14:schemeClr w14:val="tx1"/>
            </w14:solidFill>
          </w14:textFill>
        </w:rPr>
        <w:t>各执</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份，</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执</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份。</w:t>
      </w:r>
    </w:p>
    <w:p w14:paraId="623F2E05">
      <w:pPr>
        <w:pageBreakBefore w:val="0"/>
        <w:kinsoku/>
        <w:overflowPunct/>
        <w:autoSpaceDE/>
        <w:autoSpaceDN/>
        <w:bidi w:val="0"/>
        <w:adjustRightInd w:val="0"/>
        <w:snapToGrid w:val="0"/>
        <w:spacing w:line="360" w:lineRule="auto"/>
        <w:ind w:left="4440" w:leftChars="0" w:hanging="4440" w:hangingChars="1850"/>
        <w:rPr>
          <w:rFonts w:hint="eastAsia" w:ascii="仿宋" w:hAnsi="仿宋" w:eastAsia="仿宋" w:cs="仿宋"/>
          <w:color w:val="000000" w:themeColor="text1"/>
          <w:sz w:val="24"/>
          <w:szCs w:val="24"/>
          <w:highlight w:val="none"/>
          <w14:textFill>
            <w14:solidFill>
              <w14:schemeClr w14:val="tx1"/>
            </w14:solidFill>
          </w14:textFill>
        </w:rPr>
      </w:pPr>
    </w:p>
    <w:p w14:paraId="12371B08">
      <w:pPr>
        <w:pageBreakBefore w:val="0"/>
        <w:kinsoku/>
        <w:overflowPunct/>
        <w:autoSpaceDE/>
        <w:autoSpaceDN/>
        <w:bidi w:val="0"/>
        <w:adjustRightInd w:val="0"/>
        <w:snapToGrid w:val="0"/>
        <w:spacing w:line="360" w:lineRule="auto"/>
        <w:ind w:left="4440" w:leftChars="0" w:hanging="4440" w:hangingChars="18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甲方（公章）：                       乙方（公章）：</w:t>
      </w:r>
    </w:p>
    <w:p w14:paraId="0847DA4D">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法定代表人或受委托人（签字）         法定代表人或受委托人（签字）</w:t>
      </w:r>
    </w:p>
    <w:p w14:paraId="22418862">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                               地址：</w:t>
      </w:r>
    </w:p>
    <w:p w14:paraId="61BE13DC">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                               电话：</w:t>
      </w:r>
    </w:p>
    <w:p w14:paraId="3C42FF90">
      <w:pPr>
        <w:pageBreakBefore w:val="0"/>
        <w:kinsoku/>
        <w:overflowPunct/>
        <w:autoSpaceDE/>
        <w:autoSpaceDN/>
        <w:bidi w:val="0"/>
        <w:adjustRightInd w:val="0"/>
        <w:snapToGrid w:val="0"/>
        <w:spacing w:line="360" w:lineRule="auto"/>
        <w:ind w:left="4440" w:leftChars="0" w:hanging="4440" w:hangingChars="185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 xml:space="preserve">（公章）：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2C32D8B2">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法定代表人或受委托人（签字）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721221DC">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                              </w:t>
      </w:r>
    </w:p>
    <w:p w14:paraId="3998D36B">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电话：                              </w:t>
      </w:r>
    </w:p>
    <w:p w14:paraId="21440367">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  月  日</w:t>
      </w:r>
    </w:p>
    <w:p w14:paraId="2EC7068F">
      <w:pPr>
        <w:keepNext w:val="0"/>
        <w:keepLines w:val="0"/>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4018404F">
      <w:pPr>
        <w:pageBreakBefore w:val="0"/>
        <w:kinsoku/>
        <w:overflowPunct/>
        <w:autoSpaceDE/>
        <w:autoSpaceDN/>
        <w:bidi w:val="0"/>
        <w:adjustRightInd w:val="0"/>
        <w:snapToGrid w:val="0"/>
        <w:spacing w:line="360" w:lineRule="auto"/>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杭州市滨江区2025-2026年居家养老综合服务封闭式框架协议</w:t>
      </w:r>
    </w:p>
    <w:p w14:paraId="7D21126D">
      <w:pPr>
        <w:pageBreakBefore w:val="0"/>
        <w:kinsoku/>
        <w:overflowPunct/>
        <w:autoSpaceDE/>
        <w:autoSpaceDN/>
        <w:bidi w:val="0"/>
        <w:adjustRightInd w:val="0"/>
        <w:snapToGrid w:val="0"/>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标项二</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0AB46DFD">
      <w:pPr>
        <w:pageBreakBefore w:val="0"/>
        <w:kinsoku/>
        <w:overflowPunct/>
        <w:autoSpaceDE/>
        <w:autoSpaceDN/>
        <w:bidi w:val="0"/>
        <w:adjustRightInd w:val="0"/>
        <w:snapToGrid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14:paraId="182D873C">
      <w:pPr>
        <w:keepNext w:val="0"/>
        <w:keepLines w:val="0"/>
        <w:pageBreakBefore w:val="0"/>
        <w:kinsoku/>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甲方（征集人）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4677820D">
      <w:pPr>
        <w:keepNext w:val="0"/>
        <w:keepLines w:val="0"/>
        <w:pageBreakBefore w:val="0"/>
        <w:kinsoku/>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乙方（入围</w:t>
      </w:r>
      <w:r>
        <w:rPr>
          <w:rFonts w:hint="eastAsia" w:ascii="仿宋" w:hAnsi="仿宋" w:eastAsia="仿宋" w:cs="仿宋"/>
          <w:b/>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51565E2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经过公开征集，确定乙方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lang w:eastAsia="zh-CN"/>
          <w14:textFill>
            <w14:solidFill>
              <w14:schemeClr w14:val="tx1"/>
            </w14:solidFill>
          </w14:textFill>
        </w:rPr>
        <w:t>杭州市滨江区2025-2026年居家养老综合服务封闭式框架协议采购项目</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标项二</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的入围单位，为明确双方权利义务，经协商一致，签订本协议书。协议期内，乙方、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双方签署《政府采购框架协议采购合同》（以下简称“合同”）。</w:t>
      </w:r>
    </w:p>
    <w:p w14:paraId="19EEE818">
      <w:pPr>
        <w:pStyle w:val="28"/>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一、定义</w:t>
      </w:r>
    </w:p>
    <w:p w14:paraId="73EF675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本协议中的下列术语应解释为：</w:t>
      </w:r>
    </w:p>
    <w:p w14:paraId="766D428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1.“协议”系指甲方与乙方签署的、载明甲方与乙方协利义务的协议，包括所有的附件、附录和其他构成协议的所有文件。</w:t>
      </w:r>
    </w:p>
    <w:p w14:paraId="66CCCB5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2.“甲方”系指</w:t>
      </w:r>
      <w:r>
        <w:rPr>
          <w:rFonts w:hint="eastAsia" w:ascii="仿宋" w:hAnsi="仿宋" w:eastAsia="仿宋" w:cs="仿宋"/>
          <w:color w:val="000000" w:themeColor="text1"/>
          <w:sz w:val="24"/>
          <w:szCs w:val="24"/>
          <w:highlight w:val="none"/>
          <w:lang w:eastAsia="zh-CN"/>
          <w14:textFill>
            <w14:solidFill>
              <w14:schemeClr w14:val="tx1"/>
            </w14:solidFill>
          </w14:textFill>
        </w:rPr>
        <w:t>杭州市滨江区民政局。</w:t>
      </w:r>
    </w:p>
    <w:p w14:paraId="118F04A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3.“乙方”系指本次入围</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p>
    <w:p w14:paraId="4346317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”系指</w:t>
      </w:r>
      <w:r>
        <w:rPr>
          <w:rFonts w:hint="eastAsia" w:ascii="仿宋" w:hAnsi="仿宋" w:eastAsia="仿宋" w:cs="仿宋"/>
          <w:color w:val="000000" w:themeColor="text1"/>
          <w:sz w:val="24"/>
          <w:szCs w:val="24"/>
          <w:highlight w:val="none"/>
          <w:lang w:eastAsia="zh-CN"/>
          <w14:textFill>
            <w14:solidFill>
              <w14:schemeClr w14:val="tx1"/>
            </w14:solidFill>
          </w14:textFill>
        </w:rPr>
        <w:t>杭州市滨江区民政局</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滨江区</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辖区范围内的3个街道</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与甲方享有同等权力。本协议下述各处所指甲方同时包含</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w:t>
      </w:r>
    </w:p>
    <w:p w14:paraId="4046AC2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5.“征集文件”是指“</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杭州市滨江区2025-2026年居家养老综合服务封闭式框架协议采购项目</w:t>
      </w:r>
      <w:r>
        <w:rPr>
          <w:rFonts w:hint="eastAsia" w:ascii="仿宋" w:hAnsi="仿宋" w:eastAsia="仿宋" w:cs="仿宋"/>
          <w:color w:val="000000" w:themeColor="text1"/>
          <w:sz w:val="24"/>
          <w:szCs w:val="24"/>
          <w:highlight w:val="none"/>
          <w14:textFill>
            <w14:solidFill>
              <w14:schemeClr w14:val="tx1"/>
            </w14:solidFill>
          </w14:textFill>
        </w:rPr>
        <w:t>”征集文件。</w:t>
      </w:r>
    </w:p>
    <w:p w14:paraId="6777D1C1">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二、文件组成</w:t>
      </w:r>
    </w:p>
    <w:p w14:paraId="592216C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以下文件为本协议的组成部分，应该认为是一个整体，彼此相互解释，相互补充。组成协议的多个文件的优先支配地位的次序如下：</w:t>
      </w:r>
    </w:p>
    <w:p w14:paraId="462D9F0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1.本协议书；</w:t>
      </w:r>
    </w:p>
    <w:p w14:paraId="72AAFB2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2.入围通知书；</w:t>
      </w:r>
    </w:p>
    <w:p w14:paraId="3981FCC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3.入围</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响应文件；</w:t>
      </w:r>
    </w:p>
    <w:p w14:paraId="63D7F82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4.补充文件（若有）；</w:t>
      </w:r>
    </w:p>
    <w:p w14:paraId="1499F36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5.征集文件。</w:t>
      </w:r>
    </w:p>
    <w:p w14:paraId="097B59FC">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、有效期限</w:t>
      </w:r>
    </w:p>
    <w:p w14:paraId="74EF769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本项目服务期两年，具体起止时间为2025年 月 日至2026年 月 日。合同一年一签，服务期内实行月度考核。服务期内乙方月度考核分出现两次85分（不含）以下的或满足“清退机制”条件之一的，甲方有权随时与乙方暂停服务终止合同，</w:t>
      </w:r>
      <w:r>
        <w:rPr>
          <w:rFonts w:hint="eastAsia" w:ascii="仿宋" w:hAnsi="仿宋" w:eastAsia="仿宋" w:cs="仿宋"/>
          <w:b w:val="0"/>
          <w:bCs w:val="0"/>
          <w:color w:val="000000" w:themeColor="text1"/>
          <w:sz w:val="24"/>
          <w:szCs w:val="24"/>
          <w:highlight w:val="none"/>
          <w14:textFill>
            <w14:solidFill>
              <w14:schemeClr w14:val="tx1"/>
            </w14:solidFill>
          </w14:textFill>
        </w:rPr>
        <w:t>在服务期限，如</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szCs w:val="24"/>
          <w:highlight w:val="none"/>
          <w14:textFill>
            <w14:solidFill>
              <w14:schemeClr w14:val="tx1"/>
            </w14:solidFill>
          </w14:textFill>
        </w:rPr>
        <w:t>考核不通过的，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 w:val="0"/>
          <w:bCs w:val="0"/>
          <w:color w:val="000000" w:themeColor="text1"/>
          <w:sz w:val="24"/>
          <w:szCs w:val="24"/>
          <w:highlight w:val="none"/>
          <w14:textFill>
            <w14:solidFill>
              <w14:schemeClr w14:val="tx1"/>
            </w14:solidFill>
          </w14:textFill>
        </w:rPr>
        <w:t>有权无责终止合同履行，重新组织采购活动。</w:t>
      </w:r>
      <w:r>
        <w:rPr>
          <w:rFonts w:hint="eastAsia" w:ascii="仿宋" w:hAnsi="仿宋" w:eastAsia="仿宋" w:cs="仿宋"/>
          <w:b/>
          <w:bCs/>
          <w:color w:val="000000" w:themeColor="text1"/>
          <w:sz w:val="24"/>
          <w:szCs w:val="24"/>
          <w:highlight w:val="none"/>
          <w14:textFill>
            <w14:solidFill>
              <w14:schemeClr w14:val="tx1"/>
            </w14:solidFill>
          </w14:textFill>
        </w:rPr>
        <w:br w:type="textWrapping"/>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四</w:t>
      </w:r>
      <w:r>
        <w:rPr>
          <w:rFonts w:hint="eastAsia" w:ascii="仿宋" w:hAnsi="仿宋" w:eastAsia="仿宋" w:cs="仿宋"/>
          <w:b/>
          <w:bCs/>
          <w:color w:val="000000" w:themeColor="text1"/>
          <w:sz w:val="24"/>
          <w:szCs w:val="24"/>
          <w:highlight w:val="none"/>
          <w14:textFill>
            <w14:solidFill>
              <w14:schemeClr w14:val="tx1"/>
            </w14:solidFill>
          </w14:textFill>
        </w:rPr>
        <w:t>、适用框架协议的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甲方（或服务对象）</w:t>
      </w:r>
      <w:r>
        <w:rPr>
          <w:rFonts w:hint="eastAsia" w:ascii="仿宋" w:hAnsi="仿宋" w:eastAsia="仿宋" w:cs="仿宋"/>
          <w:b/>
          <w:bCs/>
          <w:color w:val="000000" w:themeColor="text1"/>
          <w:sz w:val="24"/>
          <w:szCs w:val="24"/>
          <w:highlight w:val="none"/>
          <w14:textFill>
            <w14:solidFill>
              <w14:schemeClr w14:val="tx1"/>
            </w14:solidFill>
          </w14:textFill>
        </w:rPr>
        <w:t>：</w:t>
      </w:r>
    </w:p>
    <w:p w14:paraId="5FB746B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杭州市滨江区民政局与滨江区辖区范围内的3个街道</w:t>
      </w:r>
      <w:r>
        <w:rPr>
          <w:rFonts w:hint="eastAsia" w:ascii="仿宋" w:hAnsi="仿宋" w:eastAsia="仿宋" w:cs="仿宋"/>
          <w:color w:val="000000" w:themeColor="text1"/>
          <w:sz w:val="24"/>
          <w:szCs w:val="24"/>
          <w:highlight w:val="none"/>
          <w14:textFill>
            <w14:solidFill>
              <w14:schemeClr w14:val="tx1"/>
            </w14:solidFill>
          </w14:textFill>
        </w:rPr>
        <w:t>。</w:t>
      </w:r>
    </w:p>
    <w:p w14:paraId="6E42CB58">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、履行合同的地域范围：</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杭州市滨江区</w:t>
      </w:r>
      <w:r>
        <w:rPr>
          <w:rFonts w:hint="eastAsia" w:ascii="仿宋" w:hAnsi="仿宋" w:eastAsia="仿宋" w:cs="仿宋"/>
          <w:b/>
          <w:bCs/>
          <w:color w:val="000000" w:themeColor="text1"/>
          <w:sz w:val="24"/>
          <w:szCs w:val="24"/>
          <w:highlight w:val="none"/>
          <w14:textFill>
            <w14:solidFill>
              <w14:schemeClr w14:val="tx1"/>
            </w14:solidFill>
          </w14:textFill>
        </w:rPr>
        <w:t>。</w:t>
      </w:r>
    </w:p>
    <w:p w14:paraId="4D829482">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、采购需求</w:t>
      </w:r>
    </w:p>
    <w:p w14:paraId="62701C1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详见征集文件。</w:t>
      </w:r>
    </w:p>
    <w:p w14:paraId="02DAFF4A">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服务单价</w:t>
      </w:r>
    </w:p>
    <w:p w14:paraId="1740CBA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固定单价</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color w:val="000000" w:themeColor="text1"/>
          <w:sz w:val="24"/>
          <w:szCs w:val="24"/>
          <w:highlight w:val="none"/>
          <w:lang w:val="en-US" w:eastAsia="zh-CN"/>
          <w14:textFill>
            <w14:solidFill>
              <w14:schemeClr w14:val="tx1"/>
            </w14:solidFill>
          </w14:textFill>
        </w:rPr>
        <w:t>35元/小时</w:t>
      </w:r>
    </w:p>
    <w:p w14:paraId="0528A616">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4"/>
          <w:highlight w:val="none"/>
          <w14:textFill>
            <w14:solidFill>
              <w14:schemeClr w14:val="tx1"/>
            </w14:solidFill>
          </w14:textFill>
        </w:rPr>
        <w:t>、协议价格</w:t>
      </w:r>
    </w:p>
    <w:p w14:paraId="6C72BEE9">
      <w:pPr>
        <w:keepNext w:val="0"/>
        <w:keepLines w:val="0"/>
        <w:pageBreakBefore w:val="0"/>
        <w:kinsoku/>
        <w:overflowPunct/>
        <w:autoSpaceDE/>
        <w:autoSpaceDN/>
        <w:bidi w:val="0"/>
        <w:adjustRightInd w:val="0"/>
        <w:snapToGrid w:val="0"/>
        <w:spacing w:line="360" w:lineRule="auto"/>
        <w:ind w:left="0" w:leftChars="0" w:firstLine="480" w:firstLineChars="200"/>
        <w:rPr>
          <w:rFonts w:hint="default" w:ascii="仿宋" w:hAnsi="仿宋" w:eastAsia="仿宋" w:cs="仿宋"/>
          <w:b/>
          <w:snapToGrid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固定单价</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color w:val="000000" w:themeColor="text1"/>
          <w:sz w:val="24"/>
          <w:szCs w:val="24"/>
          <w:highlight w:val="none"/>
          <w:lang w:val="en-US" w:eastAsia="zh-CN"/>
          <w14:textFill>
            <w14:solidFill>
              <w14:schemeClr w14:val="tx1"/>
            </w14:solidFill>
          </w14:textFill>
        </w:rPr>
        <w:t>35元/小时</w:t>
      </w:r>
    </w:p>
    <w:p w14:paraId="38301E57">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snapToGrid/>
          <w:color w:val="000000" w:themeColor="text1"/>
          <w:kern w:val="2"/>
          <w:sz w:val="24"/>
          <w:szCs w:val="24"/>
          <w:highlight w:val="none"/>
          <w14:textFill>
            <w14:solidFill>
              <w14:schemeClr w14:val="tx1"/>
            </w14:solidFill>
          </w14:textFill>
        </w:rPr>
      </w:pPr>
      <w:r>
        <w:rPr>
          <w:rFonts w:hint="eastAsia" w:ascii="仿宋" w:hAnsi="仿宋" w:eastAsia="仿宋" w:cs="仿宋"/>
          <w:b/>
          <w:bCs/>
          <w:snapToGrid/>
          <w:color w:val="000000" w:themeColor="text1"/>
          <w:sz w:val="24"/>
          <w:szCs w:val="24"/>
          <w:highlight w:val="none"/>
          <w:lang w:val="en-US" w:eastAsia="zh-CN"/>
          <w14:textFill>
            <w14:solidFill>
              <w14:schemeClr w14:val="tx1"/>
            </w14:solidFill>
          </w14:textFill>
        </w:rPr>
        <w:t>九</w:t>
      </w:r>
      <w:r>
        <w:rPr>
          <w:rFonts w:hint="eastAsia" w:ascii="仿宋" w:hAnsi="仿宋" w:eastAsia="仿宋" w:cs="仿宋"/>
          <w:b/>
          <w:bCs/>
          <w:snapToGrid/>
          <w:color w:val="000000" w:themeColor="text1"/>
          <w:kern w:val="2"/>
          <w:sz w:val="24"/>
          <w:szCs w:val="24"/>
          <w:highlight w:val="none"/>
          <w14:textFill>
            <w14:solidFill>
              <w14:schemeClr w14:val="tx1"/>
            </w14:solidFill>
          </w14:textFill>
        </w:rPr>
        <w:t>、资金支付方式、时间和条件</w:t>
      </w:r>
    </w:p>
    <w:p w14:paraId="25A06BF6">
      <w:pPr>
        <w:widowControl/>
        <w:wordWrap w:val="0"/>
        <w:topLinePunct/>
        <w:snapToGrid w:val="0"/>
        <w:spacing w:line="360" w:lineRule="auto"/>
        <w:ind w:firstLine="482"/>
        <w:jc w:val="left"/>
        <w:textAlignment w:val="baseline"/>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1.甲方和所服务的街社核实每月服务明细后由街社进行支付。</w:t>
      </w:r>
    </w:p>
    <w:p w14:paraId="3E15B484">
      <w:pPr>
        <w:keepNext w:val="0"/>
        <w:keepLines w:val="0"/>
        <w:pageBreakBefore w:val="0"/>
        <w:widowControl/>
        <w:kinsoku/>
        <w:wordWrap w:val="0"/>
        <w:overflowPunct/>
        <w:topLinePunct/>
        <w:autoSpaceDE/>
        <w:autoSpaceDN/>
        <w:bidi w:val="0"/>
        <w:snapToGrid w:val="0"/>
        <w:spacing w:line="360" w:lineRule="auto"/>
        <w:ind w:firstLine="480" w:firstLineChars="200"/>
        <w:jc w:val="left"/>
        <w:textAlignment w:val="baseline"/>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2.本项目每月按照实际服务时间进行结算。</w:t>
      </w:r>
    </w:p>
    <w:p w14:paraId="6E6F5BB3">
      <w:pPr>
        <w:widowControl/>
        <w:wordWrap w:val="0"/>
        <w:topLinePunct/>
        <w:snapToGrid w:val="0"/>
        <w:spacing w:line="360" w:lineRule="auto"/>
        <w:ind w:firstLine="482"/>
        <w:jc w:val="left"/>
        <w:textAlignment w:val="baseline"/>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3.由乙方每月按实际发生的各项服务时间，凭乙方开具的正式发票和员工工资发放凭证复印件，向所服务的街道进行结算。</w:t>
      </w:r>
    </w:p>
    <w:p w14:paraId="491ED2E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4.如省市要求有变化，甲方要求更换资金结算支付方式的，需改用甲方要求的支付方式，具体以双方协商为准。</w:t>
      </w:r>
    </w:p>
    <w:p w14:paraId="6168DEAB">
      <w:pPr>
        <w:widowControl/>
        <w:wordWrap w:val="0"/>
        <w:topLinePunct/>
        <w:ind w:firstLine="482" w:firstLineChars="200"/>
        <w:jc w:val="left"/>
        <w:textAlignment w:val="baseline"/>
        <w:rPr>
          <w:rFonts w:hint="eastAsia" w:ascii="仿宋" w:hAnsi="仿宋" w:eastAsia="仿宋" w:cs="仿宋"/>
          <w:b/>
          <w:bCs/>
          <w:snapToGrid/>
          <w:color w:val="000000" w:themeColor="text1"/>
          <w:sz w:val="24"/>
          <w:szCs w:val="24"/>
          <w:highlight w:val="none"/>
          <w14:textFill>
            <w14:solidFill>
              <w14:schemeClr w14:val="tx1"/>
            </w14:solidFill>
          </w14:textFill>
        </w:rPr>
      </w:pPr>
      <w:r>
        <w:rPr>
          <w:rFonts w:hint="eastAsia" w:ascii="仿宋" w:hAnsi="仿宋" w:eastAsia="仿宋" w:cs="仿宋"/>
          <w:b/>
          <w:bCs/>
          <w:snapToGrid/>
          <w:color w:val="000000" w:themeColor="text1"/>
          <w:kern w:val="2"/>
          <w:sz w:val="24"/>
          <w:szCs w:val="24"/>
          <w:highlight w:val="none"/>
          <w:lang w:val="en-US" w:eastAsia="zh-CN"/>
          <w14:textFill>
            <w14:solidFill>
              <w14:schemeClr w14:val="tx1"/>
            </w14:solidFill>
          </w14:textFill>
        </w:rPr>
        <w:t>十</w:t>
      </w:r>
      <w:r>
        <w:rPr>
          <w:rFonts w:hint="eastAsia" w:ascii="仿宋" w:hAnsi="仿宋" w:eastAsia="仿宋" w:cs="仿宋"/>
          <w:b/>
          <w:bCs/>
          <w:snapToGrid/>
          <w:color w:val="000000" w:themeColor="text1"/>
          <w:sz w:val="24"/>
          <w:szCs w:val="24"/>
          <w:highlight w:val="none"/>
          <w14:textFill>
            <w14:solidFill>
              <w14:schemeClr w14:val="tx1"/>
            </w14:solidFill>
          </w14:textFill>
        </w:rPr>
        <w:t>、转包或分包</w:t>
      </w:r>
    </w:p>
    <w:p w14:paraId="468E7D3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本项目不得以任何形式进行转包和分包。</w:t>
      </w:r>
    </w:p>
    <w:p w14:paraId="44D177A7">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十一、甲方的权利和义务</w:t>
      </w:r>
    </w:p>
    <w:p w14:paraId="3F285D50">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1.甲方负责第二阶段合同授予提供工作便利；</w:t>
      </w:r>
    </w:p>
    <w:p w14:paraId="52CA5732">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2.甲方负责第二阶段合同价和需求标准执行情况进行管理； </w:t>
      </w:r>
    </w:p>
    <w:p w14:paraId="62D6660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3.甲方负责对第二阶段确定成交</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情况进行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监督与</w:t>
      </w:r>
      <w:r>
        <w:rPr>
          <w:rFonts w:hint="eastAsia" w:ascii="仿宋" w:hAnsi="仿宋" w:eastAsia="仿宋" w:cs="仿宋"/>
          <w:color w:val="000000" w:themeColor="text1"/>
          <w:sz w:val="24"/>
          <w:szCs w:val="24"/>
          <w:highlight w:val="none"/>
          <w14:textFill>
            <w14:solidFill>
              <w14:schemeClr w14:val="tx1"/>
            </w14:solidFill>
          </w14:textFill>
        </w:rPr>
        <w:t>管理；</w:t>
      </w:r>
    </w:p>
    <w:p w14:paraId="115776D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4.甲方</w:t>
      </w:r>
      <w:r>
        <w:rPr>
          <w:rFonts w:hint="eastAsia" w:ascii="仿宋" w:hAnsi="仿宋" w:eastAsia="仿宋" w:cs="仿宋"/>
          <w:color w:val="000000" w:themeColor="text1"/>
          <w:sz w:val="24"/>
          <w:szCs w:val="24"/>
          <w:highlight w:val="none"/>
          <w:lang w:val="en-US" w:eastAsia="zh-CN"/>
          <w14:textFill>
            <w14:solidFill>
              <w14:schemeClr w14:val="tx1"/>
            </w14:solidFill>
          </w14:textFill>
        </w:rPr>
        <w:t>依托政采云平台建立用户反馈和评价机制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接受甲方对入围乙方履行框架协议和采购合同情况的反馈与评价，并将用户反馈和评价情况向甲方公开，作为第二阶段直接选定成交乙方的参考；  </w:t>
      </w:r>
    </w:p>
    <w:p w14:paraId="794FB8C6">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5.公开封闭式框架协议的第二阶段成交结果；</w:t>
      </w:r>
    </w:p>
    <w:p w14:paraId="3B1D062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6.办理入围</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清退和补充相关事宜。</w:t>
      </w:r>
    </w:p>
    <w:p w14:paraId="2AFB8F4D">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十二、乙方的权利和义务</w:t>
      </w:r>
    </w:p>
    <w:p w14:paraId="45EFE7C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1.乙方有权监督第二阶段确定成交</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 xml:space="preserve">方式； </w:t>
      </w:r>
    </w:p>
    <w:p w14:paraId="6655C30D">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2.乙方接受甲方的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管理、监督、考核等</w:t>
      </w:r>
      <w:r>
        <w:rPr>
          <w:rFonts w:hint="eastAsia" w:ascii="仿宋" w:hAnsi="仿宋" w:eastAsia="仿宋" w:cs="仿宋"/>
          <w:color w:val="000000" w:themeColor="text1"/>
          <w:sz w:val="24"/>
          <w:szCs w:val="24"/>
          <w:highlight w:val="none"/>
          <w14:textFill>
            <w14:solidFill>
              <w14:schemeClr w14:val="tx1"/>
            </w14:solidFill>
          </w14:textFill>
        </w:rPr>
        <w:t>；</w:t>
      </w:r>
    </w:p>
    <w:p w14:paraId="0A6D80A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3.乙方组建的项目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成员应</w:t>
      </w:r>
      <w:r>
        <w:rPr>
          <w:rFonts w:hint="eastAsia" w:ascii="仿宋" w:hAnsi="仿宋" w:eastAsia="仿宋" w:cs="仿宋"/>
          <w:color w:val="000000" w:themeColor="text1"/>
          <w:sz w:val="24"/>
          <w:szCs w:val="24"/>
          <w:highlight w:val="none"/>
          <w:lang w:val="en-US" w:eastAsia="zh-CN"/>
          <w14:textFill>
            <w14:solidFill>
              <w14:schemeClr w14:val="tx1"/>
            </w14:solidFill>
          </w14:textFill>
        </w:rPr>
        <w:t>确保到位到岗</w:t>
      </w:r>
      <w:r>
        <w:rPr>
          <w:rFonts w:hint="eastAsia" w:ascii="仿宋" w:hAnsi="仿宋" w:eastAsia="仿宋" w:cs="仿宋"/>
          <w:color w:val="000000" w:themeColor="text1"/>
          <w:sz w:val="24"/>
          <w:szCs w:val="24"/>
          <w:highlight w:val="none"/>
          <w14:textFill>
            <w14:solidFill>
              <w14:schemeClr w14:val="tx1"/>
            </w14:solidFill>
          </w14:textFill>
        </w:rPr>
        <w:t>；</w:t>
      </w:r>
    </w:p>
    <w:p w14:paraId="39FECCEC">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.乙方不得将工作转包给其他单位或个人；</w:t>
      </w:r>
    </w:p>
    <w:p w14:paraId="23FC329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.乙方不得隐瞒、虚报单位资质、资格、人员及违法行为被禁止或限制参加政府采购活动等情况。</w:t>
      </w:r>
    </w:p>
    <w:p w14:paraId="5409B470">
      <w:pPr>
        <w:pStyle w:val="22"/>
        <w:pageBreakBefore w:val="0"/>
        <w:kinsoku/>
        <w:wordWrap/>
        <w:overflowPunct/>
        <w:topLinePunct w:val="0"/>
        <w:autoSpaceDE/>
        <w:autoSpaceDN/>
        <w:bidi w:val="0"/>
        <w:spacing w:line="500" w:lineRule="exact"/>
        <w:ind w:firstLine="480"/>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0"/>
          <w:sz w:val="24"/>
          <w:highlight w:val="none"/>
          <w:lang w:val="en-US" w:eastAsia="zh-CN"/>
          <w14:textFill>
            <w14:solidFill>
              <w14:schemeClr w14:val="tx1"/>
            </w14:solidFill>
          </w14:textFill>
        </w:rPr>
        <w:t>十三、考</w:t>
      </w: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核机制</w:t>
      </w:r>
    </w:p>
    <w:p w14:paraId="27848A43">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本项目服务期两年，具体起止时间在合同中约定。合同一年一签，服务期内实行月度考核。服务期内乙方月度考核分出现两次85分（不含）以下的或满足“清退机制”条件之一的，甲方有权随时与乙方暂停服务终止合同，因合同终止对甲方造成的损失由乙方自行承担。</w:t>
      </w:r>
    </w:p>
    <w:p w14:paraId="04F167A1">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（1）考核细则</w:t>
      </w:r>
    </w:p>
    <w:p w14:paraId="630074F9">
      <w:pPr>
        <w:pStyle w:val="78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服务期内，甲方每月对乙方进行考核（合同签订后第一月度考核细则见下表，后续由甲方按服务情况不定期调整次月考核细则）。服务期内乙方月度考核分出现90分（不含）以下，月度考核每扣1分罚款1000元，由甲方从待付款项中一次性扣除，如待付款项不足支付考核罚款，乙方应当在知晓具体金额后10日内补足罚款。</w:t>
      </w:r>
    </w:p>
    <w:tbl>
      <w:tblPr>
        <w:tblStyle w:val="49"/>
        <w:tblW w:w="9051" w:type="dxa"/>
        <w:jc w:val="center"/>
        <w:tblLayout w:type="fixed"/>
        <w:tblCellMar>
          <w:top w:w="0" w:type="dxa"/>
          <w:left w:w="108" w:type="dxa"/>
          <w:bottom w:w="0" w:type="dxa"/>
          <w:right w:w="108" w:type="dxa"/>
        </w:tblCellMar>
      </w:tblPr>
      <w:tblGrid>
        <w:gridCol w:w="689"/>
        <w:gridCol w:w="487"/>
        <w:gridCol w:w="4692"/>
        <w:gridCol w:w="1621"/>
        <w:gridCol w:w="675"/>
        <w:gridCol w:w="887"/>
      </w:tblGrid>
      <w:tr w14:paraId="04B1642C">
        <w:tblPrEx>
          <w:tblCellMar>
            <w:top w:w="0" w:type="dxa"/>
            <w:left w:w="108" w:type="dxa"/>
            <w:bottom w:w="0" w:type="dxa"/>
            <w:right w:w="108" w:type="dxa"/>
          </w:tblCellMar>
        </w:tblPrEx>
        <w:trPr>
          <w:trHeight w:val="186" w:hRule="atLeast"/>
          <w:jc w:val="center"/>
        </w:trPr>
        <w:tc>
          <w:tcPr>
            <w:tcW w:w="9051" w:type="dxa"/>
            <w:gridSpan w:val="6"/>
            <w:tcBorders>
              <w:top w:val="single" w:color="auto" w:sz="4" w:space="0"/>
              <w:left w:val="single" w:color="auto" w:sz="4" w:space="0"/>
              <w:bottom w:val="single" w:color="auto" w:sz="4" w:space="0"/>
              <w:right w:val="single" w:color="auto" w:sz="4" w:space="0"/>
            </w:tcBorders>
            <w:noWrap w:val="0"/>
            <w:vAlign w:val="center"/>
          </w:tcPr>
          <w:p w14:paraId="0FD92C3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考核细则</w:t>
            </w:r>
          </w:p>
        </w:tc>
      </w:tr>
      <w:tr w14:paraId="0D6D9746">
        <w:tblPrEx>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5D8B59E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评分项目</w:t>
            </w:r>
          </w:p>
        </w:tc>
        <w:tc>
          <w:tcPr>
            <w:tcW w:w="5179" w:type="dxa"/>
            <w:gridSpan w:val="2"/>
            <w:tcBorders>
              <w:top w:val="single" w:color="auto" w:sz="4" w:space="0"/>
              <w:left w:val="single" w:color="auto" w:sz="4" w:space="0"/>
              <w:bottom w:val="single" w:color="auto" w:sz="4" w:space="0"/>
              <w:right w:val="single" w:color="auto" w:sz="4" w:space="0"/>
            </w:tcBorders>
            <w:noWrap w:val="0"/>
            <w:vAlign w:val="center"/>
          </w:tcPr>
          <w:p w14:paraId="19A2BBE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000000" w:themeColor="text1"/>
                <w:kern w:val="2"/>
                <w:sz w:val="20"/>
                <w:szCs w:val="20"/>
                <w:highlight w:val="none"/>
                <w:u w:val="none"/>
                <w:shd w:val="clear" w:color="auto" w:fill="auto"/>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具体内容</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3AC40A6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分值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9A046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扣分</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7D4D9C0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扣分点</w:t>
            </w:r>
          </w:p>
        </w:tc>
      </w:tr>
      <w:tr w14:paraId="1FDB097A">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5793817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服务内容</w:t>
            </w:r>
          </w:p>
          <w:p w14:paraId="13EDD0C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06E5F48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0D1D47B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首次上门未按要求与接受服务的老年人或其代理人签订具有法律效力的服务协议并发放服务卡（内容包括但不限于老人名称、补贴金额、服务内容、点单方式等），或未补充每月新增。（需提供协议复印件）</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5FB587C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C705ED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2C706D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B946EDA">
        <w:tblPrEx>
          <w:tblCellMar>
            <w:top w:w="0" w:type="dxa"/>
            <w:left w:w="108" w:type="dxa"/>
            <w:bottom w:w="0" w:type="dxa"/>
            <w:right w:w="108" w:type="dxa"/>
          </w:tblCellMar>
        </w:tblPrEx>
        <w:trPr>
          <w:trHeight w:val="69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B318EE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3D79E9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0838B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对享受政府购买服务的居家养老服务对象提供服务时服务人员未携带能正常使用的POS机上门为服务对象服务或未全程电子化管理。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64A82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DDD2020">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8FDB81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B289D6E">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C895F0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914ECB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2F014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乙方未按照招投标文件及服务协议进行服务。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5F041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20A4C8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5775BF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6D6078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AD96F3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0B2AE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BDDE5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上门服务前未与老人提前预约时间。服务结束后未及时结算。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5388A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1A9CFE2">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458B34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867165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E6F7E7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00A4E2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08FBE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服务开始与结束未向老人讲明和解释服务全过程，未足时按采购人服务要求进行服务，服务结束后未与老人沟通服务满意度或老人的服务满意度少于100分。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09464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1EB95AD">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070E1C8">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B0C5D80">
        <w:tblPrEx>
          <w:tblCellMar>
            <w:top w:w="0" w:type="dxa"/>
            <w:left w:w="108" w:type="dxa"/>
            <w:bottom w:w="0" w:type="dxa"/>
            <w:right w:w="108" w:type="dxa"/>
          </w:tblCellMar>
        </w:tblPrEx>
        <w:trPr>
          <w:trHeight w:val="300" w:hRule="atLeast"/>
          <w:jc w:val="center"/>
        </w:trPr>
        <w:tc>
          <w:tcPr>
            <w:tcW w:w="689" w:type="dxa"/>
            <w:vMerge w:val="restart"/>
            <w:tcBorders>
              <w:top w:val="single" w:color="auto" w:sz="4" w:space="0"/>
              <w:left w:val="single" w:color="auto" w:sz="4" w:space="0"/>
              <w:right w:val="single" w:color="auto" w:sz="4" w:space="0"/>
            </w:tcBorders>
            <w:noWrap w:val="0"/>
            <w:vAlign w:val="center"/>
          </w:tcPr>
          <w:p w14:paraId="3308303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w:t>
            </w:r>
          </w:p>
          <w:p w14:paraId="702A6CA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9973FA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3776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服务人员不具有合法的劳动从业资格或服务期内年龄低于60周岁。（需提供服务人员身份证、意外险、健康证、劳动合同/劳务协议、上岗证或者职业技能培训证等文件的复印件）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8809B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31AD60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C5F1AF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0A5724B">
        <w:tblPrEx>
          <w:tblCellMar>
            <w:top w:w="0" w:type="dxa"/>
            <w:left w:w="108" w:type="dxa"/>
            <w:bottom w:w="0" w:type="dxa"/>
            <w:right w:w="108" w:type="dxa"/>
          </w:tblCellMar>
        </w:tblPrEx>
        <w:trPr>
          <w:trHeight w:val="300" w:hRule="atLeast"/>
          <w:jc w:val="center"/>
        </w:trPr>
        <w:tc>
          <w:tcPr>
            <w:tcW w:w="689" w:type="dxa"/>
            <w:vMerge w:val="continue"/>
            <w:tcBorders>
              <w:left w:val="single" w:color="auto" w:sz="4" w:space="0"/>
              <w:right w:val="single" w:color="auto" w:sz="4" w:space="0"/>
            </w:tcBorders>
            <w:noWrap w:val="0"/>
            <w:vAlign w:val="center"/>
          </w:tcPr>
          <w:p w14:paraId="3E067F4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2A9EE8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BFFCF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乙方每季度未组织至少一次的服务人员培训，包括技能、礼仪、奖惩等内容。（提供相关培训内容、签到表、照片、活动记录表等台账资料）</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35F8B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E6E9A3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017DF88">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38476E2">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4584327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69A4BA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F76F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服务人员未统一着装、佩戴工牌。</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94224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B9490E0">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6CAF46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3F37252">
        <w:tblPrEx>
          <w:tblCellMar>
            <w:top w:w="0" w:type="dxa"/>
            <w:left w:w="108" w:type="dxa"/>
            <w:bottom w:w="0" w:type="dxa"/>
            <w:right w:w="108" w:type="dxa"/>
          </w:tblCellMar>
        </w:tblPrEx>
        <w:trPr>
          <w:trHeight w:val="90" w:hRule="atLeast"/>
          <w:jc w:val="center"/>
        </w:trPr>
        <w:tc>
          <w:tcPr>
            <w:tcW w:w="689" w:type="dxa"/>
            <w:vMerge w:val="continue"/>
            <w:tcBorders>
              <w:left w:val="single" w:color="auto" w:sz="4" w:space="0"/>
              <w:right w:val="single" w:color="auto" w:sz="4" w:space="0"/>
            </w:tcBorders>
            <w:noWrap w:val="0"/>
            <w:vAlign w:val="center"/>
          </w:tcPr>
          <w:p w14:paraId="72658F0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EA4F73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FE9FB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服务中未文明操作、礼貌待人、主动服务、尊老敬老。</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30DDA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5937F8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E10BAA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1CFEA07">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08A6461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51D62F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0D69D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服务人员平台信息</w:t>
            </w: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未及时更新或不符</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1055B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697E8D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8D8AEC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B89B91A">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0FF86D3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9E7A0F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78730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服务响应不及时</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：老人主动预约服务，未按承诺的时间联系老人并确认好具体上门服务的时间的。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D9965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ECE77BD">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007D194">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FC0B9B1">
        <w:tblPrEx>
          <w:tblCellMar>
            <w:top w:w="0" w:type="dxa"/>
            <w:left w:w="108" w:type="dxa"/>
            <w:bottom w:w="0" w:type="dxa"/>
            <w:right w:w="108" w:type="dxa"/>
          </w:tblCellMar>
        </w:tblPrEx>
        <w:trPr>
          <w:trHeight w:val="384" w:hRule="atLeast"/>
          <w:jc w:val="center"/>
        </w:trPr>
        <w:tc>
          <w:tcPr>
            <w:tcW w:w="689" w:type="dxa"/>
            <w:vMerge w:val="continue"/>
            <w:tcBorders>
              <w:left w:val="single" w:color="auto" w:sz="4" w:space="0"/>
              <w:right w:val="single" w:color="auto" w:sz="4" w:space="0"/>
            </w:tcBorders>
            <w:noWrap w:val="0"/>
            <w:vAlign w:val="center"/>
          </w:tcPr>
          <w:p w14:paraId="26BE4EA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46B8C5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7760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服务人员或项目负责人平台信息与服务人员或项目负责人实际信息不一致。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B983E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163C646">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18D9531">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12A11AA">
        <w:tblPrEx>
          <w:tblCellMar>
            <w:top w:w="0" w:type="dxa"/>
            <w:left w:w="108" w:type="dxa"/>
            <w:bottom w:w="0" w:type="dxa"/>
            <w:right w:w="108" w:type="dxa"/>
          </w:tblCellMar>
        </w:tblPrEx>
        <w:trPr>
          <w:trHeight w:val="440" w:hRule="atLeast"/>
          <w:jc w:val="center"/>
        </w:trPr>
        <w:tc>
          <w:tcPr>
            <w:tcW w:w="689" w:type="dxa"/>
            <w:vMerge w:val="continue"/>
            <w:tcBorders>
              <w:left w:val="single" w:color="auto" w:sz="4" w:space="0"/>
              <w:right w:val="single" w:color="auto" w:sz="4" w:space="0"/>
            </w:tcBorders>
            <w:noWrap w:val="0"/>
            <w:vAlign w:val="center"/>
          </w:tcPr>
          <w:p w14:paraId="04D637C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5D029F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D7BD4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乙方更换项目负责人或项目负责人与实际不一致的。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B16B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352066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B292CFD">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703C51A">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098032D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01ACB1D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9E09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乙方更换服务人员或服务人员与实际不一致的。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FE889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150007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4DE88E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3077509">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672F24E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1347E8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9BFAA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服务人员未按照标段人数配备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2E521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BFC22F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4C3A05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8711828">
        <w:tblPrEx>
          <w:tblCellMar>
            <w:top w:w="0" w:type="dxa"/>
            <w:left w:w="108" w:type="dxa"/>
            <w:bottom w:w="0" w:type="dxa"/>
            <w:right w:w="108" w:type="dxa"/>
          </w:tblCellMar>
        </w:tblPrEx>
        <w:trPr>
          <w:trHeight w:val="47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2BFB34D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服务质量考核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467A35C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ABECD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上报服务工单的服务时间、服务内容与实际服务时间、服务内容不一致。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35CCC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5282BB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F89085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DF8E59F">
        <w:tblPrEx>
          <w:tblCellMar>
            <w:top w:w="0" w:type="dxa"/>
            <w:left w:w="108" w:type="dxa"/>
            <w:bottom w:w="0" w:type="dxa"/>
            <w:right w:w="108" w:type="dxa"/>
          </w:tblCellMar>
        </w:tblPrEx>
        <w:trPr>
          <w:trHeight w:val="4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0EC631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46D766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7414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服务人员入户后未经老人允许就开始服务，或上一单服务未结束就进入下一单服务的。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30BCB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A6F6B8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3CC0D2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ED4B31F">
        <w:tblPrEx>
          <w:tblCellMar>
            <w:top w:w="0" w:type="dxa"/>
            <w:left w:w="108" w:type="dxa"/>
            <w:bottom w:w="0" w:type="dxa"/>
            <w:right w:w="108" w:type="dxa"/>
          </w:tblCellMar>
        </w:tblPrEx>
        <w:trPr>
          <w:trHeight w:val="6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769C4E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91CB63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EA562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对两单间隔时间异常（如跨社区、服务订单无间隔时间或间隔过短情况）或项目重叠的无法提供相应证明的。</w:t>
            </w: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（两单间隔时间不少于20分钟；两单支付时间不少于60分钟）</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012C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0.3分/次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AC0237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E19D51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5D41720B">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FEB971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B0AB6C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F2C40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网络或电话方式收到老人投诉或负面舆情，由</w:t>
            </w:r>
            <w:r>
              <w:rPr>
                <w:rFonts w:hint="eastAsia" w:ascii="仿宋" w:hAnsi="仿宋" w:eastAsia="仿宋" w:cs="仿宋"/>
                <w:color w:val="000000" w:themeColor="text1"/>
                <w:spacing w:val="0"/>
                <w:kern w:val="0"/>
                <w:sz w:val="20"/>
                <w:szCs w:val="20"/>
                <w:highlight w:val="none"/>
                <w:u w:val="none"/>
                <w:lang w:val="en-US" w:eastAsia="zh-CN" w:bidi="ar"/>
                <w14:textFill>
                  <w14:solidFill>
                    <w14:schemeClr w14:val="tx1"/>
                  </w14:solidFill>
                </w14:textFill>
              </w:rPr>
              <w:t>第三方监管单位</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入户进行核实，核实为有效投诉的。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79A1F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B7FAB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664119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230DEFB">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07A432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196339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84212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发生重大责任事故和违法违纪行为等事件的。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96FA9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28F6B8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5FC779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4A85EB8">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1E16DB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9F6C2A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2B128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shd w:val="clear"/>
                <w:lang w:val="en-US" w:eastAsia="zh-CN" w:bidi="ar"/>
                <w14:textFill>
                  <w14:solidFill>
                    <w14:schemeClr w14:val="tx1"/>
                  </w14:solidFill>
                </w14:textFill>
              </w:rPr>
              <w:t>未及时结算或隔日结算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7F42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3AD4CF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596757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3FF591D5">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3D3D1E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9ADCF3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w:t>
            </w:r>
          </w:p>
        </w:tc>
        <w:tc>
          <w:tcPr>
            <w:tcW w:w="46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999655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服务满意度（由第三方测评单位抽取名单，向老人、家属、社区、街道进行满意度回访。并将相关情况及时反馈街道、社区，由街道、社区及时作出后续处理）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61D46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&lt;80%  3分/次</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34B4304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vMerge w:val="restart"/>
            <w:tcBorders>
              <w:top w:val="single" w:color="auto" w:sz="4" w:space="0"/>
              <w:left w:val="single" w:color="auto" w:sz="4" w:space="0"/>
              <w:bottom w:val="single" w:color="auto" w:sz="4" w:space="0"/>
              <w:right w:val="single" w:color="auto" w:sz="4" w:space="0"/>
            </w:tcBorders>
            <w:noWrap w:val="0"/>
            <w:vAlign w:val="center"/>
          </w:tcPr>
          <w:p w14:paraId="64720B8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562862C">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3E68564">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EAE16F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1F78A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69A8F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80-89% 2分/次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3C7B84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0602845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F8FDCF2">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4E3AB4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356B44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C73DF9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282FC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90-95% 1分/次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6BB5D5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0AF0019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DC58B9A">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F683B2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BB12D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BF41E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高龄普惠人群占每月服务老人比例不达标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B2F01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F73AC4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28ED8F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5B39C41">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2031AD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D8FC7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EA12A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1小时单量占每月服务单量比例不达标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DD3E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211B1C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0DDBBB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2A73464">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72F7C4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3E117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7D528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未按标准服务，协助排查过程中出现的自己拿市民卡、带走老人市民卡、服务不足时、中途离开等行为</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7024A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030B3D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539639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E31A4BF">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528210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0BD66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0E2AB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非不可抗力原因未开展服务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2A526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9F0D06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BED9C9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6432AF3">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6391E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F2B88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2CC6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服务人员每月服务时长超过200小时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69F11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1ABE10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E8A610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46E3677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24613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210A0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68F8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市局回访服务人员未及时接听电话</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9777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0.1分/个</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C48919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035D3C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6E2D76F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DD361E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D24DA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C046A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市局回访服务人员未开展服务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52E2C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CB7F97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39FC4A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BC4002D">
        <w:tblPrEx>
          <w:tblCellMar>
            <w:top w:w="0" w:type="dxa"/>
            <w:left w:w="108" w:type="dxa"/>
            <w:bottom w:w="0" w:type="dxa"/>
            <w:right w:w="108" w:type="dxa"/>
          </w:tblCellMar>
        </w:tblPrEx>
        <w:trPr>
          <w:trHeight w:val="34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4AE8BF0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服务完成情况</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217260A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2BCCD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未在每月25日前完成老人信息变动情况（包括老人及其监护人地址电话更新、去世老人、跨区变动、拒单老人）的上报。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37E29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2D2E3D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EE0952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63E25D5">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CB63BF2">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9785D7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D3474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未在每月提交1篇信息稿或专报。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DB4C0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190C96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BC120C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4F863C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26202F4">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74A64B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D7731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每年信息稿或专报被区级及以上媒体（含新媒体、纸媒等）录用量少于1篇的。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67118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509CDC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5ED933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2C4354AC">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767B8C1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eastAsia="zh-CN"/>
                <w14:textFill>
                  <w14:solidFill>
                    <w14:schemeClr w14:val="tx1"/>
                  </w14:solidFill>
                </w14:textFill>
              </w:rPr>
              <w:t>加分项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483ABE3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9446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服务特色与创新（须经民政局认定且符合要求的特色服务）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F15F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545F5B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C42575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181B23B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443359F">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840594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71119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服务出色，获得老人或家属称赞的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FEDC0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7569FD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2B7C9B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4C13E7E">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F4E856C">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50F6C7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2721367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为老服务公益性活动</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4D36B4D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A1BEAE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D7D331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645B9BF4">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8F61333">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08ADC2B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235B1BE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遇到突发情况，紧急应对，化险为夷的</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3B55D47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2D0765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54D7A0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0DC6534D">
        <w:tblPrEx>
          <w:tblCellMar>
            <w:top w:w="0" w:type="dxa"/>
            <w:left w:w="108" w:type="dxa"/>
            <w:bottom w:w="0" w:type="dxa"/>
            <w:right w:w="108" w:type="dxa"/>
          </w:tblCellMar>
        </w:tblPrEx>
        <w:trPr>
          <w:trHeight w:val="190"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70AAD54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乙方</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599A7DA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r>
      <w:tr w14:paraId="76D786CB">
        <w:tblPrEx>
          <w:tblCellMar>
            <w:top w:w="0" w:type="dxa"/>
            <w:left w:w="108" w:type="dxa"/>
            <w:bottom w:w="0" w:type="dxa"/>
            <w:right w:w="108" w:type="dxa"/>
          </w:tblCellMar>
        </w:tblPrEx>
        <w:trPr>
          <w:trHeight w:val="288"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289D572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小计扣分</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2E1C536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r>
    </w:tbl>
    <w:p w14:paraId="2293651F">
      <w:pPr>
        <w:pStyle w:val="21"/>
        <w:keepNext w:val="0"/>
        <w:keepLines w:val="0"/>
        <w:pageBreakBefore w:val="0"/>
        <w:widowControl w:val="0"/>
        <w:kinsoku/>
        <w:wordWrap/>
        <w:overflowPunct/>
        <w:topLinePunct w:val="0"/>
        <w:autoSpaceDE/>
        <w:autoSpaceDN/>
        <w:bidi w:val="0"/>
        <w:adjustRightInd w:val="0"/>
        <w:snapToGrid/>
        <w:spacing w:line="520" w:lineRule="exact"/>
        <w:ind w:left="0" w:leftChars="0" w:firstLine="482" w:firstLineChars="200"/>
        <w:textAlignment w:val="auto"/>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（2）清退机制（如有以下行为之一的甲方有权随时与供应商暂停服务终止合同，并视情况列入黑名单，2年内拒绝参加滨江区区域型居家养老服务项目）</w:t>
      </w:r>
    </w:p>
    <w:tbl>
      <w:tblPr>
        <w:tblStyle w:val="49"/>
        <w:tblW w:w="9051" w:type="dxa"/>
        <w:jc w:val="center"/>
        <w:tblLayout w:type="fixed"/>
        <w:tblCellMar>
          <w:top w:w="0" w:type="dxa"/>
          <w:left w:w="108" w:type="dxa"/>
          <w:bottom w:w="0" w:type="dxa"/>
          <w:right w:w="108" w:type="dxa"/>
        </w:tblCellMar>
      </w:tblPr>
      <w:tblGrid>
        <w:gridCol w:w="1176"/>
        <w:gridCol w:w="7875"/>
      </w:tblGrid>
      <w:tr w14:paraId="01FD25B9">
        <w:tblPrEx>
          <w:tblCellMar>
            <w:top w:w="0" w:type="dxa"/>
            <w:left w:w="108" w:type="dxa"/>
            <w:bottom w:w="0" w:type="dxa"/>
            <w:right w:w="108" w:type="dxa"/>
          </w:tblCellMar>
        </w:tblPrEx>
        <w:trPr>
          <w:trHeight w:val="186" w:hRule="atLeast"/>
          <w:jc w:val="center"/>
        </w:trPr>
        <w:tc>
          <w:tcPr>
            <w:tcW w:w="9051" w:type="dxa"/>
            <w:gridSpan w:val="2"/>
            <w:tcBorders>
              <w:top w:val="single" w:color="000000" w:sz="4" w:space="0"/>
              <w:left w:val="single" w:color="000000" w:sz="4" w:space="0"/>
              <w:bottom w:val="single" w:color="000000" w:sz="4" w:space="0"/>
              <w:right w:val="single" w:color="000000" w:sz="4" w:space="0"/>
            </w:tcBorders>
            <w:noWrap w:val="0"/>
            <w:vAlign w:val="center"/>
          </w:tcPr>
          <w:p w14:paraId="5BCB764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清退机制细则</w:t>
            </w:r>
          </w:p>
        </w:tc>
      </w:tr>
      <w:tr w14:paraId="0E2F40A8">
        <w:tblPrEx>
          <w:tblCellMar>
            <w:top w:w="0" w:type="dxa"/>
            <w:left w:w="108" w:type="dxa"/>
            <w:bottom w:w="0" w:type="dxa"/>
            <w:right w:w="108" w:type="dxa"/>
          </w:tblCellMar>
        </w:tblPrEx>
        <w:trPr>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3F3C5A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1BD856C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具体内容</w:t>
            </w:r>
          </w:p>
        </w:tc>
      </w:tr>
      <w:tr w14:paraId="579A44F3">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F529AA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9358D9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乙方更换后的项目负责人或服务人员，不满足采购需求的年龄、证件等要求的。</w:t>
            </w:r>
          </w:p>
        </w:tc>
      </w:tr>
      <w:tr w14:paraId="69615A8B">
        <w:tblPrEx>
          <w:tblCellMar>
            <w:top w:w="0" w:type="dxa"/>
            <w:left w:w="108" w:type="dxa"/>
            <w:bottom w:w="0" w:type="dxa"/>
            <w:right w:w="108" w:type="dxa"/>
          </w:tblCellMar>
        </w:tblPrEx>
        <w:trPr>
          <w:trHeight w:val="342"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F8FE8A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D6DA83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逾期未交月度考核罚款的。</w:t>
            </w:r>
          </w:p>
        </w:tc>
      </w:tr>
      <w:tr w14:paraId="3FE6C34A">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8AAEE4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9F89F6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服务期内月度考核分出现两次85分（不含）以下的。</w:t>
            </w:r>
          </w:p>
        </w:tc>
      </w:tr>
      <w:tr w14:paraId="2BB2444A">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6D993E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4</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4A8AA33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非法骗取套取政府财政资金，发现虚假交易、套现补贴且金额超5000元及以上的（退一罚十）。</w:t>
            </w:r>
          </w:p>
        </w:tc>
      </w:tr>
      <w:tr w14:paraId="3878FF86">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791D04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5</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127F1BD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违法违规开展服务协议外的其他活动。</w:t>
            </w:r>
          </w:p>
        </w:tc>
      </w:tr>
      <w:tr w14:paraId="4FD1FFCD">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8E7DEB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6</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9967C3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泄露老人个人隐私信息。</w:t>
            </w:r>
          </w:p>
        </w:tc>
      </w:tr>
      <w:tr w14:paraId="50230335">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0C287B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7</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4B14790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发生殴打、体罚等欺老虐老行为。</w:t>
            </w:r>
          </w:p>
        </w:tc>
      </w:tr>
      <w:tr w14:paraId="4379B54E">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D291CF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8</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41F97C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未按操作规程或标准提供服务，引发较大安全责任事故。</w:t>
            </w:r>
          </w:p>
        </w:tc>
      </w:tr>
      <w:tr w14:paraId="5C977C5B">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C569B4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9</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27F7558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故意隐瞒不及时报安全责任事故，检查发现安全隐患拒不整改。</w:t>
            </w:r>
          </w:p>
        </w:tc>
      </w:tr>
      <w:tr w14:paraId="2559D2C5">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6E0C24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10</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FD848C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经查实，被老年人或及家属等年度投诉不能超过5次（不含5次）。</w:t>
            </w:r>
          </w:p>
        </w:tc>
      </w:tr>
      <w:tr w14:paraId="2BDA5BF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31EAF5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73F770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因合同纠纷造成群体性事件或不良社会舆论，或其他不良行为。</w:t>
            </w:r>
          </w:p>
        </w:tc>
      </w:tr>
      <w:tr w14:paraId="4187455D">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1AEF51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7AEDBD1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经第三方测评，年度老人满意度低于95%并核查属实的。</w:t>
            </w:r>
          </w:p>
        </w:tc>
      </w:tr>
      <w:tr w14:paraId="0D970FEC">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556C48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t>13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0DBD67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出现违法违规经营行为且超两次或拒不改正的，国家、省、市规定应当列入的其他严重失信情形.</w:t>
            </w:r>
          </w:p>
        </w:tc>
      </w:tr>
    </w:tbl>
    <w:p w14:paraId="384E00E3">
      <w:pPr>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b/>
          <w:bCs/>
          <w:snapToGrid w:val="0"/>
          <w:color w:val="000000" w:themeColor="text1"/>
          <w:kern w:val="0"/>
          <w:sz w:val="24"/>
          <w:highlight w:val="none"/>
          <w:lang w:val="en-US" w:eastAsia="zh-CN"/>
          <w14:textFill>
            <w14:solidFill>
              <w14:schemeClr w14:val="tx1"/>
            </w14:solidFill>
          </w14:textFill>
        </w:rPr>
        <w:t>十四、</w:t>
      </w:r>
      <w:r>
        <w:rPr>
          <w:rFonts w:hint="eastAsia" w:ascii="仿宋" w:hAnsi="仿宋" w:eastAsia="仿宋" w:cs="仿宋"/>
          <w:b/>
          <w:bCs/>
          <w:snapToGrid w:val="0"/>
          <w:color w:val="000000" w:themeColor="text1"/>
          <w:kern w:val="0"/>
          <w:sz w:val="24"/>
          <w:highlight w:val="none"/>
          <w:lang w:eastAsia="zh-CN"/>
          <w14:textFill>
            <w14:solidFill>
              <w14:schemeClr w14:val="tx1"/>
            </w14:solidFill>
          </w14:textFill>
        </w:rPr>
        <w:t>补充规则</w:t>
      </w:r>
    </w:p>
    <w:p w14:paraId="56552E5B">
      <w:pPr>
        <w:pageBreakBefore w:val="0"/>
        <w:kinsoku/>
        <w:overflowPunct/>
        <w:autoSpaceDE/>
        <w:autoSpaceDN/>
        <w:bidi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1.</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清退后，剩余入围乙方不足入围乙方总数70%且影响框架协议执行的，框架协议有效期内，</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甲方</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将补充征集乙方。</w:t>
      </w:r>
    </w:p>
    <w:p w14:paraId="2D116F14">
      <w:pPr>
        <w:pageBreakBefore w:val="0"/>
        <w:kinsoku/>
        <w:overflowPunct/>
        <w:autoSpaceDE/>
        <w:autoSpaceDN/>
        <w:bidi w:val="0"/>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2.甲方</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补充征集乙方的，补充征集的条件、程序、评审方法和淘汰比例与初次征集相同。补充征集应当遵守原框架协议的有效期。补充征集期间，原框架协议继续履行。</w:t>
      </w:r>
    </w:p>
    <w:p w14:paraId="60B62D36">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sz w:val="24"/>
          <w:szCs w:val="24"/>
          <w:highlight w:val="none"/>
          <w14:textFill>
            <w14:solidFill>
              <w14:schemeClr w14:val="tx1"/>
            </w14:solidFill>
          </w14:textFill>
        </w:rPr>
        <w:t>十</w:t>
      </w:r>
      <w:r>
        <w:rPr>
          <w:rFonts w:hint="eastAsia" w:ascii="仿宋" w:hAnsi="仿宋" w:eastAsia="仿宋" w:cs="仿宋"/>
          <w:b/>
          <w:snapToGrid w:val="0"/>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snapToGrid w:val="0"/>
          <w:color w:val="000000" w:themeColor="text1"/>
          <w:sz w:val="24"/>
          <w:szCs w:val="24"/>
          <w:highlight w:val="none"/>
          <w14:textFill>
            <w14:solidFill>
              <w14:schemeClr w14:val="tx1"/>
            </w14:solidFill>
          </w14:textFill>
        </w:rPr>
        <w:t>、违约处理</w:t>
      </w:r>
    </w:p>
    <w:p w14:paraId="31B416C6">
      <w:pPr>
        <w:keepNext w:val="0"/>
        <w:keepLines w:val="0"/>
        <w:pageBreakBefore w:val="0"/>
        <w:numPr>
          <w:ilvl w:val="0"/>
          <w:numId w:val="0"/>
        </w:numPr>
        <w:kinsoku/>
        <w:overflowPunct/>
        <w:autoSpaceDE/>
        <w:autoSpaceDN/>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除不可抗力外，如果乙方没有按照本</w:t>
      </w:r>
      <w:r>
        <w:rPr>
          <w:rFonts w:hint="eastAsia" w:ascii="仿宋" w:hAnsi="仿宋" w:eastAsia="仿宋" w:cs="仿宋"/>
          <w:color w:val="000000" w:themeColor="text1"/>
          <w:sz w:val="24"/>
          <w:szCs w:val="24"/>
          <w:highlight w:val="none"/>
          <w:lang w:val="en-US" w:eastAsia="zh-CN"/>
          <w14:textFill>
            <w14:solidFill>
              <w14:schemeClr w14:val="tx1"/>
            </w14:solidFill>
          </w14:textFill>
        </w:rPr>
        <w:t>协议</w:t>
      </w:r>
      <w:r>
        <w:rPr>
          <w:rFonts w:hint="eastAsia" w:ascii="仿宋" w:hAnsi="仿宋" w:eastAsia="仿宋" w:cs="仿宋"/>
          <w:color w:val="000000" w:themeColor="text1"/>
          <w:sz w:val="24"/>
          <w:szCs w:val="24"/>
          <w:highlight w:val="none"/>
          <w14:textFill>
            <w14:solidFill>
              <w14:schemeClr w14:val="tx1"/>
            </w14:solidFill>
          </w14:textFill>
        </w:rPr>
        <w:t>约定的期限、地点和方式服务的，那么甲方可要求乙方支付违约金，违约金每日按</w:t>
      </w:r>
      <w:r>
        <w:rPr>
          <w:rFonts w:hint="eastAsia" w:ascii="仿宋" w:hAnsi="仿宋" w:eastAsia="仿宋" w:cs="仿宋"/>
          <w:color w:val="000000" w:themeColor="text1"/>
          <w:sz w:val="24"/>
          <w:szCs w:val="24"/>
          <w:highlight w:val="none"/>
          <w:lang w:val="en-US" w:eastAsia="zh-CN"/>
          <w14:textFill>
            <w14:solidFill>
              <w14:schemeClr w14:val="tx1"/>
            </w14:solidFill>
          </w14:textFill>
        </w:rPr>
        <w:t>1000元</w:t>
      </w:r>
      <w:r>
        <w:rPr>
          <w:rFonts w:hint="eastAsia" w:ascii="仿宋" w:hAnsi="仿宋" w:eastAsia="仿宋" w:cs="仿宋"/>
          <w:color w:val="000000" w:themeColor="text1"/>
          <w:sz w:val="24"/>
          <w:szCs w:val="24"/>
          <w:highlight w:val="none"/>
          <w14:textFill>
            <w14:solidFill>
              <w14:schemeClr w14:val="tx1"/>
            </w14:solidFill>
          </w14:textFill>
        </w:rPr>
        <w:t>计算，最高限额为</w:t>
      </w:r>
      <w:r>
        <w:rPr>
          <w:rFonts w:hint="eastAsia" w:ascii="仿宋" w:hAnsi="仿宋" w:eastAsia="仿宋" w:cs="仿宋"/>
          <w:color w:val="000000" w:themeColor="text1"/>
          <w:sz w:val="24"/>
          <w:szCs w:val="24"/>
          <w:highlight w:val="none"/>
          <w:lang w:val="en-US" w:eastAsia="zh-CN"/>
          <w14:textFill>
            <w14:solidFill>
              <w14:schemeClr w14:val="tx1"/>
            </w14:solidFill>
          </w14:textFill>
        </w:rPr>
        <w:t>2万元</w:t>
      </w:r>
      <w:r>
        <w:rPr>
          <w:rFonts w:hint="eastAsia" w:ascii="仿宋" w:hAnsi="仿宋" w:eastAsia="仿宋" w:cs="仿宋"/>
          <w:color w:val="000000" w:themeColor="text1"/>
          <w:sz w:val="24"/>
          <w:szCs w:val="24"/>
          <w:highlight w:val="none"/>
          <w14:textFill>
            <w14:solidFill>
              <w14:schemeClr w14:val="tx1"/>
            </w14:solidFill>
          </w14:textFill>
        </w:rPr>
        <w:t>；违约金计算数额达到前述最高限额之日起，甲方有权在要求乙方支付违约金的同时，书面通知乙方解除本合同；</w:t>
      </w:r>
    </w:p>
    <w:p w14:paraId="5A31E5CA">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szCs w:val="24"/>
          <w:highlight w:val="none"/>
          <w:u w:val="single"/>
          <w14:textFill>
            <w14:solidFill>
              <w14:schemeClr w14:val="tx1"/>
            </w14:solidFill>
          </w14:textFill>
        </w:rPr>
        <w:t>万分之五</w:t>
      </w:r>
      <w:r>
        <w:rPr>
          <w:rFonts w:hint="eastAsia" w:ascii="仿宋" w:hAnsi="仿宋" w:eastAsia="仿宋" w:cs="仿宋"/>
          <w:color w:val="000000" w:themeColor="text1"/>
          <w:sz w:val="24"/>
          <w:szCs w:val="24"/>
          <w:highlight w:val="none"/>
          <w14:textFill>
            <w14:solidFill>
              <w14:schemeClr w14:val="tx1"/>
            </w14:solidFill>
          </w14:textFill>
        </w:rPr>
        <w:t>计算，最高限额为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1万元</w:t>
      </w:r>
      <w:r>
        <w:rPr>
          <w:rFonts w:hint="eastAsia" w:ascii="仿宋" w:hAnsi="仿宋" w:eastAsia="仿宋" w:cs="仿宋"/>
          <w:color w:val="000000" w:themeColor="text1"/>
          <w:sz w:val="24"/>
          <w:szCs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5C7935B1">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3EAEA4">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FA1D120">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C2947C5">
      <w:pPr>
        <w:keepNext w:val="0"/>
        <w:keepLines w:val="0"/>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如果出现政府采购监督管理部门在处理投诉事项期间，书面通知甲方暂停采购活动的情形，或者询问或质疑事项可能影响</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结果的，导致甲方中止履行合同的情形，均不视为甲方违约。</w:t>
      </w:r>
    </w:p>
    <w:p w14:paraId="167ACC0F">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sz w:val="24"/>
          <w:szCs w:val="24"/>
          <w:highlight w:val="none"/>
          <w14:textFill>
            <w14:solidFill>
              <w14:schemeClr w14:val="tx1"/>
            </w14:solidFill>
          </w14:textFill>
        </w:rPr>
        <w:t>十</w:t>
      </w:r>
      <w:r>
        <w:rPr>
          <w:rFonts w:hint="eastAsia" w:ascii="仿宋" w:hAnsi="仿宋" w:eastAsia="仿宋" w:cs="仿宋"/>
          <w:b/>
          <w:snapToGrid w:val="0"/>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snapToGrid w:val="0"/>
          <w:color w:val="000000" w:themeColor="text1"/>
          <w:sz w:val="24"/>
          <w:szCs w:val="24"/>
          <w:highlight w:val="none"/>
          <w14:textFill>
            <w14:solidFill>
              <w14:schemeClr w14:val="tx1"/>
            </w14:solidFill>
          </w14:textFill>
        </w:rPr>
        <w:t>、不可抗力事件处理</w:t>
      </w:r>
    </w:p>
    <w:p w14:paraId="12C61435">
      <w:pPr>
        <w:keepNext w:val="0"/>
        <w:keepLines w:val="0"/>
        <w:pageBreakBefore w:val="0"/>
        <w:widowControl/>
        <w:shd w:val="clear" w:color="auto"/>
        <w:kinsoku/>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1.在合同有效期内，因不可抗力事件导致不能履行合同，则合同履行至合同到期日止。</w:t>
      </w:r>
    </w:p>
    <w:p w14:paraId="212C9285">
      <w:pPr>
        <w:keepNext w:val="0"/>
        <w:keepLines w:val="0"/>
        <w:pageBreakBefore w:val="0"/>
        <w:numPr>
          <w:ilvl w:val="0"/>
          <w:numId w:val="0"/>
        </w:numPr>
        <w:shd w:val="clea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2.不可抗力事件发生后，应立即通知对方，并寄送有关权威机构出具的证明。</w:t>
      </w:r>
    </w:p>
    <w:p w14:paraId="6C74804C">
      <w:pPr>
        <w:keepNext w:val="0"/>
        <w:keepLines w:val="0"/>
        <w:pageBreakBefore w:val="0"/>
        <w:numPr>
          <w:ilvl w:val="0"/>
          <w:numId w:val="0"/>
        </w:numPr>
        <w:kinsoku/>
        <w:overflowPunct/>
        <w:autoSpaceDE/>
        <w:autoSpaceDN/>
        <w:bidi w:val="0"/>
        <w:adjustRightInd w:val="0"/>
        <w:snapToGrid w:val="0"/>
        <w:spacing w:line="360" w:lineRule="auto"/>
        <w:ind w:left="0" w:leftChars="0" w:firstLine="482"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十七、</w:t>
      </w:r>
      <w:r>
        <w:rPr>
          <w:rFonts w:hint="eastAsia" w:ascii="仿宋" w:hAnsi="仿宋" w:eastAsia="仿宋" w:cs="仿宋"/>
          <w:b/>
          <w:bCs/>
          <w:color w:val="000000" w:themeColor="text1"/>
          <w:sz w:val="24"/>
          <w:szCs w:val="24"/>
          <w:highlight w:val="none"/>
          <w14:textFill>
            <w14:solidFill>
              <w14:schemeClr w14:val="tx1"/>
            </w14:solidFill>
          </w14:textFill>
        </w:rPr>
        <w:t>乙方</w:t>
      </w:r>
      <w:r>
        <w:rPr>
          <w:rFonts w:hint="eastAsia" w:ascii="仿宋" w:hAnsi="仿宋" w:eastAsia="仿宋" w:cs="仿宋"/>
          <w:b/>
          <w:bCs/>
          <w:color w:val="000000" w:themeColor="text1"/>
          <w:sz w:val="24"/>
          <w:szCs w:val="24"/>
          <w:highlight w:val="none"/>
          <w:lang w:eastAsia="zh-CN"/>
          <w14:textFill>
            <w14:solidFill>
              <w14:schemeClr w14:val="tx1"/>
            </w14:solidFill>
          </w14:textFill>
        </w:rPr>
        <w:t>和甲方</w:t>
      </w:r>
      <w:r>
        <w:rPr>
          <w:rFonts w:hint="eastAsia" w:ascii="仿宋" w:hAnsi="仿宋" w:eastAsia="仿宋" w:cs="仿宋"/>
          <w:b/>
          <w:bCs/>
          <w:color w:val="000000" w:themeColor="text1"/>
          <w:sz w:val="24"/>
          <w:szCs w:val="24"/>
          <w:highlight w:val="none"/>
          <w14:textFill>
            <w14:solidFill>
              <w14:schemeClr w14:val="tx1"/>
            </w14:solidFill>
          </w14:textFill>
        </w:rPr>
        <w:t>发生争议的</w:t>
      </w:r>
      <w:r>
        <w:rPr>
          <w:rFonts w:hint="eastAsia" w:ascii="仿宋" w:hAnsi="仿宋" w:eastAsia="仿宋" w:cs="仿宋"/>
          <w:b/>
          <w:bCs/>
          <w:color w:val="000000" w:themeColor="text1"/>
          <w:sz w:val="24"/>
          <w:szCs w:val="24"/>
          <w:highlight w:val="none"/>
          <w:lang w:eastAsia="zh-CN"/>
          <w14:textFill>
            <w14:solidFill>
              <w14:schemeClr w14:val="tx1"/>
            </w14:solidFill>
          </w14:textFill>
        </w:rPr>
        <w:t>处理</w:t>
      </w:r>
    </w:p>
    <w:p w14:paraId="28FA39B8">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双方如</w:t>
      </w:r>
      <w:r>
        <w:rPr>
          <w:rFonts w:hint="eastAsia" w:ascii="仿宋" w:hAnsi="仿宋" w:eastAsia="仿宋" w:cs="仿宋"/>
          <w:color w:val="000000" w:themeColor="text1"/>
          <w:sz w:val="24"/>
          <w:szCs w:val="24"/>
          <w:highlight w:val="none"/>
          <w14:textFill>
            <w14:solidFill>
              <w14:schemeClr w14:val="tx1"/>
            </w14:solidFill>
          </w14:textFill>
        </w:rPr>
        <w:t>发生</w:t>
      </w:r>
      <w:r>
        <w:rPr>
          <w:rFonts w:hint="eastAsia" w:ascii="仿宋" w:hAnsi="仿宋" w:eastAsia="仿宋" w:cs="仿宋"/>
          <w:color w:val="000000" w:themeColor="text1"/>
          <w:sz w:val="24"/>
          <w:szCs w:val="24"/>
          <w:highlight w:val="none"/>
          <w:lang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纠纷，应当</w:t>
      </w:r>
      <w:r>
        <w:rPr>
          <w:rFonts w:hint="eastAsia" w:ascii="仿宋" w:hAnsi="仿宋" w:eastAsia="仿宋" w:cs="仿宋"/>
          <w:color w:val="000000" w:themeColor="text1"/>
          <w:sz w:val="24"/>
          <w:szCs w:val="24"/>
          <w:highlight w:val="none"/>
          <w:lang w:eastAsia="zh-CN"/>
          <w14:textFill>
            <w14:solidFill>
              <w14:schemeClr w14:val="tx1"/>
            </w14:solidFill>
          </w14:textFill>
        </w:rPr>
        <w:t>友好</w:t>
      </w:r>
      <w:r>
        <w:rPr>
          <w:rFonts w:hint="eastAsia" w:ascii="仿宋" w:hAnsi="仿宋" w:eastAsia="仿宋" w:cs="仿宋"/>
          <w:color w:val="000000" w:themeColor="text1"/>
          <w:sz w:val="24"/>
          <w:szCs w:val="24"/>
          <w:highlight w:val="none"/>
          <w14:textFill>
            <w14:solidFill>
              <w14:schemeClr w14:val="tx1"/>
            </w14:solidFill>
          </w14:textFill>
        </w:rPr>
        <w:t>协商，并按《中华人民共和国民法典》</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《中华人民共和国政府采购法》、《中华人民共和国政府采购法实施条例》、《政府采购框架协议采购方式管理暂行办法》</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相关法律、法规、规章的规定</w:t>
      </w:r>
      <w:r>
        <w:rPr>
          <w:rFonts w:hint="eastAsia" w:ascii="仿宋" w:hAnsi="仿宋" w:eastAsia="仿宋" w:cs="仿宋"/>
          <w:color w:val="000000" w:themeColor="text1"/>
          <w:sz w:val="24"/>
          <w:szCs w:val="24"/>
          <w:highlight w:val="none"/>
          <w:lang w:eastAsia="zh-CN"/>
          <w14:textFill>
            <w14:solidFill>
              <w14:schemeClr w14:val="tx1"/>
            </w14:solidFill>
          </w14:textFill>
        </w:rPr>
        <w:t>及本项目征集文件的要求</w:t>
      </w:r>
      <w:r>
        <w:rPr>
          <w:rFonts w:hint="eastAsia" w:ascii="仿宋" w:hAnsi="仿宋" w:eastAsia="仿宋" w:cs="仿宋"/>
          <w:color w:val="000000" w:themeColor="text1"/>
          <w:sz w:val="24"/>
          <w:szCs w:val="24"/>
          <w:highlight w:val="none"/>
          <w14:textFill>
            <w14:solidFill>
              <w14:schemeClr w14:val="tx1"/>
            </w14:solidFill>
          </w14:textFill>
        </w:rPr>
        <w:t>处理。</w:t>
      </w:r>
    </w:p>
    <w:p w14:paraId="2BA1C397">
      <w:pPr>
        <w:keepNext w:val="0"/>
        <w:keepLines w:val="0"/>
        <w:pageBreakBefore w:val="0"/>
        <w:numPr>
          <w:ilvl w:val="0"/>
          <w:numId w:val="0"/>
        </w:numPr>
        <w:kinsoku/>
        <w:overflowPunct/>
        <w:autoSpaceDE/>
        <w:autoSpaceDN/>
        <w:bidi w:val="0"/>
        <w:adjustRightInd w:val="0"/>
        <w:snapToGrid w:val="0"/>
        <w:spacing w:line="360" w:lineRule="auto"/>
        <w:ind w:left="0" w:leftChars="0" w:firstLine="482"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十八、</w:t>
      </w:r>
      <w:r>
        <w:rPr>
          <w:rFonts w:hint="eastAsia" w:ascii="仿宋" w:hAnsi="仿宋" w:eastAsia="仿宋" w:cs="仿宋"/>
          <w:b/>
          <w:bCs/>
          <w:color w:val="000000" w:themeColor="text1"/>
          <w:sz w:val="24"/>
          <w:szCs w:val="24"/>
          <w:highlight w:val="none"/>
          <w14:textFill>
            <w14:solidFill>
              <w14:schemeClr w14:val="tx1"/>
            </w14:solidFill>
          </w14:textFill>
        </w:rPr>
        <w:t>本协议</w:t>
      </w:r>
      <w:r>
        <w:rPr>
          <w:rFonts w:hint="eastAsia" w:ascii="仿宋" w:hAnsi="仿宋" w:eastAsia="仿宋" w:cs="仿宋"/>
          <w:b/>
          <w:bCs/>
          <w:color w:val="000000" w:themeColor="text1"/>
          <w:sz w:val="24"/>
          <w:szCs w:val="24"/>
          <w:highlight w:val="none"/>
          <w:lang w:eastAsia="zh-CN"/>
          <w14:textFill>
            <w14:solidFill>
              <w14:schemeClr w14:val="tx1"/>
            </w14:solidFill>
          </w14:textFill>
        </w:rPr>
        <w:t>发生</w:t>
      </w:r>
      <w:r>
        <w:rPr>
          <w:rFonts w:hint="eastAsia" w:ascii="仿宋" w:hAnsi="仿宋" w:eastAsia="仿宋" w:cs="仿宋"/>
          <w:b/>
          <w:bCs/>
          <w:color w:val="000000" w:themeColor="text1"/>
          <w:sz w:val="24"/>
          <w:szCs w:val="24"/>
          <w:highlight w:val="none"/>
          <w14:textFill>
            <w14:solidFill>
              <w14:schemeClr w14:val="tx1"/>
            </w14:solidFill>
          </w14:textFill>
        </w:rPr>
        <w:t>争议的</w:t>
      </w:r>
      <w:r>
        <w:rPr>
          <w:rFonts w:hint="eastAsia" w:ascii="仿宋" w:hAnsi="仿宋" w:eastAsia="仿宋" w:cs="仿宋"/>
          <w:b/>
          <w:bCs/>
          <w:color w:val="000000" w:themeColor="text1"/>
          <w:sz w:val="24"/>
          <w:szCs w:val="24"/>
          <w:highlight w:val="none"/>
          <w:lang w:eastAsia="zh-CN"/>
          <w14:textFill>
            <w14:solidFill>
              <w14:schemeClr w14:val="tx1"/>
            </w14:solidFill>
          </w14:textFill>
        </w:rPr>
        <w:t>处理</w:t>
      </w:r>
    </w:p>
    <w:p w14:paraId="7BFE15BD">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双方在执行合同中所发生的一切争议，应通过协商解决。如协商不成，可向甲方所在地法院起诉。</w:t>
      </w:r>
    </w:p>
    <w:p w14:paraId="3E4DCCF6">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000000" w:themeColor="text1"/>
          <w:sz w:val="24"/>
          <w:szCs w:val="24"/>
          <w:highlight w:val="none"/>
          <w14:textFill>
            <w14:solidFill>
              <w14:schemeClr w14:val="tx1"/>
            </w14:solidFill>
          </w14:textFill>
        </w:rPr>
      </w:pPr>
      <w:r>
        <w:rPr>
          <w:rFonts w:hint="eastAsia" w:ascii="仿宋" w:hAnsi="仿宋" w:eastAsia="仿宋" w:cs="仿宋"/>
          <w:b/>
          <w:snapToGrid w:val="0"/>
          <w:color w:val="000000" w:themeColor="text1"/>
          <w:sz w:val="24"/>
          <w:szCs w:val="24"/>
          <w:highlight w:val="none"/>
          <w14:textFill>
            <w14:solidFill>
              <w14:schemeClr w14:val="tx1"/>
            </w14:solidFill>
          </w14:textFill>
        </w:rPr>
        <w:t>十</w:t>
      </w:r>
      <w:r>
        <w:rPr>
          <w:rFonts w:hint="eastAsia" w:ascii="仿宋" w:hAnsi="仿宋" w:eastAsia="仿宋" w:cs="仿宋"/>
          <w:b/>
          <w:snapToGrid w:val="0"/>
          <w:color w:val="000000" w:themeColor="text1"/>
          <w:sz w:val="24"/>
          <w:szCs w:val="24"/>
          <w:highlight w:val="none"/>
          <w:lang w:val="en-US" w:eastAsia="zh-CN"/>
          <w14:textFill>
            <w14:solidFill>
              <w14:schemeClr w14:val="tx1"/>
            </w14:solidFill>
          </w14:textFill>
        </w:rPr>
        <w:t>九</w:t>
      </w:r>
      <w:r>
        <w:rPr>
          <w:rFonts w:hint="eastAsia" w:ascii="仿宋" w:hAnsi="仿宋" w:eastAsia="仿宋" w:cs="仿宋"/>
          <w:b/>
          <w:snapToGrid w:val="0"/>
          <w:color w:val="000000" w:themeColor="text1"/>
          <w:sz w:val="24"/>
          <w:szCs w:val="24"/>
          <w:highlight w:val="none"/>
          <w14:textFill>
            <w14:solidFill>
              <w14:schemeClr w14:val="tx1"/>
            </w14:solidFill>
          </w14:textFill>
        </w:rPr>
        <w:t>、协议生效</w:t>
      </w:r>
      <w:r>
        <w:rPr>
          <w:rFonts w:hint="eastAsia" w:ascii="仿宋" w:hAnsi="仿宋" w:eastAsia="仿宋" w:cs="仿宋"/>
          <w:b/>
          <w:snapToGrid w:val="0"/>
          <w:color w:val="000000" w:themeColor="text1"/>
          <w:sz w:val="24"/>
          <w:szCs w:val="24"/>
          <w:highlight w:val="none"/>
          <w:lang w:eastAsia="zh-CN"/>
          <w14:textFill>
            <w14:solidFill>
              <w14:schemeClr w14:val="tx1"/>
            </w14:solidFill>
          </w14:textFill>
        </w:rPr>
        <w:t>及其他</w:t>
      </w:r>
    </w:p>
    <w:p w14:paraId="65EFFFA3">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1</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w:t>
      </w:r>
      <w:r>
        <w:rPr>
          <w:rFonts w:hint="eastAsia" w:ascii="仿宋" w:hAnsi="仿宋" w:eastAsia="仿宋" w:cs="仿宋"/>
          <w:snapToGrid w:val="0"/>
          <w:color w:val="000000" w:themeColor="text1"/>
          <w:sz w:val="24"/>
          <w:szCs w:val="24"/>
          <w:highlight w:val="none"/>
          <w14:textFill>
            <w14:solidFill>
              <w14:schemeClr w14:val="tx1"/>
            </w14:solidFill>
          </w14:textFill>
        </w:rPr>
        <w:t>合同经双方加盖单位公章后生效。</w:t>
      </w:r>
    </w:p>
    <w:p w14:paraId="4AB33449">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2</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w:t>
      </w:r>
      <w:r>
        <w:rPr>
          <w:rFonts w:hint="eastAsia" w:ascii="仿宋" w:hAnsi="仿宋" w:eastAsia="仿宋" w:cs="仿宋"/>
          <w:snapToGrid w:val="0"/>
          <w:color w:val="000000" w:themeColor="text1"/>
          <w:sz w:val="24"/>
          <w:szCs w:val="24"/>
          <w:highlight w:val="none"/>
          <w14:textFill>
            <w14:solidFill>
              <w14:schemeClr w14:val="tx1"/>
            </w14:solidFill>
          </w14:textFill>
        </w:rPr>
        <w:t>本合同未尽事宜，遵照《</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中华人民共和国</w:t>
      </w:r>
      <w:r>
        <w:rPr>
          <w:rFonts w:hint="eastAsia" w:ascii="仿宋" w:hAnsi="仿宋" w:eastAsia="仿宋" w:cs="仿宋"/>
          <w:snapToGrid w:val="0"/>
          <w:color w:val="000000" w:themeColor="text1"/>
          <w:sz w:val="24"/>
          <w:szCs w:val="24"/>
          <w:highlight w:val="none"/>
          <w14:textFill>
            <w14:solidFill>
              <w14:schemeClr w14:val="tx1"/>
            </w14:solidFill>
          </w14:textFill>
        </w:rPr>
        <w:t>民法典》有关条文执行。</w:t>
      </w:r>
    </w:p>
    <w:p w14:paraId="10035E63">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3</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w:t>
      </w:r>
      <w:r>
        <w:rPr>
          <w:rFonts w:hint="eastAsia" w:ascii="仿宋" w:hAnsi="仿宋" w:eastAsia="仿宋" w:cs="仿宋"/>
          <w:snapToGrid w:val="0"/>
          <w:color w:val="000000" w:themeColor="text1"/>
          <w:sz w:val="24"/>
          <w:szCs w:val="24"/>
          <w:highlight w:val="none"/>
          <w14:textFill>
            <w14:solidFill>
              <w14:schemeClr w14:val="tx1"/>
            </w14:solidFill>
          </w14:textFill>
        </w:rPr>
        <w:t>本合同正本一式</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snapToGrid w:val="0"/>
          <w:color w:val="000000" w:themeColor="text1"/>
          <w:sz w:val="24"/>
          <w:szCs w:val="24"/>
          <w:highlight w:val="none"/>
          <w14:textFill>
            <w14:solidFill>
              <w14:schemeClr w14:val="tx1"/>
            </w14:solidFill>
          </w14:textFill>
        </w:rPr>
        <w:t>份，具有同等法律效力，甲乙双方各执</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snapToGrid w:val="0"/>
          <w:color w:val="000000" w:themeColor="text1"/>
          <w:sz w:val="24"/>
          <w:szCs w:val="24"/>
          <w:highlight w:val="none"/>
          <w14:textFill>
            <w14:solidFill>
              <w14:schemeClr w14:val="tx1"/>
            </w14:solidFill>
          </w14:textFill>
        </w:rPr>
        <w:t>份。</w:t>
      </w:r>
    </w:p>
    <w:p w14:paraId="3E49455A">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p>
    <w:p w14:paraId="260FD1A6">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p>
    <w:p w14:paraId="35B0D73A">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甲方（盖章）：                       乙方（盖章）：</w:t>
      </w:r>
    </w:p>
    <w:p w14:paraId="5ED332E2">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p>
    <w:p w14:paraId="0E28339A">
      <w:pPr>
        <w:pStyle w:val="28"/>
        <w:keepNext w:val="0"/>
        <w:keepLines w:val="0"/>
        <w:pageBreakBefore w:val="0"/>
        <w:kinsoku/>
        <w:wordWrap/>
        <w:overflowPunct/>
        <w:topLinePunct w:val="0"/>
        <w:autoSpaceDE/>
        <w:autoSpaceDN/>
        <w:bidi w:val="0"/>
        <w:adjustRightInd w:val="0"/>
        <w:snapToGrid w:val="0"/>
        <w:spacing w:line="360" w:lineRule="auto"/>
        <w:ind w:left="0" w:leftChars="0" w:firstLine="3631" w:firstLineChars="1513"/>
        <w:jc w:val="right"/>
        <w:textAlignment w:val="auto"/>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签订</w:t>
      </w:r>
      <w:r>
        <w:rPr>
          <w:rFonts w:hint="eastAsia" w:ascii="仿宋" w:hAnsi="仿宋" w:eastAsia="仿宋" w:cs="仿宋"/>
          <w:snapToGrid w:val="0"/>
          <w:color w:val="000000" w:themeColor="text1"/>
          <w:sz w:val="24"/>
          <w:szCs w:val="24"/>
          <w:highlight w:val="none"/>
          <w14:textFill>
            <w14:solidFill>
              <w14:schemeClr w14:val="tx1"/>
            </w14:solidFill>
          </w14:textFill>
        </w:rPr>
        <w:t>日期：      年   月   日</w:t>
      </w:r>
    </w:p>
    <w:p w14:paraId="5B3563A0">
      <w:pPr>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br w:type="page"/>
      </w:r>
    </w:p>
    <w:p w14:paraId="00CBA165">
      <w:pPr>
        <w:keepNext w:val="0"/>
        <w:keepLines w:val="0"/>
        <w:pageBreakBefore w:val="0"/>
        <w:kinsoku/>
        <w:wordWrap w:val="0"/>
        <w:overflowPunct/>
        <w:topLinePunct/>
        <w:autoSpaceDE/>
        <w:autoSpaceDN/>
        <w:bidi w:val="0"/>
        <w:adjustRightInd w:val="0"/>
        <w:snapToGrid w:val="0"/>
        <w:spacing w:line="360" w:lineRule="auto"/>
        <w:ind w:firstLine="562" w:firstLineChars="200"/>
        <w:jc w:val="center"/>
        <w:rPr>
          <w:rFonts w:hint="default" w:ascii="仿宋" w:hAnsi="仿宋" w:eastAsia="仿宋" w:cs="仿宋"/>
          <w:b/>
          <w:bCs/>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杭州市滨江区2025-2026年居家养老综合服务封闭式框架协议采购项目（</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标项二）</w:t>
      </w:r>
      <w:r>
        <w:rPr>
          <w:rFonts w:hint="eastAsia" w:ascii="仿宋" w:hAnsi="仿宋" w:eastAsia="仿宋" w:cs="仿宋"/>
          <w:b/>
          <w:bCs/>
          <w:color w:val="000000" w:themeColor="text1"/>
          <w:kern w:val="0"/>
          <w:sz w:val="28"/>
          <w:szCs w:val="28"/>
          <w:highlight w:val="none"/>
          <w14:textFill>
            <w14:solidFill>
              <w14:schemeClr w14:val="tx1"/>
            </w14:solidFill>
          </w14:textFill>
        </w:rPr>
        <w:t>采购合同</w:t>
      </w:r>
    </w:p>
    <w:p w14:paraId="658DE7B4">
      <w:pPr>
        <w:keepNext w:val="0"/>
        <w:keepLines w:val="0"/>
        <w:pageBreakBefore w:val="0"/>
        <w:widowControl/>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（本合同为合同样稿，最终稿由</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各方</w:t>
      </w:r>
      <w:r>
        <w:rPr>
          <w:rFonts w:hint="eastAsia" w:ascii="仿宋" w:hAnsi="仿宋" w:eastAsia="仿宋" w:cs="仿宋"/>
          <w:color w:val="000000" w:themeColor="text1"/>
          <w:kern w:val="0"/>
          <w:sz w:val="24"/>
          <w:szCs w:val="24"/>
          <w:highlight w:val="none"/>
          <w14:textFill>
            <w14:solidFill>
              <w14:schemeClr w14:val="tx1"/>
            </w14:solidFill>
          </w14:textFill>
        </w:rPr>
        <w:t>协商后确定）</w:t>
      </w:r>
    </w:p>
    <w:p w14:paraId="3B855D13">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甲  方：</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杭州市滨江区民政局</w:t>
      </w:r>
    </w:p>
    <w:p w14:paraId="7FD720B9">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乙  方：</w:t>
      </w:r>
    </w:p>
    <w:p w14:paraId="771793AC">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丙</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方：</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街道</w:t>
      </w:r>
    </w:p>
    <w:p w14:paraId="2A8A4F36">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经过公开</w:t>
      </w:r>
      <w:r>
        <w:rPr>
          <w:rFonts w:hint="eastAsia" w:ascii="仿宋" w:hAnsi="仿宋" w:eastAsia="仿宋" w:cs="仿宋"/>
          <w:color w:val="000000" w:themeColor="text1"/>
          <w:sz w:val="24"/>
          <w:szCs w:val="24"/>
          <w:highlight w:val="none"/>
          <w:lang w:val="en-US" w:eastAsia="zh-CN"/>
          <w14:textFill>
            <w14:solidFill>
              <w14:schemeClr w14:val="tx1"/>
            </w14:solidFill>
          </w14:textFill>
        </w:rPr>
        <w:t>征集</w:t>
      </w:r>
      <w:r>
        <w:rPr>
          <w:rFonts w:hint="eastAsia" w:ascii="仿宋" w:hAnsi="仿宋" w:eastAsia="仿宋" w:cs="仿宋"/>
          <w:color w:val="000000" w:themeColor="text1"/>
          <w:sz w:val="24"/>
          <w:szCs w:val="24"/>
          <w:highlight w:val="none"/>
          <w14:textFill>
            <w14:solidFill>
              <w14:schemeClr w14:val="tx1"/>
            </w14:solidFill>
          </w14:textFill>
        </w:rPr>
        <w:t>采购（编号：      ），确定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人，</w:t>
      </w:r>
      <w:r>
        <w:rPr>
          <w:rFonts w:hint="eastAsia" w:ascii="仿宋" w:hAnsi="仿宋" w:eastAsia="仿宋" w:cs="仿宋"/>
          <w:color w:val="000000" w:themeColor="text1"/>
          <w:sz w:val="24"/>
          <w:szCs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仿宋" w:hAnsi="仿宋" w:eastAsia="仿宋" w:cs="仿宋"/>
          <w:color w:val="000000" w:themeColor="text1"/>
          <w:sz w:val="24"/>
          <w:szCs w:val="24"/>
          <w:highlight w:val="none"/>
          <w14:textFill>
            <w14:solidFill>
              <w14:schemeClr w14:val="tx1"/>
            </w14:solidFill>
          </w14:textFill>
        </w:rPr>
        <w:t>甲乙</w:t>
      </w:r>
      <w:r>
        <w:rPr>
          <w:rFonts w:hint="eastAsia" w:ascii="仿宋" w:hAnsi="仿宋" w:eastAsia="仿宋" w:cs="仿宋"/>
          <w:color w:val="000000" w:themeColor="text1"/>
          <w:sz w:val="24"/>
          <w:szCs w:val="24"/>
          <w:highlight w:val="none"/>
          <w:lang w:eastAsia="zh-CN"/>
          <w14:textFill>
            <w14:solidFill>
              <w14:schemeClr w14:val="tx1"/>
            </w14:solidFill>
          </w14:textFill>
        </w:rPr>
        <w:t>丙三</w:t>
      </w:r>
      <w:r>
        <w:rPr>
          <w:rFonts w:hint="eastAsia" w:ascii="仿宋" w:hAnsi="仿宋" w:eastAsia="仿宋" w:cs="仿宋"/>
          <w:color w:val="000000" w:themeColor="text1"/>
          <w:sz w:val="24"/>
          <w:szCs w:val="24"/>
          <w:highlight w:val="none"/>
          <w14:textFill>
            <w14:solidFill>
              <w14:schemeClr w14:val="tx1"/>
            </w14:solidFill>
          </w14:textFill>
        </w:rPr>
        <w:t>方</w:t>
      </w:r>
      <w:r>
        <w:rPr>
          <w:rFonts w:hint="eastAsia" w:ascii="仿宋" w:hAnsi="仿宋" w:eastAsia="仿宋" w:cs="仿宋"/>
          <w:color w:val="000000" w:themeColor="text1"/>
          <w:sz w:val="24"/>
          <w:szCs w:val="24"/>
          <w:highlight w:val="none"/>
          <w:lang w:val="zh-CN"/>
          <w14:textFill>
            <w14:solidFill>
              <w14:schemeClr w14:val="tx1"/>
            </w14:solidFill>
          </w14:textFill>
        </w:rPr>
        <w:t>协商一致，约定以下合同</w:t>
      </w:r>
      <w:r>
        <w:rPr>
          <w:rFonts w:hint="eastAsia" w:ascii="仿宋" w:hAnsi="仿宋" w:eastAsia="仿宋" w:cs="仿宋"/>
          <w:color w:val="000000" w:themeColor="text1"/>
          <w:sz w:val="24"/>
          <w:szCs w:val="24"/>
          <w:highlight w:val="none"/>
          <w14:textFill>
            <w14:solidFill>
              <w14:schemeClr w14:val="tx1"/>
            </w14:solidFill>
          </w14:textFill>
        </w:rPr>
        <w:t>条款，以兹共同遵守、全面履行。</w:t>
      </w:r>
    </w:p>
    <w:p w14:paraId="4E649102">
      <w:pPr>
        <w:keepNext w:val="0"/>
        <w:keepLines w:val="0"/>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第一条</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14:textFill>
            <w14:solidFill>
              <w14:schemeClr w14:val="tx1"/>
            </w14:solidFill>
          </w14:textFill>
        </w:rPr>
        <w:t>合同概况</w:t>
      </w:r>
    </w:p>
    <w:p w14:paraId="0CCCDEE0">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甲方作为委托人，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丙方作为本街道辖区范围内的具体实施人，</w:t>
      </w:r>
      <w:r>
        <w:rPr>
          <w:rFonts w:hint="eastAsia" w:ascii="仿宋" w:hAnsi="仿宋" w:eastAsia="仿宋" w:cs="仿宋"/>
          <w:color w:val="000000" w:themeColor="text1"/>
          <w:kern w:val="0"/>
          <w:sz w:val="24"/>
          <w:szCs w:val="24"/>
          <w:highlight w:val="none"/>
          <w14:textFill>
            <w14:solidFill>
              <w14:schemeClr w14:val="tx1"/>
            </w14:solidFill>
          </w14:textFill>
        </w:rPr>
        <w:t>乙方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作为</w:t>
      </w:r>
      <w:r>
        <w:rPr>
          <w:rFonts w:hint="eastAsia" w:ascii="仿宋" w:hAnsi="仿宋" w:eastAsia="仿宋" w:cs="仿宋"/>
          <w:color w:val="000000" w:themeColor="text1"/>
          <w:kern w:val="0"/>
          <w:sz w:val="24"/>
          <w:szCs w:val="24"/>
          <w:highlight w:val="none"/>
          <w14:textFill>
            <w14:solidFill>
              <w14:schemeClr w14:val="tx1"/>
            </w14:solidFill>
          </w14:textFill>
        </w:rPr>
        <w:t>受委托人向甲方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、丙方</w:t>
      </w:r>
      <w:r>
        <w:rPr>
          <w:rFonts w:hint="eastAsia" w:ascii="仿宋" w:hAnsi="仿宋" w:eastAsia="仿宋" w:cs="仿宋"/>
          <w:color w:val="000000" w:themeColor="text1"/>
          <w:kern w:val="0"/>
          <w:sz w:val="24"/>
          <w:szCs w:val="24"/>
          <w:highlight w:val="none"/>
          <w14:textFill>
            <w14:solidFill>
              <w14:schemeClr w14:val="tx1"/>
            </w14:solidFill>
          </w14:textFill>
        </w:rPr>
        <w:t>提供服务，</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三方</w:t>
      </w:r>
      <w:r>
        <w:rPr>
          <w:rFonts w:hint="eastAsia" w:ascii="仿宋" w:hAnsi="仿宋" w:eastAsia="仿宋" w:cs="仿宋"/>
          <w:color w:val="000000" w:themeColor="text1"/>
          <w:kern w:val="0"/>
          <w:sz w:val="24"/>
          <w:szCs w:val="24"/>
          <w:highlight w:val="none"/>
          <w14:textFill>
            <w14:solidFill>
              <w14:schemeClr w14:val="tx1"/>
            </w14:solidFill>
          </w14:textFill>
        </w:rPr>
        <w:t>按照法律法规以及合同规定开展相关工作。</w:t>
      </w:r>
    </w:p>
    <w:p w14:paraId="0F8AAE77">
      <w:pPr>
        <w:keepNext w:val="0"/>
        <w:keepLines w:val="0"/>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第二条</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14:textFill>
            <w14:solidFill>
              <w14:schemeClr w14:val="tx1"/>
            </w14:solidFill>
          </w14:textFill>
        </w:rPr>
        <w:t>服务期限</w:t>
      </w:r>
    </w:p>
    <w:p w14:paraId="7B71485C">
      <w:pPr>
        <w:keepNext w:val="0"/>
        <w:keepLines w:val="0"/>
        <w:pageBreakBefore w:val="0"/>
        <w:kinsoku/>
        <w:overflowPunct/>
        <w:autoSpaceDE/>
        <w:autoSpaceDN/>
        <w:bidi w:val="0"/>
        <w:adjustRightInd w:val="0"/>
        <w:snapToGrid w:val="0"/>
        <w:spacing w:line="360" w:lineRule="auto"/>
        <w:ind w:firstLine="480" w:firstLineChars="20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本项目服务期两年，具体起止时间为2025年 月 日至2026年 月 日。合同一年一签，服务期内实行月度考核。服务期内乙方月度考核分出现两次85分（不含）以下的或满足“清退机制”条件之一的，甲方有权随时与乙方暂停服务终止合同，</w:t>
      </w:r>
      <w:r>
        <w:rPr>
          <w:rFonts w:hint="eastAsia" w:ascii="仿宋" w:hAnsi="仿宋" w:eastAsia="仿宋" w:cs="仿宋"/>
          <w:color w:val="000000" w:themeColor="text1"/>
          <w:kern w:val="0"/>
          <w:sz w:val="24"/>
          <w:szCs w:val="24"/>
          <w:highlight w:val="none"/>
          <w14:textFill>
            <w14:solidFill>
              <w14:schemeClr w14:val="tx1"/>
            </w14:solidFill>
          </w14:textFill>
        </w:rPr>
        <w:t>在服务期限，如</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kern w:val="0"/>
          <w:sz w:val="24"/>
          <w:szCs w:val="24"/>
          <w:highlight w:val="none"/>
          <w14:textFill>
            <w14:solidFill>
              <w14:schemeClr w14:val="tx1"/>
            </w14:solidFill>
          </w14:textFill>
        </w:rPr>
        <w:t>考核不通过的，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kern w:val="0"/>
          <w:sz w:val="24"/>
          <w:szCs w:val="24"/>
          <w:highlight w:val="none"/>
          <w14:textFill>
            <w14:solidFill>
              <w14:schemeClr w14:val="tx1"/>
            </w14:solidFill>
          </w14:textFill>
        </w:rPr>
        <w:t>有权无责终止合同履行，重新组织采购活动。</w:t>
      </w:r>
      <w:r>
        <w:rPr>
          <w:rFonts w:hint="eastAsia" w:ascii="仿宋" w:hAnsi="仿宋" w:eastAsia="仿宋" w:cs="仿宋"/>
          <w:color w:val="000000" w:themeColor="text1"/>
          <w:kern w:val="0"/>
          <w:sz w:val="24"/>
          <w:szCs w:val="24"/>
          <w:highlight w:val="none"/>
          <w14:textFill>
            <w14:solidFill>
              <w14:schemeClr w14:val="tx1"/>
            </w14:solidFill>
          </w14:textFill>
        </w:rPr>
        <w:br w:type="textWrapping"/>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第三条 </w:t>
      </w:r>
      <w:r>
        <w:rPr>
          <w:rFonts w:hint="eastAsia" w:ascii="仿宋" w:hAnsi="仿宋" w:eastAsia="仿宋" w:cs="仿宋"/>
          <w:b/>
          <w:bCs/>
          <w:color w:val="000000" w:themeColor="text1"/>
          <w:sz w:val="24"/>
          <w:szCs w:val="24"/>
          <w:highlight w:val="none"/>
          <w14:textFill>
            <w14:solidFill>
              <w14:schemeClr w14:val="tx1"/>
            </w14:solidFill>
          </w14:textFill>
        </w:rPr>
        <w:t>合同价格</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与形式</w:t>
      </w:r>
    </w:p>
    <w:p w14:paraId="267F4CFA">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固定单价</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35元/小时</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14:paraId="0D137350">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w:t>
      </w:r>
      <w:r>
        <w:rPr>
          <w:rFonts w:hint="eastAsia" w:ascii="仿宋" w:hAnsi="仿宋" w:eastAsia="仿宋" w:cs="仿宋"/>
          <w:bCs/>
          <w:color w:val="000000" w:themeColor="text1"/>
          <w:kern w:val="0"/>
          <w:sz w:val="24"/>
          <w:szCs w:val="24"/>
          <w:highlight w:val="none"/>
          <w14:textFill>
            <w14:solidFill>
              <w14:schemeClr w14:val="tx1"/>
            </w14:solidFill>
          </w14:textFill>
        </w:rPr>
        <w:t>以上合同价包含本项目实施所需的一切费用。</w:t>
      </w:r>
    </w:p>
    <w:p w14:paraId="02CB7777">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合同形式：固定</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单价</w:t>
      </w:r>
      <w:r>
        <w:rPr>
          <w:rFonts w:hint="eastAsia" w:ascii="仿宋" w:hAnsi="仿宋" w:eastAsia="仿宋" w:cs="仿宋"/>
          <w:bCs/>
          <w:color w:val="000000" w:themeColor="text1"/>
          <w:kern w:val="0"/>
          <w:sz w:val="24"/>
          <w:szCs w:val="24"/>
          <w:highlight w:val="none"/>
          <w14:textFill>
            <w14:solidFill>
              <w14:schemeClr w14:val="tx1"/>
            </w14:solidFill>
          </w14:textFill>
        </w:rPr>
        <w:t>合同。</w:t>
      </w:r>
    </w:p>
    <w:p w14:paraId="7BEDEB07">
      <w:pPr>
        <w:keepNext w:val="0"/>
        <w:keepLines w:val="0"/>
        <w:pageBreakBefore w:val="0"/>
        <w:numPr>
          <w:ilvl w:val="0"/>
          <w:numId w:val="6"/>
        </w:numPr>
        <w:kinsoku/>
        <w:overflowPunct/>
        <w:autoSpaceDE/>
        <w:autoSpaceDN/>
        <w:bidi w:val="0"/>
        <w:adjustRightInd w:val="0"/>
        <w:snapToGrid w:val="0"/>
        <w:spacing w:line="360" w:lineRule="auto"/>
        <w:ind w:firstLine="482" w:firstLineChars="200"/>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服务内容</w:t>
      </w:r>
    </w:p>
    <w:p w14:paraId="02CFE343">
      <w:pPr>
        <w:keepNext w:val="0"/>
        <w:keepLines w:val="0"/>
        <w:pageBreakBefore w:val="0"/>
        <w:widowControl w:val="0"/>
        <w:kinsoku/>
        <w:wordWrap/>
        <w:overflowPunct/>
        <w:topLinePunct w:val="0"/>
        <w:autoSpaceDE/>
        <w:autoSpaceDN/>
        <w:bidi w:val="0"/>
        <w:adjustRightInd w:val="0"/>
        <w:spacing w:line="500" w:lineRule="exact"/>
        <w:ind w:firstLine="482" w:firstLineChars="200"/>
        <w:jc w:val="left"/>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1.服务对象</w:t>
      </w:r>
    </w:p>
    <w:p w14:paraId="4B7E1758">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1.1享受</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养老服务补贴、养老护理补贴</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账户有重阳分的老年人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，采取电子积分</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（以下简称重阳分）</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的形式按月发放至老年人本人的</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爱心卡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专用账户中，以服务给付的方式用于日常生活照料、照护服务范围内的消费结算。</w:t>
      </w:r>
    </w:p>
    <w:p w14:paraId="2D290A36">
      <w:pPr>
        <w:keepNext w:val="0"/>
        <w:keepLines w:val="0"/>
        <w:pageBreakBefore w:val="0"/>
        <w:widowControl w:val="0"/>
        <w:kinsoku/>
        <w:wordWrap/>
        <w:overflowPunct/>
        <w:topLinePunct w:val="0"/>
        <w:autoSpaceDE/>
        <w:autoSpaceDN/>
        <w:bidi w:val="0"/>
        <w:adjustRightInd w:val="0"/>
        <w:spacing w:line="500" w:lineRule="exact"/>
        <w:ind w:firstLine="482" w:firstLineChars="200"/>
        <w:jc w:val="left"/>
        <w:textAlignment w:val="auto"/>
        <w:rPr>
          <w:rFonts w:hint="eastAsia" w:ascii="仿宋" w:hAnsi="仿宋" w:eastAsia="仿宋" w:cs="仿宋"/>
          <w:b/>
          <w:bCs/>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shd w:val="clear" w:color="auto" w:fill="auto"/>
          <w14:textFill>
            <w14:solidFill>
              <w14:schemeClr w14:val="tx1"/>
            </w14:solidFill>
          </w14:textFill>
        </w:rPr>
        <w:t>其他事项</w:t>
      </w:r>
    </w:p>
    <w:p w14:paraId="7E051F0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2.1</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人户分离的老年人，可由户籍地民政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部门</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委托居住地民政部门负责评估，</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重阳分</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发放按照户籍地民政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部门</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相关规定执行。</w:t>
      </w:r>
    </w:p>
    <w:p w14:paraId="7E14005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按规定实施老年人能力评估，首次评估费用由区财政资金保障。老年人再次评估或对评估结果有异议且复核评估维持原结果的，评估费用由老人自理，可使用</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重阳分</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抵扣。</w:t>
      </w:r>
    </w:p>
    <w:p w14:paraId="704668DB">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享受对象提供虚假材料或做虚假陈述经查实的，责令退回非法获取的津贴，并根据相关规定处理。</w:t>
      </w:r>
    </w:p>
    <w:p w14:paraId="6006544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老年人能力评估机构、</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中标人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和第三方运营监管机构（含满意度测评）应当进行相互回避，评估机构、</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中标人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和监管机构管理人不能为同一人或者不能存在直接控股、管理关系；同时回避直系亲属在同一行政区域从事养老服务的评估、监管、审核审批工作。</w:t>
      </w:r>
    </w:p>
    <w:p w14:paraId="5A8C150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bCs/>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shd w:val="clear" w:color="auto" w:fill="auto"/>
          <w14:textFill>
            <w14:solidFill>
              <w14:schemeClr w14:val="tx1"/>
            </w14:solidFill>
          </w14:textFill>
        </w:rPr>
        <w:t>服务</w:t>
      </w: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人员</w:t>
      </w:r>
      <w:r>
        <w:rPr>
          <w:rFonts w:hint="eastAsia" w:ascii="仿宋" w:hAnsi="仿宋" w:eastAsia="仿宋" w:cs="仿宋"/>
          <w:b/>
          <w:bCs/>
          <w:color w:val="000000" w:themeColor="text1"/>
          <w:sz w:val="24"/>
          <w:szCs w:val="24"/>
          <w:highlight w:val="none"/>
          <w:shd w:val="clear" w:color="auto" w:fill="auto"/>
          <w14:textFill>
            <w14:solidFill>
              <w14:schemeClr w14:val="tx1"/>
            </w14:solidFill>
          </w14:textFill>
        </w:rPr>
        <w:t>要求</w:t>
      </w:r>
    </w:p>
    <w:p w14:paraId="27BAEDD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基本要求</w:t>
      </w:r>
    </w:p>
    <w:p w14:paraId="44231A0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（1）具备合法的劳动从业资格；</w:t>
      </w:r>
    </w:p>
    <w:p w14:paraId="2147A1A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（2）信守职业道德，遵纪守法，熟悉居家养老服务程序和规范要求；</w:t>
      </w:r>
    </w:p>
    <w:p w14:paraId="2454814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（3）具有符合岗位要求的文化程度、健康状况证明及语言表达能力</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33E296AB">
      <w:pPr>
        <w:pStyle w:val="21"/>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（4）项目应标服务人员与实际服务人员需保持一致，不得更换，否则按考核条款作出相应处罚。</w:t>
      </w:r>
    </w:p>
    <w:p w14:paraId="41C60B13">
      <w:pPr>
        <w:pStyle w:val="21"/>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（5）服务人员数量要求：</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居家养老上门服务</w:t>
      </w:r>
      <w:r>
        <w:rPr>
          <w:rFonts w:hint="eastAsia" w:ascii="仿宋" w:hAnsi="仿宋" w:eastAsia="仿宋" w:cs="仿宋"/>
          <w:b w:val="0"/>
          <w:bCs w:val="0"/>
          <w:color w:val="000000" w:themeColor="text1"/>
          <w:sz w:val="24"/>
          <w:szCs w:val="24"/>
          <w:highlight w:val="none"/>
          <w14:textFill>
            <w14:solidFill>
              <w14:schemeClr w14:val="tx1"/>
            </w14:solidFill>
          </w14:textFill>
        </w:rPr>
        <w:t>配备负责人1名，</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居家养老上门服务配备负责人1名，每个街道配备站长1人，同时需配备持证护理员需不少于30人，其中护理员须具备养老护理员职业技能等级证书五级及以上且人员年龄均不得超过60周岁。</w:t>
      </w:r>
    </w:p>
    <w:p w14:paraId="5F899BC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管理人员</w:t>
      </w:r>
    </w:p>
    <w:p w14:paraId="6C9A7DE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（1）了解国家和行业主管部门有关居家养老服务的法律、法规和规定；</w:t>
      </w:r>
    </w:p>
    <w:p w14:paraId="459A953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（2）掌握企业管理、经营项目的有关专业知识及专业技术；</w:t>
      </w:r>
    </w:p>
    <w:p w14:paraId="361CAA0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（3）具有高中以上文化程度和一定年限的管理工作经历；</w:t>
      </w:r>
    </w:p>
    <w:p w14:paraId="0707E05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（4）每年至少参加1次以上管理培训活动。</w:t>
      </w:r>
    </w:p>
    <w:p w14:paraId="4F36F2C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项目应标负责人与实际服务负责人需保持一致，不得更换。</w:t>
      </w:r>
    </w:p>
    <w:p w14:paraId="758334D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居家养老服务</w:t>
      </w:r>
      <w:r>
        <w:rPr>
          <w:rFonts w:hint="eastAsia" w:ascii="仿宋" w:hAnsi="仿宋" w:eastAsia="仿宋" w:cs="仿宋"/>
          <w:color w:val="000000" w:themeColor="text1"/>
          <w:sz w:val="24"/>
          <w:szCs w:val="24"/>
          <w:highlight w:val="none"/>
          <w:lang w:eastAsia="zh-CN"/>
          <w14:textFill>
            <w14:solidFill>
              <w14:schemeClr w14:val="tx1"/>
            </w14:solidFill>
          </w14:textFill>
        </w:rPr>
        <w:t>人</w:t>
      </w:r>
      <w:r>
        <w:rPr>
          <w:rFonts w:hint="eastAsia" w:ascii="仿宋" w:hAnsi="仿宋" w:eastAsia="仿宋" w:cs="仿宋"/>
          <w:color w:val="000000" w:themeColor="text1"/>
          <w:sz w:val="24"/>
          <w:szCs w:val="24"/>
          <w:highlight w:val="none"/>
          <w14:textFill>
            <w14:solidFill>
              <w14:schemeClr w14:val="tx1"/>
            </w14:solidFill>
          </w14:textFill>
        </w:rPr>
        <w:t>员</w:t>
      </w:r>
    </w:p>
    <w:p w14:paraId="24C072C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（1）具备与服务内容相适应的岗位技能；</w:t>
      </w:r>
    </w:p>
    <w:p w14:paraId="039C647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（2）年龄在18周岁以上、60周岁以下，初中以上文化程度；</w:t>
      </w:r>
    </w:p>
    <w:p w14:paraId="355DA8A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（3）无精神病史和各类传染病；</w:t>
      </w:r>
    </w:p>
    <w:p w14:paraId="52A2361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（4）每年在岗培训不少于10学时</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1C356AC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（5）护理员上岗持证率100%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1914656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（6）所有服务员须配备智能手机上岗。</w:t>
      </w:r>
    </w:p>
    <w:p w14:paraId="20A4D89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行为规范</w:t>
      </w:r>
    </w:p>
    <w:p w14:paraId="47A82E1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（1）仪表仪容端庄、大方、整洁；</w:t>
      </w:r>
    </w:p>
    <w:p w14:paraId="0E2A5F5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（2）统一着装、配备工号牌；</w:t>
      </w:r>
    </w:p>
    <w:p w14:paraId="7FBA8BC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（3）提倡使用普通话，语言文明、简洁、清晰；</w:t>
      </w:r>
    </w:p>
    <w:p w14:paraId="4FEBCDF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（4）主动服务，符合相应岗位的服务礼仪规范；</w:t>
      </w:r>
    </w:p>
    <w:p w14:paraId="70E7378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（5）尊老敬老，对老年人富有爱心。</w:t>
      </w:r>
    </w:p>
    <w:p w14:paraId="5197E89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服务规范</w:t>
      </w:r>
    </w:p>
    <w:p w14:paraId="39192D6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基本要求</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eastAsia="zh-CN"/>
          <w14:textFill>
            <w14:solidFill>
              <w14:schemeClr w14:val="tx1"/>
            </w14:solidFill>
          </w14:textFill>
        </w:rPr>
        <w:t>老人</w:t>
      </w:r>
      <w:r>
        <w:rPr>
          <w:rFonts w:hint="eastAsia" w:ascii="仿宋" w:hAnsi="仿宋" w:eastAsia="仿宋" w:cs="仿宋"/>
          <w:color w:val="000000" w:themeColor="text1"/>
          <w:sz w:val="24"/>
          <w:szCs w:val="24"/>
          <w:highlight w:val="none"/>
          <w14:textFill>
            <w14:solidFill>
              <w14:schemeClr w14:val="tx1"/>
            </w14:solidFill>
          </w14:textFill>
        </w:rPr>
        <w:t>的需求，合理分工服务人员，制订服务计划，明确服务内容。</w:t>
      </w:r>
    </w:p>
    <w:p w14:paraId="07609DE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与服务对象签订服务协议，签约率100%；</w:t>
      </w:r>
    </w:p>
    <w:p w14:paraId="7E4B6B2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）制定上门</w:t>
      </w:r>
      <w:r>
        <w:rPr>
          <w:rFonts w:hint="eastAsia" w:ascii="仿宋" w:hAnsi="仿宋" w:eastAsia="仿宋" w:cs="仿宋"/>
          <w:color w:val="000000" w:themeColor="text1"/>
          <w:sz w:val="24"/>
          <w:szCs w:val="24"/>
          <w:highlight w:val="none"/>
          <w14:textFill>
            <w14:solidFill>
              <w14:schemeClr w14:val="tx1"/>
            </w14:solidFill>
          </w14:textFill>
        </w:rPr>
        <w:t>服务</w:t>
      </w:r>
      <w:r>
        <w:rPr>
          <w:rFonts w:hint="eastAsia" w:ascii="仿宋" w:hAnsi="仿宋" w:eastAsia="仿宋" w:cs="仿宋"/>
          <w:color w:val="000000" w:themeColor="text1"/>
          <w:sz w:val="24"/>
          <w:szCs w:val="24"/>
          <w:highlight w:val="none"/>
          <w:lang w:eastAsia="zh-CN"/>
          <w14:textFill>
            <w14:solidFill>
              <w14:schemeClr w14:val="tx1"/>
            </w14:solidFill>
          </w14:textFill>
        </w:rPr>
        <w:t>方案（含上门服务应急预案等）</w:t>
      </w:r>
      <w:r>
        <w:rPr>
          <w:rFonts w:hint="eastAsia" w:ascii="仿宋" w:hAnsi="仿宋" w:eastAsia="仿宋" w:cs="仿宋"/>
          <w:color w:val="000000" w:themeColor="text1"/>
          <w:sz w:val="24"/>
          <w:szCs w:val="24"/>
          <w:highlight w:val="none"/>
          <w14:textFill>
            <w14:solidFill>
              <w14:schemeClr w14:val="tx1"/>
            </w14:solidFill>
          </w14:textFill>
        </w:rPr>
        <w:t>；</w:t>
      </w:r>
    </w:p>
    <w:p w14:paraId="5A548B9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定期进行检查，并记录检查结果（包含内容、时间、地点、人员、落实情况等）；</w:t>
      </w:r>
    </w:p>
    <w:p w14:paraId="2A38408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为老年人提供的服务完成率达100%，老年人或监护人满意率≧95%；</w:t>
      </w:r>
    </w:p>
    <w:p w14:paraId="06B579E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1.2服务流程</w:t>
      </w:r>
    </w:p>
    <w:p w14:paraId="3AA6D58A">
      <w:pPr>
        <w:pStyle w:val="78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（1）乙方与所在服务的街道对接，根据街道提供的新增上门服务老人名单进行服务。首次上门，服务人员需与社区沟通、同时在社工陪同下上门。</w:t>
      </w:r>
    </w:p>
    <w:p w14:paraId="0DCD604B">
      <w:pPr>
        <w:pStyle w:val="21"/>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（2）本项目由甲方组织第三方监管单位通过杭州市“互联网+养老”平台进行监管，要求乙方严格按照甲方的服务流程及要求进行服务，实际服务时间以监管平台显示的时间为准。具体服务流程如下：</w:t>
      </w:r>
    </w:p>
    <w:p w14:paraId="2D13756A">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上门服务前的准备</w:t>
      </w:r>
    </w:p>
    <w:p w14:paraId="2F296274">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（1）对老人基本状况有一个较深入的了解</w:t>
      </w:r>
    </w:p>
    <w:p w14:paraId="7FE88AB3">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（2）通过电话与老人确认服务时间，了解老人的需求，确定每次服务的内容。</w:t>
      </w:r>
    </w:p>
    <w:p w14:paraId="0734C689">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（3）确定上门服务的服务人员</w:t>
      </w:r>
    </w:p>
    <w:p w14:paraId="6750B214">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（4）服务人员准备上门服务</w:t>
      </w:r>
    </w:p>
    <w:p w14:paraId="7D6D32C8">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上门服务的过程</w:t>
      </w:r>
    </w:p>
    <w:p w14:paraId="5A55A21F">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（1）服务人员穿工作服、佩戴工作卡上门服务</w:t>
      </w:r>
    </w:p>
    <w:p w14:paraId="1D76E2B3">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（2）轻敲三下门，等待服务对象或其家人开门。做自我介绍并说明来意。</w:t>
      </w:r>
    </w:p>
    <w:p w14:paraId="1F19C1F3">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（3）确定服务内容和需要的服务时间；</w:t>
      </w:r>
    </w:p>
    <w:p w14:paraId="27222610">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（4）讲明需要用市民卡进行结算；</w:t>
      </w:r>
    </w:p>
    <w:p w14:paraId="0F79C91D">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（5）确定老人家中财物的摆放和数量；</w:t>
      </w:r>
    </w:p>
    <w:p w14:paraId="676EAFB5">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（6）开展服务时需保持良好的服务态度，并保持微笑，使用敬语。</w:t>
      </w:r>
    </w:p>
    <w:p w14:paraId="4A6F9F3E">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（7）服务人员严格按照服务要求足时完成相应服务。</w:t>
      </w:r>
    </w:p>
    <w:p w14:paraId="507D4AFF">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上门服务的结算</w:t>
      </w:r>
    </w:p>
    <w:p w14:paraId="54B5DDD2">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（1）请老人拿出市民卡；</w:t>
      </w:r>
    </w:p>
    <w:p w14:paraId="6A445B6F">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（2）POS机上操作结束服务，根据POS机所示服务时间及结算金额，向老人进行说明和核实；</w:t>
      </w:r>
    </w:p>
    <w:p w14:paraId="605F12BA">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（3）刷市民卡进行结算并打印小票交与老人或其家属；</w:t>
      </w:r>
    </w:p>
    <w:p w14:paraId="69900162">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（4）向老人或其家属说明和解释小票内容，提醒市民卡重阳分剩余分数；</w:t>
      </w:r>
    </w:p>
    <w:p w14:paraId="722768AF">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结束后请服务人员带好随身工具物品离开老人家里。</w:t>
      </w:r>
    </w:p>
    <w:p w14:paraId="72B86EFF">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default"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none"/>
          <w:lang w:val="en-US" w:eastAsia="zh-CN" w:bidi="ar-SA"/>
          <w14:textFill>
            <w14:solidFill>
              <w14:schemeClr w14:val="tx1"/>
            </w14:solidFill>
          </w14:textFill>
        </w:rPr>
        <w:t>第五条 解除合同</w:t>
      </w:r>
    </w:p>
    <w:p w14:paraId="4BAE99FE">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spacing w:val="0"/>
          <w:kern w:val="2"/>
          <w:sz w:val="24"/>
          <w:szCs w:val="24"/>
          <w:highlight w:val="none"/>
          <w:lang w:val="en-US" w:eastAsia="zh-CN" w:bidi="ar-SA"/>
          <w14:textFill>
            <w14:solidFill>
              <w14:schemeClr w14:val="tx1"/>
            </w14:solidFill>
          </w14:textFill>
        </w:rPr>
        <w:t>1.有下列情形之一的，</w:t>
      </w:r>
      <w:r>
        <w:rPr>
          <w:rFonts w:hint="eastAsia" w:ascii="仿宋" w:hAnsi="仿宋" w:eastAsia="仿宋" w:cs="仿宋"/>
          <w:color w:val="000000" w:themeColor="text1"/>
          <w:kern w:val="0"/>
          <w:sz w:val="24"/>
          <w:highlight w:val="none"/>
          <w:lang w:eastAsia="zh-CN"/>
          <w14:textFill>
            <w14:solidFill>
              <w14:schemeClr w14:val="tx1"/>
            </w14:solidFill>
          </w14:textFill>
        </w:rPr>
        <w:t>采购合同的三方当事人可以解除合同：</w:t>
      </w:r>
    </w:p>
    <w:p w14:paraId="3D53BBD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因不可抗力致使不能实现合同目的；</w:t>
      </w:r>
    </w:p>
    <w:p w14:paraId="7071DE2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1.2</w:t>
      </w:r>
      <w:r>
        <w:rPr>
          <w:rFonts w:hint="eastAsia" w:ascii="仿宋" w:hAnsi="仿宋" w:eastAsia="仿宋" w:cs="仿宋"/>
          <w:color w:val="000000" w:themeColor="text1"/>
          <w:kern w:val="0"/>
          <w:sz w:val="24"/>
          <w:highlight w:val="none"/>
          <w:lang w:eastAsia="zh-CN"/>
          <w14:textFill>
            <w14:solidFill>
              <w14:schemeClr w14:val="tx1"/>
            </w14:solidFill>
          </w14:textFill>
        </w:rPr>
        <w:t xml:space="preserve">在履行期限届满之前，乙方明确表示或者以自己的行为表示不履行主要义务； </w:t>
      </w:r>
    </w:p>
    <w:p w14:paraId="58B4D23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1.3</w:t>
      </w:r>
      <w:r>
        <w:rPr>
          <w:rFonts w:hint="eastAsia" w:ascii="仿宋" w:hAnsi="仿宋" w:eastAsia="仿宋" w:cs="仿宋"/>
          <w:color w:val="000000" w:themeColor="text1"/>
          <w:kern w:val="0"/>
          <w:sz w:val="24"/>
          <w:highlight w:val="none"/>
          <w:lang w:eastAsia="zh-CN"/>
          <w14:textFill>
            <w14:solidFill>
              <w14:schemeClr w14:val="tx1"/>
            </w14:solidFill>
          </w14:textFill>
        </w:rPr>
        <w:t>乙方迟延履行主要义务，经催告后在合理期限内仍未履行；</w:t>
      </w:r>
    </w:p>
    <w:p w14:paraId="45F5F6F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1.4</w:t>
      </w:r>
      <w:r>
        <w:rPr>
          <w:rFonts w:hint="eastAsia" w:ascii="仿宋" w:hAnsi="仿宋" w:eastAsia="仿宋" w:cs="仿宋"/>
          <w:color w:val="000000" w:themeColor="text1"/>
          <w:kern w:val="0"/>
          <w:sz w:val="24"/>
          <w:highlight w:val="none"/>
          <w:lang w:eastAsia="zh-CN"/>
          <w14:textFill>
            <w14:solidFill>
              <w14:schemeClr w14:val="tx1"/>
            </w14:solidFill>
          </w14:textFill>
        </w:rPr>
        <w:t xml:space="preserve">乙方迟延履行义务或者有其他违约行为致使不能实现合同目的； </w:t>
      </w:r>
    </w:p>
    <w:p w14:paraId="0080476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lang w:eastAsia="zh-CN"/>
          <w14:textFill>
            <w14:solidFill>
              <w14:schemeClr w14:val="tx1"/>
            </w14:solidFill>
          </w14:textFill>
        </w:rPr>
        <w:t>乙方转包，或者未经甲方同意采取分包方式履行合同；</w:t>
      </w:r>
    </w:p>
    <w:p w14:paraId="64A8D10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1.6乙方及其工作人员</w:t>
      </w:r>
      <w:r>
        <w:rPr>
          <w:rFonts w:hint="default" w:ascii="仿宋" w:hAnsi="仿宋" w:eastAsia="仿宋" w:cs="仿宋"/>
          <w:color w:val="000000" w:themeColor="text1"/>
          <w:kern w:val="0"/>
          <w:sz w:val="24"/>
          <w:highlight w:val="none"/>
          <w:lang w:eastAsia="zh-CN"/>
          <w14:textFill>
            <w14:solidFill>
              <w14:schemeClr w14:val="tx1"/>
            </w14:solidFill>
          </w14:textFill>
        </w:rPr>
        <w:t>发生欺老虐老情况的</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1DFFA6B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1.7乙方虚假承诺，未履行投标文件中承诺的；</w:t>
      </w:r>
    </w:p>
    <w:p w14:paraId="7C47F71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1.8乙方拖欠员工工资，工资发放不及时的；</w:t>
      </w:r>
    </w:p>
    <w:p w14:paraId="78DD58F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1.9乙方</w:t>
      </w:r>
      <w:r>
        <w:rPr>
          <w:rFonts w:hint="eastAsia" w:ascii="仿宋" w:hAnsi="仿宋" w:eastAsia="仿宋" w:cs="仿宋"/>
          <w:color w:val="000000" w:themeColor="text1"/>
          <w:kern w:val="0"/>
          <w:sz w:val="24"/>
          <w:highlight w:val="none"/>
          <w:lang w:eastAsia="zh-CN"/>
          <w14:textFill>
            <w14:solidFill>
              <w14:schemeClr w14:val="tx1"/>
            </w14:solidFill>
          </w14:textFill>
        </w:rPr>
        <w:t>不按规定提供服务、不执行运行补助情况等虚假违规行为的</w:t>
      </w:r>
      <w:r>
        <w:rPr>
          <w:rFonts w:hint="default" w:ascii="仿宋" w:hAnsi="仿宋" w:eastAsia="仿宋" w:cs="仿宋"/>
          <w:color w:val="000000" w:themeColor="text1"/>
          <w:kern w:val="0"/>
          <w:sz w:val="24"/>
          <w:highlight w:val="none"/>
          <w:lang w:eastAsia="zh-CN"/>
          <w14:textFill>
            <w14:solidFill>
              <w14:schemeClr w14:val="tx1"/>
            </w14:solidFill>
          </w14:textFill>
        </w:rPr>
        <w:t>；</w:t>
      </w:r>
    </w:p>
    <w:p w14:paraId="1DE7832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1.10</w:t>
      </w:r>
      <w:r>
        <w:rPr>
          <w:rFonts w:hint="default" w:ascii="仿宋" w:hAnsi="仿宋" w:eastAsia="仿宋" w:cs="仿宋"/>
          <w:color w:val="000000" w:themeColor="text1"/>
          <w:kern w:val="0"/>
          <w:sz w:val="24"/>
          <w:highlight w:val="none"/>
          <w:lang w:eastAsia="zh-CN"/>
          <w14:textFill>
            <w14:solidFill>
              <w14:schemeClr w14:val="tx1"/>
            </w14:solidFill>
          </w14:textFill>
        </w:rPr>
        <w:t>发生重大安全责任事故或存在重大安全隐患</w:t>
      </w:r>
      <w:r>
        <w:rPr>
          <w:rFonts w:hint="eastAsia" w:ascii="仿宋" w:hAnsi="仿宋" w:eastAsia="仿宋" w:cs="仿宋"/>
          <w:color w:val="000000" w:themeColor="text1"/>
          <w:kern w:val="0"/>
          <w:sz w:val="24"/>
          <w:highlight w:val="none"/>
          <w:lang w:val="en-US" w:eastAsia="zh-CN"/>
          <w14:textFill>
            <w14:solidFill>
              <w14:schemeClr w14:val="tx1"/>
            </w14:solidFill>
          </w14:textFill>
        </w:rPr>
        <w:t>被职能部门勒令停业</w:t>
      </w:r>
      <w:r>
        <w:rPr>
          <w:rFonts w:hint="default" w:ascii="仿宋" w:hAnsi="仿宋" w:eastAsia="仿宋" w:cs="仿宋"/>
          <w:color w:val="000000" w:themeColor="text1"/>
          <w:kern w:val="0"/>
          <w:sz w:val="24"/>
          <w:highlight w:val="none"/>
          <w:lang w:eastAsia="zh-CN"/>
          <w14:textFill>
            <w14:solidFill>
              <w14:schemeClr w14:val="tx1"/>
            </w14:solidFill>
          </w14:textFill>
        </w:rPr>
        <w:t>的；</w:t>
      </w:r>
    </w:p>
    <w:p w14:paraId="009564B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1.11</w:t>
      </w:r>
      <w:r>
        <w:rPr>
          <w:rFonts w:hint="eastAsia" w:ascii="仿宋" w:hAnsi="仿宋" w:eastAsia="仿宋" w:cs="仿宋"/>
          <w:color w:val="000000" w:themeColor="text1"/>
          <w:kern w:val="0"/>
          <w:sz w:val="24"/>
          <w:highlight w:val="none"/>
          <w:lang w:eastAsia="zh-CN"/>
          <w14:textFill>
            <w14:solidFill>
              <w14:schemeClr w14:val="tx1"/>
            </w14:solidFill>
          </w14:textFill>
        </w:rPr>
        <w:t>违约金达到合同约定的最高限额；</w:t>
      </w:r>
    </w:p>
    <w:p w14:paraId="76F6903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1.12</w:t>
      </w:r>
      <w:r>
        <w:rPr>
          <w:rFonts w:hint="eastAsia" w:ascii="仿宋" w:hAnsi="仿宋" w:eastAsia="仿宋" w:cs="仿宋"/>
          <w:color w:val="000000" w:themeColor="text1"/>
          <w:kern w:val="0"/>
          <w:sz w:val="24"/>
          <w:highlight w:val="none"/>
          <w:lang w:eastAsia="zh-CN"/>
          <w14:textFill>
            <w14:solidFill>
              <w14:schemeClr w14:val="tx1"/>
            </w14:solidFill>
          </w14:textFill>
        </w:rPr>
        <w:t>法律法规规定的其他情形。</w:t>
      </w:r>
    </w:p>
    <w:p w14:paraId="6FB57A3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2.甲方解除合同的，合同于甲方发出书面解除合同通知书送达乙方之日起解除。乙方应在合同解除后</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10</w:t>
      </w:r>
      <w:r>
        <w:rPr>
          <w:rFonts w:hint="eastAsia" w:ascii="仿宋" w:hAnsi="仿宋" w:eastAsia="仿宋" w:cs="仿宋"/>
          <w:color w:val="000000" w:themeColor="text1"/>
          <w:kern w:val="0"/>
          <w:sz w:val="24"/>
          <w:highlight w:val="none"/>
          <w:lang w:eastAsia="zh-CN"/>
          <w14:textFill>
            <w14:solidFill>
              <w14:schemeClr w14:val="tx1"/>
            </w14:solidFill>
          </w14:textFill>
        </w:rPr>
        <w:t>日内退还甲方已支付的合同款，逾期退还合同款的，每日按未退还金额的</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 xml:space="preserve"> 1 %</w:t>
      </w:r>
      <w:r>
        <w:rPr>
          <w:rFonts w:hint="eastAsia" w:ascii="仿宋" w:hAnsi="仿宋" w:eastAsia="仿宋" w:cs="仿宋"/>
          <w:color w:val="000000" w:themeColor="text1"/>
          <w:kern w:val="0"/>
          <w:sz w:val="24"/>
          <w:highlight w:val="none"/>
          <w:lang w:eastAsia="zh-CN"/>
          <w14:textFill>
            <w14:solidFill>
              <w14:schemeClr w14:val="tx1"/>
            </w14:solidFill>
          </w14:textFill>
        </w:rPr>
        <w:t>支付违约金。</w:t>
      </w:r>
    </w:p>
    <w:p w14:paraId="3539D20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3.因乙方的原因导致合同解除，给甲方造成损失的，乙方应予以赔偿，赔偿事宜三方协商确定。</w:t>
      </w:r>
    </w:p>
    <w:p w14:paraId="4779A34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lang w:eastAsia="zh-CN"/>
          <w14:textFill>
            <w14:solidFill>
              <w14:schemeClr w14:val="tx1"/>
            </w14:solidFill>
          </w14:textFill>
        </w:rPr>
        <w:t>.解除合同的，应当报同级财政部门备案。</w:t>
      </w:r>
    </w:p>
    <w:p w14:paraId="2057277A">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textAlignment w:val="baseline"/>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第六条 </w:t>
      </w:r>
      <w:r>
        <w:rPr>
          <w:rFonts w:hint="eastAsia" w:ascii="仿宋" w:hAnsi="仿宋" w:eastAsia="仿宋" w:cs="仿宋"/>
          <w:b/>
          <w:color w:val="000000" w:themeColor="text1"/>
          <w:sz w:val="24"/>
          <w:szCs w:val="24"/>
          <w:highlight w:val="none"/>
          <w14:textFill>
            <w14:solidFill>
              <w14:schemeClr w14:val="tx1"/>
            </w14:solidFill>
          </w14:textFill>
        </w:rPr>
        <w:t>资金拨付方式</w:t>
      </w:r>
    </w:p>
    <w:p w14:paraId="5F953E5E">
      <w:pPr>
        <w:widowControl/>
        <w:wordWrap w:val="0"/>
        <w:topLinePunct/>
        <w:snapToGrid w:val="0"/>
        <w:spacing w:line="360" w:lineRule="auto"/>
        <w:ind w:firstLine="482"/>
        <w:jc w:val="left"/>
        <w:textAlignment w:val="baseline"/>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1.甲方和所服务的街社核实每月服务明细后由街社进行支付。</w:t>
      </w:r>
    </w:p>
    <w:p w14:paraId="0CCF6580">
      <w:pPr>
        <w:keepNext w:val="0"/>
        <w:keepLines w:val="0"/>
        <w:pageBreakBefore w:val="0"/>
        <w:widowControl/>
        <w:kinsoku/>
        <w:wordWrap w:val="0"/>
        <w:overflowPunct/>
        <w:topLinePunct/>
        <w:autoSpaceDE/>
        <w:autoSpaceDN/>
        <w:bidi w:val="0"/>
        <w:snapToGrid w:val="0"/>
        <w:spacing w:line="360" w:lineRule="auto"/>
        <w:ind w:firstLine="480" w:firstLineChars="200"/>
        <w:jc w:val="left"/>
        <w:textAlignment w:val="baseline"/>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2.本项目每月按照实际服务时间进行结算。</w:t>
      </w:r>
    </w:p>
    <w:p w14:paraId="0AF6ECD7">
      <w:pPr>
        <w:widowControl/>
        <w:wordWrap w:val="0"/>
        <w:topLinePunct/>
        <w:snapToGrid w:val="0"/>
        <w:spacing w:line="360" w:lineRule="auto"/>
        <w:ind w:firstLine="482"/>
        <w:jc w:val="left"/>
        <w:textAlignment w:val="baseline"/>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3.由乙方每月按实际发生的各项服务时间，凭乙方开具的正式发票和员工工资发放凭证复印件，向所服务的街道进行结算。</w:t>
      </w:r>
    </w:p>
    <w:p w14:paraId="7FEF4022">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0"/>
          <w:kern w:val="2"/>
          <w:sz w:val="24"/>
          <w:szCs w:val="24"/>
          <w:highlight w:val="none"/>
          <w:lang w:val="en-US" w:eastAsia="zh-CN" w:bidi="ar-SA"/>
          <w14:textFill>
            <w14:solidFill>
              <w14:schemeClr w14:val="tx1"/>
            </w14:solidFill>
          </w14:textFill>
        </w:rPr>
        <w:t>4.如省市要求有变化，甲方要求更换资金结算支付方式的，需改用甲方要求的支付方式，具体以双方协商为准。</w:t>
      </w:r>
    </w:p>
    <w:p w14:paraId="1B88A86F">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textAlignment w:val="baseline"/>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第七条 </w:t>
      </w:r>
      <w:r>
        <w:rPr>
          <w:rFonts w:hint="eastAsia" w:ascii="仿宋" w:hAnsi="仿宋" w:eastAsia="仿宋" w:cs="仿宋"/>
          <w:b/>
          <w:color w:val="000000" w:themeColor="text1"/>
          <w:sz w:val="24"/>
          <w:szCs w:val="24"/>
          <w:highlight w:val="none"/>
          <w14:textFill>
            <w14:solidFill>
              <w14:schemeClr w14:val="tx1"/>
            </w14:solidFill>
          </w14:textFill>
        </w:rPr>
        <w:t>转让和分包</w:t>
      </w:r>
    </w:p>
    <w:p w14:paraId="3E4D1E83">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本项目不得以任何形式进行转包和分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包。</w:t>
      </w:r>
    </w:p>
    <w:p w14:paraId="5D14B523">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第</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4"/>
          <w:highlight w:val="none"/>
          <w:lang w:eastAsia="zh-CN"/>
          <w14:textFill>
            <w14:solidFill>
              <w14:schemeClr w14:val="tx1"/>
            </w14:solidFill>
          </w14:textFill>
        </w:rPr>
        <w:t>条</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eastAsia="zh-CN"/>
          <w14:textFill>
            <w14:solidFill>
              <w14:schemeClr w14:val="tx1"/>
            </w14:solidFill>
          </w14:textFill>
        </w:rPr>
        <w:t>三方</w:t>
      </w:r>
      <w:r>
        <w:rPr>
          <w:rFonts w:hint="eastAsia" w:ascii="仿宋" w:hAnsi="仿宋" w:eastAsia="仿宋" w:cs="仿宋"/>
          <w:b/>
          <w:bCs/>
          <w:color w:val="000000" w:themeColor="text1"/>
          <w:sz w:val="24"/>
          <w:szCs w:val="24"/>
          <w:highlight w:val="none"/>
          <w14:textFill>
            <w14:solidFill>
              <w14:schemeClr w14:val="tx1"/>
            </w14:solidFill>
          </w14:textFill>
        </w:rPr>
        <w:t>权利和义务</w:t>
      </w:r>
    </w:p>
    <w:p w14:paraId="3A97E72B">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1.甲方权利和义务</w:t>
      </w:r>
    </w:p>
    <w:p w14:paraId="7E7FF8FC">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1.1甲方负责本项目的组织实施、监督管理、政策宣传推广、服务保障等工作。</w:t>
      </w:r>
    </w:p>
    <w:p w14:paraId="3713FED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甲方有权随时向乙方了解项目进度</w:t>
      </w:r>
      <w:r>
        <w:rPr>
          <w:rFonts w:hint="eastAsia" w:ascii="仿宋" w:hAnsi="仿宋" w:eastAsia="仿宋" w:cs="仿宋"/>
          <w:color w:val="000000" w:themeColor="text1"/>
          <w:sz w:val="24"/>
          <w:szCs w:val="24"/>
          <w:highlight w:val="none"/>
          <w:lang w:eastAsia="zh-CN"/>
          <w14:textFill>
            <w14:solidFill>
              <w14:schemeClr w14:val="tx1"/>
            </w14:solidFill>
          </w14:textFill>
        </w:rPr>
        <w:t>、运行情况</w:t>
      </w:r>
      <w:r>
        <w:rPr>
          <w:rFonts w:hint="eastAsia" w:ascii="仿宋" w:hAnsi="仿宋" w:eastAsia="仿宋" w:cs="仿宋"/>
          <w:color w:val="000000" w:themeColor="text1"/>
          <w:sz w:val="24"/>
          <w:szCs w:val="24"/>
          <w:highlight w:val="none"/>
          <w14:textFill>
            <w14:solidFill>
              <w14:schemeClr w14:val="tx1"/>
            </w14:solidFill>
          </w14:textFill>
        </w:rPr>
        <w:t>，并要求乙方提供项目相关资料。</w:t>
      </w:r>
    </w:p>
    <w:p w14:paraId="19D089D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甲方有权对项目资金使用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服务质量</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情况进行</w:t>
      </w:r>
      <w:r>
        <w:rPr>
          <w:rFonts w:hint="eastAsia" w:ascii="仿宋" w:hAnsi="仿宋" w:eastAsia="仿宋" w:cs="仿宋"/>
          <w:color w:val="000000" w:themeColor="text1"/>
          <w:sz w:val="24"/>
          <w:szCs w:val="24"/>
          <w:highlight w:val="none"/>
          <w:lang w:eastAsia="zh-CN"/>
          <w14:textFill>
            <w14:solidFill>
              <w14:schemeClr w14:val="tx1"/>
            </w14:solidFill>
          </w14:textFill>
        </w:rPr>
        <w:t>审核、</w:t>
      </w:r>
      <w:r>
        <w:rPr>
          <w:rFonts w:hint="eastAsia" w:ascii="仿宋" w:hAnsi="仿宋" w:eastAsia="仿宋" w:cs="仿宋"/>
          <w:color w:val="000000" w:themeColor="text1"/>
          <w:sz w:val="24"/>
          <w:szCs w:val="24"/>
          <w:highlight w:val="none"/>
          <w14:textFill>
            <w14:solidFill>
              <w14:schemeClr w14:val="tx1"/>
            </w14:solidFill>
          </w14:textFill>
        </w:rPr>
        <w:t>监督、检查，并要求乙方提供相关资料。</w:t>
      </w:r>
    </w:p>
    <w:p w14:paraId="5691ED5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60CEF4D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甲方有权在乙方履行合同过程中出现损害或可能损害公共利益、公共安全情形时终止本合同。</w:t>
      </w:r>
    </w:p>
    <w:p w14:paraId="25E0ACC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甲方有权根据国家政策或法律法规的变动对服务项目的需求标准和质量要求作出相应变动或者取消项目。</w:t>
      </w:r>
    </w:p>
    <w:p w14:paraId="2CDFEE07">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w:t>
      </w:r>
      <w:r>
        <w:rPr>
          <w:rFonts w:hint="eastAsia" w:ascii="仿宋" w:hAnsi="仿宋" w:eastAsia="仿宋" w:cs="仿宋"/>
          <w:color w:val="000000" w:themeColor="text1"/>
          <w:sz w:val="24"/>
          <w:szCs w:val="24"/>
          <w:highlight w:val="none"/>
          <w14:textFill>
            <w14:solidFill>
              <w14:schemeClr w14:val="tx1"/>
            </w14:solidFill>
          </w14:textFill>
        </w:rPr>
        <w:t>甲方有权将乙方履行合同情况及不符合政府购买服务管理规定情况，向相关部门报告并纳入不良信用记录、年检（报）、评估、执法等监管体系中。</w:t>
      </w:r>
    </w:p>
    <w:p w14:paraId="513D355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t>甲方应及时向乙方提供与履行本合同相关的所有必须的文件、资料。</w:t>
      </w:r>
    </w:p>
    <w:p w14:paraId="2A3D16A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甲方应为乙方履行本合同过程中与相关政府部门及其他第三方的沟通、协调提供必要的协助。</w:t>
      </w:r>
    </w:p>
    <w:p w14:paraId="509C428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1.10</w:t>
      </w:r>
      <w:r>
        <w:rPr>
          <w:rFonts w:hint="eastAsia" w:ascii="仿宋" w:hAnsi="仿宋" w:eastAsia="仿宋" w:cs="仿宋"/>
          <w:color w:val="000000" w:themeColor="text1"/>
          <w:sz w:val="24"/>
          <w:szCs w:val="24"/>
          <w:highlight w:val="none"/>
          <w14:textFill>
            <w14:solidFill>
              <w14:schemeClr w14:val="tx1"/>
            </w14:solidFill>
          </w14:textFill>
        </w:rPr>
        <w:t>甲方应按照合同约定支付服务费用。</w:t>
      </w:r>
    </w:p>
    <w:p w14:paraId="372DB121">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乙方的权利和义务</w:t>
      </w:r>
    </w:p>
    <w:p w14:paraId="5A06B8F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乙方有权按照本合同约定向甲方收取服务费用。</w:t>
      </w:r>
    </w:p>
    <w:p w14:paraId="69CADE9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乙方有权自甲方</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处获得与提供本合同项下服务相关的所有必须的文件、资料。</w:t>
      </w:r>
    </w:p>
    <w:p w14:paraId="7925C103">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乙方应配备具有相应资质、特定经验的工作人员负责项目实施，组建的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成员应</w:t>
      </w:r>
      <w:r>
        <w:rPr>
          <w:rFonts w:hint="eastAsia" w:ascii="仿宋" w:hAnsi="仿宋" w:eastAsia="仿宋" w:cs="仿宋"/>
          <w:color w:val="000000" w:themeColor="text1"/>
          <w:sz w:val="24"/>
          <w:szCs w:val="24"/>
          <w:highlight w:val="none"/>
          <w:lang w:val="en-US" w:eastAsia="zh-CN"/>
          <w14:textFill>
            <w14:solidFill>
              <w14:schemeClr w14:val="tx1"/>
            </w14:solidFill>
          </w14:textFill>
        </w:rPr>
        <w:t>确保到位到岗，</w:t>
      </w:r>
      <w:r>
        <w:rPr>
          <w:rFonts w:hint="eastAsia" w:ascii="仿宋" w:hAnsi="仿宋" w:eastAsia="仿宋" w:cs="仿宋"/>
          <w:color w:val="000000" w:themeColor="text1"/>
          <w:sz w:val="24"/>
          <w:szCs w:val="24"/>
          <w:highlight w:val="none"/>
          <w14:textFill>
            <w14:solidFill>
              <w14:schemeClr w14:val="tx1"/>
            </w14:solidFill>
          </w14:textFill>
        </w:rPr>
        <w:t>按照本合同约定的标准、要求和时间完成项目。</w:t>
      </w:r>
    </w:p>
    <w:p w14:paraId="739F970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乙方不得以任何理由将本合同项下的服务项目转包给第三方承担。</w:t>
      </w:r>
    </w:p>
    <w:p w14:paraId="7D410D1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z w:val="24"/>
          <w:szCs w:val="24"/>
          <w:highlight w:val="none"/>
          <w14:textFill>
            <w14:solidFill>
              <w14:schemeClr w14:val="tx1"/>
            </w14:solidFill>
          </w14:textFill>
        </w:rPr>
        <w:t>乙方应全面履行本项目实施过程中的相关安全管理职责，因乙方未尽到管理职责发生安全事故的，由乙方承担相应的法律责任。</w:t>
      </w:r>
    </w:p>
    <w:p w14:paraId="05632FE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color w:val="000000" w:themeColor="text1"/>
          <w:sz w:val="24"/>
          <w:szCs w:val="24"/>
          <w:highlight w:val="none"/>
          <w14:textFill>
            <w14:solidFill>
              <w14:schemeClr w14:val="tx1"/>
            </w14:solidFill>
          </w14:textFill>
        </w:rPr>
        <w:t>乙方承诺根据本合同提供的服务及相关的技术资料，均已取得有关知识产权的权利人的合法授权。如发生涉及到专利权、著作权、商标权等争议，乙方负责处理并承担由此引起的全部法律及经济责任。</w:t>
      </w:r>
    </w:p>
    <w:p w14:paraId="2C8FA7A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color w:val="000000" w:themeColor="text1"/>
          <w:sz w:val="24"/>
          <w:szCs w:val="24"/>
          <w:highlight w:val="none"/>
          <w14:textFill>
            <w14:solidFill>
              <w14:schemeClr w14:val="tx1"/>
            </w14:solidFill>
          </w14:textFill>
        </w:rPr>
        <w:t>乙方应接受并配合甲方</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或甲方</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组织的对本合同履行情况的监督与检查，对于甲方</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指出的问题，应及时作出合理解释或予以纠正。</w:t>
      </w:r>
    </w:p>
    <w:p w14:paraId="53AEC32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乙方应对</w:t>
      </w:r>
      <w:r>
        <w:rPr>
          <w:rFonts w:hint="eastAsia" w:ascii="仿宋" w:hAnsi="仿宋" w:eastAsia="仿宋" w:cs="仿宋"/>
          <w:color w:val="000000" w:themeColor="text1"/>
          <w:sz w:val="24"/>
          <w:szCs w:val="24"/>
          <w:highlight w:val="none"/>
          <w:lang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资金进行规范的财务管理和会计核算，加强自身监督，确保资金规范管理和使用。</w:t>
      </w:r>
    </w:p>
    <w:p w14:paraId="600F1481">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2.9乙方应建立健全管理与报告制度，按要求向甲方、丙方提供项目执行情况、服务总结等材料，并配合甲方、丙方及甲方、丙方组织的监督检查。</w:t>
      </w:r>
    </w:p>
    <w:p w14:paraId="0E60DB38">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2.10乙方不得隐瞒、虚报单位资质、资格、人员及违法行为被禁止或限制参加政府采购活动等情况。</w:t>
      </w:r>
    </w:p>
    <w:p w14:paraId="4BC5692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2.11乙方有权监督第二阶段确定成交乙方方式。</w:t>
      </w:r>
    </w:p>
    <w:p w14:paraId="4E476D73">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丙方的权利和义务</w:t>
      </w:r>
    </w:p>
    <w:p w14:paraId="7E284CD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3.1丙方负责本街道辖区范围内养老服务“爱心卡”的组织实施、监督管理、政策宣传推广、投诉案件受理及处理、信息上报、服务保障等工作。</w:t>
      </w:r>
    </w:p>
    <w:p w14:paraId="5ABDB9A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丙</w:t>
      </w:r>
      <w:r>
        <w:rPr>
          <w:rFonts w:hint="eastAsia" w:ascii="仿宋" w:hAnsi="仿宋" w:eastAsia="仿宋" w:cs="仿宋"/>
          <w:color w:val="000000" w:themeColor="text1"/>
          <w:sz w:val="24"/>
          <w:szCs w:val="24"/>
          <w:highlight w:val="none"/>
          <w14:textFill>
            <w14:solidFill>
              <w14:schemeClr w14:val="tx1"/>
            </w14:solidFill>
          </w14:textFill>
        </w:rPr>
        <w:t>方有权随时向乙方了解</w:t>
      </w:r>
      <w:r>
        <w:rPr>
          <w:rFonts w:hint="eastAsia" w:ascii="仿宋" w:hAnsi="仿宋" w:eastAsia="仿宋" w:cs="仿宋"/>
          <w:color w:val="000000" w:themeColor="text1"/>
          <w:sz w:val="24"/>
          <w:szCs w:val="24"/>
          <w:highlight w:val="none"/>
          <w:lang w:eastAsia="zh-CN"/>
          <w14:textFill>
            <w14:solidFill>
              <w14:schemeClr w14:val="tx1"/>
            </w14:solidFill>
          </w14:textFill>
        </w:rPr>
        <w:t>本街道辖区范围内服务</w:t>
      </w:r>
      <w:r>
        <w:rPr>
          <w:rFonts w:hint="eastAsia" w:ascii="仿宋" w:hAnsi="仿宋" w:eastAsia="仿宋" w:cs="仿宋"/>
          <w:color w:val="000000" w:themeColor="text1"/>
          <w:sz w:val="24"/>
          <w:szCs w:val="24"/>
          <w:highlight w:val="none"/>
          <w14:textFill>
            <w14:solidFill>
              <w14:schemeClr w14:val="tx1"/>
            </w14:solidFill>
          </w14:textFill>
        </w:rPr>
        <w:t>进度</w:t>
      </w:r>
      <w:r>
        <w:rPr>
          <w:rFonts w:hint="eastAsia" w:ascii="仿宋" w:hAnsi="仿宋" w:eastAsia="仿宋" w:cs="仿宋"/>
          <w:color w:val="000000" w:themeColor="text1"/>
          <w:sz w:val="24"/>
          <w:szCs w:val="24"/>
          <w:highlight w:val="none"/>
          <w:lang w:eastAsia="zh-CN"/>
          <w14:textFill>
            <w14:solidFill>
              <w14:schemeClr w14:val="tx1"/>
            </w14:solidFill>
          </w14:textFill>
        </w:rPr>
        <w:t>、运行情况</w:t>
      </w:r>
      <w:r>
        <w:rPr>
          <w:rFonts w:hint="eastAsia" w:ascii="仿宋" w:hAnsi="仿宋" w:eastAsia="仿宋" w:cs="仿宋"/>
          <w:color w:val="000000" w:themeColor="text1"/>
          <w:sz w:val="24"/>
          <w:szCs w:val="24"/>
          <w:highlight w:val="none"/>
          <w14:textFill>
            <w14:solidFill>
              <w14:schemeClr w14:val="tx1"/>
            </w14:solidFill>
          </w14:textFill>
        </w:rPr>
        <w:t>，并要求乙方提供</w:t>
      </w:r>
      <w:r>
        <w:rPr>
          <w:rFonts w:hint="eastAsia" w:ascii="仿宋" w:hAnsi="仿宋" w:eastAsia="仿宋" w:cs="仿宋"/>
          <w:color w:val="000000" w:themeColor="text1"/>
          <w:sz w:val="24"/>
          <w:szCs w:val="24"/>
          <w:highlight w:val="none"/>
          <w:lang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相关资料。</w:t>
      </w:r>
    </w:p>
    <w:p w14:paraId="127048B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3.3丙</w:t>
      </w:r>
      <w:r>
        <w:rPr>
          <w:rFonts w:hint="eastAsia" w:ascii="仿宋" w:hAnsi="仿宋" w:eastAsia="仿宋" w:cs="仿宋"/>
          <w:color w:val="000000" w:themeColor="text1"/>
          <w:sz w:val="24"/>
          <w:szCs w:val="24"/>
          <w:highlight w:val="none"/>
          <w14:textFill>
            <w14:solidFill>
              <w14:schemeClr w14:val="tx1"/>
            </w14:solidFill>
          </w14:textFill>
        </w:rPr>
        <w:t>方有权对</w:t>
      </w:r>
      <w:r>
        <w:rPr>
          <w:rFonts w:hint="eastAsia" w:ascii="仿宋" w:hAnsi="仿宋" w:eastAsia="仿宋" w:cs="仿宋"/>
          <w:color w:val="000000" w:themeColor="text1"/>
          <w:sz w:val="24"/>
          <w:szCs w:val="24"/>
          <w:highlight w:val="none"/>
          <w:lang w:eastAsia="zh-CN"/>
          <w14:textFill>
            <w14:solidFill>
              <w14:schemeClr w14:val="tx1"/>
            </w14:solidFill>
          </w14:textFill>
        </w:rPr>
        <w:t>本街道辖区范围内服务</w:t>
      </w:r>
      <w:r>
        <w:rPr>
          <w:rFonts w:hint="eastAsia" w:ascii="仿宋" w:hAnsi="仿宋" w:eastAsia="仿宋" w:cs="仿宋"/>
          <w:color w:val="000000" w:themeColor="text1"/>
          <w:sz w:val="24"/>
          <w:szCs w:val="24"/>
          <w:highlight w:val="none"/>
          <w14:textFill>
            <w14:solidFill>
              <w14:schemeClr w14:val="tx1"/>
            </w14:solidFill>
          </w14:textFill>
        </w:rPr>
        <w:t>资金使用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服务质量</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情况进行</w:t>
      </w:r>
      <w:r>
        <w:rPr>
          <w:rFonts w:hint="eastAsia" w:ascii="仿宋" w:hAnsi="仿宋" w:eastAsia="仿宋" w:cs="仿宋"/>
          <w:color w:val="000000" w:themeColor="text1"/>
          <w:sz w:val="24"/>
          <w:szCs w:val="24"/>
          <w:highlight w:val="none"/>
          <w:lang w:eastAsia="zh-CN"/>
          <w14:textFill>
            <w14:solidFill>
              <w14:schemeClr w14:val="tx1"/>
            </w14:solidFill>
          </w14:textFill>
        </w:rPr>
        <w:t>审核、</w:t>
      </w:r>
      <w:r>
        <w:rPr>
          <w:rFonts w:hint="eastAsia" w:ascii="仿宋" w:hAnsi="仿宋" w:eastAsia="仿宋" w:cs="仿宋"/>
          <w:color w:val="000000" w:themeColor="text1"/>
          <w:sz w:val="24"/>
          <w:szCs w:val="24"/>
          <w:highlight w:val="none"/>
          <w14:textFill>
            <w14:solidFill>
              <w14:schemeClr w14:val="tx1"/>
            </w14:solidFill>
          </w14:textFill>
        </w:rPr>
        <w:t>监督、检查</w:t>
      </w:r>
      <w:r>
        <w:rPr>
          <w:rFonts w:hint="eastAsia" w:ascii="仿宋" w:hAnsi="仿宋" w:eastAsia="仿宋" w:cs="仿宋"/>
          <w:color w:val="000000" w:themeColor="text1"/>
          <w:sz w:val="24"/>
          <w:szCs w:val="24"/>
          <w:highlight w:val="none"/>
          <w:lang w:eastAsia="zh-CN"/>
          <w14:textFill>
            <w14:solidFill>
              <w14:schemeClr w14:val="tx1"/>
            </w14:solidFill>
          </w14:textFill>
        </w:rPr>
        <w:t>、汇总、上报等</w:t>
      </w:r>
      <w:r>
        <w:rPr>
          <w:rFonts w:hint="eastAsia" w:ascii="仿宋" w:hAnsi="仿宋" w:eastAsia="仿宋" w:cs="仿宋"/>
          <w:color w:val="000000" w:themeColor="text1"/>
          <w:sz w:val="24"/>
          <w:szCs w:val="24"/>
          <w:highlight w:val="none"/>
          <w14:textFill>
            <w14:solidFill>
              <w14:schemeClr w14:val="tx1"/>
            </w14:solidFill>
          </w14:textFill>
        </w:rPr>
        <w:t>，并要求乙方提供相关资料。</w:t>
      </w:r>
    </w:p>
    <w:p w14:paraId="214D473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3.4</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有权按照本合同约定或有关法律法规，对本</w:t>
      </w:r>
      <w:r>
        <w:rPr>
          <w:rFonts w:hint="eastAsia" w:ascii="仿宋" w:hAnsi="仿宋" w:eastAsia="仿宋" w:cs="仿宋"/>
          <w:color w:val="000000" w:themeColor="text1"/>
          <w:sz w:val="24"/>
          <w:szCs w:val="24"/>
          <w:highlight w:val="none"/>
          <w:lang w:eastAsia="zh-CN"/>
          <w14:textFill>
            <w14:solidFill>
              <w14:schemeClr w14:val="tx1"/>
            </w14:solidFill>
          </w14:textFill>
        </w:rPr>
        <w:t>辖区范围内服务情况</w:t>
      </w:r>
      <w:r>
        <w:rPr>
          <w:rFonts w:hint="eastAsia" w:ascii="仿宋" w:hAnsi="仿宋" w:eastAsia="仿宋" w:cs="仿宋"/>
          <w:color w:val="000000" w:themeColor="text1"/>
          <w:sz w:val="24"/>
          <w:szCs w:val="24"/>
          <w:highlight w:val="none"/>
          <w14:textFill>
            <w14:solidFill>
              <w14:schemeClr w14:val="tx1"/>
            </w14:solidFill>
          </w14:textFill>
        </w:rPr>
        <w:t>进行监督和检查，有权要求乙方按照监督检查情况制定相应措施并加以整改。</w:t>
      </w: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不因行使该监督和检查权而承担任何责任，也不因此减轻或免除乙方根据本合同约定或相关法律法规规定应承担的任何义务或责任。</w:t>
      </w:r>
    </w:p>
    <w:p w14:paraId="4E43D9B7">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r>
        <w:rPr>
          <w:rFonts w:hint="eastAsia" w:ascii="仿宋" w:hAnsi="仿宋" w:eastAsia="仿宋" w:cs="仿宋"/>
          <w:color w:val="000000" w:themeColor="text1"/>
          <w:sz w:val="24"/>
          <w:szCs w:val="24"/>
          <w:highlight w:val="none"/>
          <w:lang w:eastAsia="zh-CN"/>
          <w14:textFill>
            <w14:solidFill>
              <w14:schemeClr w14:val="tx1"/>
            </w14:solidFill>
          </w14:textFill>
        </w:rPr>
        <w:t>丙</w:t>
      </w:r>
      <w:r>
        <w:rPr>
          <w:rFonts w:hint="eastAsia" w:ascii="仿宋" w:hAnsi="仿宋" w:eastAsia="仿宋" w:cs="仿宋"/>
          <w:color w:val="000000" w:themeColor="text1"/>
          <w:sz w:val="24"/>
          <w:szCs w:val="24"/>
          <w:highlight w:val="none"/>
          <w14:textFill>
            <w14:solidFill>
              <w14:schemeClr w14:val="tx1"/>
            </w14:solidFill>
          </w14:textFill>
        </w:rPr>
        <w:t>方有权在乙方履行合同过程中出现损害或可能损害公共利益、公共安全情形时</w:t>
      </w:r>
      <w:r>
        <w:rPr>
          <w:rFonts w:hint="eastAsia" w:ascii="仿宋" w:hAnsi="仿宋" w:eastAsia="仿宋" w:cs="仿宋"/>
          <w:color w:val="000000" w:themeColor="text1"/>
          <w:sz w:val="24"/>
          <w:szCs w:val="24"/>
          <w:highlight w:val="none"/>
          <w:lang w:eastAsia="zh-CN"/>
          <w14:textFill>
            <w14:solidFill>
              <w14:schemeClr w14:val="tx1"/>
            </w14:solidFill>
          </w14:textFill>
        </w:rPr>
        <w:t>及时上报给甲方，经甲方审核通过后</w:t>
      </w:r>
      <w:r>
        <w:rPr>
          <w:rFonts w:hint="eastAsia" w:ascii="仿宋" w:hAnsi="仿宋" w:eastAsia="仿宋" w:cs="仿宋"/>
          <w:color w:val="000000" w:themeColor="text1"/>
          <w:sz w:val="24"/>
          <w:szCs w:val="24"/>
          <w:highlight w:val="none"/>
          <w14:textFill>
            <w14:solidFill>
              <w14:schemeClr w14:val="tx1"/>
            </w14:solidFill>
          </w14:textFill>
        </w:rPr>
        <w:t>终止本合同。</w:t>
      </w:r>
    </w:p>
    <w:p w14:paraId="57B4C7D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3.6</w:t>
      </w:r>
      <w:r>
        <w:rPr>
          <w:rFonts w:hint="eastAsia" w:ascii="仿宋" w:hAnsi="仿宋" w:eastAsia="仿宋" w:cs="仿宋"/>
          <w:color w:val="000000" w:themeColor="text1"/>
          <w:sz w:val="24"/>
          <w:szCs w:val="24"/>
          <w:highlight w:val="none"/>
          <w:lang w:eastAsia="zh-CN"/>
          <w14:textFill>
            <w14:solidFill>
              <w14:schemeClr w14:val="tx1"/>
            </w14:solidFill>
          </w14:textFill>
        </w:rPr>
        <w:t>丙</w:t>
      </w:r>
      <w:r>
        <w:rPr>
          <w:rFonts w:hint="eastAsia" w:ascii="仿宋" w:hAnsi="仿宋" w:eastAsia="仿宋" w:cs="仿宋"/>
          <w:color w:val="000000" w:themeColor="text1"/>
          <w:sz w:val="24"/>
          <w:szCs w:val="24"/>
          <w:highlight w:val="none"/>
          <w14:textFill>
            <w14:solidFill>
              <w14:schemeClr w14:val="tx1"/>
            </w14:solidFill>
          </w14:textFill>
        </w:rPr>
        <w:t>方有权将乙方履行合同情况及不符合政府购买服务管理规定情况，向相关部门报告。</w:t>
      </w:r>
    </w:p>
    <w:p w14:paraId="5B695023">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3.7</w:t>
      </w:r>
      <w:r>
        <w:rPr>
          <w:rFonts w:hint="eastAsia" w:ascii="仿宋" w:hAnsi="仿宋" w:eastAsia="仿宋" w:cs="仿宋"/>
          <w:color w:val="000000" w:themeColor="text1"/>
          <w:sz w:val="24"/>
          <w:szCs w:val="24"/>
          <w:highlight w:val="none"/>
          <w:lang w:eastAsia="zh-CN"/>
          <w14:textFill>
            <w14:solidFill>
              <w14:schemeClr w14:val="tx1"/>
            </w14:solidFill>
          </w14:textFill>
        </w:rPr>
        <w:t>丙</w:t>
      </w:r>
      <w:r>
        <w:rPr>
          <w:rFonts w:hint="eastAsia" w:ascii="仿宋" w:hAnsi="仿宋" w:eastAsia="仿宋" w:cs="仿宋"/>
          <w:color w:val="000000" w:themeColor="text1"/>
          <w:sz w:val="24"/>
          <w:szCs w:val="24"/>
          <w:highlight w:val="none"/>
          <w14:textFill>
            <w14:solidFill>
              <w14:schemeClr w14:val="tx1"/>
            </w14:solidFill>
          </w14:textFill>
        </w:rPr>
        <w:t>方应及时向乙方提供与履行本合同相关的所有必须的文件、资料。</w:t>
      </w:r>
    </w:p>
    <w:p w14:paraId="2BB87497">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3.8</w:t>
      </w:r>
      <w:r>
        <w:rPr>
          <w:rFonts w:hint="eastAsia" w:ascii="仿宋" w:hAnsi="仿宋" w:eastAsia="仿宋" w:cs="仿宋"/>
          <w:color w:val="000000" w:themeColor="text1"/>
          <w:sz w:val="24"/>
          <w:szCs w:val="24"/>
          <w:highlight w:val="none"/>
          <w:lang w:eastAsia="zh-CN"/>
          <w14:textFill>
            <w14:solidFill>
              <w14:schemeClr w14:val="tx1"/>
            </w14:solidFill>
          </w14:textFill>
        </w:rPr>
        <w:t>丙</w:t>
      </w:r>
      <w:r>
        <w:rPr>
          <w:rFonts w:hint="eastAsia" w:ascii="仿宋" w:hAnsi="仿宋" w:eastAsia="仿宋" w:cs="仿宋"/>
          <w:color w:val="000000" w:themeColor="text1"/>
          <w:sz w:val="24"/>
          <w:szCs w:val="24"/>
          <w:highlight w:val="none"/>
          <w14:textFill>
            <w14:solidFill>
              <w14:schemeClr w14:val="tx1"/>
            </w14:solidFill>
          </w14:textFill>
        </w:rPr>
        <w:t>方应为乙方履行本合同过程中与相关政府部门及其他第三方的沟通、协调提供必要的协助。</w:t>
      </w:r>
    </w:p>
    <w:p w14:paraId="3F09D91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3.9</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丙方应按照合同约定及时向甲方上报相应的服务监管情况</w:t>
      </w:r>
      <w:r>
        <w:rPr>
          <w:rFonts w:hint="eastAsia" w:ascii="仿宋" w:hAnsi="仿宋" w:eastAsia="仿宋" w:cs="仿宋"/>
          <w:color w:val="000000" w:themeColor="text1"/>
          <w:sz w:val="24"/>
          <w:szCs w:val="24"/>
          <w:highlight w:val="none"/>
          <w14:textFill>
            <w14:solidFill>
              <w14:schemeClr w14:val="tx1"/>
            </w14:solidFill>
          </w14:textFill>
        </w:rPr>
        <w:t>。</w:t>
      </w:r>
    </w:p>
    <w:p w14:paraId="7A94D154">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第</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九</w:t>
      </w:r>
      <w:r>
        <w:rPr>
          <w:rFonts w:hint="eastAsia" w:ascii="仿宋" w:hAnsi="仿宋" w:eastAsia="仿宋" w:cs="仿宋"/>
          <w:b/>
          <w:bCs/>
          <w:color w:val="000000" w:themeColor="text1"/>
          <w:kern w:val="0"/>
          <w:sz w:val="24"/>
          <w:szCs w:val="24"/>
          <w:highlight w:val="none"/>
          <w14:textFill>
            <w14:solidFill>
              <w14:schemeClr w14:val="tx1"/>
            </w14:solidFill>
          </w14:textFill>
        </w:rPr>
        <w:t xml:space="preserve">条 </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三方</w:t>
      </w:r>
      <w:r>
        <w:rPr>
          <w:rFonts w:hint="eastAsia" w:ascii="仿宋" w:hAnsi="仿宋" w:eastAsia="仿宋" w:cs="仿宋"/>
          <w:b/>
          <w:bCs/>
          <w:color w:val="000000" w:themeColor="text1"/>
          <w:kern w:val="0"/>
          <w:sz w:val="24"/>
          <w:szCs w:val="24"/>
          <w:highlight w:val="none"/>
          <w14:textFill>
            <w14:solidFill>
              <w14:schemeClr w14:val="tx1"/>
            </w14:solidFill>
          </w14:textFill>
        </w:rPr>
        <w:t>保密协议</w:t>
      </w:r>
    </w:p>
    <w:p w14:paraId="5549EF89">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乙方对履行本服务期限间知悉的甲方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、丙方</w:t>
      </w:r>
      <w:r>
        <w:rPr>
          <w:rFonts w:hint="eastAsia" w:ascii="仿宋" w:hAnsi="仿宋" w:eastAsia="仿宋" w:cs="仿宋"/>
          <w:color w:val="000000" w:themeColor="text1"/>
          <w:kern w:val="0"/>
          <w:sz w:val="24"/>
          <w:szCs w:val="24"/>
          <w:highlight w:val="none"/>
          <w14:textFill>
            <w14:solidFill>
              <w14:schemeClr w14:val="tx1"/>
            </w14:solidFill>
          </w14:textFill>
        </w:rPr>
        <w:t>秘密附有保密责任，且乙方的保密责任不因本合同的终止而终止。</w:t>
      </w:r>
    </w:p>
    <w:p w14:paraId="01B6D562">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未经甲方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、丙方</w:t>
      </w:r>
      <w:r>
        <w:rPr>
          <w:rFonts w:hint="eastAsia" w:ascii="仿宋" w:hAnsi="仿宋" w:eastAsia="仿宋" w:cs="仿宋"/>
          <w:color w:val="000000" w:themeColor="text1"/>
          <w:kern w:val="0"/>
          <w:sz w:val="24"/>
          <w:szCs w:val="24"/>
          <w:highlight w:val="none"/>
          <w14:textFill>
            <w14:solidFill>
              <w14:schemeClr w14:val="tx1"/>
            </w14:solidFill>
          </w14:textFill>
        </w:rPr>
        <w:t>同意，乙方服务人员不得擅自记录、复印、拍摄、摘抄、收藏甲方单位的任何文件资料和信息，不得随意翻阅与工作无关的文件和资料，严禁将甲方单位内部会议、谈话内容泄露给第三方。</w:t>
      </w:r>
    </w:p>
    <w:p w14:paraId="0E6DFACA">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十</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违约责任</w:t>
      </w:r>
    </w:p>
    <w:p w14:paraId="2E049D47">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除不可抗力外，如果乙方没有按照本</w:t>
      </w:r>
      <w:r>
        <w:rPr>
          <w:rFonts w:hint="eastAsia" w:ascii="仿宋" w:hAnsi="仿宋" w:eastAsia="仿宋" w:cs="仿宋"/>
          <w:color w:val="000000" w:themeColor="text1"/>
          <w:sz w:val="24"/>
          <w:szCs w:val="24"/>
          <w:highlight w:val="none"/>
          <w:lang w:val="en-US" w:eastAsia="zh-CN"/>
          <w14:textFill>
            <w14:solidFill>
              <w14:schemeClr w14:val="tx1"/>
            </w14:solidFill>
          </w14:textFill>
        </w:rPr>
        <w:t>协议</w:t>
      </w:r>
      <w:r>
        <w:rPr>
          <w:rFonts w:hint="eastAsia" w:ascii="仿宋" w:hAnsi="仿宋" w:eastAsia="仿宋" w:cs="仿宋"/>
          <w:color w:val="000000" w:themeColor="text1"/>
          <w:sz w:val="24"/>
          <w:szCs w:val="24"/>
          <w:highlight w:val="none"/>
          <w14:textFill>
            <w14:solidFill>
              <w14:schemeClr w14:val="tx1"/>
            </w14:solidFill>
          </w14:textFill>
        </w:rPr>
        <w:t>约定的期限、地点和方式服务的，那么甲方可要求乙方支付违约金，违约金每日按</w:t>
      </w:r>
      <w:r>
        <w:rPr>
          <w:rFonts w:hint="eastAsia" w:ascii="仿宋" w:hAnsi="仿宋" w:eastAsia="仿宋" w:cs="仿宋"/>
          <w:color w:val="000000" w:themeColor="text1"/>
          <w:sz w:val="24"/>
          <w:szCs w:val="24"/>
          <w:highlight w:val="none"/>
          <w:lang w:val="en-US" w:eastAsia="zh-CN"/>
          <w14:textFill>
            <w14:solidFill>
              <w14:schemeClr w14:val="tx1"/>
            </w14:solidFill>
          </w14:textFill>
        </w:rPr>
        <w:t>1000元</w:t>
      </w:r>
      <w:r>
        <w:rPr>
          <w:rFonts w:hint="eastAsia" w:ascii="仿宋" w:hAnsi="仿宋" w:eastAsia="仿宋" w:cs="仿宋"/>
          <w:color w:val="000000" w:themeColor="text1"/>
          <w:sz w:val="24"/>
          <w:szCs w:val="24"/>
          <w:highlight w:val="none"/>
          <w14:textFill>
            <w14:solidFill>
              <w14:schemeClr w14:val="tx1"/>
            </w14:solidFill>
          </w14:textFill>
        </w:rPr>
        <w:t>计算，最高限额为</w:t>
      </w:r>
      <w:r>
        <w:rPr>
          <w:rFonts w:hint="eastAsia" w:ascii="仿宋" w:hAnsi="仿宋" w:eastAsia="仿宋" w:cs="仿宋"/>
          <w:color w:val="000000" w:themeColor="text1"/>
          <w:sz w:val="24"/>
          <w:szCs w:val="24"/>
          <w:highlight w:val="none"/>
          <w:lang w:val="en-US" w:eastAsia="zh-CN"/>
          <w14:textFill>
            <w14:solidFill>
              <w14:schemeClr w14:val="tx1"/>
            </w14:solidFill>
          </w14:textFill>
        </w:rPr>
        <w:t>2万元</w:t>
      </w:r>
      <w:r>
        <w:rPr>
          <w:rFonts w:hint="eastAsia" w:ascii="仿宋" w:hAnsi="仿宋" w:eastAsia="仿宋" w:cs="仿宋"/>
          <w:color w:val="000000" w:themeColor="text1"/>
          <w:sz w:val="24"/>
          <w:szCs w:val="24"/>
          <w:highlight w:val="none"/>
          <w14:textFill>
            <w14:solidFill>
              <w14:schemeClr w14:val="tx1"/>
            </w14:solidFill>
          </w14:textFill>
        </w:rPr>
        <w:t>；违约金计算数额达到前述最高限额之日起，甲方有权在要求乙方支付违约金的同时，书面通知乙方解除本合同；</w:t>
      </w:r>
    </w:p>
    <w:p w14:paraId="204315DF">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szCs w:val="24"/>
          <w:highlight w:val="none"/>
          <w:u w:val="single"/>
          <w14:textFill>
            <w14:solidFill>
              <w14:schemeClr w14:val="tx1"/>
            </w14:solidFill>
          </w14:textFill>
        </w:rPr>
        <w:t>万分之五</w:t>
      </w:r>
      <w:r>
        <w:rPr>
          <w:rFonts w:hint="eastAsia" w:ascii="仿宋" w:hAnsi="仿宋" w:eastAsia="仿宋" w:cs="仿宋"/>
          <w:color w:val="000000" w:themeColor="text1"/>
          <w:sz w:val="24"/>
          <w:szCs w:val="24"/>
          <w:highlight w:val="none"/>
          <w14:textFill>
            <w14:solidFill>
              <w14:schemeClr w14:val="tx1"/>
            </w14:solidFill>
          </w14:textFill>
        </w:rPr>
        <w:t>计算，最高限额为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1万元</w:t>
      </w:r>
      <w:r>
        <w:rPr>
          <w:rFonts w:hint="eastAsia" w:ascii="仿宋" w:hAnsi="仿宋" w:eastAsia="仿宋" w:cs="仿宋"/>
          <w:color w:val="000000" w:themeColor="text1"/>
          <w:sz w:val="24"/>
          <w:szCs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1AA7E99C">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2E68C1">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2420D7">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0B82B6C">
      <w:pPr>
        <w:keepNext w:val="0"/>
        <w:keepLines w:val="0"/>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如果出现政府采购监督管理部门在处理投诉事项期间，书面通知甲方暂停采购活动的情形，或者询问或质疑事项可能影响</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结果的，导致甲方中止履行合同的情形，均不视为甲方违约。</w:t>
      </w:r>
    </w:p>
    <w:p w14:paraId="1A6952F3">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不可抗力事件处理</w:t>
      </w:r>
    </w:p>
    <w:p w14:paraId="3264FDAE">
      <w:pPr>
        <w:pageBreakBefore w:val="0"/>
        <w:widowControl/>
        <w:shd w:val="clear" w:color="auto"/>
        <w:kinsoku/>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1.在合同有效期内，因不可抗力事件导致不能履行合同，则合同履行至合同到期日止。</w:t>
      </w:r>
    </w:p>
    <w:p w14:paraId="13CC055C">
      <w:pPr>
        <w:pageBreakBefore w:val="0"/>
        <w:widowControl/>
        <w:shd w:val="clear" w:color="auto"/>
        <w:kinsoku/>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2.不可抗力事件发生后，应立即通知对方，并寄送有关权威机构出具的证明。</w:t>
      </w:r>
    </w:p>
    <w:p w14:paraId="32713A63">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争议的解决</w:t>
      </w:r>
    </w:p>
    <w:p w14:paraId="2D3E5F43">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本合同为政府采购之合同，在发生服务质量问题时，甲方</w:t>
      </w:r>
      <w:r>
        <w:rPr>
          <w:rFonts w:hint="eastAsia" w:ascii="仿宋" w:hAnsi="仿宋" w:eastAsia="仿宋" w:cs="仿宋"/>
          <w:bCs/>
          <w:color w:val="000000" w:themeColor="text1"/>
          <w:sz w:val="24"/>
          <w:szCs w:val="24"/>
          <w:highlight w:val="none"/>
          <w:lang w:eastAsia="zh-CN"/>
          <w14:textFill>
            <w14:solidFill>
              <w14:schemeClr w14:val="tx1"/>
            </w14:solidFill>
          </w14:textFill>
        </w:rPr>
        <w:t>、丙方</w:t>
      </w:r>
      <w:r>
        <w:rPr>
          <w:rFonts w:hint="eastAsia" w:ascii="仿宋" w:hAnsi="仿宋" w:eastAsia="仿宋" w:cs="仿宋"/>
          <w:bCs/>
          <w:color w:val="000000" w:themeColor="text1"/>
          <w:sz w:val="24"/>
          <w:szCs w:val="24"/>
          <w:highlight w:val="none"/>
          <w14:textFill>
            <w14:solidFill>
              <w14:schemeClr w14:val="tx1"/>
            </w14:solidFill>
          </w14:textFill>
        </w:rPr>
        <w:t>有权直接向乙方索赔，签订必要的书面处理协议。如协商不成，可向甲方所在地法院起诉。</w:t>
      </w:r>
    </w:p>
    <w:p w14:paraId="57BACF33">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第十</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14:textFill>
            <w14:solidFill>
              <w14:schemeClr w14:val="tx1"/>
            </w14:solidFill>
          </w14:textFill>
        </w:rPr>
        <w:t>条</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适用法律</w:t>
      </w:r>
    </w:p>
    <w:p w14:paraId="4C823016">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本合同按照中华人民共和国现行法律、法规进行解释。</w:t>
      </w:r>
    </w:p>
    <w:p w14:paraId="748F3A96">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合同的生效</w:t>
      </w:r>
    </w:p>
    <w:p w14:paraId="14D94967">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本合同经</w:t>
      </w:r>
      <w:r>
        <w:rPr>
          <w:rFonts w:hint="eastAsia" w:ascii="仿宋" w:hAnsi="仿宋" w:eastAsia="仿宋" w:cs="仿宋"/>
          <w:color w:val="000000" w:themeColor="text1"/>
          <w:sz w:val="24"/>
          <w:szCs w:val="24"/>
          <w:highlight w:val="none"/>
          <w:lang w:val="en-US" w:eastAsia="zh-CN"/>
          <w14:textFill>
            <w14:solidFill>
              <w14:schemeClr w14:val="tx1"/>
            </w14:solidFill>
          </w14:textFill>
        </w:rPr>
        <w:t>甲乙丙三方</w:t>
      </w:r>
      <w:r>
        <w:rPr>
          <w:rFonts w:hint="eastAsia" w:ascii="仿宋" w:hAnsi="仿宋" w:eastAsia="仿宋" w:cs="仿宋"/>
          <w:color w:val="000000" w:themeColor="text1"/>
          <w:sz w:val="24"/>
          <w:szCs w:val="24"/>
          <w:highlight w:val="none"/>
          <w14:textFill>
            <w14:solidFill>
              <w14:schemeClr w14:val="tx1"/>
            </w14:solidFill>
          </w14:textFill>
        </w:rPr>
        <w:t>加盖公章后生效。</w:t>
      </w:r>
    </w:p>
    <w:p w14:paraId="19A8E5C5">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本合同一式</w:t>
      </w:r>
      <w:r>
        <w:rPr>
          <w:rFonts w:hint="eastAsia" w:ascii="仿宋" w:hAnsi="仿宋" w:eastAsia="仿宋" w:cs="仿宋"/>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color w:val="000000" w:themeColor="text1"/>
          <w:sz w:val="24"/>
          <w:szCs w:val="24"/>
          <w:highlight w:val="none"/>
          <w14:textFill>
            <w14:solidFill>
              <w14:schemeClr w14:val="tx1"/>
            </w14:solidFill>
          </w14:textFill>
        </w:rPr>
        <w:t>份，甲乙</w:t>
      </w:r>
      <w:r>
        <w:rPr>
          <w:rFonts w:hint="eastAsia" w:ascii="仿宋" w:hAnsi="仿宋" w:eastAsia="仿宋" w:cs="仿宋"/>
          <w:color w:val="000000" w:themeColor="text1"/>
          <w:sz w:val="24"/>
          <w:szCs w:val="24"/>
          <w:highlight w:val="none"/>
          <w:lang w:eastAsia="zh-CN"/>
          <w14:textFill>
            <w14:solidFill>
              <w14:schemeClr w14:val="tx1"/>
            </w14:solidFill>
          </w14:textFill>
        </w:rPr>
        <w:t>丙三方</w:t>
      </w:r>
      <w:r>
        <w:rPr>
          <w:rFonts w:hint="eastAsia" w:ascii="仿宋" w:hAnsi="仿宋" w:eastAsia="仿宋" w:cs="仿宋"/>
          <w:color w:val="000000" w:themeColor="text1"/>
          <w:sz w:val="24"/>
          <w:szCs w:val="24"/>
          <w:highlight w:val="none"/>
          <w14:textFill>
            <w14:solidFill>
              <w14:schemeClr w14:val="tx1"/>
            </w14:solidFill>
          </w14:textFill>
        </w:rPr>
        <w:t>各执</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份，</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执</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份。</w:t>
      </w:r>
    </w:p>
    <w:p w14:paraId="4FA68D54">
      <w:pPr>
        <w:pageBreakBefore w:val="0"/>
        <w:kinsoku/>
        <w:overflowPunct/>
        <w:autoSpaceDE/>
        <w:autoSpaceDN/>
        <w:bidi w:val="0"/>
        <w:adjustRightInd w:val="0"/>
        <w:snapToGrid w:val="0"/>
        <w:spacing w:line="360" w:lineRule="auto"/>
        <w:ind w:left="4440" w:leftChars="0" w:hanging="4440" w:hangingChars="1850"/>
        <w:rPr>
          <w:rFonts w:hint="eastAsia" w:ascii="仿宋" w:hAnsi="仿宋" w:eastAsia="仿宋" w:cs="仿宋"/>
          <w:color w:val="000000" w:themeColor="text1"/>
          <w:sz w:val="24"/>
          <w:szCs w:val="24"/>
          <w:highlight w:val="none"/>
          <w14:textFill>
            <w14:solidFill>
              <w14:schemeClr w14:val="tx1"/>
            </w14:solidFill>
          </w14:textFill>
        </w:rPr>
      </w:pPr>
    </w:p>
    <w:p w14:paraId="314DE5D9">
      <w:pPr>
        <w:pageBreakBefore w:val="0"/>
        <w:kinsoku/>
        <w:overflowPunct/>
        <w:autoSpaceDE/>
        <w:autoSpaceDN/>
        <w:bidi w:val="0"/>
        <w:adjustRightInd w:val="0"/>
        <w:snapToGrid w:val="0"/>
        <w:spacing w:line="360" w:lineRule="auto"/>
        <w:ind w:left="4440" w:leftChars="0" w:hanging="4440" w:hangingChars="18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甲方（公章）：                       乙方（公章）：</w:t>
      </w:r>
    </w:p>
    <w:p w14:paraId="3B78A23D">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法定代表人或受委托人（签字）         法定代表人或受委托人（签字）</w:t>
      </w:r>
    </w:p>
    <w:p w14:paraId="7DB95F45">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                               地址：</w:t>
      </w:r>
    </w:p>
    <w:p w14:paraId="61036741">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                               电话：</w:t>
      </w:r>
    </w:p>
    <w:p w14:paraId="1854C1B5">
      <w:pPr>
        <w:pageBreakBefore w:val="0"/>
        <w:kinsoku/>
        <w:overflowPunct/>
        <w:autoSpaceDE/>
        <w:autoSpaceDN/>
        <w:bidi w:val="0"/>
        <w:adjustRightInd w:val="0"/>
        <w:snapToGrid w:val="0"/>
        <w:spacing w:line="360" w:lineRule="auto"/>
        <w:ind w:left="4440" w:leftChars="0" w:hanging="4440" w:hangingChars="185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丙方</w:t>
      </w:r>
      <w:r>
        <w:rPr>
          <w:rFonts w:hint="eastAsia" w:ascii="仿宋" w:hAnsi="仿宋" w:eastAsia="仿宋" w:cs="仿宋"/>
          <w:color w:val="000000" w:themeColor="text1"/>
          <w:sz w:val="24"/>
          <w:szCs w:val="24"/>
          <w:highlight w:val="none"/>
          <w14:textFill>
            <w14:solidFill>
              <w14:schemeClr w14:val="tx1"/>
            </w14:solidFill>
          </w14:textFill>
        </w:rPr>
        <w:t xml:space="preserve">（公章）：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4C9A5CCE">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法定代表人或受委托人（签字）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04AB91D3">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                              </w:t>
      </w:r>
    </w:p>
    <w:p w14:paraId="6C3CB58E">
      <w:pPr>
        <w:pageBreakBefore w:val="0"/>
        <w:kinsoku/>
        <w:overflowPunct/>
        <w:autoSpaceDE/>
        <w:autoSpaceDN/>
        <w:bidi w:val="0"/>
        <w:adjustRightInd w:val="0"/>
        <w:snapToGrid w:val="0"/>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电话：                              </w:t>
      </w:r>
    </w:p>
    <w:p w14:paraId="47DD82E5">
      <w:pPr>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  月  日</w:t>
      </w:r>
    </w:p>
    <w:p w14:paraId="02D20E95">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336259B9">
      <w:pPr>
        <w:snapToGrid w:val="0"/>
        <w:spacing w:line="360" w:lineRule="auto"/>
        <w:jc w:val="center"/>
        <w:rPr>
          <w:rFonts w:ascii="仿宋" w:hAnsi="仿宋" w:eastAsia="仿宋" w:cs="仿宋_GB2312"/>
          <w:b/>
          <w:color w:val="000000" w:themeColor="text1"/>
          <w:sz w:val="36"/>
          <w:highlight w:val="none"/>
          <w14:textFill>
            <w14:solidFill>
              <w14:schemeClr w14:val="tx1"/>
            </w14:solidFill>
          </w14:textFill>
        </w:rPr>
      </w:pPr>
      <w:r>
        <w:rPr>
          <w:rFonts w:hint="eastAsia" w:ascii="仿宋" w:hAnsi="仿宋" w:eastAsia="仿宋" w:cs="仿宋_GB2312"/>
          <w:b/>
          <w:color w:val="000000" w:themeColor="text1"/>
          <w:sz w:val="36"/>
          <w:highlight w:val="none"/>
          <w14:textFill>
            <w14:solidFill>
              <w14:schemeClr w14:val="tx1"/>
            </w14:solidFill>
          </w14:textFill>
        </w:rPr>
        <w:t>第六部分应提交的有关格式范例</w:t>
      </w:r>
    </w:p>
    <w:p w14:paraId="0BF43F60">
      <w:pPr>
        <w:spacing w:line="360" w:lineRule="auto"/>
        <w:ind w:firstLine="480" w:firstLineChars="200"/>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供应商按照以下格式编制响应文件。</w:t>
      </w:r>
    </w:p>
    <w:p w14:paraId="3EE0DF8D">
      <w:pPr>
        <w:spacing w:line="360" w:lineRule="auto"/>
        <w:outlineLvl w:val="0"/>
        <w:rPr>
          <w:rFonts w:ascii="仿宋" w:hAnsi="仿宋" w:eastAsia="仿宋" w:cs="仿宋_GB2312"/>
          <w:color w:val="000000" w:themeColor="text1"/>
          <w:sz w:val="36"/>
          <w:szCs w:val="36"/>
          <w:highlight w:val="none"/>
          <w14:textFill>
            <w14:solidFill>
              <w14:schemeClr w14:val="tx1"/>
            </w14:solidFill>
          </w14:textFill>
        </w:rPr>
      </w:pPr>
    </w:p>
    <w:p w14:paraId="71477762">
      <w:pPr>
        <w:spacing w:line="360" w:lineRule="auto"/>
        <w:jc w:val="center"/>
        <w:outlineLvl w:val="0"/>
        <w:rPr>
          <w:rFonts w:ascii="仿宋" w:hAnsi="仿宋" w:eastAsia="仿宋" w:cs="仿宋_GB2312"/>
          <w:b/>
          <w:color w:val="000000" w:themeColor="text1"/>
          <w:kern w:val="0"/>
          <w:sz w:val="36"/>
          <w:szCs w:val="36"/>
          <w:highlight w:val="none"/>
          <w14:textFill>
            <w14:solidFill>
              <w14:schemeClr w14:val="tx1"/>
            </w14:solidFill>
          </w14:textFill>
        </w:rPr>
      </w:pPr>
      <w:r>
        <w:rPr>
          <w:rFonts w:hint="eastAsia" w:ascii="仿宋" w:hAnsi="仿宋" w:eastAsia="仿宋" w:cs="仿宋_GB2312"/>
          <w:b/>
          <w:color w:val="000000" w:themeColor="text1"/>
          <w:kern w:val="0"/>
          <w:sz w:val="36"/>
          <w:szCs w:val="36"/>
          <w:highlight w:val="none"/>
          <w14:textFill>
            <w14:solidFill>
              <w14:schemeClr w14:val="tx1"/>
            </w14:solidFill>
          </w14:textFill>
        </w:rPr>
        <w:t>资格文件部分</w:t>
      </w:r>
    </w:p>
    <w:p w14:paraId="09B18073">
      <w:pPr>
        <w:spacing w:line="360" w:lineRule="auto"/>
        <w:jc w:val="center"/>
        <w:outlineLvl w:val="0"/>
        <w:rPr>
          <w:rFonts w:ascii="仿宋" w:hAnsi="仿宋" w:eastAsia="仿宋" w:cs="仿宋_GB2312"/>
          <w:b/>
          <w:color w:val="000000" w:themeColor="text1"/>
          <w:kern w:val="0"/>
          <w:sz w:val="36"/>
          <w:szCs w:val="36"/>
          <w:highlight w:val="none"/>
          <w14:textFill>
            <w14:solidFill>
              <w14:schemeClr w14:val="tx1"/>
            </w14:solidFill>
          </w14:textFill>
        </w:rPr>
      </w:pPr>
      <w:r>
        <w:rPr>
          <w:rFonts w:hint="eastAsia" w:ascii="仿宋" w:hAnsi="仿宋" w:eastAsia="仿宋" w:cs="仿宋_GB2312"/>
          <w:b/>
          <w:color w:val="000000" w:themeColor="text1"/>
          <w:kern w:val="0"/>
          <w:sz w:val="36"/>
          <w:szCs w:val="36"/>
          <w:highlight w:val="none"/>
          <w14:textFill>
            <w14:solidFill>
              <w14:schemeClr w14:val="tx1"/>
            </w14:solidFill>
          </w14:textFill>
        </w:rPr>
        <w:t>目录</w:t>
      </w:r>
    </w:p>
    <w:p w14:paraId="431AD33B">
      <w:pPr>
        <w:spacing w:line="360" w:lineRule="auto"/>
        <w:jc w:val="center"/>
        <w:outlineLvl w:val="0"/>
        <w:rPr>
          <w:rFonts w:ascii="仿宋" w:hAnsi="仿宋" w:eastAsia="仿宋" w:cs="仿宋_GB2312"/>
          <w:b/>
          <w:color w:val="000000" w:themeColor="text1"/>
          <w:kern w:val="0"/>
          <w:sz w:val="36"/>
          <w:szCs w:val="36"/>
          <w:highlight w:val="none"/>
          <w14:textFill>
            <w14:solidFill>
              <w14:schemeClr w14:val="tx1"/>
            </w14:solidFill>
          </w14:textFill>
        </w:rPr>
      </w:pPr>
    </w:p>
    <w:p w14:paraId="2B96601A">
      <w:pPr>
        <w:snapToGrid w:val="0"/>
        <w:spacing w:line="360" w:lineRule="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（1）符合参加政府采购活动应当具备的一般条件的承诺函……………（页码）</w:t>
      </w:r>
    </w:p>
    <w:p w14:paraId="4F4D761A">
      <w:pPr>
        <w:snapToGrid w:val="0"/>
        <w:spacing w:line="360" w:lineRule="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（2）联合协议………………………………………………………………（页码）</w:t>
      </w:r>
    </w:p>
    <w:p w14:paraId="4645AD67">
      <w:pPr>
        <w:snapToGrid w:val="0"/>
        <w:spacing w:line="360" w:lineRule="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（2）落实政府采购政策需满足的资格要求………………………………（页码）</w:t>
      </w:r>
    </w:p>
    <w:p w14:paraId="2402F0B6">
      <w:pPr>
        <w:snapToGrid w:val="0"/>
        <w:spacing w:line="360" w:lineRule="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（3）本项目的特定资格要求………………………………………………（页码）</w:t>
      </w:r>
    </w:p>
    <w:p w14:paraId="4C37193B">
      <w:pPr>
        <w:snapToGrid w:val="0"/>
        <w:spacing w:line="360" w:lineRule="auto"/>
        <w:rPr>
          <w:rFonts w:ascii="仿宋" w:hAnsi="仿宋" w:eastAsia="仿宋" w:cs="仿宋_GB2312"/>
          <w:color w:val="000000" w:themeColor="text1"/>
          <w:kern w:val="0"/>
          <w:sz w:val="24"/>
          <w:highlight w:val="none"/>
          <w14:textFill>
            <w14:solidFill>
              <w14:schemeClr w14:val="tx1"/>
            </w14:solidFill>
          </w14:textFill>
        </w:rPr>
      </w:pPr>
    </w:p>
    <w:p w14:paraId="15A6E95B">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p>
    <w:p w14:paraId="71AA938E">
      <w:pPr>
        <w:snapToGrid w:val="0"/>
        <w:spacing w:line="360" w:lineRule="auto"/>
        <w:rPr>
          <w:rFonts w:ascii="仿宋" w:hAnsi="仿宋" w:eastAsia="仿宋"/>
          <w:b/>
          <w:color w:val="000000" w:themeColor="text1"/>
          <w:sz w:val="36"/>
          <w:szCs w:val="20"/>
          <w:highlight w:val="none"/>
          <w14:textFill>
            <w14:solidFill>
              <w14:schemeClr w14:val="tx1"/>
            </w14:solidFill>
          </w14:textFill>
        </w:rPr>
      </w:pPr>
      <w:r>
        <w:rPr>
          <w:rFonts w:ascii="仿宋" w:hAnsi="仿宋" w:eastAsia="仿宋"/>
          <w:b/>
          <w:color w:val="000000" w:themeColor="text1"/>
          <w:sz w:val="36"/>
          <w:szCs w:val="20"/>
          <w:highlight w:val="none"/>
          <w14:textFill>
            <w14:solidFill>
              <w14:schemeClr w14:val="tx1"/>
            </w14:solidFill>
          </w14:textFill>
        </w:rPr>
        <w:br w:type="page"/>
      </w:r>
    </w:p>
    <w:p w14:paraId="20E21E87">
      <w:pPr>
        <w:snapToGrid w:val="0"/>
        <w:spacing w:line="360" w:lineRule="auto"/>
        <w:ind w:right="480"/>
        <w:jc w:val="center"/>
        <w:rPr>
          <w:rFonts w:ascii="仿宋" w:hAnsi="仿宋" w:eastAsia="仿宋" w:cs="仿宋_GB2312"/>
          <w:b/>
          <w:color w:val="000000" w:themeColor="text1"/>
          <w:kern w:val="0"/>
          <w:sz w:val="32"/>
          <w:szCs w:val="32"/>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6F242523">
      <w:pPr>
        <w:snapToGrid w:val="0"/>
        <w:spacing w:line="360" w:lineRule="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（征集人）、（采购代理机构）：</w:t>
      </w:r>
    </w:p>
    <w:p w14:paraId="2517F23F">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我方参与（项目名称）【编号：</w:t>
      </w:r>
      <w:r>
        <w:rPr>
          <w:rFonts w:hint="eastAsia" w:ascii="仿宋" w:hAnsi="仿宋" w:eastAsia="仿宋"/>
          <w:color w:val="000000" w:themeColor="text1"/>
          <w:sz w:val="24"/>
          <w:highlight w:val="none"/>
          <w14:textFill>
            <w14:solidFill>
              <w14:schemeClr w14:val="tx1"/>
            </w14:solidFill>
          </w14:textFill>
        </w:rPr>
        <w:t>（采购编号）</w:t>
      </w:r>
      <w:r>
        <w:rPr>
          <w:rFonts w:hint="eastAsia" w:ascii="仿宋" w:hAnsi="仿宋" w:eastAsia="仿宋" w:cs="仿宋_GB2312"/>
          <w:color w:val="000000" w:themeColor="text1"/>
          <w:sz w:val="24"/>
          <w:highlight w:val="none"/>
          <w14:textFill>
            <w14:solidFill>
              <w14:schemeClr w14:val="tx1"/>
            </w14:solidFill>
          </w14:textFill>
        </w:rPr>
        <w:t>】政府采购活动，郑重承诺：</w:t>
      </w:r>
    </w:p>
    <w:p w14:paraId="3E69E64A">
      <w:pPr>
        <w:snapToGrid w:val="0"/>
        <w:spacing w:line="360" w:lineRule="auto"/>
        <w:ind w:firstLine="360" w:firstLineChars="15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（一）具备《中华人民共和国政府采购法》第二十二条第一款规定的条件：</w:t>
      </w:r>
    </w:p>
    <w:p w14:paraId="612D5D14">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1、具有独立承担民事责任的能力；</w:t>
      </w:r>
    </w:p>
    <w:p w14:paraId="05E6F659">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2、具有良好的商业信誉和健全的财务会计制度； </w:t>
      </w:r>
    </w:p>
    <w:p w14:paraId="46718B92">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3、具有履行合同所必需的场地、设备和专业技术能力；</w:t>
      </w:r>
    </w:p>
    <w:p w14:paraId="41B06467">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4、有依法缴纳税收和社会保障资金的良好记录；</w:t>
      </w:r>
    </w:p>
    <w:p w14:paraId="37B2664D">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5、参加本次政府采购活动前三年内，在经营活动中没有重大违法记录；</w:t>
      </w:r>
    </w:p>
    <w:p w14:paraId="6627F492">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具有法律、行政法规规定的其他条件。</w:t>
      </w:r>
    </w:p>
    <w:p w14:paraId="0B85FEA8">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（二）未被信用中国（</w:t>
      </w:r>
      <w:r>
        <w:rPr>
          <w:rFonts w:ascii="仿宋" w:hAnsi="仿宋" w:eastAsia="仿宋"/>
          <w:color w:val="000000" w:themeColor="text1"/>
          <w:sz w:val="24"/>
          <w:highlight w:val="none"/>
          <w14:textFill>
            <w14:solidFill>
              <w14:schemeClr w14:val="tx1"/>
            </w14:solidFill>
          </w14:textFill>
        </w:rPr>
        <w:t>www.creditchina.gov.cn)、中国政府采购网（www.ccgp.gov.cn）列入失信被执行人</w:t>
      </w:r>
      <w:r>
        <w:rPr>
          <w:rFonts w:hint="eastAsia" w:ascii="仿宋" w:hAnsi="仿宋" w:eastAsia="仿宋"/>
          <w:color w:val="000000" w:themeColor="text1"/>
          <w:sz w:val="24"/>
          <w:highlight w:val="none"/>
          <w14:textFill>
            <w14:solidFill>
              <w14:schemeClr w14:val="tx1"/>
            </w14:solidFill>
          </w14:textFill>
        </w:rPr>
        <w:t>名单</w:t>
      </w:r>
      <w:r>
        <w:rPr>
          <w:rFonts w:ascii="仿宋" w:hAnsi="仿宋" w:eastAsia="仿宋"/>
          <w:color w:val="000000" w:themeColor="text1"/>
          <w:sz w:val="24"/>
          <w:highlight w:val="none"/>
          <w14:textFill>
            <w14:solidFill>
              <w14:schemeClr w14:val="tx1"/>
            </w14:solidFill>
          </w14:textFill>
        </w:rPr>
        <w:t>、重大税收违法案件当事人名单、政府采购严重违法失信行为记录名单。</w:t>
      </w:r>
    </w:p>
    <w:p w14:paraId="711127CF">
      <w:pPr>
        <w:snapToGrid w:val="0"/>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（三）不存在以下情况：</w:t>
      </w:r>
    </w:p>
    <w:p w14:paraId="78136B53">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w:t>
      </w:r>
      <w:r>
        <w:rPr>
          <w:rFonts w:ascii="仿宋" w:hAnsi="仿宋" w:eastAsia="仿宋" w:cs="仿宋_GB2312"/>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p>
    <w:p w14:paraId="32C6DA13">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w:t>
      </w:r>
      <w:r>
        <w:rPr>
          <w:rFonts w:ascii="仿宋" w:hAnsi="仿宋" w:eastAsia="仿宋" w:cs="仿宋_GB2312"/>
          <w:color w:val="000000" w:themeColor="text1"/>
          <w:sz w:val="24"/>
          <w:highlight w:val="none"/>
          <w14:textFill>
            <w14:solidFill>
              <w14:schemeClr w14:val="tx1"/>
            </w14:solidFill>
          </w14:textFill>
        </w:rPr>
        <w:t>为采购项目提供整体设计、规范编制或者项目管理、监理、检测等服务后再参加该采购项目的其他采购活动的。</w:t>
      </w:r>
    </w:p>
    <w:p w14:paraId="50372245">
      <w:pPr>
        <w:snapToGrid w:val="0"/>
        <w:spacing w:line="360" w:lineRule="auto"/>
        <w:ind w:firstLine="5520" w:firstLineChars="2300"/>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响应供应商名称</w:t>
      </w:r>
      <w:r>
        <w:rPr>
          <w:rFonts w:ascii="仿宋" w:hAnsi="仿宋" w:eastAsia="仿宋" w:cs="仿宋_GB2312"/>
          <w:color w:val="000000" w:themeColor="text1"/>
          <w:kern w:val="0"/>
          <w:sz w:val="24"/>
          <w:highlight w:val="none"/>
          <w:lang w:val="zh-CN"/>
          <w14:textFill>
            <w14:solidFill>
              <w14:schemeClr w14:val="tx1"/>
            </w14:solidFill>
          </w14:textFill>
        </w:rPr>
        <w:t>(电子签名)：</w:t>
      </w:r>
    </w:p>
    <w:p w14:paraId="6C4E60C5">
      <w:pPr>
        <w:snapToGrid w:val="0"/>
        <w:spacing w:line="360" w:lineRule="auto"/>
        <w:ind w:firstLine="5400" w:firstLineChars="2250"/>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日期</w:t>
      </w:r>
      <w:r>
        <w:rPr>
          <w:rFonts w:hint="eastAsia" w:ascii="仿宋" w:hAnsi="仿宋" w:eastAsia="仿宋" w:cs="仿宋_GB2312"/>
          <w:color w:val="000000" w:themeColor="text1"/>
          <w:kern w:val="0"/>
          <w:sz w:val="24"/>
          <w:highlight w:val="none"/>
          <w14:textFill>
            <w14:solidFill>
              <w14:schemeClr w14:val="tx1"/>
            </w14:solidFill>
          </w14:textFill>
        </w:rPr>
        <w:t>：</w:t>
      </w:r>
      <w:r>
        <w:rPr>
          <w:rFonts w:ascii="仿宋" w:hAnsi="仿宋" w:eastAsia="仿宋" w:cs="仿宋_GB2312"/>
          <w:color w:val="000000" w:themeColor="text1"/>
          <w:kern w:val="0"/>
          <w:sz w:val="24"/>
          <w:highlight w:val="none"/>
          <w14:textFill>
            <w14:solidFill>
              <w14:schemeClr w14:val="tx1"/>
            </w14:solidFill>
          </w14:textFill>
        </w:rPr>
        <w:t xml:space="preserve">  年  </w:t>
      </w:r>
      <w:r>
        <w:rPr>
          <w:rFonts w:hint="eastAsia" w:ascii="仿宋" w:hAnsi="仿宋" w:eastAsia="仿宋" w:cs="仿宋_GB2312"/>
          <w:color w:val="000000" w:themeColor="text1"/>
          <w:kern w:val="0"/>
          <w:sz w:val="24"/>
          <w:highlight w:val="none"/>
          <w:lang w:val="zh-CN"/>
          <w14:textFill>
            <w14:solidFill>
              <w14:schemeClr w14:val="tx1"/>
            </w14:solidFill>
          </w14:textFill>
        </w:rPr>
        <w:t>月   日</w:t>
      </w:r>
    </w:p>
    <w:p w14:paraId="77982B34">
      <w:pPr>
        <w:snapToGrid w:val="0"/>
        <w:spacing w:line="360" w:lineRule="auto"/>
        <w:ind w:right="480"/>
        <w:jc w:val="center"/>
        <w:rPr>
          <w:rFonts w:ascii="仿宋" w:hAnsi="仿宋" w:eastAsia="仿宋" w:cs="仿宋_GB2312"/>
          <w:b/>
          <w:color w:val="000000" w:themeColor="text1"/>
          <w:kern w:val="0"/>
          <w:sz w:val="32"/>
          <w:szCs w:val="32"/>
          <w:highlight w:val="none"/>
          <w14:textFill>
            <w14:solidFill>
              <w14:schemeClr w14:val="tx1"/>
            </w14:solidFill>
          </w14:textFill>
        </w:rPr>
      </w:pPr>
    </w:p>
    <w:p w14:paraId="3857CE80">
      <w:pPr>
        <w:snapToGrid w:val="0"/>
        <w:spacing w:line="360" w:lineRule="auto"/>
        <w:ind w:right="480"/>
        <w:jc w:val="center"/>
        <w:rPr>
          <w:rFonts w:ascii="仿宋" w:hAnsi="仿宋" w:eastAsia="仿宋" w:cs="仿宋_GB2312"/>
          <w:b/>
          <w:color w:val="000000" w:themeColor="text1"/>
          <w:kern w:val="0"/>
          <w:sz w:val="32"/>
          <w:szCs w:val="32"/>
          <w:highlight w:val="none"/>
          <w14:textFill>
            <w14:solidFill>
              <w14:schemeClr w14:val="tx1"/>
            </w14:solidFill>
          </w14:textFill>
        </w:rPr>
      </w:pPr>
    </w:p>
    <w:p w14:paraId="6874B924">
      <w:pPr>
        <w:widowControl/>
        <w:spacing w:line="360" w:lineRule="auto"/>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6FEA434A">
      <w:pPr>
        <w:widowControl/>
        <w:spacing w:line="360"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[以联合体形式投标的，提供联合协议（附件4）；本项目不接受联合体投标或者供应商不以联合体形式投标的，则不需要提供]</w:t>
      </w:r>
    </w:p>
    <w:p w14:paraId="741704D7">
      <w:pPr>
        <w:rPr>
          <w:color w:val="000000" w:themeColor="text1"/>
          <w:highlight w:val="none"/>
          <w14:textFill>
            <w14:solidFill>
              <w14:schemeClr w14:val="tx1"/>
            </w14:solidFill>
          </w14:textFill>
        </w:rPr>
      </w:pPr>
    </w:p>
    <w:p w14:paraId="5EBAC170">
      <w:pPr>
        <w:snapToGrid w:val="0"/>
        <w:spacing w:line="360" w:lineRule="auto"/>
        <w:ind w:right="480"/>
        <w:rPr>
          <w:rFonts w:ascii="仿宋" w:hAnsi="仿宋" w:eastAsia="仿宋" w:cs="仿宋_GB2312"/>
          <w:b/>
          <w:color w:val="000000" w:themeColor="text1"/>
          <w:kern w:val="0"/>
          <w:sz w:val="32"/>
          <w:szCs w:val="32"/>
          <w:highlight w:val="none"/>
          <w14:textFill>
            <w14:solidFill>
              <w14:schemeClr w14:val="tx1"/>
            </w14:solidFill>
          </w14:textFill>
        </w:rPr>
      </w:pPr>
    </w:p>
    <w:p w14:paraId="37675E70">
      <w:pPr>
        <w:rPr>
          <w:rFonts w:ascii="仿宋" w:hAnsi="仿宋" w:eastAsia="仿宋" w:cs="仿宋_GB2312"/>
          <w:b/>
          <w:color w:val="000000" w:themeColor="text1"/>
          <w:kern w:val="0"/>
          <w:sz w:val="32"/>
          <w:szCs w:val="32"/>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14:textFill>
            <w14:solidFill>
              <w14:schemeClr w14:val="tx1"/>
            </w14:solidFill>
          </w14:textFill>
        </w:rPr>
        <w:br w:type="page"/>
      </w:r>
    </w:p>
    <w:p w14:paraId="3F4F9EB1">
      <w:pPr>
        <w:snapToGrid w:val="0"/>
        <w:spacing w:line="360" w:lineRule="auto"/>
        <w:ind w:right="480"/>
        <w:jc w:val="center"/>
        <w:rPr>
          <w:rFonts w:ascii="仿宋" w:hAnsi="仿宋" w:eastAsia="仿宋" w:cs="仿宋_GB2312"/>
          <w:b/>
          <w:color w:val="000000" w:themeColor="text1"/>
          <w:kern w:val="0"/>
          <w:sz w:val="32"/>
          <w:szCs w:val="32"/>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14:textFill>
            <w14:solidFill>
              <w14:schemeClr w14:val="tx1"/>
            </w14:solidFill>
          </w14:textFill>
        </w:rPr>
        <w:t>三、落实政府采购政策需满足的资格要求</w:t>
      </w:r>
    </w:p>
    <w:p w14:paraId="69E15E20">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（根据征集公告</w:t>
      </w:r>
      <w:r>
        <w:rPr>
          <w:rFonts w:hint="eastAsia" w:ascii="仿宋" w:hAnsi="仿宋" w:eastAsia="仿宋"/>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ascii="仿宋" w:hAnsi="仿宋" w:eastAsia="仿宋" w:cs="仿宋_GB2312"/>
          <w:color w:val="000000" w:themeColor="text1"/>
          <w:sz w:val="24"/>
          <w:highlight w:val="none"/>
          <w14:textFill>
            <w14:solidFill>
              <w14:schemeClr w14:val="tx1"/>
            </w14:solidFill>
          </w14:textFill>
        </w:rPr>
        <w:t>）</w:t>
      </w:r>
    </w:p>
    <w:p w14:paraId="7613804F">
      <w:pPr>
        <w:snapToGrid w:val="0"/>
        <w:spacing w:before="50" w:after="50" w:line="360" w:lineRule="auto"/>
        <w:ind w:firstLine="472" w:firstLineChars="196"/>
        <w:jc w:val="left"/>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b/>
          <w:color w:val="000000" w:themeColor="text1"/>
          <w:sz w:val="24"/>
          <w:highlight w:val="none"/>
          <w14:textFill>
            <w14:solidFill>
              <w14:schemeClr w14:val="tx1"/>
            </w14:solidFill>
          </w14:textFill>
        </w:rPr>
        <w:t>A</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专门面向中小企业，</w:t>
      </w:r>
      <w:r>
        <w:rPr>
          <w:rFonts w:hint="eastAsia" w:ascii="仿宋" w:hAnsi="仿宋" w:eastAsia="仿宋" w:cs="仿宋_GB2312"/>
          <w:color w:val="000000" w:themeColor="text1"/>
          <w:sz w:val="24"/>
          <w:highlight w:val="none"/>
          <w:lang w:val="en-US" w:eastAsia="zh-CN"/>
          <w14:textFill>
            <w14:solidFill>
              <w14:schemeClr w14:val="tx1"/>
            </w14:solidFill>
          </w14:textFill>
        </w:rPr>
        <w:t>服务</w:t>
      </w:r>
      <w:r>
        <w:rPr>
          <w:rFonts w:hint="eastAsia" w:ascii="仿宋" w:hAnsi="仿宋" w:eastAsia="仿宋" w:cs="仿宋_GB2312"/>
          <w:color w:val="000000" w:themeColor="text1"/>
          <w:sz w:val="24"/>
          <w:highlight w:val="none"/>
          <w14:textFill>
            <w14:solidFill>
              <w14:schemeClr w14:val="tx1"/>
            </w14:solidFill>
          </w14:textFill>
        </w:rPr>
        <w:t>全部由符合政策要求的中小企业（或小微企业）制造或者服务全部由符合政策要求的中小企业（或小微企业）承接的，提供相应的中小企业声明函（附件6）。</w:t>
      </w:r>
    </w:p>
    <w:p w14:paraId="3CAB37BB">
      <w:pPr>
        <w:widowControl/>
        <w:spacing w:line="360" w:lineRule="auto"/>
        <w:ind w:firstLine="480"/>
        <w:jc w:val="left"/>
        <w:rPr>
          <w:rFonts w:ascii="仿宋" w:hAnsi="仿宋" w:eastAsia="仿宋"/>
          <w:color w:val="000000" w:themeColor="text1"/>
          <w:sz w:val="24"/>
          <w:highlight w:val="none"/>
          <w14:textFill>
            <w14:solidFill>
              <w14:schemeClr w14:val="tx1"/>
            </w14:solidFill>
          </w14:textFill>
        </w:rPr>
      </w:pPr>
    </w:p>
    <w:p w14:paraId="0D5D50A2">
      <w:pPr>
        <w:widowControl/>
        <w:spacing w:line="360" w:lineRule="auto"/>
        <w:ind w:firstLine="472" w:firstLineChars="196"/>
        <w:jc w:val="left"/>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b/>
          <w:color w:val="000000" w:themeColor="text1"/>
          <w:sz w:val="24"/>
          <w:highlight w:val="none"/>
          <w14:textFill>
            <w14:solidFill>
              <w14:schemeClr w14:val="tx1"/>
            </w14:solidFill>
          </w14:textFill>
        </w:rPr>
        <w:t>B.</w:t>
      </w:r>
      <w:r>
        <w:rPr>
          <w:rFonts w:hint="eastAsia" w:ascii="仿宋" w:hAnsi="仿宋" w:eastAsia="仿宋" w:cs="仿宋_GB2312"/>
          <w:color w:val="000000" w:themeColor="text1"/>
          <w:sz w:val="24"/>
          <w:highlight w:val="none"/>
          <w14:textFill>
            <w14:solidFill>
              <w14:schemeClr w14:val="tx1"/>
            </w14:solidFill>
          </w14:textFill>
        </w:rPr>
        <w:t>要求以联合体形式参加的，提供联合协议（附件4）和中小企业声明函（附件6），联合协议中中小企业合同金额应当达到征集公告载明的比例；如果供应商本身提供所有标的均由中小企业制造或承接的，视同符合了资格条件，无需再与其他中小企业组成联合体参加政府采购活动，无需提供联合协议</w:t>
      </w:r>
    </w:p>
    <w:p w14:paraId="622761EE">
      <w:pPr>
        <w:widowControl/>
        <w:spacing w:line="360" w:lineRule="auto"/>
        <w:ind w:firstLine="472" w:firstLineChars="196"/>
        <w:jc w:val="left"/>
        <w:rPr>
          <w:rFonts w:ascii="仿宋" w:hAnsi="仿宋" w:eastAsia="仿宋" w:cs="仿宋_GB2312"/>
          <w:b/>
          <w:color w:val="000000" w:themeColor="text1"/>
          <w:sz w:val="24"/>
          <w:highlight w:val="none"/>
          <w14:textFill>
            <w14:solidFill>
              <w14:schemeClr w14:val="tx1"/>
            </w14:solidFill>
          </w14:textFill>
        </w:rPr>
      </w:pPr>
    </w:p>
    <w:p w14:paraId="7BE9C44B">
      <w:pPr>
        <w:widowControl/>
        <w:spacing w:line="360" w:lineRule="auto"/>
        <w:ind w:firstLine="472" w:firstLineChars="196"/>
        <w:jc w:val="left"/>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C、</w:t>
      </w:r>
      <w:r>
        <w:rPr>
          <w:rFonts w:hint="eastAsia" w:ascii="仿宋" w:hAnsi="仿宋" w:eastAsia="仿宋" w:cs="仿宋_GB2312"/>
          <w:color w:val="000000" w:themeColor="text1"/>
          <w:sz w:val="24"/>
          <w:highlight w:val="none"/>
          <w14:textFill>
            <w14:solidFill>
              <w14:schemeClr w14:val="tx1"/>
            </w14:solidFill>
          </w14:textFill>
        </w:rPr>
        <w:t>要求合同分包的，提供分包意向协议（附件5）和中小企业声明函（附件6），分包意向协议中中小企业合同金额应当达到征集公告载明的比例；如果供应商本身提供所有标的均由中小企业制造的，视同符合了资格条件，无需再向中小企业分包，无需提供分包意向协议。</w:t>
      </w:r>
    </w:p>
    <w:p w14:paraId="774FB9FA">
      <w:pPr>
        <w:rPr>
          <w:color w:val="000000" w:themeColor="text1"/>
          <w:highlight w:val="none"/>
          <w14:textFill>
            <w14:solidFill>
              <w14:schemeClr w14:val="tx1"/>
            </w14:solidFill>
          </w14:textFill>
        </w:rPr>
      </w:pPr>
    </w:p>
    <w:p w14:paraId="025966CF">
      <w:pPr>
        <w:snapToGrid w:val="0"/>
        <w:spacing w:before="50" w:after="50" w:line="360" w:lineRule="auto"/>
        <w:jc w:val="center"/>
        <w:rPr>
          <w:rFonts w:ascii="仿宋" w:hAnsi="仿宋" w:eastAsia="仿宋" w:cs="仿宋_GB2312"/>
          <w:b/>
          <w:color w:val="000000" w:themeColor="text1"/>
          <w:kern w:val="0"/>
          <w:sz w:val="32"/>
          <w:szCs w:val="32"/>
          <w:highlight w:val="none"/>
          <w:lang w:val="zh-CN"/>
          <w14:textFill>
            <w14:solidFill>
              <w14:schemeClr w14:val="tx1"/>
            </w14:solidFill>
          </w14:textFill>
        </w:rPr>
      </w:pPr>
    </w:p>
    <w:p w14:paraId="26533A84">
      <w:pPr>
        <w:widowControl/>
        <w:spacing w:line="360" w:lineRule="auto"/>
        <w:ind w:left="150"/>
        <w:jc w:val="center"/>
        <w:rPr>
          <w:rFonts w:ascii="仿宋" w:hAnsi="仿宋" w:eastAsia="仿宋" w:cs="仿宋_GB2312"/>
          <w:b/>
          <w:color w:val="000000" w:themeColor="text1"/>
          <w:kern w:val="0"/>
          <w:sz w:val="32"/>
          <w:szCs w:val="32"/>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14:textFill>
            <w14:solidFill>
              <w14:schemeClr w14:val="tx1"/>
            </w14:solidFill>
          </w14:textFill>
        </w:rPr>
        <w:t>四、本项目的特定资格要求</w:t>
      </w:r>
    </w:p>
    <w:p w14:paraId="545E1B12">
      <w:pPr>
        <w:spacing w:line="360" w:lineRule="auto"/>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（根据征集公告本项目的特定资格要求</w:t>
      </w:r>
      <w:r>
        <w:rPr>
          <w:rFonts w:hint="eastAsia" w:ascii="仿宋" w:hAnsi="仿宋" w:eastAsia="仿宋"/>
          <w:color w:val="000000" w:themeColor="text1"/>
          <w:sz w:val="24"/>
          <w:highlight w:val="none"/>
          <w14:textFill>
            <w14:solidFill>
              <w14:schemeClr w14:val="tx1"/>
            </w14:solidFill>
          </w14:textFill>
        </w:rPr>
        <w:t>提供相应的材料；未要求的，无需提供</w:t>
      </w:r>
      <w:r>
        <w:rPr>
          <w:rFonts w:hint="eastAsia" w:ascii="仿宋" w:hAnsi="仿宋" w:eastAsia="仿宋" w:cs="仿宋_GB2312"/>
          <w:color w:val="000000" w:themeColor="text1"/>
          <w:sz w:val="24"/>
          <w:highlight w:val="none"/>
          <w14:textFill>
            <w14:solidFill>
              <w14:schemeClr w14:val="tx1"/>
            </w14:solidFill>
          </w14:textFill>
        </w:rPr>
        <w:t>）</w:t>
      </w:r>
    </w:p>
    <w:p w14:paraId="0F96D802">
      <w:pPr>
        <w:snapToGrid w:val="0"/>
        <w:spacing w:line="360" w:lineRule="auto"/>
        <w:rPr>
          <w:rFonts w:ascii="仿宋" w:hAnsi="仿宋" w:eastAsia="仿宋"/>
          <w:b/>
          <w:color w:val="000000" w:themeColor="text1"/>
          <w:sz w:val="36"/>
          <w:szCs w:val="20"/>
          <w:highlight w:val="none"/>
          <w14:textFill>
            <w14:solidFill>
              <w14:schemeClr w14:val="tx1"/>
            </w14:solidFill>
          </w14:textFill>
        </w:rPr>
      </w:pPr>
    </w:p>
    <w:p w14:paraId="28E9814B">
      <w:pPr>
        <w:snapToGrid w:val="0"/>
        <w:spacing w:line="360" w:lineRule="auto"/>
        <w:rPr>
          <w:rFonts w:ascii="仿宋" w:hAnsi="仿宋" w:eastAsia="仿宋"/>
          <w:b/>
          <w:color w:val="000000" w:themeColor="text1"/>
          <w:sz w:val="36"/>
          <w:szCs w:val="20"/>
          <w:highlight w:val="none"/>
          <w14:textFill>
            <w14:solidFill>
              <w14:schemeClr w14:val="tx1"/>
            </w14:solidFill>
          </w14:textFill>
        </w:rPr>
      </w:pPr>
    </w:p>
    <w:p w14:paraId="6687467F">
      <w:pPr>
        <w:snapToGrid w:val="0"/>
        <w:spacing w:line="360" w:lineRule="auto"/>
        <w:rPr>
          <w:rFonts w:ascii="仿宋" w:hAnsi="仿宋" w:eastAsia="仿宋"/>
          <w:b/>
          <w:color w:val="000000" w:themeColor="text1"/>
          <w:sz w:val="36"/>
          <w:szCs w:val="20"/>
          <w:highlight w:val="none"/>
          <w14:textFill>
            <w14:solidFill>
              <w14:schemeClr w14:val="tx1"/>
            </w14:solidFill>
          </w14:textFill>
        </w:rPr>
      </w:pPr>
    </w:p>
    <w:p w14:paraId="7D2C58C1">
      <w:pPr>
        <w:snapToGrid w:val="0"/>
        <w:spacing w:line="360" w:lineRule="auto"/>
        <w:rPr>
          <w:rFonts w:ascii="仿宋" w:hAnsi="仿宋" w:eastAsia="仿宋"/>
          <w:b/>
          <w:color w:val="000000" w:themeColor="text1"/>
          <w:sz w:val="36"/>
          <w:szCs w:val="20"/>
          <w:highlight w:val="none"/>
          <w14:textFill>
            <w14:solidFill>
              <w14:schemeClr w14:val="tx1"/>
            </w14:solidFill>
          </w14:textFill>
        </w:rPr>
      </w:pPr>
    </w:p>
    <w:p w14:paraId="128447F0">
      <w:pPr>
        <w:snapToGrid w:val="0"/>
        <w:spacing w:line="360" w:lineRule="auto"/>
        <w:rPr>
          <w:rFonts w:ascii="仿宋" w:hAnsi="仿宋" w:eastAsia="仿宋"/>
          <w:b/>
          <w:color w:val="000000" w:themeColor="text1"/>
          <w:sz w:val="36"/>
          <w:szCs w:val="20"/>
          <w:highlight w:val="none"/>
          <w14:textFill>
            <w14:solidFill>
              <w14:schemeClr w14:val="tx1"/>
            </w14:solidFill>
          </w14:textFill>
        </w:rPr>
      </w:pPr>
    </w:p>
    <w:p w14:paraId="7A7144AE">
      <w:pPr>
        <w:spacing w:line="360" w:lineRule="auto"/>
        <w:ind w:right="420" w:firstLine="3054" w:firstLineChars="845"/>
        <w:rPr>
          <w:rFonts w:ascii="仿宋" w:hAnsi="仿宋" w:eastAsia="仿宋" w:cs="仿宋_GB2312"/>
          <w:b/>
          <w:color w:val="000000" w:themeColor="text1"/>
          <w:kern w:val="0"/>
          <w:sz w:val="36"/>
          <w:szCs w:val="36"/>
          <w:highlight w:val="none"/>
          <w14:textFill>
            <w14:solidFill>
              <w14:schemeClr w14:val="tx1"/>
            </w14:solidFill>
          </w14:textFill>
        </w:rPr>
      </w:pPr>
    </w:p>
    <w:p w14:paraId="7CD4B653">
      <w:pPr>
        <w:spacing w:line="360" w:lineRule="auto"/>
        <w:ind w:right="420" w:firstLine="3054" w:firstLineChars="845"/>
        <w:rPr>
          <w:rFonts w:ascii="仿宋" w:hAnsi="仿宋" w:eastAsia="仿宋" w:cs="仿宋_GB2312"/>
          <w:b/>
          <w:color w:val="000000" w:themeColor="text1"/>
          <w:kern w:val="0"/>
          <w:sz w:val="36"/>
          <w:szCs w:val="36"/>
          <w:highlight w:val="none"/>
          <w14:textFill>
            <w14:solidFill>
              <w14:schemeClr w14:val="tx1"/>
            </w14:solidFill>
          </w14:textFill>
        </w:rPr>
      </w:pPr>
    </w:p>
    <w:p w14:paraId="4609C654">
      <w:pPr>
        <w:spacing w:line="360" w:lineRule="auto"/>
        <w:ind w:right="420"/>
        <w:jc w:val="center"/>
        <w:rPr>
          <w:rFonts w:ascii="仿宋" w:hAnsi="仿宋" w:eastAsia="仿宋" w:cs="仿宋_GB2312"/>
          <w:b/>
          <w:color w:val="000000" w:themeColor="text1"/>
          <w:kern w:val="0"/>
          <w:sz w:val="36"/>
          <w:szCs w:val="36"/>
          <w:highlight w:val="none"/>
          <w14:textFill>
            <w14:solidFill>
              <w14:schemeClr w14:val="tx1"/>
            </w14:solidFill>
          </w14:textFill>
        </w:rPr>
      </w:pPr>
      <w:r>
        <w:rPr>
          <w:rFonts w:hint="eastAsia" w:ascii="仿宋" w:hAnsi="仿宋" w:eastAsia="仿宋" w:cs="仿宋_GB2312"/>
          <w:b/>
          <w:color w:val="000000" w:themeColor="text1"/>
          <w:kern w:val="0"/>
          <w:sz w:val="36"/>
          <w:szCs w:val="36"/>
          <w:highlight w:val="none"/>
          <w14:textFill>
            <w14:solidFill>
              <w14:schemeClr w14:val="tx1"/>
            </w14:solidFill>
          </w14:textFill>
        </w:rPr>
        <w:t>商务技术文件部分</w:t>
      </w:r>
    </w:p>
    <w:p w14:paraId="3FC9800A">
      <w:pPr>
        <w:spacing w:line="360" w:lineRule="auto"/>
        <w:jc w:val="center"/>
        <w:outlineLvl w:val="0"/>
        <w:rPr>
          <w:rFonts w:ascii="仿宋" w:hAnsi="仿宋" w:eastAsia="仿宋" w:cs="仿宋_GB2312"/>
          <w:b/>
          <w:color w:val="000000" w:themeColor="text1"/>
          <w:kern w:val="0"/>
          <w:sz w:val="24"/>
          <w:highlight w:val="none"/>
          <w14:textFill>
            <w14:solidFill>
              <w14:schemeClr w14:val="tx1"/>
            </w14:solidFill>
          </w14:textFill>
        </w:rPr>
      </w:pPr>
    </w:p>
    <w:p w14:paraId="20F39565">
      <w:pPr>
        <w:spacing w:line="360" w:lineRule="auto"/>
        <w:jc w:val="center"/>
        <w:outlineLvl w:val="0"/>
        <w:rPr>
          <w:rFonts w:ascii="仿宋" w:hAnsi="仿宋" w:eastAsia="仿宋" w:cs="仿宋_GB2312"/>
          <w:b/>
          <w:color w:val="000000" w:themeColor="text1"/>
          <w:kern w:val="0"/>
          <w:sz w:val="28"/>
          <w:szCs w:val="28"/>
          <w:highlight w:val="none"/>
          <w14:textFill>
            <w14:solidFill>
              <w14:schemeClr w14:val="tx1"/>
            </w14:solidFill>
          </w14:textFill>
        </w:rPr>
      </w:pPr>
      <w:r>
        <w:rPr>
          <w:rFonts w:hint="eastAsia" w:ascii="仿宋" w:hAnsi="仿宋" w:eastAsia="仿宋" w:cs="仿宋_GB2312"/>
          <w:b/>
          <w:color w:val="000000" w:themeColor="text1"/>
          <w:kern w:val="0"/>
          <w:sz w:val="28"/>
          <w:szCs w:val="28"/>
          <w:highlight w:val="none"/>
          <w14:textFill>
            <w14:solidFill>
              <w14:schemeClr w14:val="tx1"/>
            </w14:solidFill>
          </w14:textFill>
        </w:rPr>
        <w:t>目录</w:t>
      </w:r>
    </w:p>
    <w:p w14:paraId="646F2F81">
      <w:pPr>
        <w:snapToGrid w:val="0"/>
        <w:spacing w:line="360" w:lineRule="auto"/>
        <w:ind w:left="479" w:leftChars="228"/>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w:t>
      </w:r>
      <w:r>
        <w:rPr>
          <w:rFonts w:ascii="仿宋" w:hAnsi="仿宋" w:eastAsia="仿宋" w:cs="仿宋_GB2312"/>
          <w:color w:val="000000" w:themeColor="text1"/>
          <w:sz w:val="24"/>
          <w:highlight w:val="none"/>
          <w14:textFill>
            <w14:solidFill>
              <w14:schemeClr w14:val="tx1"/>
            </w14:solidFill>
          </w14:textFill>
        </w:rPr>
        <w:t>1）投标函</w:t>
      </w:r>
      <w:r>
        <w:rPr>
          <w:rFonts w:hint="eastAsia" w:ascii="仿宋" w:hAnsi="仿宋" w:eastAsia="仿宋" w:cs="仿宋_GB2312"/>
          <w:color w:val="000000" w:themeColor="text1"/>
          <w:highlight w:val="none"/>
          <w14:textFill>
            <w14:solidFill>
              <w14:schemeClr w14:val="tx1"/>
            </w14:solidFill>
          </w14:textFill>
        </w:rPr>
        <w:t>…………………………………………………………………………………（页码）</w:t>
      </w:r>
      <w:r>
        <w:rPr>
          <w:rFonts w:hint="eastAsia" w:ascii="仿宋" w:hAnsi="仿宋" w:eastAsia="仿宋" w:cs="仿宋_GB2312"/>
          <w:color w:val="000000" w:themeColor="text1"/>
          <w:sz w:val="24"/>
          <w:highlight w:val="none"/>
          <w14:textFill>
            <w14:solidFill>
              <w14:schemeClr w14:val="tx1"/>
            </w14:solidFill>
          </w14:textFill>
        </w:rPr>
        <w:t>（</w:t>
      </w:r>
      <w:r>
        <w:rPr>
          <w:rFonts w:ascii="仿宋" w:hAnsi="仿宋" w:eastAsia="仿宋" w:cs="仿宋_GB2312"/>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_GB2312"/>
          <w:color w:val="000000" w:themeColor="text1"/>
          <w:highlight w:val="none"/>
          <w14:textFill>
            <w14:solidFill>
              <w14:schemeClr w14:val="tx1"/>
            </w14:solidFill>
          </w14:textFill>
        </w:rPr>
        <w:t>………（页码）</w:t>
      </w:r>
    </w:p>
    <w:p w14:paraId="59B40531">
      <w:pPr>
        <w:snapToGrid w:val="0"/>
        <w:spacing w:line="360" w:lineRule="auto"/>
        <w:ind w:firstLine="480" w:firstLineChars="20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w:t>
      </w:r>
      <w:r>
        <w:rPr>
          <w:rFonts w:ascii="仿宋" w:hAnsi="仿宋" w:eastAsia="仿宋" w:cs="仿宋_GB2312"/>
          <w:color w:val="000000" w:themeColor="text1"/>
          <w:sz w:val="24"/>
          <w:highlight w:val="none"/>
          <w14:textFill>
            <w14:solidFill>
              <w14:schemeClr w14:val="tx1"/>
            </w14:solidFill>
          </w14:textFill>
        </w:rPr>
        <w:t>）分包意向协议</w:t>
      </w:r>
      <w:r>
        <w:rPr>
          <w:rFonts w:hint="eastAsia" w:ascii="仿宋" w:hAnsi="仿宋" w:eastAsia="仿宋" w:cs="仿宋_GB2312"/>
          <w:color w:val="000000" w:themeColor="text1"/>
          <w:highlight w:val="none"/>
          <w14:textFill>
            <w14:solidFill>
              <w14:schemeClr w14:val="tx1"/>
            </w14:solidFill>
          </w14:textFill>
        </w:rPr>
        <w:t>…………………………………………………………………………（页码）</w:t>
      </w:r>
    </w:p>
    <w:p w14:paraId="33CFA546">
      <w:pPr>
        <w:snapToGrid w:val="0"/>
        <w:spacing w:line="360" w:lineRule="auto"/>
        <w:ind w:firstLine="480" w:firstLineChars="200"/>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（4</w:t>
      </w:r>
      <w:r>
        <w:rPr>
          <w:rFonts w:ascii="仿宋" w:hAnsi="仿宋" w:eastAsia="仿宋" w:cs="仿宋_GB2312"/>
          <w:color w:val="000000" w:themeColor="text1"/>
          <w:sz w:val="24"/>
          <w:highlight w:val="none"/>
          <w14:textFill>
            <w14:solidFill>
              <w14:schemeClr w14:val="tx1"/>
            </w14:solidFill>
          </w14:textFill>
        </w:rPr>
        <w:t>）符合性审查资料</w:t>
      </w:r>
      <w:r>
        <w:rPr>
          <w:rFonts w:hint="eastAsia" w:ascii="仿宋" w:hAnsi="仿宋" w:eastAsia="仿宋" w:cs="仿宋_GB2312"/>
          <w:color w:val="000000" w:themeColor="text1"/>
          <w:highlight w:val="none"/>
          <w14:textFill>
            <w14:solidFill>
              <w14:schemeClr w14:val="tx1"/>
            </w14:solidFill>
          </w14:textFill>
        </w:rPr>
        <w:t>………………………………………………………………………（页码）</w:t>
      </w:r>
    </w:p>
    <w:p w14:paraId="328E3EC2">
      <w:pPr>
        <w:snapToGrid w:val="0"/>
        <w:spacing w:line="360" w:lineRule="auto"/>
        <w:ind w:left="479" w:leftChars="228"/>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w:t>
      </w:r>
      <w:r>
        <w:rPr>
          <w:rFonts w:ascii="仿宋" w:hAnsi="仿宋" w:eastAsia="仿宋" w:cs="仿宋_GB2312"/>
          <w:color w:val="000000" w:themeColor="text1"/>
          <w:sz w:val="24"/>
          <w:highlight w:val="none"/>
          <w14:textFill>
            <w14:solidFill>
              <w14:schemeClr w14:val="tx1"/>
            </w14:solidFill>
          </w14:textFill>
        </w:rPr>
        <w:t>）评标标准相应的商务技术资料</w:t>
      </w:r>
      <w:r>
        <w:rPr>
          <w:rFonts w:hint="eastAsia" w:ascii="仿宋" w:hAnsi="仿宋" w:eastAsia="仿宋" w:cs="仿宋_GB2312"/>
          <w:color w:val="000000" w:themeColor="text1"/>
          <w:highlight w:val="none"/>
          <w14:textFill>
            <w14:solidFill>
              <w14:schemeClr w14:val="tx1"/>
            </w14:solidFill>
          </w14:textFill>
        </w:rPr>
        <w:t>……………………………………………………（页码）</w:t>
      </w:r>
    </w:p>
    <w:p w14:paraId="6FE01857">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w:t>
      </w:r>
      <w:r>
        <w:rPr>
          <w:rFonts w:ascii="仿宋" w:hAnsi="仿宋" w:eastAsia="仿宋" w:cs="仿宋_GB2312"/>
          <w:color w:val="000000" w:themeColor="text1"/>
          <w:sz w:val="24"/>
          <w:highlight w:val="none"/>
          <w14:textFill>
            <w14:solidFill>
              <w14:schemeClr w14:val="tx1"/>
            </w14:solidFill>
          </w14:textFill>
        </w:rPr>
        <w:t>6</w:t>
      </w:r>
      <w:r>
        <w:rPr>
          <w:rFonts w:hint="eastAsia" w:ascii="仿宋" w:hAnsi="仿宋" w:eastAsia="仿宋" w:cs="仿宋_GB2312"/>
          <w:color w:val="000000" w:themeColor="text1"/>
          <w:sz w:val="24"/>
          <w:highlight w:val="none"/>
          <w14:textFill>
            <w14:solidFill>
              <w14:schemeClr w14:val="tx1"/>
            </w14:solidFill>
          </w14:textFill>
        </w:rPr>
        <w:t>）投标标的清单………………………………………………………………（页码）</w:t>
      </w:r>
    </w:p>
    <w:p w14:paraId="2E4A3DD8">
      <w:pPr>
        <w:snapToGrid w:val="0"/>
        <w:spacing w:line="360" w:lineRule="auto"/>
        <w:ind w:left="479" w:leftChars="228"/>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w:t>
      </w:r>
      <w:r>
        <w:rPr>
          <w:rFonts w:ascii="仿宋" w:hAnsi="仿宋" w:eastAsia="仿宋" w:cs="仿宋_GB2312"/>
          <w:color w:val="000000" w:themeColor="text1"/>
          <w:sz w:val="24"/>
          <w:highlight w:val="none"/>
          <w14:textFill>
            <w14:solidFill>
              <w14:schemeClr w14:val="tx1"/>
            </w14:solidFill>
          </w14:textFill>
        </w:rPr>
        <w:t>7）商务技术偏离表</w:t>
      </w:r>
      <w:r>
        <w:rPr>
          <w:rFonts w:hint="eastAsia" w:ascii="仿宋" w:hAnsi="仿宋" w:eastAsia="仿宋" w:cs="仿宋_GB2312"/>
          <w:color w:val="000000" w:themeColor="text1"/>
          <w:highlight w:val="none"/>
          <w14:textFill>
            <w14:solidFill>
              <w14:schemeClr w14:val="tx1"/>
            </w14:solidFill>
          </w14:textFill>
        </w:rPr>
        <w:t>………………………………………………………………………（页码）</w:t>
      </w:r>
    </w:p>
    <w:p w14:paraId="642E6A04">
      <w:pPr>
        <w:snapToGrid w:val="0"/>
        <w:spacing w:line="360" w:lineRule="auto"/>
        <w:ind w:left="479" w:leftChars="228"/>
        <w:rPr>
          <w:rFonts w:ascii="仿宋" w:hAnsi="仿宋" w:eastAsia="仿宋" w:cs="仿宋_GB2312"/>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lang w:val="zh-CN"/>
          <w14:textFill>
            <w14:solidFill>
              <w14:schemeClr w14:val="tx1"/>
            </w14:solidFill>
          </w14:textFill>
        </w:rPr>
        <w:t>（</w:t>
      </w:r>
      <w:r>
        <w:rPr>
          <w:rFonts w:ascii="仿宋" w:hAnsi="仿宋" w:eastAsia="仿宋" w:cs="仿宋_GB2312"/>
          <w:color w:val="000000" w:themeColor="text1"/>
          <w:sz w:val="24"/>
          <w:highlight w:val="none"/>
          <w14:textFill>
            <w14:solidFill>
              <w14:schemeClr w14:val="tx1"/>
            </w14:solidFill>
          </w14:textFill>
        </w:rPr>
        <w:t>8</w:t>
      </w:r>
      <w:r>
        <w:rPr>
          <w:rFonts w:hint="eastAsia" w:ascii="仿宋" w:hAnsi="仿宋" w:eastAsia="仿宋" w:cs="仿宋_GB2312"/>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_GB2312"/>
          <w:color w:val="000000" w:themeColor="text1"/>
          <w:highlight w:val="none"/>
          <w14:textFill>
            <w14:solidFill>
              <w14:schemeClr w14:val="tx1"/>
            </w14:solidFill>
          </w14:textFill>
        </w:rPr>
        <w:t>…………………………………………………（页码）</w:t>
      </w:r>
    </w:p>
    <w:p w14:paraId="7BB12021">
      <w:pPr>
        <w:snapToGrid w:val="0"/>
        <w:spacing w:line="360" w:lineRule="auto"/>
        <w:jc w:val="center"/>
        <w:rPr>
          <w:rFonts w:ascii="仿宋" w:hAnsi="仿宋" w:eastAsia="仿宋" w:cs="仿宋_GB2312"/>
          <w:b/>
          <w:color w:val="000000" w:themeColor="text1"/>
          <w:kern w:val="0"/>
          <w:sz w:val="32"/>
          <w:szCs w:val="32"/>
          <w:highlight w:val="none"/>
          <w:lang w:val="zh-CN"/>
          <w14:textFill>
            <w14:solidFill>
              <w14:schemeClr w14:val="tx1"/>
            </w14:solidFill>
          </w14:textFill>
        </w:rPr>
      </w:pPr>
    </w:p>
    <w:p w14:paraId="7EE9F1DB">
      <w:pPr>
        <w:snapToGrid w:val="0"/>
        <w:spacing w:line="360" w:lineRule="auto"/>
        <w:jc w:val="center"/>
        <w:rPr>
          <w:rFonts w:ascii="仿宋" w:hAnsi="仿宋" w:eastAsia="仿宋" w:cs="仿宋_GB2312"/>
          <w:b/>
          <w:color w:val="000000" w:themeColor="text1"/>
          <w:kern w:val="0"/>
          <w:sz w:val="32"/>
          <w:szCs w:val="32"/>
          <w:highlight w:val="none"/>
          <w:lang w:val="zh-CN"/>
          <w14:textFill>
            <w14:solidFill>
              <w14:schemeClr w14:val="tx1"/>
            </w14:solidFill>
          </w14:textFill>
        </w:rPr>
      </w:pPr>
    </w:p>
    <w:p w14:paraId="48B68CDA">
      <w:pPr>
        <w:snapToGrid w:val="0"/>
        <w:spacing w:line="360" w:lineRule="auto"/>
        <w:jc w:val="center"/>
        <w:rPr>
          <w:rFonts w:ascii="仿宋" w:hAnsi="仿宋" w:eastAsia="仿宋" w:cs="仿宋_GB2312"/>
          <w:b/>
          <w:color w:val="000000" w:themeColor="text1"/>
          <w:kern w:val="0"/>
          <w:sz w:val="32"/>
          <w:szCs w:val="32"/>
          <w:highlight w:val="none"/>
          <w:lang w:val="zh-CN"/>
          <w14:textFill>
            <w14:solidFill>
              <w14:schemeClr w14:val="tx1"/>
            </w14:solidFill>
          </w14:textFill>
        </w:rPr>
      </w:pPr>
    </w:p>
    <w:p w14:paraId="29432E88">
      <w:pPr>
        <w:snapToGrid w:val="0"/>
        <w:spacing w:line="360" w:lineRule="auto"/>
        <w:jc w:val="center"/>
        <w:rPr>
          <w:rFonts w:ascii="仿宋" w:hAnsi="仿宋" w:eastAsia="仿宋" w:cs="仿宋_GB2312"/>
          <w:b/>
          <w:color w:val="000000" w:themeColor="text1"/>
          <w:kern w:val="0"/>
          <w:sz w:val="32"/>
          <w:szCs w:val="32"/>
          <w:highlight w:val="none"/>
          <w:lang w:val="zh-CN"/>
          <w14:textFill>
            <w14:solidFill>
              <w14:schemeClr w14:val="tx1"/>
            </w14:solidFill>
          </w14:textFill>
        </w:rPr>
      </w:pPr>
    </w:p>
    <w:p w14:paraId="5C19E042">
      <w:pPr>
        <w:snapToGrid w:val="0"/>
        <w:spacing w:line="360" w:lineRule="auto"/>
        <w:jc w:val="center"/>
        <w:rPr>
          <w:rFonts w:ascii="仿宋" w:hAnsi="仿宋" w:eastAsia="仿宋" w:cs="仿宋_GB2312"/>
          <w:b/>
          <w:color w:val="000000" w:themeColor="text1"/>
          <w:kern w:val="0"/>
          <w:sz w:val="32"/>
          <w:szCs w:val="32"/>
          <w:highlight w:val="none"/>
          <w:lang w:val="zh-CN"/>
          <w14:textFill>
            <w14:solidFill>
              <w14:schemeClr w14:val="tx1"/>
            </w14:solidFill>
          </w14:textFill>
        </w:rPr>
      </w:pPr>
    </w:p>
    <w:p w14:paraId="7C01DAA8">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66BAB9A4">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2557C39B">
      <w:pPr>
        <w:rPr>
          <w:rFonts w:ascii="仿宋" w:hAnsi="仿宋" w:eastAsia="仿宋"/>
          <w:color w:val="000000" w:themeColor="text1"/>
          <w:highlight w:val="none"/>
          <w14:textFill>
            <w14:solidFill>
              <w14:schemeClr w14:val="tx1"/>
            </w14:solidFill>
          </w14:textFill>
        </w:rPr>
      </w:pPr>
    </w:p>
    <w:p w14:paraId="5489FCE6">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3A534BA1">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2BE05F03">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717EC8ED">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56421E89">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1FFF9495">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54D614DD">
      <w:pPr>
        <w:snapToGrid w:val="0"/>
        <w:spacing w:line="360" w:lineRule="auto"/>
        <w:jc w:val="center"/>
        <w:outlineLvl w:val="0"/>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14:textFill>
            <w14:solidFill>
              <w14:schemeClr w14:val="tx1"/>
            </w14:solidFill>
          </w14:textFill>
        </w:rPr>
        <w:t>一、投标</w:t>
      </w:r>
      <w:r>
        <w:rPr>
          <w:rFonts w:hint="eastAsia" w:ascii="仿宋" w:hAnsi="仿宋" w:eastAsia="仿宋" w:cs="仿宋_GB2312"/>
          <w:b/>
          <w:color w:val="000000" w:themeColor="text1"/>
          <w:sz w:val="32"/>
          <w:szCs w:val="32"/>
          <w:highlight w:val="none"/>
          <w14:textFill>
            <w14:solidFill>
              <w14:schemeClr w14:val="tx1"/>
            </w14:solidFill>
          </w14:textFill>
        </w:rPr>
        <w:t>函</w:t>
      </w:r>
    </w:p>
    <w:p w14:paraId="1AB75DE6">
      <w:pPr>
        <w:snapToGrid w:val="0"/>
        <w:spacing w:line="360" w:lineRule="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（征集人）、（采购代理机构）：</w:t>
      </w:r>
    </w:p>
    <w:p w14:paraId="0DEF650E">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我方参加你方组织的（项目名称）【编号：</w:t>
      </w:r>
      <w:r>
        <w:rPr>
          <w:rFonts w:hint="eastAsia" w:ascii="仿宋" w:hAnsi="仿宋" w:eastAsia="仿宋"/>
          <w:color w:val="000000" w:themeColor="text1"/>
          <w:sz w:val="24"/>
          <w:highlight w:val="none"/>
          <w14:textFill>
            <w14:solidFill>
              <w14:schemeClr w14:val="tx1"/>
            </w14:solidFill>
          </w14:textFill>
        </w:rPr>
        <w:t>（采购编号）</w:t>
      </w:r>
      <w:r>
        <w:rPr>
          <w:rFonts w:hint="eastAsia" w:ascii="仿宋" w:hAnsi="仿宋" w:eastAsia="仿宋" w:cs="仿宋_GB2312"/>
          <w:color w:val="000000" w:themeColor="text1"/>
          <w:sz w:val="24"/>
          <w:highlight w:val="none"/>
          <w14:textFill>
            <w14:solidFill>
              <w14:schemeClr w14:val="tx1"/>
            </w14:solidFill>
          </w14:textFill>
        </w:rPr>
        <w:t>】征集的有关活动，并对此项目进行投标。为此：</w:t>
      </w:r>
    </w:p>
    <w:p w14:paraId="6429508B">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1、我方承诺投标有效期从提交响应文件的截止之日起</w:t>
      </w:r>
      <w:r>
        <w:rPr>
          <w:rFonts w:hint="eastAsia"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天（不少于</w:t>
      </w:r>
      <w:r>
        <w:rPr>
          <w:rFonts w:ascii="仿宋" w:hAnsi="仿宋" w:eastAsia="仿宋" w:cs="仿宋_GB2312"/>
          <w:color w:val="000000" w:themeColor="text1"/>
          <w:sz w:val="24"/>
          <w:highlight w:val="none"/>
          <w14:textFill>
            <w14:solidFill>
              <w14:schemeClr w14:val="tx1"/>
            </w14:solidFill>
          </w14:textFill>
        </w:rPr>
        <w:t>90天）</w:t>
      </w: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本响应文件在投标有效期满之前均具有约束力。</w:t>
      </w:r>
    </w:p>
    <w:p w14:paraId="622CDD20">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2、我方的响应文件包括以下内容：</w:t>
      </w:r>
    </w:p>
    <w:p w14:paraId="6599D67F">
      <w:pPr>
        <w:snapToGrid w:val="0"/>
        <w:spacing w:line="360" w:lineRule="auto"/>
        <w:ind w:left="210" w:leftChars="1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2.1资格文件：</w:t>
      </w:r>
    </w:p>
    <w:p w14:paraId="1618CC32">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2.1.1</w:t>
      </w:r>
      <w:r>
        <w:rPr>
          <w:rFonts w:hint="eastAsia" w:ascii="仿宋" w:hAnsi="仿宋" w:eastAsia="仿宋" w:cs="仿宋_GB2312"/>
          <w:color w:val="000000" w:themeColor="text1"/>
          <w:sz w:val="24"/>
          <w:highlight w:val="none"/>
          <w14:textFill>
            <w14:solidFill>
              <w14:schemeClr w14:val="tx1"/>
            </w14:solidFill>
          </w14:textFill>
        </w:rPr>
        <w:t>承诺函；</w:t>
      </w:r>
    </w:p>
    <w:p w14:paraId="1B6039AF">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2.1.2联合协议（如果有)；</w:t>
      </w:r>
    </w:p>
    <w:p w14:paraId="4C3F09C0">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2.1.</w:t>
      </w:r>
      <w:r>
        <w:rPr>
          <w:rFonts w:hint="eastAsia" w:ascii="仿宋" w:hAnsi="仿宋" w:eastAsia="仿宋" w:cs="仿宋_GB2312"/>
          <w:color w:val="000000" w:themeColor="text1"/>
          <w:sz w:val="24"/>
          <w:highlight w:val="none"/>
          <w14:textFill>
            <w14:solidFill>
              <w14:schemeClr w14:val="tx1"/>
            </w14:solidFill>
          </w14:textFill>
        </w:rPr>
        <w:t>3</w:t>
      </w:r>
      <w:r>
        <w:rPr>
          <w:rFonts w:ascii="仿宋" w:hAnsi="仿宋" w:eastAsia="仿宋" w:cs="仿宋_GB2312"/>
          <w:color w:val="000000" w:themeColor="text1"/>
          <w:sz w:val="24"/>
          <w:highlight w:val="none"/>
          <w14:textFill>
            <w14:solidFill>
              <w14:schemeClr w14:val="tx1"/>
            </w14:solidFill>
          </w14:textFill>
        </w:rPr>
        <w:t>落实政府采购政策需满足的资格要求</w:t>
      </w:r>
      <w:r>
        <w:rPr>
          <w:rFonts w:hint="eastAsia" w:ascii="仿宋" w:hAnsi="仿宋" w:eastAsia="仿宋" w:cs="仿宋_GB2312"/>
          <w:color w:val="000000" w:themeColor="text1"/>
          <w:sz w:val="24"/>
          <w:highlight w:val="none"/>
          <w14:textFill>
            <w14:solidFill>
              <w14:schemeClr w14:val="tx1"/>
            </w14:solidFill>
          </w14:textFill>
        </w:rPr>
        <w:t>（如果有）；</w:t>
      </w:r>
    </w:p>
    <w:p w14:paraId="217EC8C6">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2.1.</w:t>
      </w:r>
      <w:r>
        <w:rPr>
          <w:rFonts w:hint="eastAsia" w:ascii="仿宋" w:hAnsi="仿宋" w:eastAsia="仿宋" w:cs="仿宋_GB2312"/>
          <w:color w:val="000000" w:themeColor="text1"/>
          <w:sz w:val="24"/>
          <w:highlight w:val="none"/>
          <w14:textFill>
            <w14:solidFill>
              <w14:schemeClr w14:val="tx1"/>
            </w14:solidFill>
          </w14:textFill>
        </w:rPr>
        <w:t>4</w:t>
      </w:r>
      <w:r>
        <w:rPr>
          <w:rFonts w:ascii="仿宋" w:hAnsi="仿宋" w:eastAsia="仿宋" w:cs="仿宋_GB2312"/>
          <w:color w:val="000000" w:themeColor="text1"/>
          <w:sz w:val="24"/>
          <w:highlight w:val="none"/>
          <w14:textFill>
            <w14:solidFill>
              <w14:schemeClr w14:val="tx1"/>
            </w14:solidFill>
          </w14:textFill>
        </w:rPr>
        <w:t>本项目的特定资格要求</w:t>
      </w:r>
      <w:r>
        <w:rPr>
          <w:rFonts w:hint="eastAsia" w:ascii="仿宋" w:hAnsi="仿宋" w:eastAsia="仿宋" w:cs="仿宋_GB2312"/>
          <w:color w:val="000000" w:themeColor="text1"/>
          <w:sz w:val="24"/>
          <w:highlight w:val="none"/>
          <w14:textFill>
            <w14:solidFill>
              <w14:schemeClr w14:val="tx1"/>
            </w14:solidFill>
          </w14:textFill>
        </w:rPr>
        <w:t>（如果有）。</w:t>
      </w:r>
    </w:p>
    <w:p w14:paraId="0711D327">
      <w:pPr>
        <w:snapToGrid w:val="0"/>
        <w:spacing w:line="360" w:lineRule="auto"/>
        <w:ind w:left="210" w:leftChars="100" w:firstLine="480" w:firstLineChars="200"/>
        <w:rPr>
          <w:rFonts w:ascii="仿宋" w:hAnsi="仿宋" w:eastAsia="仿宋" w:cs="仿宋_GB2312"/>
          <w:color w:val="000000" w:themeColor="text1"/>
          <w:sz w:val="24"/>
          <w:highlight w:val="none"/>
          <w:lang w:val="zh-CN"/>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w:t>
      </w:r>
      <w:r>
        <w:rPr>
          <w:rFonts w:ascii="仿宋" w:hAnsi="仿宋" w:eastAsia="仿宋" w:cs="仿宋_GB2312"/>
          <w:color w:val="000000" w:themeColor="text1"/>
          <w:sz w:val="24"/>
          <w:highlight w:val="none"/>
          <w:lang w:val="zh-CN"/>
          <w14:textFill>
            <w14:solidFill>
              <w14:schemeClr w14:val="tx1"/>
            </w14:solidFill>
          </w14:textFill>
        </w:rPr>
        <w:t>.</w:t>
      </w:r>
      <w:r>
        <w:rPr>
          <w:rFonts w:ascii="仿宋" w:hAnsi="仿宋" w:eastAsia="仿宋" w:cs="仿宋_GB2312"/>
          <w:color w:val="000000" w:themeColor="text1"/>
          <w:sz w:val="24"/>
          <w:highlight w:val="none"/>
          <w14:textFill>
            <w14:solidFill>
              <w14:schemeClr w14:val="tx1"/>
            </w14:solidFill>
          </w14:textFill>
        </w:rPr>
        <w:t>2</w:t>
      </w:r>
      <w:r>
        <w:rPr>
          <w:rFonts w:hint="eastAsia" w:ascii="仿宋" w:hAnsi="仿宋" w:eastAsia="仿宋" w:cs="仿宋_GB2312"/>
          <w:color w:val="000000" w:themeColor="text1"/>
          <w:sz w:val="24"/>
          <w:highlight w:val="none"/>
          <w14:textFill>
            <w14:solidFill>
              <w14:schemeClr w14:val="tx1"/>
            </w14:solidFill>
          </w14:textFill>
        </w:rPr>
        <w:t>商务技术</w:t>
      </w:r>
      <w:r>
        <w:rPr>
          <w:rFonts w:hint="eastAsia" w:ascii="仿宋" w:hAnsi="仿宋" w:eastAsia="仿宋" w:cs="仿宋_GB2312"/>
          <w:color w:val="000000" w:themeColor="text1"/>
          <w:sz w:val="24"/>
          <w:highlight w:val="none"/>
          <w:lang w:val="zh-CN"/>
          <w14:textFill>
            <w14:solidFill>
              <w14:schemeClr w14:val="tx1"/>
            </w14:solidFill>
          </w14:textFill>
        </w:rPr>
        <w:t>文件：</w:t>
      </w:r>
    </w:p>
    <w:p w14:paraId="52106443">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2.2.1投标函；</w:t>
      </w:r>
    </w:p>
    <w:p w14:paraId="4FA9200F">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2.2.2授权委托书或法定代表人（单位负责人）身份证明；</w:t>
      </w:r>
    </w:p>
    <w:p w14:paraId="78A9EAB0">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2.2.</w:t>
      </w:r>
      <w:r>
        <w:rPr>
          <w:rFonts w:hint="eastAsia" w:ascii="仿宋" w:hAnsi="仿宋" w:eastAsia="仿宋" w:cs="仿宋_GB2312"/>
          <w:color w:val="000000" w:themeColor="text1"/>
          <w:sz w:val="24"/>
          <w:highlight w:val="none"/>
          <w14:textFill>
            <w14:solidFill>
              <w14:schemeClr w14:val="tx1"/>
            </w14:solidFill>
          </w14:textFill>
        </w:rPr>
        <w:t>3</w:t>
      </w:r>
      <w:r>
        <w:rPr>
          <w:rFonts w:ascii="仿宋" w:hAnsi="仿宋" w:eastAsia="仿宋" w:cs="仿宋_GB2312"/>
          <w:color w:val="000000" w:themeColor="text1"/>
          <w:sz w:val="24"/>
          <w:highlight w:val="none"/>
          <w14:textFill>
            <w14:solidFill>
              <w14:schemeClr w14:val="tx1"/>
            </w14:solidFill>
          </w14:textFill>
        </w:rPr>
        <w:t>分包意向协议</w:t>
      </w:r>
      <w:r>
        <w:rPr>
          <w:rFonts w:hint="eastAsia" w:ascii="仿宋" w:hAnsi="仿宋" w:eastAsia="仿宋" w:cs="仿宋_GB2312"/>
          <w:color w:val="000000" w:themeColor="text1"/>
          <w:sz w:val="24"/>
          <w:highlight w:val="none"/>
          <w14:textFill>
            <w14:solidFill>
              <w14:schemeClr w14:val="tx1"/>
            </w14:solidFill>
          </w14:textFill>
        </w:rPr>
        <w:t>（如果有）；</w:t>
      </w:r>
    </w:p>
    <w:p w14:paraId="59576F1B">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2.2.</w:t>
      </w:r>
      <w:r>
        <w:rPr>
          <w:rFonts w:hint="eastAsia" w:ascii="仿宋" w:hAnsi="仿宋" w:eastAsia="仿宋" w:cs="仿宋_GB2312"/>
          <w:color w:val="000000" w:themeColor="text1"/>
          <w:sz w:val="24"/>
          <w:highlight w:val="none"/>
          <w14:textFill>
            <w14:solidFill>
              <w14:schemeClr w14:val="tx1"/>
            </w14:solidFill>
          </w14:textFill>
        </w:rPr>
        <w:t>4</w:t>
      </w:r>
      <w:r>
        <w:rPr>
          <w:rFonts w:ascii="仿宋" w:hAnsi="仿宋" w:eastAsia="仿宋" w:cs="仿宋_GB2312"/>
          <w:color w:val="000000" w:themeColor="text1"/>
          <w:sz w:val="24"/>
          <w:highlight w:val="none"/>
          <w14:textFill>
            <w14:solidFill>
              <w14:schemeClr w14:val="tx1"/>
            </w14:solidFill>
          </w14:textFill>
        </w:rPr>
        <w:t>符合性审查资料；</w:t>
      </w:r>
    </w:p>
    <w:p w14:paraId="03A04CE5">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2.2.</w:t>
      </w:r>
      <w:r>
        <w:rPr>
          <w:rFonts w:hint="eastAsia" w:ascii="仿宋" w:hAnsi="仿宋" w:eastAsia="仿宋" w:cs="仿宋_GB2312"/>
          <w:color w:val="000000" w:themeColor="text1"/>
          <w:sz w:val="24"/>
          <w:highlight w:val="none"/>
          <w14:textFill>
            <w14:solidFill>
              <w14:schemeClr w14:val="tx1"/>
            </w14:solidFill>
          </w14:textFill>
        </w:rPr>
        <w:t>5</w:t>
      </w:r>
      <w:r>
        <w:rPr>
          <w:rFonts w:ascii="仿宋" w:hAnsi="仿宋" w:eastAsia="仿宋" w:cs="仿宋_GB2312"/>
          <w:color w:val="000000" w:themeColor="text1"/>
          <w:sz w:val="24"/>
          <w:highlight w:val="none"/>
          <w14:textFill>
            <w14:solidFill>
              <w14:schemeClr w14:val="tx1"/>
            </w14:solidFill>
          </w14:textFill>
        </w:rPr>
        <w:t>评标标准相应的商务技术资料；</w:t>
      </w:r>
    </w:p>
    <w:p w14:paraId="5775AFAF">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2.2.</w:t>
      </w:r>
      <w:r>
        <w:rPr>
          <w:rFonts w:ascii="仿宋" w:hAnsi="仿宋" w:eastAsia="仿宋" w:cs="仿宋_GB2312"/>
          <w:color w:val="000000" w:themeColor="text1"/>
          <w:sz w:val="24"/>
          <w:highlight w:val="none"/>
          <w14:textFill>
            <w14:solidFill>
              <w14:schemeClr w14:val="tx1"/>
            </w14:solidFill>
          </w14:textFill>
        </w:rPr>
        <w:t>6</w:t>
      </w:r>
      <w:r>
        <w:rPr>
          <w:rFonts w:hint="eastAsia" w:ascii="仿宋" w:hAnsi="仿宋" w:eastAsia="仿宋" w:cs="仿宋_GB2312"/>
          <w:color w:val="000000" w:themeColor="text1"/>
          <w:sz w:val="24"/>
          <w:highlight w:val="none"/>
          <w14:textFill>
            <w14:solidFill>
              <w14:schemeClr w14:val="tx1"/>
            </w14:solidFill>
          </w14:textFill>
        </w:rPr>
        <w:t>投标标的清单；</w:t>
      </w:r>
    </w:p>
    <w:p w14:paraId="29D7E446">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2.2.7商务技术偏离表；</w:t>
      </w:r>
    </w:p>
    <w:p w14:paraId="1CB273A7">
      <w:pPr>
        <w:snapToGrid w:val="0"/>
        <w:spacing w:line="360" w:lineRule="auto"/>
        <w:ind w:left="420" w:leftChars="200" w:firstLine="480" w:firstLineChars="200"/>
        <w:rPr>
          <w:rFonts w:ascii="仿宋" w:hAnsi="仿宋" w:eastAsia="仿宋" w:cs="仿宋_GB2312"/>
          <w:color w:val="000000" w:themeColor="text1"/>
          <w:sz w:val="24"/>
          <w:highlight w:val="none"/>
          <w:lang w:val="zh-CN"/>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w:t>
      </w:r>
      <w:r>
        <w:rPr>
          <w:rFonts w:ascii="仿宋" w:hAnsi="仿宋" w:eastAsia="仿宋" w:cs="仿宋_GB2312"/>
          <w:color w:val="000000" w:themeColor="text1"/>
          <w:sz w:val="24"/>
          <w:highlight w:val="none"/>
          <w:lang w:val="zh-CN"/>
          <w14:textFill>
            <w14:solidFill>
              <w14:schemeClr w14:val="tx1"/>
            </w14:solidFill>
          </w14:textFill>
        </w:rPr>
        <w:t>.</w:t>
      </w:r>
      <w:r>
        <w:rPr>
          <w:rFonts w:ascii="仿宋" w:hAnsi="仿宋" w:eastAsia="仿宋" w:cs="仿宋_GB2312"/>
          <w:color w:val="000000" w:themeColor="text1"/>
          <w:sz w:val="24"/>
          <w:highlight w:val="none"/>
          <w14:textFill>
            <w14:solidFill>
              <w14:schemeClr w14:val="tx1"/>
            </w14:solidFill>
          </w14:textFill>
        </w:rPr>
        <w:t>2</w:t>
      </w:r>
      <w:r>
        <w:rPr>
          <w:rFonts w:ascii="仿宋" w:hAnsi="仿宋" w:eastAsia="仿宋" w:cs="仿宋_GB2312"/>
          <w:color w:val="000000" w:themeColor="text1"/>
          <w:sz w:val="24"/>
          <w:highlight w:val="none"/>
          <w:lang w:val="zh-CN"/>
          <w14:textFill>
            <w14:solidFill>
              <w14:schemeClr w14:val="tx1"/>
            </w14:solidFill>
          </w14:textFill>
        </w:rPr>
        <w:t>.</w:t>
      </w:r>
      <w:r>
        <w:rPr>
          <w:rFonts w:ascii="仿宋" w:hAnsi="仿宋" w:eastAsia="仿宋" w:cs="仿宋_GB2312"/>
          <w:color w:val="000000" w:themeColor="text1"/>
          <w:sz w:val="24"/>
          <w:highlight w:val="none"/>
          <w14:textFill>
            <w14:solidFill>
              <w14:schemeClr w14:val="tx1"/>
            </w14:solidFill>
          </w14:textFill>
        </w:rPr>
        <w:t>8</w:t>
      </w:r>
      <w:r>
        <w:rPr>
          <w:rFonts w:hint="eastAsia" w:ascii="仿宋" w:hAnsi="仿宋" w:eastAsia="仿宋" w:cs="仿宋_GB2312"/>
          <w:color w:val="000000" w:themeColor="text1"/>
          <w:sz w:val="24"/>
          <w:highlight w:val="none"/>
          <w:lang w:val="zh-CN"/>
          <w14:textFill>
            <w14:solidFill>
              <w14:schemeClr w14:val="tx1"/>
            </w14:solidFill>
          </w14:textFill>
        </w:rPr>
        <w:t>政府采购供应商廉洁自律承诺书；</w:t>
      </w:r>
    </w:p>
    <w:p w14:paraId="3132B26C">
      <w:pPr>
        <w:snapToGrid w:val="0"/>
        <w:spacing w:line="360" w:lineRule="auto"/>
        <w:ind w:left="210" w:leftChars="1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w:t>
      </w:r>
      <w:r>
        <w:rPr>
          <w:rFonts w:ascii="仿宋" w:hAnsi="仿宋" w:eastAsia="仿宋" w:cs="仿宋_GB2312"/>
          <w:color w:val="000000" w:themeColor="text1"/>
          <w:sz w:val="24"/>
          <w:highlight w:val="none"/>
          <w:lang w:val="zh-CN"/>
          <w14:textFill>
            <w14:solidFill>
              <w14:schemeClr w14:val="tx1"/>
            </w14:solidFill>
          </w14:textFill>
        </w:rPr>
        <w:t>.</w:t>
      </w:r>
      <w:r>
        <w:rPr>
          <w:rFonts w:ascii="仿宋" w:hAnsi="仿宋" w:eastAsia="仿宋" w:cs="仿宋_GB2312"/>
          <w:color w:val="000000" w:themeColor="text1"/>
          <w:sz w:val="24"/>
          <w:highlight w:val="none"/>
          <w14:textFill>
            <w14:solidFill>
              <w14:schemeClr w14:val="tx1"/>
            </w14:solidFill>
          </w14:textFill>
        </w:rPr>
        <w:t>3报价文件</w:t>
      </w:r>
    </w:p>
    <w:p w14:paraId="57BAE693">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2.3.1开标一览表（报价表）；</w:t>
      </w:r>
    </w:p>
    <w:p w14:paraId="02870497">
      <w:pPr>
        <w:snapToGrid w:val="0"/>
        <w:spacing w:line="360" w:lineRule="auto"/>
        <w:ind w:left="420" w:leftChars="2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2.3.2中小企业声明函</w:t>
      </w:r>
      <w:r>
        <w:rPr>
          <w:rFonts w:hint="eastAsia" w:ascii="仿宋" w:hAnsi="仿宋" w:eastAsia="仿宋" w:cs="仿宋_GB2312"/>
          <w:color w:val="000000" w:themeColor="text1"/>
          <w:sz w:val="24"/>
          <w:highlight w:val="none"/>
          <w14:textFill>
            <w14:solidFill>
              <w14:schemeClr w14:val="tx1"/>
            </w14:solidFill>
          </w14:textFill>
        </w:rPr>
        <w:t>（如果有）。</w:t>
      </w:r>
    </w:p>
    <w:p w14:paraId="6E76A24C">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3、我方承诺除商务技术偏离表列出的偏离外，我方响应征集文件的全部要求。</w:t>
      </w:r>
    </w:p>
    <w:p w14:paraId="0434AEE6">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4、如我方中标，我方承诺：</w:t>
      </w:r>
    </w:p>
    <w:p w14:paraId="603A2FB4">
      <w:pPr>
        <w:snapToGrid w:val="0"/>
        <w:spacing w:line="360" w:lineRule="auto"/>
        <w:ind w:left="210" w:leftChars="1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xml:space="preserve">4.1在收到中标通知书后，在中标通知书规定的期限内与你方签订合同； </w:t>
      </w:r>
    </w:p>
    <w:p w14:paraId="26ED868B">
      <w:pPr>
        <w:snapToGrid w:val="0"/>
        <w:spacing w:line="360" w:lineRule="auto"/>
        <w:ind w:left="210" w:leftChars="1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xml:space="preserve">4.2在签订合同时不向你方提出附加条件； </w:t>
      </w:r>
    </w:p>
    <w:p w14:paraId="2C8FCA96">
      <w:pPr>
        <w:snapToGrid w:val="0"/>
        <w:spacing w:line="360" w:lineRule="auto"/>
        <w:ind w:left="210" w:leftChars="1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xml:space="preserve">4.3按照征集文件要求提交履约保证金； </w:t>
      </w:r>
    </w:p>
    <w:p w14:paraId="6AD417C0">
      <w:pPr>
        <w:snapToGrid w:val="0"/>
        <w:spacing w:line="360" w:lineRule="auto"/>
        <w:ind w:left="210" w:leftChars="100"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xml:space="preserve">4.4在合同约定的期限内完成合同规定的全部义务。 </w:t>
      </w:r>
    </w:p>
    <w:p w14:paraId="31EB41E2">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5、其他补充说明:</w:t>
      </w:r>
      <w:r>
        <w:rPr>
          <w:rFonts w:hint="eastAsia" w:ascii="仿宋" w:hAnsi="仿宋" w:eastAsia="仿宋" w:cs="仿宋_GB2312"/>
          <w:color w:val="000000" w:themeColor="text1"/>
          <w:sz w:val="24"/>
          <w:highlight w:val="none"/>
          <w14:textFill>
            <w14:solidFill>
              <w14:schemeClr w14:val="tx1"/>
            </w14:solidFill>
          </w14:textFill>
        </w:rPr>
        <w:t>。</w:t>
      </w:r>
    </w:p>
    <w:p w14:paraId="2EFB7C12">
      <w:pPr>
        <w:spacing w:line="360" w:lineRule="auto"/>
        <w:ind w:firstLine="3600" w:firstLineChars="15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响应供应商</w:t>
      </w:r>
      <w:r>
        <w:rPr>
          <w:rFonts w:hint="eastAsia" w:ascii="仿宋" w:hAnsi="仿宋" w:eastAsia="仿宋" w:cs="仿宋_GB2312"/>
          <w:color w:val="000000" w:themeColor="text1"/>
          <w:sz w:val="24"/>
          <w:highlight w:val="none"/>
          <w14:textFill>
            <w14:solidFill>
              <w14:schemeClr w14:val="tx1"/>
            </w14:solidFill>
          </w14:textFill>
        </w:rPr>
        <w:t>名称（电子签名）：</w:t>
      </w:r>
    </w:p>
    <w:p w14:paraId="0E8B44F9">
      <w:pPr>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xml:space="preserve">     日期：  年   月   日</w:t>
      </w:r>
    </w:p>
    <w:p w14:paraId="20E01083">
      <w:pPr>
        <w:jc w:val="center"/>
        <w:rPr>
          <w:rFonts w:ascii="仿宋" w:hAnsi="仿宋" w:eastAsia="仿宋" w:cs="仿宋_GB2312"/>
          <w:b/>
          <w:color w:val="000000" w:themeColor="text1"/>
          <w:kern w:val="0"/>
          <w:sz w:val="32"/>
          <w:szCs w:val="32"/>
          <w:highlight w:val="none"/>
          <w:lang w:val="zh-CN"/>
          <w14:textFill>
            <w14:solidFill>
              <w14:schemeClr w14:val="tx1"/>
            </w14:solidFill>
          </w14:textFill>
        </w:rPr>
      </w:pPr>
    </w:p>
    <w:p w14:paraId="7A39EE69">
      <w:pPr>
        <w:jc w:val="center"/>
        <w:rPr>
          <w:rFonts w:ascii="仿宋" w:hAnsi="仿宋" w:eastAsia="仿宋" w:cs="仿宋_GB2312"/>
          <w:b/>
          <w:color w:val="000000" w:themeColor="text1"/>
          <w:kern w:val="0"/>
          <w:sz w:val="32"/>
          <w:szCs w:val="32"/>
          <w:highlight w:val="none"/>
          <w:lang w:val="zh-CN"/>
          <w14:textFill>
            <w14:solidFill>
              <w14:schemeClr w14:val="tx1"/>
            </w14:solidFill>
          </w14:textFill>
        </w:rPr>
      </w:pPr>
    </w:p>
    <w:p w14:paraId="4C8B80E9">
      <w:pPr>
        <w:jc w:val="center"/>
        <w:rPr>
          <w:rFonts w:ascii="仿宋" w:hAnsi="仿宋" w:eastAsia="仿宋" w:cs="仿宋_GB2312"/>
          <w:b/>
          <w:color w:val="000000" w:themeColor="text1"/>
          <w:kern w:val="0"/>
          <w:sz w:val="32"/>
          <w:szCs w:val="32"/>
          <w:highlight w:val="none"/>
          <w:lang w:val="zh-CN"/>
          <w14:textFill>
            <w14:solidFill>
              <w14:schemeClr w14:val="tx1"/>
            </w14:solidFill>
          </w14:textFill>
        </w:rPr>
      </w:pPr>
      <w:r>
        <w:rPr>
          <w:rFonts w:hint="eastAsia" w:ascii="仿宋" w:hAnsi="仿宋" w:eastAsia="仿宋" w:cs="仿宋_GB2312"/>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40C3891">
      <w:pPr>
        <w:snapToGrid w:val="0"/>
        <w:spacing w:line="360" w:lineRule="auto"/>
        <w:rPr>
          <w:rFonts w:ascii="仿宋" w:hAnsi="仿宋" w:eastAsia="仿宋" w:cs="仿宋_GB2312"/>
          <w:color w:val="000000" w:themeColor="text1"/>
          <w:sz w:val="24"/>
          <w:highlight w:val="none"/>
          <w14:textFill>
            <w14:solidFill>
              <w14:schemeClr w14:val="tx1"/>
            </w14:solidFill>
          </w14:textFill>
        </w:rPr>
      </w:pPr>
    </w:p>
    <w:p w14:paraId="2DE73AD6">
      <w:pPr>
        <w:snapToGrid w:val="0"/>
        <w:spacing w:line="360" w:lineRule="auto"/>
        <w:ind w:firstLine="2872" w:firstLineChars="894"/>
        <w:rPr>
          <w:rFonts w:ascii="仿宋" w:hAnsi="仿宋" w:eastAsia="仿宋"/>
          <w:color w:val="000000" w:themeColor="text1"/>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lang w:val="zh-CN"/>
          <w14:textFill>
            <w14:solidFill>
              <w14:schemeClr w14:val="tx1"/>
            </w14:solidFill>
          </w14:textFill>
        </w:rPr>
        <w:t>授权委托书（适用于非联合体投标）</w:t>
      </w:r>
    </w:p>
    <w:p w14:paraId="5C996802">
      <w:pPr>
        <w:snapToGrid w:val="0"/>
        <w:spacing w:line="360" w:lineRule="auto"/>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（征集人）、（采购代理机构）</w:t>
      </w:r>
      <w:r>
        <w:rPr>
          <w:rFonts w:hint="eastAsia" w:ascii="仿宋" w:hAnsi="仿宋" w:eastAsia="仿宋" w:cs="仿宋_GB2312"/>
          <w:color w:val="000000" w:themeColor="text1"/>
          <w:kern w:val="0"/>
          <w:sz w:val="24"/>
          <w:highlight w:val="none"/>
          <w:lang w:val="zh-CN"/>
          <w14:textFill>
            <w14:solidFill>
              <w14:schemeClr w14:val="tx1"/>
            </w14:solidFill>
          </w14:textFill>
        </w:rPr>
        <w:t>：</w:t>
      </w:r>
    </w:p>
    <w:p w14:paraId="28BFACF5">
      <w:pPr>
        <w:snapToGrid w:val="0"/>
        <w:spacing w:line="360" w:lineRule="auto"/>
        <w:ind w:firstLine="576"/>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现</w:t>
      </w:r>
      <w:r>
        <w:rPr>
          <w:rFonts w:hint="eastAsia" w:ascii="仿宋" w:hAnsi="仿宋" w:eastAsia="仿宋" w:cs="仿宋_GB2312"/>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仿宋" w:hAnsi="仿宋" w:eastAsia="仿宋" w:cs="仿宋_GB2312"/>
          <w:color w:val="000000" w:themeColor="text1"/>
          <w:sz w:val="24"/>
          <w:highlight w:val="none"/>
          <w14:textFill>
            <w14:solidFill>
              <w14:schemeClr w14:val="tx1"/>
            </w14:solidFill>
          </w14:textFill>
        </w:rPr>
        <w:t>（项目名称）【征集编号：</w:t>
      </w:r>
      <w:r>
        <w:rPr>
          <w:rFonts w:hint="eastAsia" w:ascii="仿宋" w:hAnsi="仿宋" w:eastAsia="仿宋"/>
          <w:color w:val="000000" w:themeColor="text1"/>
          <w:sz w:val="24"/>
          <w:highlight w:val="none"/>
          <w14:textFill>
            <w14:solidFill>
              <w14:schemeClr w14:val="tx1"/>
            </w14:solidFill>
          </w14:textFill>
        </w:rPr>
        <w:t>（采购编号）</w:t>
      </w: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kern w:val="0"/>
          <w:sz w:val="24"/>
          <w:highlight w:val="none"/>
          <w:lang w:val="zh-CN"/>
          <w14:textFill>
            <w14:solidFill>
              <w14:schemeClr w14:val="tx1"/>
            </w14:solidFill>
          </w14:textFill>
        </w:rPr>
        <w:t>政府采购投标的一切事项，其法律后果由我方承担。</w:t>
      </w:r>
    </w:p>
    <w:p w14:paraId="0A3DCB13">
      <w:pPr>
        <w:snapToGrid w:val="0"/>
        <w:spacing w:line="360" w:lineRule="auto"/>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委托期限</w:t>
      </w:r>
      <w:r>
        <w:rPr>
          <w:rFonts w:hint="eastAsia" w:ascii="仿宋" w:hAnsi="仿宋" w:eastAsia="仿宋" w:cs="仿宋_GB2312"/>
          <w:color w:val="000000" w:themeColor="text1"/>
          <w:kern w:val="0"/>
          <w:sz w:val="24"/>
          <w:highlight w:val="none"/>
          <w14:textFill>
            <w14:solidFill>
              <w14:schemeClr w14:val="tx1"/>
            </w14:solidFill>
          </w14:textFill>
        </w:rPr>
        <w:t>：</w:t>
      </w:r>
      <w:r>
        <w:rPr>
          <w:rFonts w:hint="eastAsia" w:ascii="仿宋" w:hAnsi="仿宋" w:eastAsia="仿宋" w:cs="仿宋_GB2312"/>
          <w:color w:val="000000" w:themeColor="text1"/>
          <w:kern w:val="0"/>
          <w:sz w:val="24"/>
          <w:highlight w:val="none"/>
          <w:lang w:val="zh-CN"/>
          <w14:textFill>
            <w14:solidFill>
              <w14:schemeClr w14:val="tx1"/>
            </w14:solidFill>
          </w14:textFill>
        </w:rPr>
        <w:t>自年月日起至年月日止。</w:t>
      </w:r>
    </w:p>
    <w:p w14:paraId="407AA945">
      <w:pPr>
        <w:snapToGrid w:val="0"/>
        <w:spacing w:line="360" w:lineRule="auto"/>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特此告知。</w:t>
      </w:r>
    </w:p>
    <w:p w14:paraId="04C45633">
      <w:pPr>
        <w:snapToGrid w:val="0"/>
        <w:spacing w:line="360" w:lineRule="auto"/>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响应供应商</w:t>
      </w:r>
      <w:r>
        <w:rPr>
          <w:rFonts w:ascii="仿宋" w:hAnsi="仿宋" w:eastAsia="仿宋" w:cs="仿宋_GB2312"/>
          <w:color w:val="000000" w:themeColor="text1"/>
          <w:kern w:val="0"/>
          <w:sz w:val="24"/>
          <w:highlight w:val="none"/>
          <w:lang w:val="zh-CN"/>
          <w14:textFill>
            <w14:solidFill>
              <w14:schemeClr w14:val="tx1"/>
            </w14:solidFill>
          </w14:textFill>
        </w:rPr>
        <w:t>名称(电子签名)：</w:t>
      </w:r>
    </w:p>
    <w:p w14:paraId="3508CCB4">
      <w:pPr>
        <w:snapToGrid w:val="0"/>
        <w:spacing w:line="360" w:lineRule="auto"/>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签发日期：  年  月   日</w:t>
      </w:r>
    </w:p>
    <w:p w14:paraId="3C3990F9">
      <w:pPr>
        <w:snapToGrid w:val="0"/>
        <w:spacing w:line="360" w:lineRule="auto"/>
        <w:rPr>
          <w:rFonts w:ascii="仿宋" w:hAnsi="仿宋" w:eastAsia="仿宋" w:cs="仿宋_GB2312"/>
          <w:color w:val="000000" w:themeColor="text1"/>
          <w:sz w:val="24"/>
          <w:highlight w:val="none"/>
          <w14:textFill>
            <w14:solidFill>
              <w14:schemeClr w14:val="tx1"/>
            </w14:solidFill>
          </w14:textFill>
        </w:rPr>
      </w:pPr>
    </w:p>
    <w:p w14:paraId="3D29754F">
      <w:pPr>
        <w:jc w:val="center"/>
        <w:rPr>
          <w:rFonts w:ascii="仿宋" w:hAnsi="仿宋" w:eastAsia="仿宋" w:cs="仿宋_GB2312"/>
          <w:b/>
          <w:color w:val="000000" w:themeColor="text1"/>
          <w:kern w:val="0"/>
          <w:sz w:val="32"/>
          <w:szCs w:val="32"/>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lang w:val="zh-CN"/>
          <w14:textFill>
            <w14:solidFill>
              <w14:schemeClr w14:val="tx1"/>
            </w14:solidFill>
          </w14:textFill>
        </w:rPr>
        <w:t>授权委托书（适用于联合体投标）</w:t>
      </w:r>
    </w:p>
    <w:p w14:paraId="57A452DD">
      <w:pPr>
        <w:snapToGrid w:val="0"/>
        <w:spacing w:line="360" w:lineRule="auto"/>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（征集人）、（采购代理机构）</w:t>
      </w:r>
      <w:r>
        <w:rPr>
          <w:rFonts w:hint="eastAsia" w:ascii="仿宋" w:hAnsi="仿宋" w:eastAsia="仿宋" w:cs="仿宋_GB2312"/>
          <w:color w:val="000000" w:themeColor="text1"/>
          <w:kern w:val="0"/>
          <w:sz w:val="24"/>
          <w:highlight w:val="none"/>
          <w:lang w:val="zh-CN"/>
          <w14:textFill>
            <w14:solidFill>
              <w14:schemeClr w14:val="tx1"/>
            </w14:solidFill>
          </w14:textFill>
        </w:rPr>
        <w:t>：</w:t>
      </w:r>
    </w:p>
    <w:p w14:paraId="110775D2">
      <w:pPr>
        <w:snapToGrid w:val="0"/>
        <w:spacing w:line="360" w:lineRule="auto"/>
        <w:ind w:firstLine="576"/>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现</w:t>
      </w:r>
      <w:r>
        <w:rPr>
          <w:rFonts w:hint="eastAsia" w:ascii="仿宋" w:hAnsi="仿宋" w:eastAsia="仿宋" w:cs="仿宋_GB2312"/>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仿宋" w:hAnsi="仿宋" w:eastAsia="仿宋" w:cs="仿宋_GB2312"/>
          <w:color w:val="000000" w:themeColor="text1"/>
          <w:sz w:val="24"/>
          <w:highlight w:val="none"/>
          <w14:textFill>
            <w14:solidFill>
              <w14:schemeClr w14:val="tx1"/>
            </w14:solidFill>
          </w14:textFill>
        </w:rPr>
        <w:t>（项目名称）【征集编号：</w:t>
      </w:r>
      <w:r>
        <w:rPr>
          <w:rFonts w:hint="eastAsia" w:ascii="仿宋" w:hAnsi="仿宋" w:eastAsia="仿宋"/>
          <w:color w:val="000000" w:themeColor="text1"/>
          <w:sz w:val="24"/>
          <w:highlight w:val="none"/>
          <w14:textFill>
            <w14:solidFill>
              <w14:schemeClr w14:val="tx1"/>
            </w14:solidFill>
          </w14:textFill>
        </w:rPr>
        <w:t>（采购编号）</w:t>
      </w: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kern w:val="0"/>
          <w:sz w:val="24"/>
          <w:highlight w:val="none"/>
          <w:lang w:val="zh-CN"/>
          <w14:textFill>
            <w14:solidFill>
              <w14:schemeClr w14:val="tx1"/>
            </w14:solidFill>
          </w14:textFill>
        </w:rPr>
        <w:t>政府采购投标的一切事项，其法律后果由我方承担。</w:t>
      </w:r>
    </w:p>
    <w:p w14:paraId="6625BB71">
      <w:pPr>
        <w:snapToGrid w:val="0"/>
        <w:spacing w:line="360" w:lineRule="auto"/>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委托期限</w:t>
      </w:r>
      <w:r>
        <w:rPr>
          <w:rFonts w:hint="eastAsia" w:ascii="仿宋" w:hAnsi="仿宋" w:eastAsia="仿宋" w:cs="仿宋_GB2312"/>
          <w:color w:val="000000" w:themeColor="text1"/>
          <w:kern w:val="0"/>
          <w:sz w:val="24"/>
          <w:highlight w:val="none"/>
          <w14:textFill>
            <w14:solidFill>
              <w14:schemeClr w14:val="tx1"/>
            </w14:solidFill>
          </w14:textFill>
        </w:rPr>
        <w:t>：</w:t>
      </w:r>
      <w:r>
        <w:rPr>
          <w:rFonts w:hint="eastAsia" w:ascii="仿宋" w:hAnsi="仿宋" w:eastAsia="仿宋" w:cs="仿宋_GB2312"/>
          <w:color w:val="000000" w:themeColor="text1"/>
          <w:kern w:val="0"/>
          <w:sz w:val="24"/>
          <w:highlight w:val="none"/>
          <w:lang w:val="zh-CN"/>
          <w14:textFill>
            <w14:solidFill>
              <w14:schemeClr w14:val="tx1"/>
            </w14:solidFill>
          </w14:textFill>
        </w:rPr>
        <w:t>自年月日起至年月日止。</w:t>
      </w:r>
    </w:p>
    <w:p w14:paraId="7967F22D">
      <w:pPr>
        <w:snapToGrid w:val="0"/>
        <w:spacing w:line="360" w:lineRule="auto"/>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特此告知。</w:t>
      </w:r>
    </w:p>
    <w:p w14:paraId="578A60CE">
      <w:pPr>
        <w:rPr>
          <w:rFonts w:ascii="仿宋" w:hAnsi="仿宋" w:eastAsia="仿宋"/>
          <w:color w:val="000000" w:themeColor="text1"/>
          <w:highlight w:val="none"/>
          <w14:textFill>
            <w14:solidFill>
              <w14:schemeClr w14:val="tx1"/>
            </w14:solidFill>
          </w14:textFill>
        </w:rPr>
      </w:pPr>
    </w:p>
    <w:p w14:paraId="2FE6CC24">
      <w:pPr>
        <w:snapToGrid w:val="0"/>
        <w:spacing w:line="360" w:lineRule="auto"/>
        <w:ind w:firstLine="5040" w:firstLineChars="2100"/>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联合体成员名称</w:t>
      </w:r>
      <w:r>
        <w:rPr>
          <w:rFonts w:ascii="仿宋" w:hAnsi="仿宋" w:eastAsia="仿宋" w:cs="仿宋_GB2312"/>
          <w:color w:val="000000" w:themeColor="text1"/>
          <w:kern w:val="0"/>
          <w:sz w:val="24"/>
          <w:highlight w:val="none"/>
          <w:lang w:val="zh-CN"/>
          <w14:textFill>
            <w14:solidFill>
              <w14:schemeClr w14:val="tx1"/>
            </w14:solidFill>
          </w14:textFill>
        </w:rPr>
        <w:t>(电子签名/公章)：</w:t>
      </w:r>
    </w:p>
    <w:p w14:paraId="5CA17A68">
      <w:pPr>
        <w:snapToGrid w:val="0"/>
        <w:spacing w:line="360" w:lineRule="auto"/>
        <w:ind w:firstLine="5040" w:firstLineChars="2100"/>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联合体成员名称</w:t>
      </w:r>
      <w:r>
        <w:rPr>
          <w:rFonts w:ascii="仿宋" w:hAnsi="仿宋" w:eastAsia="仿宋" w:cs="仿宋_GB2312"/>
          <w:color w:val="000000" w:themeColor="text1"/>
          <w:kern w:val="0"/>
          <w:sz w:val="24"/>
          <w:highlight w:val="none"/>
          <w:lang w:val="zh-CN"/>
          <w14:textFill>
            <w14:solidFill>
              <w14:schemeClr w14:val="tx1"/>
            </w14:solidFill>
          </w14:textFill>
        </w:rPr>
        <w:t>(电子签名/公章)：</w:t>
      </w:r>
    </w:p>
    <w:p w14:paraId="7B404F6A">
      <w:pPr>
        <w:snapToGrid w:val="0"/>
        <w:spacing w:line="360" w:lineRule="auto"/>
        <w:ind w:firstLine="5760" w:firstLineChars="2400"/>
        <w:rPr>
          <w:rFonts w:ascii="仿宋" w:hAnsi="仿宋" w:eastAsia="仿宋"/>
          <w:color w:val="000000" w:themeColor="text1"/>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w:t>
      </w:r>
    </w:p>
    <w:p w14:paraId="6244655D">
      <w:pPr>
        <w:snapToGrid w:val="0"/>
        <w:spacing w:line="360" w:lineRule="auto"/>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1B10015E">
      <w:pPr>
        <w:autoSpaceDE w:val="0"/>
        <w:autoSpaceDN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_GB2312"/>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25E38BE5">
      <w:pPr>
        <w:pStyle w:val="724"/>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1A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46ACEE">
            <w:pPr>
              <w:pStyle w:val="724"/>
              <w:adjustRightInd w:val="0"/>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正面：反面：</w:t>
            </w:r>
          </w:p>
          <w:p w14:paraId="44E0E82F">
            <w:pPr>
              <w:pStyle w:val="724"/>
              <w:adjustRightInd w:val="0"/>
              <w:spacing w:line="360" w:lineRule="auto"/>
              <w:rPr>
                <w:rFonts w:ascii="仿宋" w:hAnsi="仿宋" w:eastAsia="仿宋"/>
                <w:bCs/>
                <w:color w:val="000000" w:themeColor="text1"/>
                <w:sz w:val="24"/>
                <w:highlight w:val="none"/>
                <w14:textFill>
                  <w14:solidFill>
                    <w14:schemeClr w14:val="tx1"/>
                  </w14:solidFill>
                </w14:textFill>
              </w:rPr>
            </w:pPr>
          </w:p>
        </w:tc>
      </w:tr>
    </w:tbl>
    <w:p w14:paraId="36C42AC0">
      <w:pPr>
        <w:snapToGrid w:val="0"/>
        <w:spacing w:line="360" w:lineRule="auto"/>
        <w:ind w:firstLine="576"/>
        <w:jc w:val="center"/>
        <w:rPr>
          <w:rFonts w:ascii="仿宋" w:hAnsi="仿宋" w:eastAsia="仿宋" w:cs="仿宋_GB2312"/>
          <w:color w:val="000000" w:themeColor="text1"/>
          <w:kern w:val="0"/>
          <w:sz w:val="24"/>
          <w:highlight w:val="none"/>
          <w:lang w:val="zh-CN"/>
          <w14:textFill>
            <w14:solidFill>
              <w14:schemeClr w14:val="tx1"/>
            </w14:solidFill>
          </w14:textFill>
        </w:rPr>
      </w:pPr>
    </w:p>
    <w:p w14:paraId="6E685294">
      <w:pPr>
        <w:snapToGrid w:val="0"/>
        <w:spacing w:line="360" w:lineRule="auto"/>
        <w:ind w:firstLine="576"/>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响应供应商</w:t>
      </w:r>
      <w:r>
        <w:rPr>
          <w:rFonts w:ascii="仿宋" w:hAnsi="仿宋" w:eastAsia="仿宋" w:cs="仿宋_GB2312"/>
          <w:color w:val="000000" w:themeColor="text1"/>
          <w:kern w:val="0"/>
          <w:sz w:val="24"/>
          <w:highlight w:val="none"/>
          <w:lang w:val="zh-CN"/>
          <w14:textFill>
            <w14:solidFill>
              <w14:schemeClr w14:val="tx1"/>
            </w14:solidFill>
          </w14:textFill>
        </w:rPr>
        <w:t xml:space="preserve">名称(电子签名)：                              </w:t>
      </w:r>
    </w:p>
    <w:p w14:paraId="7616B078">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373D8CB0">
      <w:pPr>
        <w:jc w:val="center"/>
        <w:rPr>
          <w:rFonts w:ascii="仿宋" w:hAnsi="仿宋" w:eastAsia="仿宋" w:cs="仿宋_GB2312"/>
          <w:b/>
          <w:color w:val="000000" w:themeColor="text1"/>
          <w:kern w:val="0"/>
          <w:sz w:val="32"/>
          <w:szCs w:val="32"/>
          <w:highlight w:val="none"/>
          <w14:textFill>
            <w14:solidFill>
              <w14:schemeClr w14:val="tx1"/>
            </w14:solidFill>
          </w14:textFill>
        </w:rPr>
      </w:pPr>
    </w:p>
    <w:p w14:paraId="1D056D68">
      <w:pPr>
        <w:jc w:val="center"/>
        <w:rPr>
          <w:rFonts w:ascii="仿宋" w:hAnsi="仿宋" w:eastAsia="仿宋" w:cs="仿宋_GB2312"/>
          <w:b/>
          <w:color w:val="000000" w:themeColor="text1"/>
          <w:kern w:val="0"/>
          <w:sz w:val="32"/>
          <w:szCs w:val="32"/>
          <w:highlight w:val="none"/>
          <w14:textFill>
            <w14:solidFill>
              <w14:schemeClr w14:val="tx1"/>
            </w14:solidFill>
          </w14:textFill>
        </w:rPr>
      </w:pPr>
    </w:p>
    <w:p w14:paraId="2C92A688">
      <w:pPr>
        <w:snapToGrid w:val="0"/>
        <w:spacing w:line="360" w:lineRule="auto"/>
        <w:ind w:firstLine="3534" w:firstLineChars="11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w:t>
      </w:r>
    </w:p>
    <w:p w14:paraId="022F871E">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bookmarkStart w:id="416" w:name="_Hlk101169080"/>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中标后以分包方式履行合同的，提供分包意向协议(附件5)；征集人不同意分包或者供应商中标后不以分包方式履行合同的，则不需要提供。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bookmarkEnd w:id="416"/>
    <w:p w14:paraId="2C026687">
      <w:pPr>
        <w:widowControl/>
        <w:adjustRightInd/>
        <w:jc w:val="left"/>
        <w:rPr>
          <w:rFonts w:ascii="仿宋" w:hAnsi="仿宋" w:eastAsia="仿宋" w:cs="仿宋_GB2312"/>
          <w:b/>
          <w:color w:val="000000" w:themeColor="text1"/>
          <w:kern w:val="0"/>
          <w:sz w:val="32"/>
          <w:szCs w:val="32"/>
          <w:highlight w:val="none"/>
          <w:lang w:val="zh-CN"/>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A7F8558">
      <w:pPr>
        <w:jc w:val="center"/>
        <w:rPr>
          <w:rFonts w:ascii="仿宋" w:hAnsi="仿宋" w:eastAsia="仿宋" w:cs="仿宋_GB2312"/>
          <w:b/>
          <w:color w:val="000000" w:themeColor="text1"/>
          <w:kern w:val="0"/>
          <w:sz w:val="32"/>
          <w:szCs w:val="32"/>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14:textFill>
            <w14:solidFill>
              <w14:schemeClr w14:val="tx1"/>
            </w14:solidFill>
          </w14:textFill>
        </w:rPr>
        <w:t>四、符合性审查资料</w:t>
      </w:r>
    </w:p>
    <w:p w14:paraId="27A31739">
      <w:pPr>
        <w:jc w:val="center"/>
        <w:rPr>
          <w:rFonts w:ascii="仿宋" w:hAnsi="仿宋" w:eastAsia="仿宋" w:cs="仿宋_GB2312"/>
          <w:b/>
          <w:color w:val="000000" w:themeColor="text1"/>
          <w:kern w:val="0"/>
          <w:sz w:val="32"/>
          <w:szCs w:val="32"/>
          <w:highlight w:val="none"/>
          <w14:textFill>
            <w14:solidFill>
              <w14:schemeClr w14:val="tx1"/>
            </w14:solidFill>
          </w14:textFill>
        </w:rPr>
      </w:pPr>
    </w:p>
    <w:tbl>
      <w:tblPr>
        <w:tblStyle w:val="4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15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21F26C">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4991" w:type="dxa"/>
            <w:vAlign w:val="center"/>
          </w:tcPr>
          <w:p w14:paraId="7EF4D431">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实质性要求</w:t>
            </w:r>
          </w:p>
        </w:tc>
        <w:tc>
          <w:tcPr>
            <w:tcW w:w="2551" w:type="dxa"/>
            <w:vAlign w:val="center"/>
          </w:tcPr>
          <w:p w14:paraId="11EDCA28">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需要提供的符合性审查资料</w:t>
            </w:r>
          </w:p>
        </w:tc>
        <w:tc>
          <w:tcPr>
            <w:tcW w:w="1418" w:type="dxa"/>
            <w:vAlign w:val="center"/>
          </w:tcPr>
          <w:p w14:paraId="630EAC71">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响应文件中的</w:t>
            </w:r>
          </w:p>
          <w:p w14:paraId="588EB3A5">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页码位置</w:t>
            </w:r>
          </w:p>
        </w:tc>
      </w:tr>
      <w:tr w14:paraId="681C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484C7A">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p>
        </w:tc>
        <w:tc>
          <w:tcPr>
            <w:tcW w:w="4991" w:type="dxa"/>
          </w:tcPr>
          <w:p w14:paraId="1B1FF97C">
            <w:pPr>
              <w:spacing w:line="360" w:lineRule="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响应文件按照征集文件要求签署、盖章。</w:t>
            </w:r>
          </w:p>
        </w:tc>
        <w:tc>
          <w:tcPr>
            <w:tcW w:w="2551" w:type="dxa"/>
            <w:vAlign w:val="center"/>
          </w:tcPr>
          <w:p w14:paraId="32290AFE">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需要使用电子签名或者签字盖章的响应文件的组成部分</w:t>
            </w:r>
          </w:p>
        </w:tc>
        <w:tc>
          <w:tcPr>
            <w:tcW w:w="1418" w:type="dxa"/>
          </w:tcPr>
          <w:p w14:paraId="4F26FFB9">
            <w:pPr>
              <w:rPr>
                <w:rFonts w:ascii="仿宋" w:hAnsi="仿宋" w:eastAsia="仿宋" w:cs="仿宋_GB2312"/>
                <w:color w:val="000000" w:themeColor="text1"/>
                <w:sz w:val="24"/>
                <w:highlight w:val="none"/>
                <w14:textFill>
                  <w14:solidFill>
                    <w14:schemeClr w14:val="tx1"/>
                  </w14:solidFill>
                </w14:textFill>
              </w:rPr>
            </w:pPr>
          </w:p>
          <w:p w14:paraId="28067C99">
            <w:pP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见响应文件</w:t>
            </w:r>
          </w:p>
          <w:p w14:paraId="320B47CE">
            <w:pPr>
              <w:rPr>
                <w:rFonts w:ascii="仿宋" w:hAnsi="仿宋" w:eastAsia="仿宋"/>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第页</w:t>
            </w:r>
          </w:p>
        </w:tc>
      </w:tr>
      <w:tr w14:paraId="1F3B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06EAB2">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p>
        </w:tc>
        <w:tc>
          <w:tcPr>
            <w:tcW w:w="4991" w:type="dxa"/>
          </w:tcPr>
          <w:p w14:paraId="1A0D8371">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征集人拟采购的产品属于政府强制采购的节能产品品目清单范围的，供应商按征集文件要求提供国家确定的认证机构出具的、处于有效期之内的节能产品认证证书。</w:t>
            </w:r>
          </w:p>
        </w:tc>
        <w:tc>
          <w:tcPr>
            <w:tcW w:w="2551" w:type="dxa"/>
            <w:vAlign w:val="center"/>
          </w:tcPr>
          <w:p w14:paraId="53AC27FF">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节能产品认证证书（本项目</w:t>
            </w:r>
            <w:r>
              <w:rPr>
                <w:rFonts w:hint="eastAsia" w:ascii="仿宋" w:hAnsi="仿宋" w:eastAsia="仿宋"/>
                <w:color w:val="000000" w:themeColor="text1"/>
                <w:sz w:val="24"/>
                <w:highlight w:val="none"/>
                <w14:textFill>
                  <w14:solidFill>
                    <w14:schemeClr w14:val="tx1"/>
                  </w14:solidFill>
                </w14:textFill>
              </w:rPr>
              <w:t>拟采购的产品不属于政府强制采购的节能产品品目清单范围的</w:t>
            </w:r>
            <w:r>
              <w:rPr>
                <w:rFonts w:hint="eastAsia" w:ascii="仿宋" w:hAnsi="仿宋" w:eastAsia="仿宋" w:cs="仿宋_GB2312"/>
                <w:color w:val="000000" w:themeColor="text1"/>
                <w:sz w:val="24"/>
                <w:highlight w:val="none"/>
                <w14:textFill>
                  <w14:solidFill>
                    <w14:schemeClr w14:val="tx1"/>
                  </w14:solidFill>
                </w14:textFill>
              </w:rPr>
              <w:t>，无需提供）</w:t>
            </w:r>
          </w:p>
        </w:tc>
        <w:tc>
          <w:tcPr>
            <w:tcW w:w="1418" w:type="dxa"/>
          </w:tcPr>
          <w:p w14:paraId="464A7601">
            <w:pPr>
              <w:rPr>
                <w:rFonts w:ascii="仿宋" w:hAnsi="仿宋" w:eastAsia="仿宋" w:cs="仿宋_GB2312"/>
                <w:color w:val="000000" w:themeColor="text1"/>
                <w:sz w:val="24"/>
                <w:highlight w:val="none"/>
                <w14:textFill>
                  <w14:solidFill>
                    <w14:schemeClr w14:val="tx1"/>
                  </w14:solidFill>
                </w14:textFill>
              </w:rPr>
            </w:pPr>
          </w:p>
          <w:p w14:paraId="38736985">
            <w:pPr>
              <w:rPr>
                <w:rFonts w:ascii="仿宋" w:hAnsi="仿宋" w:eastAsia="仿宋" w:cs="仿宋_GB2312"/>
                <w:color w:val="000000" w:themeColor="text1"/>
                <w:sz w:val="24"/>
                <w:highlight w:val="none"/>
                <w14:textFill>
                  <w14:solidFill>
                    <w14:schemeClr w14:val="tx1"/>
                  </w14:solidFill>
                </w14:textFill>
              </w:rPr>
            </w:pPr>
          </w:p>
          <w:p w14:paraId="4CD325D3">
            <w:pP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见响应文件</w:t>
            </w:r>
          </w:p>
          <w:p w14:paraId="38560669">
            <w:pPr>
              <w:pStyle w:val="2"/>
              <w:rPr>
                <w:rFonts w:ascii="仿宋" w:eastAsia="仿宋"/>
                <w:color w:val="000000" w:themeColor="text1"/>
                <w:highlight w:val="none"/>
                <w:lang w:val="en-US"/>
                <w14:textFill>
                  <w14:solidFill>
                    <w14:schemeClr w14:val="tx1"/>
                  </w14:solidFill>
                </w14:textFill>
              </w:rPr>
            </w:pPr>
            <w:r>
              <w:rPr>
                <w:rFonts w:hint="eastAsia" w:ascii="仿宋" w:eastAsia="仿宋" w:cs="仿宋_GB2312"/>
                <w:b w:val="0"/>
                <w:bCs w:val="0"/>
                <w:color w:val="000000" w:themeColor="text1"/>
                <w:sz w:val="24"/>
                <w:szCs w:val="24"/>
                <w:highlight w:val="none"/>
                <w:lang w:val="en-US"/>
                <w14:textFill>
                  <w14:solidFill>
                    <w14:schemeClr w14:val="tx1"/>
                  </w14:solidFill>
                </w14:textFill>
              </w:rPr>
              <w:t>第页</w:t>
            </w:r>
          </w:p>
        </w:tc>
      </w:tr>
      <w:tr w14:paraId="0325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B64ECE">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w:t>
            </w:r>
          </w:p>
        </w:tc>
        <w:tc>
          <w:tcPr>
            <w:tcW w:w="4991" w:type="dxa"/>
          </w:tcPr>
          <w:p w14:paraId="01D7B4AA">
            <w:pPr>
              <w:spacing w:line="360" w:lineRule="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响应文件中承诺的投标有效期不少于征集文件中载明的投标有效期。</w:t>
            </w:r>
          </w:p>
        </w:tc>
        <w:tc>
          <w:tcPr>
            <w:tcW w:w="2551" w:type="dxa"/>
            <w:vAlign w:val="center"/>
          </w:tcPr>
          <w:p w14:paraId="6ABDBC6C">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投标函</w:t>
            </w:r>
          </w:p>
        </w:tc>
        <w:tc>
          <w:tcPr>
            <w:tcW w:w="1418" w:type="dxa"/>
          </w:tcPr>
          <w:p w14:paraId="34C5F6B1">
            <w:pPr>
              <w:rPr>
                <w:rFonts w:ascii="仿宋" w:hAnsi="仿宋" w:eastAsia="仿宋"/>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见响应文件第页</w:t>
            </w:r>
          </w:p>
        </w:tc>
      </w:tr>
      <w:tr w14:paraId="3097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F42F25">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4</w:t>
            </w:r>
          </w:p>
        </w:tc>
        <w:tc>
          <w:tcPr>
            <w:tcW w:w="4991" w:type="dxa"/>
          </w:tcPr>
          <w:p w14:paraId="6FC7AC73">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响应文件满足征集文件的其它实质性要求。</w:t>
            </w:r>
          </w:p>
        </w:tc>
        <w:tc>
          <w:tcPr>
            <w:tcW w:w="2551" w:type="dxa"/>
            <w:vAlign w:val="center"/>
          </w:tcPr>
          <w:p w14:paraId="5E32228A">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征集文件其它实质性要求相应的材料（“▲”系指实质性要求条款，征集文件无其它实质性要求的，无需提供）</w:t>
            </w:r>
          </w:p>
        </w:tc>
        <w:tc>
          <w:tcPr>
            <w:tcW w:w="1418" w:type="dxa"/>
          </w:tcPr>
          <w:p w14:paraId="09747C6A">
            <w:pPr>
              <w:rPr>
                <w:rFonts w:ascii="仿宋" w:hAnsi="仿宋" w:eastAsia="仿宋"/>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见响应文件第页</w:t>
            </w:r>
          </w:p>
        </w:tc>
      </w:tr>
    </w:tbl>
    <w:p w14:paraId="2CEEAF90">
      <w:pPr>
        <w:rPr>
          <w:rFonts w:ascii="仿宋" w:hAnsi="仿宋" w:eastAsia="仿宋" w:cs="仿宋_GB2312"/>
          <w:b/>
          <w:color w:val="000000" w:themeColor="text1"/>
          <w:kern w:val="0"/>
          <w:sz w:val="32"/>
          <w:szCs w:val="32"/>
          <w:highlight w:val="none"/>
          <w14:textFill>
            <w14:solidFill>
              <w14:schemeClr w14:val="tx1"/>
            </w14:solidFill>
          </w14:textFill>
        </w:rPr>
      </w:pPr>
    </w:p>
    <w:p w14:paraId="01ED0D26">
      <w:pPr>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14:textFill>
            <w14:solidFill>
              <w14:schemeClr w14:val="tx1"/>
            </w14:solidFill>
          </w14:textFill>
        </w:rPr>
        <w:t>五、评标标准相应的商务技术资料</w:t>
      </w:r>
    </w:p>
    <w:p w14:paraId="4348ADDD">
      <w:pPr>
        <w:snapToGrid w:val="0"/>
        <w:spacing w:line="360" w:lineRule="auto"/>
        <w:jc w:val="left"/>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（按征集文件第四部分评标办法前附表中“响应文件中评标标准相应的商务技术资料目录”提供资料）</w:t>
      </w:r>
    </w:p>
    <w:p w14:paraId="2EEDDA15">
      <w:pPr>
        <w:jc w:val="center"/>
        <w:rPr>
          <w:rFonts w:ascii="仿宋" w:hAnsi="仿宋" w:eastAsia="仿宋" w:cs="仿宋_GB2312"/>
          <w:b/>
          <w:color w:val="000000" w:themeColor="text1"/>
          <w:kern w:val="0"/>
          <w:sz w:val="32"/>
          <w:szCs w:val="32"/>
          <w:highlight w:val="none"/>
          <w14:textFill>
            <w14:solidFill>
              <w14:schemeClr w14:val="tx1"/>
            </w14:solidFill>
          </w14:textFill>
        </w:rPr>
      </w:pPr>
    </w:p>
    <w:p w14:paraId="333FF727">
      <w:pPr>
        <w:ind w:firstLine="2891" w:firstLineChars="900"/>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4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FCD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23FF54">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A7DCEF9">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72528DE7">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52997CC7">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7454DDD">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CF8C19E">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5475CE2">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DFFB45D">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26BB1D1E">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040F9B7C">
            <w:pPr>
              <w:spacing w:line="360" w:lineRule="auto"/>
              <w:jc w:val="center"/>
              <w:rPr>
                <w:rFonts w:ascii="仿宋" w:hAnsi="仿宋" w:eastAsia="仿宋" w:cs="仿宋"/>
                <w:b/>
                <w:color w:val="000000" w:themeColor="text1"/>
                <w:sz w:val="24"/>
                <w:highlight w:val="none"/>
                <w14:textFill>
                  <w14:solidFill>
                    <w14:schemeClr w14:val="tx1"/>
                  </w14:solidFill>
                </w14:textFill>
              </w:rPr>
            </w:pPr>
          </w:p>
        </w:tc>
      </w:tr>
      <w:tr w14:paraId="54C8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AA0B28">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4B51E35">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4E1E67C">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915656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7344167">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007C7A5">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14A6D69">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37D1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EC4705">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D8DE77">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42DAE2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EC6A78">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0796265">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3AACE73">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1260532">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5B03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C8189C">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B2705EC">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BF7828B">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0F0E26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3E52148">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41F4245">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AF542BB">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bl>
    <w:p w14:paraId="1FDC47CE">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2D6D48E3">
      <w:pPr>
        <w:rPr>
          <w:rFonts w:ascii="仿宋" w:hAnsi="仿宋" w:eastAsia="仿宋" w:cs="仿宋_GB2312"/>
          <w:b/>
          <w:color w:val="000000" w:themeColor="text1"/>
          <w:kern w:val="0"/>
          <w:sz w:val="32"/>
          <w:szCs w:val="32"/>
          <w:highlight w:val="none"/>
          <w14:textFill>
            <w14:solidFill>
              <w14:schemeClr w14:val="tx1"/>
            </w14:solidFill>
          </w14:textFill>
        </w:rPr>
      </w:pPr>
    </w:p>
    <w:p w14:paraId="1285279C">
      <w:pPr>
        <w:jc w:val="center"/>
        <w:rPr>
          <w:rFonts w:ascii="仿宋" w:hAnsi="仿宋" w:eastAsia="仿宋" w:cs="仿宋_GB2312"/>
          <w:b/>
          <w:color w:val="000000" w:themeColor="text1"/>
          <w:kern w:val="0"/>
          <w:sz w:val="32"/>
          <w:szCs w:val="32"/>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14:textFill>
            <w14:solidFill>
              <w14:schemeClr w14:val="tx1"/>
            </w14:solidFill>
          </w14:textFill>
        </w:rPr>
        <w:t>七、商务技术偏离表</w:t>
      </w:r>
    </w:p>
    <w:tbl>
      <w:tblPr>
        <w:tblStyle w:val="5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7C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1FBA89">
            <w:pPr>
              <w:jc w:val="center"/>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序号</w:t>
            </w:r>
          </w:p>
        </w:tc>
        <w:tc>
          <w:tcPr>
            <w:tcW w:w="3683" w:type="dxa"/>
          </w:tcPr>
          <w:p w14:paraId="46A96572">
            <w:pPr>
              <w:jc w:val="center"/>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征集文件章节及具体内容</w:t>
            </w:r>
          </w:p>
        </w:tc>
        <w:tc>
          <w:tcPr>
            <w:tcW w:w="3546" w:type="dxa"/>
          </w:tcPr>
          <w:p w14:paraId="23CB3247">
            <w:pPr>
              <w:jc w:val="center"/>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响应文件章节及具体内容</w:t>
            </w:r>
          </w:p>
        </w:tc>
        <w:tc>
          <w:tcPr>
            <w:tcW w:w="1276" w:type="dxa"/>
          </w:tcPr>
          <w:p w14:paraId="1223CAE5">
            <w:pPr>
              <w:jc w:val="center"/>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偏离说明</w:t>
            </w:r>
          </w:p>
        </w:tc>
      </w:tr>
      <w:tr w14:paraId="0EC6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E85A82">
            <w:pPr>
              <w:jc w:val="center"/>
              <w:rPr>
                <w:rFonts w:ascii="仿宋" w:hAnsi="仿宋" w:eastAsia="仿宋" w:cs="仿宋_GB2312"/>
                <w:color w:val="000000" w:themeColor="text1"/>
                <w:kern w:val="0"/>
                <w:sz w:val="24"/>
                <w:highlight w:val="none"/>
                <w14:textFill>
                  <w14:solidFill>
                    <w14:schemeClr w14:val="tx1"/>
                  </w14:solidFill>
                </w14:textFill>
              </w:rPr>
            </w:pPr>
            <w:r>
              <w:rPr>
                <w:rFonts w:ascii="仿宋" w:hAnsi="仿宋" w:eastAsia="仿宋" w:cs="仿宋_GB2312"/>
                <w:color w:val="000000" w:themeColor="text1"/>
                <w:kern w:val="0"/>
                <w:sz w:val="24"/>
                <w:highlight w:val="none"/>
                <w14:textFill>
                  <w14:solidFill>
                    <w14:schemeClr w14:val="tx1"/>
                  </w14:solidFill>
                </w14:textFill>
              </w:rPr>
              <w:t>1</w:t>
            </w:r>
          </w:p>
        </w:tc>
        <w:tc>
          <w:tcPr>
            <w:tcW w:w="3683" w:type="dxa"/>
          </w:tcPr>
          <w:p w14:paraId="49B799C7">
            <w:pPr>
              <w:jc w:val="center"/>
              <w:rPr>
                <w:rFonts w:ascii="仿宋" w:hAnsi="仿宋" w:eastAsia="仿宋" w:cs="仿宋_GB2312"/>
                <w:b/>
                <w:color w:val="000000" w:themeColor="text1"/>
                <w:kern w:val="0"/>
                <w:sz w:val="32"/>
                <w:szCs w:val="32"/>
                <w:highlight w:val="none"/>
                <w14:textFill>
                  <w14:solidFill>
                    <w14:schemeClr w14:val="tx1"/>
                  </w14:solidFill>
                </w14:textFill>
              </w:rPr>
            </w:pPr>
          </w:p>
        </w:tc>
        <w:tc>
          <w:tcPr>
            <w:tcW w:w="3546" w:type="dxa"/>
          </w:tcPr>
          <w:p w14:paraId="783B6F7B">
            <w:pPr>
              <w:jc w:val="center"/>
              <w:rPr>
                <w:rFonts w:ascii="仿宋" w:hAnsi="仿宋" w:eastAsia="仿宋" w:cs="仿宋_GB2312"/>
                <w:b/>
                <w:color w:val="000000" w:themeColor="text1"/>
                <w:kern w:val="0"/>
                <w:sz w:val="32"/>
                <w:szCs w:val="32"/>
                <w:highlight w:val="none"/>
                <w14:textFill>
                  <w14:solidFill>
                    <w14:schemeClr w14:val="tx1"/>
                  </w14:solidFill>
                </w14:textFill>
              </w:rPr>
            </w:pPr>
          </w:p>
        </w:tc>
        <w:tc>
          <w:tcPr>
            <w:tcW w:w="1276" w:type="dxa"/>
          </w:tcPr>
          <w:p w14:paraId="2ACE7C02">
            <w:pPr>
              <w:jc w:val="center"/>
              <w:rPr>
                <w:rFonts w:ascii="仿宋" w:hAnsi="仿宋" w:eastAsia="仿宋" w:cs="仿宋_GB2312"/>
                <w:b/>
                <w:color w:val="000000" w:themeColor="text1"/>
                <w:kern w:val="0"/>
                <w:sz w:val="32"/>
                <w:szCs w:val="32"/>
                <w:highlight w:val="none"/>
                <w14:textFill>
                  <w14:solidFill>
                    <w14:schemeClr w14:val="tx1"/>
                  </w14:solidFill>
                </w14:textFill>
              </w:rPr>
            </w:pPr>
          </w:p>
        </w:tc>
      </w:tr>
      <w:tr w14:paraId="7C3B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93C487">
            <w:pPr>
              <w:jc w:val="center"/>
              <w:rPr>
                <w:rFonts w:ascii="仿宋" w:hAnsi="仿宋" w:eastAsia="仿宋" w:cs="仿宋_GB2312"/>
                <w:color w:val="000000" w:themeColor="text1"/>
                <w:kern w:val="0"/>
                <w:sz w:val="24"/>
                <w:highlight w:val="none"/>
                <w14:textFill>
                  <w14:solidFill>
                    <w14:schemeClr w14:val="tx1"/>
                  </w14:solidFill>
                </w14:textFill>
              </w:rPr>
            </w:pPr>
            <w:r>
              <w:rPr>
                <w:rFonts w:ascii="仿宋" w:hAnsi="仿宋" w:eastAsia="仿宋" w:cs="仿宋_GB2312"/>
                <w:color w:val="000000" w:themeColor="text1"/>
                <w:kern w:val="0"/>
                <w:sz w:val="24"/>
                <w:highlight w:val="none"/>
                <w14:textFill>
                  <w14:solidFill>
                    <w14:schemeClr w14:val="tx1"/>
                  </w14:solidFill>
                </w14:textFill>
              </w:rPr>
              <w:t>2</w:t>
            </w:r>
          </w:p>
        </w:tc>
        <w:tc>
          <w:tcPr>
            <w:tcW w:w="3683" w:type="dxa"/>
          </w:tcPr>
          <w:p w14:paraId="15A7CF27">
            <w:pPr>
              <w:jc w:val="center"/>
              <w:rPr>
                <w:rFonts w:ascii="仿宋" w:hAnsi="仿宋" w:eastAsia="仿宋" w:cs="仿宋_GB2312"/>
                <w:b/>
                <w:color w:val="000000" w:themeColor="text1"/>
                <w:kern w:val="0"/>
                <w:sz w:val="32"/>
                <w:szCs w:val="32"/>
                <w:highlight w:val="none"/>
                <w14:textFill>
                  <w14:solidFill>
                    <w14:schemeClr w14:val="tx1"/>
                  </w14:solidFill>
                </w14:textFill>
              </w:rPr>
            </w:pPr>
          </w:p>
        </w:tc>
        <w:tc>
          <w:tcPr>
            <w:tcW w:w="3546" w:type="dxa"/>
          </w:tcPr>
          <w:p w14:paraId="190A53EE">
            <w:pPr>
              <w:jc w:val="center"/>
              <w:rPr>
                <w:rFonts w:ascii="仿宋" w:hAnsi="仿宋" w:eastAsia="仿宋" w:cs="仿宋_GB2312"/>
                <w:b/>
                <w:color w:val="000000" w:themeColor="text1"/>
                <w:kern w:val="0"/>
                <w:sz w:val="32"/>
                <w:szCs w:val="32"/>
                <w:highlight w:val="none"/>
                <w14:textFill>
                  <w14:solidFill>
                    <w14:schemeClr w14:val="tx1"/>
                  </w14:solidFill>
                </w14:textFill>
              </w:rPr>
            </w:pPr>
          </w:p>
        </w:tc>
        <w:tc>
          <w:tcPr>
            <w:tcW w:w="1276" w:type="dxa"/>
          </w:tcPr>
          <w:p w14:paraId="5A2A7CE3">
            <w:pPr>
              <w:jc w:val="center"/>
              <w:rPr>
                <w:rFonts w:ascii="仿宋" w:hAnsi="仿宋" w:eastAsia="仿宋" w:cs="仿宋_GB2312"/>
                <w:b/>
                <w:color w:val="000000" w:themeColor="text1"/>
                <w:kern w:val="0"/>
                <w:sz w:val="32"/>
                <w:szCs w:val="32"/>
                <w:highlight w:val="none"/>
                <w14:textFill>
                  <w14:solidFill>
                    <w14:schemeClr w14:val="tx1"/>
                  </w14:solidFill>
                </w14:textFill>
              </w:rPr>
            </w:pPr>
          </w:p>
        </w:tc>
      </w:tr>
      <w:tr w14:paraId="349A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1F3FDC">
            <w:pPr>
              <w:jc w:val="center"/>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w:t>
            </w:r>
          </w:p>
        </w:tc>
        <w:tc>
          <w:tcPr>
            <w:tcW w:w="3683" w:type="dxa"/>
          </w:tcPr>
          <w:p w14:paraId="7768002B">
            <w:pPr>
              <w:jc w:val="center"/>
              <w:rPr>
                <w:rFonts w:ascii="仿宋" w:hAnsi="仿宋" w:eastAsia="仿宋" w:cs="仿宋_GB2312"/>
                <w:b/>
                <w:color w:val="000000" w:themeColor="text1"/>
                <w:kern w:val="0"/>
                <w:sz w:val="32"/>
                <w:szCs w:val="32"/>
                <w:highlight w:val="none"/>
                <w14:textFill>
                  <w14:solidFill>
                    <w14:schemeClr w14:val="tx1"/>
                  </w14:solidFill>
                </w14:textFill>
              </w:rPr>
            </w:pPr>
          </w:p>
        </w:tc>
        <w:tc>
          <w:tcPr>
            <w:tcW w:w="3546" w:type="dxa"/>
          </w:tcPr>
          <w:p w14:paraId="44F2FC27">
            <w:pPr>
              <w:jc w:val="center"/>
              <w:rPr>
                <w:rFonts w:ascii="仿宋" w:hAnsi="仿宋" w:eastAsia="仿宋" w:cs="仿宋_GB2312"/>
                <w:b/>
                <w:color w:val="000000" w:themeColor="text1"/>
                <w:kern w:val="0"/>
                <w:sz w:val="32"/>
                <w:szCs w:val="32"/>
                <w:highlight w:val="none"/>
                <w14:textFill>
                  <w14:solidFill>
                    <w14:schemeClr w14:val="tx1"/>
                  </w14:solidFill>
                </w14:textFill>
              </w:rPr>
            </w:pPr>
          </w:p>
        </w:tc>
        <w:tc>
          <w:tcPr>
            <w:tcW w:w="1276" w:type="dxa"/>
          </w:tcPr>
          <w:p w14:paraId="4902D7BD">
            <w:pPr>
              <w:jc w:val="center"/>
              <w:rPr>
                <w:rFonts w:ascii="仿宋" w:hAnsi="仿宋" w:eastAsia="仿宋" w:cs="仿宋_GB2312"/>
                <w:b/>
                <w:color w:val="000000" w:themeColor="text1"/>
                <w:kern w:val="0"/>
                <w:sz w:val="32"/>
                <w:szCs w:val="32"/>
                <w:highlight w:val="none"/>
                <w14:textFill>
                  <w14:solidFill>
                    <w14:schemeClr w14:val="tx1"/>
                  </w14:solidFill>
                </w14:textFill>
              </w:rPr>
            </w:pPr>
          </w:p>
        </w:tc>
      </w:tr>
    </w:tbl>
    <w:p w14:paraId="44F1B801">
      <w:pPr>
        <w:jc w:val="left"/>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供应商保证：除商务技术偏离表列出的偏离外，供应商响应征集文件的全部要求</w:t>
      </w:r>
    </w:p>
    <w:p w14:paraId="230CE855">
      <w:pPr>
        <w:rPr>
          <w:rFonts w:ascii="仿宋" w:hAnsi="仿宋" w:eastAsia="仿宋" w:cs="仿宋_GB2312"/>
          <w:b/>
          <w:color w:val="000000" w:themeColor="text1"/>
          <w:kern w:val="0"/>
          <w:sz w:val="32"/>
          <w:szCs w:val="32"/>
          <w:highlight w:val="none"/>
          <w14:textFill>
            <w14:solidFill>
              <w14:schemeClr w14:val="tx1"/>
            </w14:solidFill>
          </w14:textFill>
        </w:rPr>
      </w:pPr>
    </w:p>
    <w:p w14:paraId="7AB75F2C">
      <w:pPr>
        <w:ind w:firstLine="1911" w:firstLineChars="595"/>
        <w:rPr>
          <w:rFonts w:ascii="仿宋" w:hAnsi="仿宋" w:eastAsia="仿宋" w:cs="仿宋_GB2312"/>
          <w:b/>
          <w:color w:val="000000" w:themeColor="text1"/>
          <w:kern w:val="0"/>
          <w:sz w:val="32"/>
          <w:szCs w:val="32"/>
          <w:highlight w:val="none"/>
          <w14:textFill>
            <w14:solidFill>
              <w14:schemeClr w14:val="tx1"/>
            </w14:solidFill>
          </w14:textFill>
        </w:rPr>
      </w:pPr>
      <w:r>
        <w:rPr>
          <w:rFonts w:hint="eastAsia" w:ascii="仿宋" w:hAnsi="仿宋" w:eastAsia="仿宋" w:cs="仿宋_GB2312"/>
          <w:b/>
          <w:color w:val="000000" w:themeColor="text1"/>
          <w:kern w:val="0"/>
          <w:sz w:val="32"/>
          <w:szCs w:val="32"/>
          <w:highlight w:val="none"/>
          <w14:textFill>
            <w14:solidFill>
              <w14:schemeClr w14:val="tx1"/>
            </w14:solidFill>
          </w14:textFill>
        </w:rPr>
        <w:t>八、</w:t>
      </w:r>
      <w:r>
        <w:rPr>
          <w:rFonts w:hint="eastAsia" w:ascii="仿宋" w:hAnsi="仿宋" w:eastAsia="仿宋" w:cs="仿宋_GB2312"/>
          <w:b/>
          <w:color w:val="000000" w:themeColor="text1"/>
          <w:kern w:val="0"/>
          <w:sz w:val="32"/>
          <w:szCs w:val="32"/>
          <w:highlight w:val="none"/>
          <w:lang w:val="zh-CN"/>
          <w14:textFill>
            <w14:solidFill>
              <w14:schemeClr w14:val="tx1"/>
            </w14:solidFill>
          </w14:textFill>
        </w:rPr>
        <w:t>政府采购供应商廉洁自律承诺书</w:t>
      </w:r>
    </w:p>
    <w:p w14:paraId="0A6C71EC">
      <w:pPr>
        <w:snapToGrid w:val="0"/>
        <w:spacing w:line="360" w:lineRule="auto"/>
        <w:rPr>
          <w:rFonts w:ascii="仿宋" w:hAnsi="仿宋" w:eastAsia="仿宋" w:cs="仿宋_GB2312"/>
          <w:color w:val="000000" w:themeColor="text1"/>
          <w:sz w:val="24"/>
          <w:highlight w:val="none"/>
          <w14:textFill>
            <w14:solidFill>
              <w14:schemeClr w14:val="tx1"/>
            </w14:solidFill>
          </w14:textFill>
        </w:rPr>
      </w:pPr>
    </w:p>
    <w:p w14:paraId="5FCADED6">
      <w:pPr>
        <w:snapToGrid w:val="0"/>
        <w:spacing w:line="360" w:lineRule="auto"/>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（征集人）、（采购代理机构）</w:t>
      </w:r>
      <w:r>
        <w:rPr>
          <w:rFonts w:hint="eastAsia" w:ascii="仿宋" w:hAnsi="仿宋" w:eastAsia="仿宋" w:cs="仿宋_GB2312"/>
          <w:color w:val="000000" w:themeColor="text1"/>
          <w:kern w:val="0"/>
          <w:sz w:val="24"/>
          <w:highlight w:val="none"/>
          <w:lang w:val="zh-CN"/>
          <w14:textFill>
            <w14:solidFill>
              <w14:schemeClr w14:val="tx1"/>
            </w14:solidFill>
          </w14:textFill>
        </w:rPr>
        <w:t>：</w:t>
      </w:r>
    </w:p>
    <w:p w14:paraId="55D5E868">
      <w:pPr>
        <w:autoSpaceDE w:val="0"/>
        <w:autoSpaceDN w:val="0"/>
        <w:spacing w:line="360" w:lineRule="auto"/>
        <w:ind w:left="2" w:leftChars="1" w:firstLine="480" w:firstLineChars="200"/>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我单位响应你</w:t>
      </w:r>
      <w:r>
        <w:rPr>
          <w:rFonts w:hint="eastAsia" w:ascii="仿宋" w:hAnsi="仿宋" w:eastAsia="仿宋" w:cs="仿宋_GB2312"/>
          <w:color w:val="000000" w:themeColor="text1"/>
          <w:sz w:val="24"/>
          <w:highlight w:val="none"/>
          <w14:textFill>
            <w14:solidFill>
              <w14:schemeClr w14:val="tx1"/>
            </w14:solidFill>
          </w14:textFill>
        </w:rPr>
        <w:t>单位</w:t>
      </w:r>
      <w:r>
        <w:rPr>
          <w:rFonts w:hint="eastAsia" w:ascii="仿宋" w:hAnsi="仿宋" w:eastAsia="仿宋" w:cs="仿宋_GB2312"/>
          <w:color w:val="000000" w:themeColor="text1"/>
          <w:kern w:val="0"/>
          <w:sz w:val="24"/>
          <w:highlight w:val="none"/>
          <w:lang w:val="zh-CN"/>
          <w14:textFill>
            <w14:solidFill>
              <w14:schemeClr w14:val="tx1"/>
            </w14:solidFill>
          </w14:textFill>
        </w:rPr>
        <w:t>项目征集要求参加投标。在这次投标过程中和中标后，我们将严格遵守国家法律法规要求，并郑重承诺：</w:t>
      </w:r>
    </w:p>
    <w:p w14:paraId="10E63058">
      <w:pPr>
        <w:autoSpaceDE w:val="0"/>
        <w:autoSpaceDN w:val="0"/>
        <w:spacing w:line="360" w:lineRule="auto"/>
        <w:ind w:left="2" w:leftChars="1" w:firstLine="480" w:firstLineChars="200"/>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p>
    <w:p w14:paraId="0F010BFE">
      <w:pPr>
        <w:autoSpaceDE w:val="0"/>
        <w:autoSpaceDN w:val="0"/>
        <w:spacing w:line="360" w:lineRule="auto"/>
        <w:ind w:left="2" w:leftChars="1" w:firstLine="480" w:firstLineChars="200"/>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二、不为项目有关人员及部门报销应由你方单位或个人支付的费用；</w:t>
      </w:r>
    </w:p>
    <w:p w14:paraId="7C06A8E5">
      <w:pPr>
        <w:autoSpaceDE w:val="0"/>
        <w:autoSpaceDN w:val="0"/>
        <w:spacing w:line="360" w:lineRule="auto"/>
        <w:ind w:left="2" w:leftChars="1" w:firstLine="480" w:firstLineChars="200"/>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三、不向项目有关人员及部门提供有可能影响公正的宴请和健身娱乐等活动；</w:t>
      </w:r>
    </w:p>
    <w:p w14:paraId="30297EA3">
      <w:pPr>
        <w:autoSpaceDE w:val="0"/>
        <w:autoSpaceDN w:val="0"/>
        <w:spacing w:line="360" w:lineRule="auto"/>
        <w:ind w:left="2" w:leftChars="1" w:firstLine="480" w:firstLineChars="200"/>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四、不为项目有关人员及部门出国（境）、旅游等提供方便；</w:t>
      </w:r>
    </w:p>
    <w:p w14:paraId="489D2996">
      <w:pPr>
        <w:autoSpaceDE w:val="0"/>
        <w:autoSpaceDN w:val="0"/>
        <w:spacing w:line="360" w:lineRule="auto"/>
        <w:ind w:left="481" w:leftChars="229"/>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3339891">
      <w:pPr>
        <w:autoSpaceDE w:val="0"/>
        <w:autoSpaceDN w:val="0"/>
        <w:spacing w:line="360" w:lineRule="auto"/>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好处；</w:t>
      </w:r>
    </w:p>
    <w:p w14:paraId="6B4774B4">
      <w:pPr>
        <w:autoSpaceDE w:val="0"/>
        <w:autoSpaceDN w:val="0"/>
        <w:spacing w:line="360" w:lineRule="auto"/>
        <w:ind w:left="481" w:leftChars="229"/>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六、严格遵守《</w:t>
      </w:r>
      <w:r>
        <w:rPr>
          <w:rFonts w:hint="eastAsia" w:ascii="仿宋" w:hAnsi="仿宋" w:eastAsia="仿宋"/>
          <w:color w:val="000000" w:themeColor="text1"/>
          <w:sz w:val="24"/>
          <w:highlight w:val="none"/>
          <w:lang w:val="zh-CN"/>
          <w14:textFill>
            <w14:solidFill>
              <w14:schemeClr w14:val="tx1"/>
            </w14:solidFill>
          </w14:textFill>
        </w:rPr>
        <w:t>中华人民共和国</w:t>
      </w:r>
      <w:r>
        <w:rPr>
          <w:rFonts w:hint="eastAsia" w:ascii="仿宋" w:hAnsi="仿宋" w:eastAsia="仿宋" w:cs="仿宋_GB2312"/>
          <w:color w:val="000000" w:themeColor="text1"/>
          <w:kern w:val="0"/>
          <w:sz w:val="24"/>
          <w:highlight w:val="none"/>
          <w:lang w:val="zh-CN"/>
          <w14:textFill>
            <w14:solidFill>
              <w14:schemeClr w14:val="tx1"/>
            </w14:solidFill>
          </w14:textFill>
        </w:rPr>
        <w:t>政府采购法》《</w:t>
      </w:r>
      <w:r>
        <w:rPr>
          <w:rFonts w:hint="eastAsia" w:ascii="仿宋" w:hAnsi="仿宋" w:eastAsia="仿宋"/>
          <w:color w:val="000000" w:themeColor="text1"/>
          <w:sz w:val="24"/>
          <w:highlight w:val="none"/>
          <w:lang w:val="zh-CN"/>
          <w14:textFill>
            <w14:solidFill>
              <w14:schemeClr w14:val="tx1"/>
            </w14:solidFill>
          </w14:textFill>
        </w:rPr>
        <w:t>中华人民共和国</w:t>
      </w:r>
      <w:r>
        <w:rPr>
          <w:rFonts w:hint="eastAsia" w:ascii="仿宋" w:hAnsi="仿宋" w:eastAsia="仿宋" w:cs="仿宋_GB2312"/>
          <w:color w:val="000000" w:themeColor="text1"/>
          <w:kern w:val="0"/>
          <w:sz w:val="24"/>
          <w:highlight w:val="none"/>
          <w:lang w:val="zh-CN"/>
          <w14:textFill>
            <w14:solidFill>
              <w14:schemeClr w14:val="tx1"/>
            </w14:solidFill>
          </w14:textFill>
        </w:rPr>
        <w:t>征集投标</w:t>
      </w:r>
    </w:p>
    <w:p w14:paraId="70C72FC2">
      <w:pPr>
        <w:autoSpaceDE w:val="0"/>
        <w:autoSpaceDN w:val="0"/>
        <w:spacing w:line="360" w:lineRule="auto"/>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法》</w:t>
      </w:r>
      <w:r>
        <w:rPr>
          <w:rFonts w:hint="eastAsia" w:ascii="仿宋" w:hAnsi="仿宋" w:eastAsia="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_GB2312"/>
          <w:color w:val="000000" w:themeColor="text1"/>
          <w:kern w:val="0"/>
          <w:sz w:val="24"/>
          <w:highlight w:val="none"/>
          <w:lang w:val="zh-CN"/>
          <w14:textFill>
            <w14:solidFill>
              <w14:schemeClr w14:val="tx1"/>
            </w14:solidFill>
          </w14:textFill>
        </w:rPr>
        <w:t>等法律法规，诚实守信，合法经营，坚决抵制各种违法违纪行为。</w:t>
      </w:r>
    </w:p>
    <w:p w14:paraId="0FF93D58">
      <w:pPr>
        <w:autoSpaceDE w:val="0"/>
        <w:autoSpaceDN w:val="0"/>
        <w:spacing w:line="360" w:lineRule="auto"/>
        <w:ind w:firstLine="480" w:firstLineChars="200"/>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_GB2312"/>
          <w:color w:val="000000" w:themeColor="text1"/>
          <w:sz w:val="24"/>
          <w:highlight w:val="none"/>
          <w14:textFill>
            <w14:solidFill>
              <w14:schemeClr w14:val="tx1"/>
            </w14:solidFill>
          </w14:textFill>
        </w:rPr>
        <w:t>单位</w:t>
      </w:r>
      <w:r>
        <w:rPr>
          <w:rFonts w:hint="eastAsia" w:ascii="仿宋" w:hAnsi="仿宋" w:eastAsia="仿宋" w:cs="仿宋_GB2312"/>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_GB2312"/>
          <w:color w:val="000000" w:themeColor="text1"/>
          <w:sz w:val="24"/>
          <w:highlight w:val="none"/>
          <w14:textFill>
            <w14:solidFill>
              <w14:schemeClr w14:val="tx1"/>
            </w14:solidFill>
          </w14:textFill>
        </w:rPr>
        <w:t>单位</w:t>
      </w:r>
      <w:r>
        <w:rPr>
          <w:rFonts w:hint="eastAsia" w:ascii="仿宋" w:hAnsi="仿宋" w:eastAsia="仿宋" w:cs="仿宋_GB2312"/>
          <w:color w:val="000000" w:themeColor="text1"/>
          <w:kern w:val="0"/>
          <w:sz w:val="24"/>
          <w:highlight w:val="none"/>
          <w:lang w:val="zh-CN"/>
          <w14:textFill>
            <w14:solidFill>
              <w14:schemeClr w14:val="tx1"/>
            </w14:solidFill>
          </w14:textFill>
        </w:rPr>
        <w:t>进行项目建设或其他经营活动，并通报区财政局。由此引起的相应损失均由我单位承担。</w:t>
      </w:r>
    </w:p>
    <w:p w14:paraId="2D5C60D3">
      <w:pPr>
        <w:autoSpaceDE w:val="0"/>
        <w:autoSpaceDN w:val="0"/>
        <w:spacing w:line="360" w:lineRule="auto"/>
        <w:ind w:left="2"/>
        <w:jc w:val="left"/>
        <w:rPr>
          <w:rFonts w:ascii="仿宋" w:hAnsi="仿宋" w:eastAsia="仿宋" w:cs="仿宋_GB2312"/>
          <w:color w:val="000000" w:themeColor="text1"/>
          <w:kern w:val="0"/>
          <w:sz w:val="24"/>
          <w:highlight w:val="none"/>
          <w:lang w:val="zh-CN"/>
          <w14:textFill>
            <w14:solidFill>
              <w14:schemeClr w14:val="tx1"/>
            </w14:solidFill>
          </w14:textFill>
        </w:rPr>
      </w:pPr>
    </w:p>
    <w:p w14:paraId="676F72BE">
      <w:pPr>
        <w:autoSpaceDE w:val="0"/>
        <w:autoSpaceDN w:val="0"/>
        <w:spacing w:line="360" w:lineRule="auto"/>
        <w:ind w:left="2" w:leftChars="1" w:right="1120" w:firstLine="4560" w:firstLineChars="1900"/>
        <w:jc w:val="lef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响应供应商名称（</w:t>
      </w:r>
      <w:r>
        <w:rPr>
          <w:rFonts w:hint="eastAsia" w:ascii="仿宋" w:hAnsi="仿宋" w:eastAsia="仿宋" w:cs="仿宋_GB2312"/>
          <w:color w:val="000000" w:themeColor="text1"/>
          <w:sz w:val="24"/>
          <w:highlight w:val="none"/>
          <w14:textFill>
            <w14:solidFill>
              <w14:schemeClr w14:val="tx1"/>
            </w14:solidFill>
          </w14:textFill>
        </w:rPr>
        <w:t>电子签名</w:t>
      </w:r>
      <w:r>
        <w:rPr>
          <w:rFonts w:hint="eastAsia" w:ascii="仿宋" w:hAnsi="仿宋" w:eastAsia="仿宋" w:cs="仿宋_GB2312"/>
          <w:color w:val="000000" w:themeColor="text1"/>
          <w:kern w:val="0"/>
          <w:sz w:val="24"/>
          <w:highlight w:val="none"/>
          <w:lang w:val="zh-CN"/>
          <w14:textFill>
            <w14:solidFill>
              <w14:schemeClr w14:val="tx1"/>
            </w14:solidFill>
          </w14:textFill>
        </w:rPr>
        <w:t>）：</w:t>
      </w:r>
    </w:p>
    <w:p w14:paraId="679C4388">
      <w:pPr>
        <w:spacing w:line="360" w:lineRule="auto"/>
        <w:ind w:left="4620" w:leftChars="2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日期</w:t>
      </w:r>
      <w:r>
        <w:rPr>
          <w:rFonts w:hint="eastAsia" w:ascii="仿宋" w:hAnsi="仿宋" w:eastAsia="仿宋" w:cs="仿宋_GB2312"/>
          <w:color w:val="000000" w:themeColor="text1"/>
          <w:kern w:val="0"/>
          <w:sz w:val="24"/>
          <w:highlight w:val="none"/>
          <w14:textFill>
            <w14:solidFill>
              <w14:schemeClr w14:val="tx1"/>
            </w14:solidFill>
          </w14:textFill>
        </w:rPr>
        <w:t>：</w:t>
      </w:r>
      <w:r>
        <w:rPr>
          <w:rFonts w:ascii="仿宋" w:hAnsi="仿宋" w:eastAsia="仿宋" w:cs="仿宋_GB2312"/>
          <w:color w:val="000000" w:themeColor="text1"/>
          <w:kern w:val="0"/>
          <w:sz w:val="24"/>
          <w:highlight w:val="none"/>
          <w:lang w:val="zh-CN"/>
          <w14:textFill>
            <w14:solidFill>
              <w14:schemeClr w14:val="tx1"/>
            </w14:solidFill>
          </w14:textFill>
        </w:rPr>
        <w:t xml:space="preserve">   年   月   日</w:t>
      </w:r>
    </w:p>
    <w:p w14:paraId="664D7156">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4AFCA16F">
      <w:pPr>
        <w:rPr>
          <w:rFonts w:ascii="仿宋" w:hAnsi="仿宋" w:eastAsia="仿宋" w:cs="仿宋_GB2312"/>
          <w:b/>
          <w:color w:val="000000" w:themeColor="text1"/>
          <w:kern w:val="0"/>
          <w:sz w:val="36"/>
          <w:szCs w:val="36"/>
          <w:highlight w:val="none"/>
          <w14:textFill>
            <w14:solidFill>
              <w14:schemeClr w14:val="tx1"/>
            </w14:solidFill>
          </w14:textFill>
        </w:rPr>
      </w:pPr>
      <w:r>
        <w:rPr>
          <w:rFonts w:hint="eastAsia" w:ascii="仿宋" w:hAnsi="仿宋" w:eastAsia="仿宋" w:cs="仿宋_GB2312"/>
          <w:b/>
          <w:color w:val="000000" w:themeColor="text1"/>
          <w:kern w:val="0"/>
          <w:sz w:val="36"/>
          <w:szCs w:val="36"/>
          <w:highlight w:val="none"/>
          <w14:textFill>
            <w14:solidFill>
              <w14:schemeClr w14:val="tx1"/>
            </w14:solidFill>
          </w14:textFill>
        </w:rPr>
        <w:br w:type="page"/>
      </w:r>
    </w:p>
    <w:p w14:paraId="2C3E5291">
      <w:pPr>
        <w:snapToGrid w:val="0"/>
        <w:spacing w:line="360" w:lineRule="auto"/>
        <w:jc w:val="center"/>
        <w:rPr>
          <w:rFonts w:ascii="仿宋" w:hAnsi="仿宋" w:eastAsia="仿宋" w:cs="仿宋_GB2312"/>
          <w:b/>
          <w:color w:val="000000" w:themeColor="text1"/>
          <w:kern w:val="0"/>
          <w:sz w:val="36"/>
          <w:szCs w:val="36"/>
          <w:highlight w:val="none"/>
          <w14:textFill>
            <w14:solidFill>
              <w14:schemeClr w14:val="tx1"/>
            </w14:solidFill>
          </w14:textFill>
        </w:rPr>
      </w:pPr>
      <w:r>
        <w:rPr>
          <w:rFonts w:hint="eastAsia" w:ascii="仿宋" w:hAnsi="仿宋" w:eastAsia="仿宋" w:cs="仿宋_GB2312"/>
          <w:b/>
          <w:color w:val="000000" w:themeColor="text1"/>
          <w:kern w:val="0"/>
          <w:sz w:val="36"/>
          <w:szCs w:val="36"/>
          <w:highlight w:val="none"/>
          <w14:textFill>
            <w14:solidFill>
              <w14:schemeClr w14:val="tx1"/>
            </w14:solidFill>
          </w14:textFill>
        </w:rPr>
        <w:t>报价文件部分</w:t>
      </w:r>
    </w:p>
    <w:p w14:paraId="4DB0D8E6">
      <w:pPr>
        <w:spacing w:line="360" w:lineRule="auto"/>
        <w:jc w:val="center"/>
        <w:outlineLvl w:val="0"/>
        <w:rPr>
          <w:rFonts w:ascii="仿宋" w:hAnsi="仿宋" w:eastAsia="仿宋" w:cs="仿宋_GB2312"/>
          <w:b/>
          <w:color w:val="000000" w:themeColor="text1"/>
          <w:kern w:val="0"/>
          <w:sz w:val="24"/>
          <w:highlight w:val="none"/>
          <w14:textFill>
            <w14:solidFill>
              <w14:schemeClr w14:val="tx1"/>
            </w14:solidFill>
          </w14:textFill>
        </w:rPr>
      </w:pPr>
    </w:p>
    <w:p w14:paraId="41D4A626">
      <w:pPr>
        <w:spacing w:line="360" w:lineRule="auto"/>
        <w:jc w:val="center"/>
        <w:outlineLvl w:val="0"/>
        <w:rPr>
          <w:rFonts w:ascii="仿宋" w:hAnsi="仿宋" w:eastAsia="仿宋" w:cs="仿宋_GB2312"/>
          <w:b/>
          <w:color w:val="000000" w:themeColor="text1"/>
          <w:kern w:val="0"/>
          <w:sz w:val="36"/>
          <w:szCs w:val="36"/>
          <w:highlight w:val="none"/>
          <w14:textFill>
            <w14:solidFill>
              <w14:schemeClr w14:val="tx1"/>
            </w14:solidFill>
          </w14:textFill>
        </w:rPr>
      </w:pPr>
      <w:r>
        <w:rPr>
          <w:rFonts w:hint="eastAsia" w:ascii="仿宋" w:hAnsi="仿宋" w:eastAsia="仿宋" w:cs="仿宋_GB2312"/>
          <w:b/>
          <w:color w:val="000000" w:themeColor="text1"/>
          <w:kern w:val="0"/>
          <w:sz w:val="36"/>
          <w:szCs w:val="36"/>
          <w:highlight w:val="none"/>
          <w14:textFill>
            <w14:solidFill>
              <w14:schemeClr w14:val="tx1"/>
            </w14:solidFill>
          </w14:textFill>
        </w:rPr>
        <w:t>目录</w:t>
      </w:r>
    </w:p>
    <w:p w14:paraId="1DF081ED">
      <w:pPr>
        <w:spacing w:line="360" w:lineRule="auto"/>
        <w:outlineLvl w:val="0"/>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（1）投标（开标）一览表…………………………………………（页码）</w:t>
      </w:r>
    </w:p>
    <w:p w14:paraId="703E5159">
      <w:pPr>
        <w:spacing w:line="360" w:lineRule="auto"/>
        <w:outlineLvl w:val="0"/>
        <w:rPr>
          <w:rFonts w:ascii="仿宋" w:hAnsi="仿宋" w:eastAsia="仿宋" w:cs="仿宋_GB2312"/>
          <w:color w:val="000000" w:themeColor="text1"/>
          <w:kern w:val="0"/>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14:textFill>
            <w14:solidFill>
              <w14:schemeClr w14:val="tx1"/>
            </w14:solidFill>
          </w14:textFill>
        </w:rPr>
        <w:t>（2）中小企业声明函………………………………………………（页码）</w:t>
      </w:r>
    </w:p>
    <w:p w14:paraId="43E26355">
      <w:pPr>
        <w:spacing w:line="360" w:lineRule="auto"/>
        <w:ind w:left="2" w:firstLine="480" w:firstLineChars="200"/>
        <w:rPr>
          <w:rFonts w:ascii="仿宋" w:hAnsi="仿宋" w:eastAsia="仿宋" w:cs="仿宋_GB2312"/>
          <w:color w:val="000000" w:themeColor="text1"/>
          <w:sz w:val="24"/>
          <w:highlight w:val="none"/>
          <w14:textFill>
            <w14:solidFill>
              <w14:schemeClr w14:val="tx1"/>
            </w14:solidFill>
          </w14:textFill>
        </w:rPr>
      </w:pPr>
    </w:p>
    <w:p w14:paraId="02730E8C">
      <w:pPr>
        <w:spacing w:line="360" w:lineRule="auto"/>
        <w:ind w:left="2" w:firstLine="480" w:firstLineChars="200"/>
        <w:rPr>
          <w:rFonts w:ascii="仿宋" w:hAnsi="仿宋" w:eastAsia="仿宋" w:cs="仿宋_GB2312"/>
          <w:color w:val="000000" w:themeColor="text1"/>
          <w:sz w:val="24"/>
          <w:highlight w:val="none"/>
          <w14:textFill>
            <w14:solidFill>
              <w14:schemeClr w14:val="tx1"/>
            </w14:solidFill>
          </w14:textFill>
        </w:rPr>
      </w:pPr>
    </w:p>
    <w:p w14:paraId="64B5BA40">
      <w:pPr>
        <w:spacing w:line="360" w:lineRule="auto"/>
        <w:ind w:left="2" w:firstLine="480" w:firstLineChars="200"/>
        <w:rPr>
          <w:rFonts w:ascii="仿宋" w:hAnsi="仿宋" w:eastAsia="仿宋" w:cs="仿宋_GB2312"/>
          <w:color w:val="000000" w:themeColor="text1"/>
          <w:sz w:val="24"/>
          <w:highlight w:val="none"/>
          <w14:textFill>
            <w14:solidFill>
              <w14:schemeClr w14:val="tx1"/>
            </w14:solidFill>
          </w14:textFill>
        </w:rPr>
      </w:pPr>
    </w:p>
    <w:p w14:paraId="54B6AE70">
      <w:pPr>
        <w:spacing w:line="360" w:lineRule="auto"/>
        <w:ind w:left="2" w:firstLine="480" w:firstLineChars="200"/>
        <w:rPr>
          <w:rFonts w:ascii="仿宋" w:hAnsi="仿宋" w:eastAsia="仿宋" w:cs="仿宋_GB2312"/>
          <w:color w:val="000000" w:themeColor="text1"/>
          <w:sz w:val="24"/>
          <w:highlight w:val="none"/>
          <w14:textFill>
            <w14:solidFill>
              <w14:schemeClr w14:val="tx1"/>
            </w14:solidFill>
          </w14:textFill>
        </w:rPr>
      </w:pPr>
    </w:p>
    <w:p w14:paraId="35955223">
      <w:pPr>
        <w:spacing w:line="360" w:lineRule="auto"/>
        <w:ind w:left="2" w:firstLine="480" w:firstLineChars="200"/>
        <w:rPr>
          <w:rFonts w:ascii="仿宋" w:hAnsi="仿宋" w:eastAsia="仿宋" w:cs="仿宋_GB2312"/>
          <w:color w:val="000000" w:themeColor="text1"/>
          <w:sz w:val="24"/>
          <w:highlight w:val="none"/>
          <w14:textFill>
            <w14:solidFill>
              <w14:schemeClr w14:val="tx1"/>
            </w14:solidFill>
          </w14:textFill>
        </w:rPr>
      </w:pPr>
    </w:p>
    <w:p w14:paraId="693F09A9">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6CAE7EA8">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1269BCED">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756423A5">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582C3836">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46679C0B">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60647148">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0931DB1B">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353E40A4">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4FC83C8D">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537458F8">
      <w:pPr>
        <w:snapToGrid w:val="0"/>
        <w:spacing w:line="360" w:lineRule="auto"/>
        <w:jc w:val="center"/>
        <w:outlineLvl w:val="0"/>
        <w:rPr>
          <w:rFonts w:ascii="仿宋" w:hAnsi="仿宋" w:eastAsia="仿宋" w:cs="仿宋_GB2312"/>
          <w:b/>
          <w:color w:val="000000" w:themeColor="text1"/>
          <w:kern w:val="0"/>
          <w:sz w:val="32"/>
          <w:szCs w:val="32"/>
          <w:highlight w:val="none"/>
          <w14:textFill>
            <w14:solidFill>
              <w14:schemeClr w14:val="tx1"/>
            </w14:solidFill>
          </w14:textFill>
        </w:rPr>
      </w:pPr>
    </w:p>
    <w:p w14:paraId="3E7CE029">
      <w:pPr>
        <w:snapToGrid w:val="0"/>
        <w:spacing w:line="360" w:lineRule="auto"/>
        <w:rPr>
          <w:rFonts w:ascii="仿宋" w:hAnsi="仿宋" w:eastAsia="仿宋"/>
          <w:color w:val="000000" w:themeColor="text1"/>
          <w:sz w:val="24"/>
          <w:highlight w:val="none"/>
          <w14:textFill>
            <w14:solidFill>
              <w14:schemeClr w14:val="tx1"/>
            </w14:solidFill>
          </w14:textFill>
        </w:rPr>
      </w:pPr>
    </w:p>
    <w:p w14:paraId="54728DB4">
      <w:pPr>
        <w:snapToGrid w:val="0"/>
        <w:spacing w:line="360" w:lineRule="auto"/>
        <w:jc w:val="center"/>
        <w:rPr>
          <w:rFonts w:ascii="仿宋" w:hAnsi="仿宋" w:eastAsia="仿宋"/>
          <w:color w:val="000000" w:themeColor="text1"/>
          <w:sz w:val="24"/>
          <w:highlight w:val="none"/>
          <w14:textFill>
            <w14:solidFill>
              <w14:schemeClr w14:val="tx1"/>
            </w14:solidFill>
          </w14:textFill>
        </w:rPr>
        <w:sectPr>
          <w:headerReference r:id="rId11" w:type="first"/>
          <w:pgSz w:w="11906" w:h="16838"/>
          <w:pgMar w:top="777"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14:paraId="5105AF51">
      <w:pPr>
        <w:pStyle w:val="675"/>
        <w:keepNext w:val="0"/>
        <w:pageBreakBefore w:val="0"/>
        <w:tabs>
          <w:tab w:val="clear" w:pos="720"/>
        </w:tabs>
        <w:snapToGrid w:val="0"/>
        <w:spacing w:before="120" w:after="120"/>
        <w:ind w:firstLine="640"/>
        <w:outlineLvl w:val="9"/>
        <w:rPr>
          <w:rFonts w:hint="eastAsia" w:ascii="仿宋" w:hAnsi="仿宋" w:eastAsia="仿宋" w:cs="仿宋_GB2312"/>
          <w:color w:val="000000" w:themeColor="text1"/>
          <w:kern w:val="2"/>
          <w:sz w:val="32"/>
          <w:szCs w:val="32"/>
          <w:highlight w:val="none"/>
          <w:lang w:eastAsia="zh-CN"/>
          <w14:textFill>
            <w14:solidFill>
              <w14:schemeClr w14:val="tx1"/>
            </w14:solidFill>
          </w14:textFill>
        </w:rPr>
      </w:pPr>
      <w:r>
        <w:rPr>
          <w:rFonts w:hint="eastAsia" w:ascii="仿宋" w:hAnsi="仿宋" w:eastAsia="仿宋" w:cs="仿宋_GB2312"/>
          <w:color w:val="000000" w:themeColor="text1"/>
          <w:kern w:val="2"/>
          <w:sz w:val="32"/>
          <w:szCs w:val="32"/>
          <w:highlight w:val="none"/>
          <w14:textFill>
            <w14:solidFill>
              <w14:schemeClr w14:val="tx1"/>
            </w14:solidFill>
          </w14:textFill>
        </w:rPr>
        <w:t>一、投标(开标)一览表</w:t>
      </w:r>
      <w:r>
        <w:rPr>
          <w:rFonts w:hint="eastAsia" w:ascii="仿宋" w:hAnsi="仿宋" w:eastAsia="仿宋" w:cs="仿宋_GB2312"/>
          <w:color w:val="000000" w:themeColor="text1"/>
          <w:kern w:val="2"/>
          <w:sz w:val="32"/>
          <w:szCs w:val="32"/>
          <w:highlight w:val="none"/>
          <w:lang w:eastAsia="zh-CN"/>
          <w14:textFill>
            <w14:solidFill>
              <w14:schemeClr w14:val="tx1"/>
            </w14:solidFill>
          </w14:textFill>
        </w:rPr>
        <w:t>（</w:t>
      </w:r>
      <w:r>
        <w:rPr>
          <w:rFonts w:hint="eastAsia" w:ascii="仿宋" w:hAnsi="仿宋" w:eastAsia="仿宋" w:cs="仿宋_GB2312"/>
          <w:color w:val="000000" w:themeColor="text1"/>
          <w:kern w:val="2"/>
          <w:sz w:val="32"/>
          <w:szCs w:val="32"/>
          <w:highlight w:val="none"/>
          <w:lang w:val="en-US" w:eastAsia="zh-CN"/>
          <w14:textFill>
            <w14:solidFill>
              <w14:schemeClr w14:val="tx1"/>
            </w14:solidFill>
          </w14:textFill>
        </w:rPr>
        <w:t>标项一</w:t>
      </w:r>
      <w:r>
        <w:rPr>
          <w:rFonts w:hint="eastAsia" w:ascii="仿宋" w:hAnsi="仿宋" w:eastAsia="仿宋" w:cs="仿宋_GB2312"/>
          <w:color w:val="000000" w:themeColor="text1"/>
          <w:kern w:val="2"/>
          <w:sz w:val="32"/>
          <w:szCs w:val="32"/>
          <w:highlight w:val="none"/>
          <w:lang w:eastAsia="zh-CN"/>
          <w14:textFill>
            <w14:solidFill>
              <w14:schemeClr w14:val="tx1"/>
            </w14:solidFill>
          </w14:textFill>
        </w:rPr>
        <w:t>）</w:t>
      </w:r>
    </w:p>
    <w:p w14:paraId="1FD54FD0">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（征集人）、（采购代理机构）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BC7CF9E">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按你方征集文件要求，我们，本响应文件签字方，谨此向你方发出要约如下：如你方接受本投标，我方承诺按照如下开标一览表（报价表）的价格完成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【征集编号：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5B6C816">
      <w:pPr>
        <w:spacing w:line="360" w:lineRule="auto"/>
        <w:jc w:val="center"/>
        <w:rPr>
          <w:rFonts w:hint="eastAsia"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49"/>
        <w:tblW w:w="15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981"/>
        <w:gridCol w:w="2952"/>
        <w:gridCol w:w="3200"/>
        <w:gridCol w:w="1976"/>
        <w:gridCol w:w="2027"/>
      </w:tblGrid>
      <w:tr w14:paraId="7EC5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082" w:type="dxa"/>
            <w:vAlign w:val="center"/>
          </w:tcPr>
          <w:p w14:paraId="061D951B">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3981" w:type="dxa"/>
            <w:vAlign w:val="center"/>
          </w:tcPr>
          <w:p w14:paraId="59429709">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名称</w:t>
            </w:r>
          </w:p>
        </w:tc>
        <w:tc>
          <w:tcPr>
            <w:tcW w:w="2952" w:type="dxa"/>
            <w:vAlign w:val="center"/>
          </w:tcPr>
          <w:p w14:paraId="5552EBC7">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服务</w:t>
            </w:r>
            <w:r>
              <w:rPr>
                <w:rFonts w:hint="eastAsia" w:ascii="仿宋" w:hAnsi="仿宋" w:eastAsia="仿宋" w:cs="仿宋_GB2312"/>
                <w:b/>
                <w:color w:val="000000" w:themeColor="text1"/>
                <w:sz w:val="24"/>
                <w:highlight w:val="none"/>
                <w:lang w:val="en-US" w:eastAsia="zh-CN"/>
                <w14:textFill>
                  <w14:solidFill>
                    <w14:schemeClr w14:val="tx1"/>
                  </w14:solidFill>
                </w14:textFill>
              </w:rPr>
              <w:t>内容</w:t>
            </w:r>
          </w:p>
        </w:tc>
        <w:tc>
          <w:tcPr>
            <w:tcW w:w="3200" w:type="dxa"/>
            <w:vAlign w:val="center"/>
          </w:tcPr>
          <w:p w14:paraId="146C6654">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响应报价</w:t>
            </w:r>
          </w:p>
        </w:tc>
        <w:tc>
          <w:tcPr>
            <w:tcW w:w="1976" w:type="dxa"/>
            <w:vAlign w:val="center"/>
          </w:tcPr>
          <w:p w14:paraId="17E3ECC4">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服务标准</w:t>
            </w:r>
          </w:p>
        </w:tc>
        <w:tc>
          <w:tcPr>
            <w:tcW w:w="2027" w:type="dxa"/>
            <w:vAlign w:val="center"/>
          </w:tcPr>
          <w:p w14:paraId="70DB567A">
            <w:pPr>
              <w:spacing w:line="360" w:lineRule="auto"/>
              <w:jc w:val="center"/>
              <w:rPr>
                <w:rFonts w:ascii="仿宋" w:hAnsi="仿宋" w:eastAsia="仿宋"/>
                <w:b/>
                <w:color w:val="000000" w:themeColor="text1"/>
                <w:sz w:val="24"/>
                <w:highlight w:val="none"/>
                <w14:textFill>
                  <w14:solidFill>
                    <w14:schemeClr w14:val="tx1"/>
                  </w14:solidFill>
                </w14:textFill>
              </w:rPr>
            </w:pPr>
          </w:p>
          <w:p w14:paraId="22AF2562">
            <w:pPr>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服务时间</w:t>
            </w:r>
          </w:p>
          <w:p w14:paraId="1A72768F">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14:paraId="46EB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2" w:type="dxa"/>
            <w:vAlign w:val="center"/>
          </w:tcPr>
          <w:p w14:paraId="63084A95">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3981" w:type="dxa"/>
            <w:vAlign w:val="center"/>
          </w:tcPr>
          <w:p w14:paraId="4681CA8E">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区域型居家养老综合运营服务</w:t>
            </w:r>
          </w:p>
        </w:tc>
        <w:tc>
          <w:tcPr>
            <w:tcW w:w="2952" w:type="dxa"/>
            <w:vAlign w:val="center"/>
          </w:tcPr>
          <w:p w14:paraId="6F0C4F2C">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3200" w:type="dxa"/>
            <w:vAlign w:val="center"/>
          </w:tcPr>
          <w:p w14:paraId="53621A8A">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35元/小时</w:t>
            </w:r>
          </w:p>
        </w:tc>
        <w:tc>
          <w:tcPr>
            <w:tcW w:w="1976" w:type="dxa"/>
            <w:vAlign w:val="center"/>
          </w:tcPr>
          <w:p w14:paraId="74F2D1CB">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027" w:type="dxa"/>
            <w:vAlign w:val="center"/>
          </w:tcPr>
          <w:p w14:paraId="571446BF">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14:paraId="4ECE3A3E">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6E75B123">
      <w:pPr>
        <w:spacing w:line="360" w:lineRule="auto"/>
        <w:ind w:left="-2" w:leftChars="-1"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1、供应商需按本表格式填写</w:t>
      </w:r>
      <w:r>
        <w:rPr>
          <w:rFonts w:hint="eastAsia" w:ascii="仿宋" w:hAnsi="仿宋" w:eastAsia="仿宋" w:cs="宋体"/>
          <w:b/>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响应文件含有征集人不能接受的附加条件，投标无效</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32AD3B16">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highlight w:val="none"/>
          <w:lang w:val="zh-CN"/>
          <w14:textFill>
            <w14:solidFill>
              <w14:schemeClr w14:val="tx1"/>
            </w14:solidFill>
          </w14:textFill>
        </w:rPr>
        <w:t>征集人将以合同形式有偿取得货物或服务，不接受供应商给予的赠品、回扣或者与采购无关的其他商品、服务</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响应文件含有征集人不能接受的附加条件，投标无效</w:t>
      </w:r>
      <w:r>
        <w:rPr>
          <w:rFonts w:hint="eastAsia" w:ascii="仿宋" w:hAnsi="仿宋" w:eastAsia="仿宋"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仿宋" w:hAnsi="仿宋" w:eastAsia="仿宋" w:cs="宋体"/>
          <w:b/>
          <w:color w:val="000000" w:themeColor="text1"/>
          <w:kern w:val="0"/>
          <w:sz w:val="24"/>
          <w:highlight w:val="none"/>
          <w14:textFill>
            <w14:solidFill>
              <w14:schemeClr w14:val="tx1"/>
            </w14:solidFill>
          </w14:textFill>
        </w:rPr>
        <w:t>视为</w:t>
      </w:r>
      <w:r>
        <w:rPr>
          <w:rFonts w:hint="eastAsia" w:ascii="仿宋" w:hAnsi="仿宋" w:eastAsia="仿宋" w:cs="宋体"/>
          <w:b/>
          <w:color w:val="000000" w:themeColor="text1"/>
          <w:sz w:val="24"/>
          <w:highlight w:val="none"/>
          <w14:textFill>
            <w14:solidFill>
              <w14:schemeClr w14:val="tx1"/>
            </w14:solidFill>
          </w14:textFill>
        </w:rPr>
        <w:t>响应文件含有征集人不能接受的附加条件的，投标无效。</w:t>
      </w:r>
    </w:p>
    <w:p w14:paraId="5ADB70CF">
      <w:pPr>
        <w:snapToGrid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28277A06">
      <w:pPr>
        <w:snapToGrid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szCs w:val="22"/>
          <w:highlight w:val="none"/>
          <w:lang w:val="zh-CN"/>
          <w14:textFill>
            <w14:solidFill>
              <w14:schemeClr w14:val="tx1"/>
            </w14:solidFill>
          </w14:textFill>
        </w:rPr>
        <w:t>4</w:t>
      </w:r>
      <w:r>
        <w:rPr>
          <w:rFonts w:hint="eastAsia" w:ascii="仿宋" w:hAnsi="仿宋" w:eastAsia="仿宋" w:cs="宋体"/>
          <w:color w:val="000000" w:themeColor="text1"/>
          <w:kern w:val="0"/>
          <w:sz w:val="24"/>
          <w:szCs w:val="22"/>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符合征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7403650">
      <w:pPr>
        <w:pStyle w:val="675"/>
        <w:keepNext w:val="0"/>
        <w:pageBreakBefore w:val="0"/>
        <w:tabs>
          <w:tab w:val="clear" w:pos="720"/>
        </w:tabs>
        <w:snapToGrid w:val="0"/>
        <w:spacing w:before="120" w:after="120"/>
        <w:ind w:firstLine="640"/>
        <w:outlineLvl w:val="9"/>
        <w:rPr>
          <w:rFonts w:hint="eastAsia" w:ascii="仿宋" w:hAnsi="仿宋" w:eastAsia="仿宋" w:cs="仿宋_GB2312"/>
          <w:color w:val="000000" w:themeColor="text1"/>
          <w:kern w:val="2"/>
          <w:sz w:val="32"/>
          <w:szCs w:val="32"/>
          <w:highlight w:val="none"/>
          <w:lang w:eastAsia="zh-CN"/>
          <w14:textFill>
            <w14:solidFill>
              <w14:schemeClr w14:val="tx1"/>
            </w14:solidFill>
          </w14:textFill>
        </w:rPr>
      </w:pPr>
      <w:r>
        <w:rPr>
          <w:rFonts w:hint="eastAsia" w:ascii="仿宋" w:hAnsi="仿宋" w:eastAsia="仿宋" w:cs="仿宋_GB2312"/>
          <w:color w:val="000000" w:themeColor="text1"/>
          <w:kern w:val="2"/>
          <w:sz w:val="32"/>
          <w:szCs w:val="32"/>
          <w:highlight w:val="none"/>
          <w14:textFill>
            <w14:solidFill>
              <w14:schemeClr w14:val="tx1"/>
            </w14:solidFill>
          </w14:textFill>
        </w:rPr>
        <w:t>一、投标(开标)一览表</w:t>
      </w:r>
      <w:r>
        <w:rPr>
          <w:rFonts w:hint="eastAsia" w:ascii="仿宋" w:hAnsi="仿宋" w:eastAsia="仿宋" w:cs="仿宋_GB2312"/>
          <w:color w:val="000000" w:themeColor="text1"/>
          <w:kern w:val="2"/>
          <w:sz w:val="32"/>
          <w:szCs w:val="32"/>
          <w:highlight w:val="none"/>
          <w:lang w:eastAsia="zh-CN"/>
          <w14:textFill>
            <w14:solidFill>
              <w14:schemeClr w14:val="tx1"/>
            </w14:solidFill>
          </w14:textFill>
        </w:rPr>
        <w:t>（</w:t>
      </w:r>
      <w:r>
        <w:rPr>
          <w:rFonts w:hint="eastAsia" w:ascii="仿宋" w:hAnsi="仿宋" w:eastAsia="仿宋" w:cs="仿宋_GB2312"/>
          <w:color w:val="000000" w:themeColor="text1"/>
          <w:kern w:val="2"/>
          <w:sz w:val="32"/>
          <w:szCs w:val="32"/>
          <w:highlight w:val="none"/>
          <w:lang w:val="en-US" w:eastAsia="zh-CN"/>
          <w14:textFill>
            <w14:solidFill>
              <w14:schemeClr w14:val="tx1"/>
            </w14:solidFill>
          </w14:textFill>
        </w:rPr>
        <w:t>标项二</w:t>
      </w:r>
      <w:r>
        <w:rPr>
          <w:rFonts w:hint="eastAsia" w:ascii="仿宋" w:hAnsi="仿宋" w:eastAsia="仿宋" w:cs="仿宋_GB2312"/>
          <w:color w:val="000000" w:themeColor="text1"/>
          <w:kern w:val="2"/>
          <w:sz w:val="32"/>
          <w:szCs w:val="32"/>
          <w:highlight w:val="none"/>
          <w:lang w:eastAsia="zh-CN"/>
          <w14:textFill>
            <w14:solidFill>
              <w14:schemeClr w14:val="tx1"/>
            </w14:solidFill>
          </w14:textFill>
        </w:rPr>
        <w:t>）</w:t>
      </w:r>
    </w:p>
    <w:p w14:paraId="2595824B">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（征集人）、（采购代理机构）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BE18FED">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按你方征集文件要求，我们，本响应文件签字方，谨此向你方发出要约如下：如你方接受本投标，我方承诺按照如下开标一览表（报价表）的价格完成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【征集编号：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ED7737A">
      <w:pPr>
        <w:spacing w:line="360" w:lineRule="auto"/>
        <w:jc w:val="center"/>
        <w:rPr>
          <w:rFonts w:hint="eastAsia"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49"/>
        <w:tblW w:w="15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981"/>
        <w:gridCol w:w="2952"/>
        <w:gridCol w:w="3200"/>
        <w:gridCol w:w="1976"/>
        <w:gridCol w:w="2027"/>
      </w:tblGrid>
      <w:tr w14:paraId="4EE4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082" w:type="dxa"/>
            <w:vAlign w:val="center"/>
          </w:tcPr>
          <w:p w14:paraId="63AD43A3">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3981" w:type="dxa"/>
            <w:vAlign w:val="center"/>
          </w:tcPr>
          <w:p w14:paraId="2F5C2353">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名称</w:t>
            </w:r>
          </w:p>
        </w:tc>
        <w:tc>
          <w:tcPr>
            <w:tcW w:w="2952" w:type="dxa"/>
            <w:vAlign w:val="center"/>
          </w:tcPr>
          <w:p w14:paraId="400C4A08">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服务</w:t>
            </w:r>
            <w:r>
              <w:rPr>
                <w:rFonts w:hint="eastAsia" w:ascii="仿宋" w:hAnsi="仿宋" w:eastAsia="仿宋" w:cs="仿宋_GB2312"/>
                <w:b/>
                <w:color w:val="000000" w:themeColor="text1"/>
                <w:sz w:val="24"/>
                <w:highlight w:val="none"/>
                <w:lang w:val="en-US" w:eastAsia="zh-CN"/>
                <w14:textFill>
                  <w14:solidFill>
                    <w14:schemeClr w14:val="tx1"/>
                  </w14:solidFill>
                </w14:textFill>
              </w:rPr>
              <w:t>内容</w:t>
            </w:r>
          </w:p>
        </w:tc>
        <w:tc>
          <w:tcPr>
            <w:tcW w:w="3200" w:type="dxa"/>
            <w:vAlign w:val="center"/>
          </w:tcPr>
          <w:p w14:paraId="4DB87BDE">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响应报价</w:t>
            </w:r>
          </w:p>
        </w:tc>
        <w:tc>
          <w:tcPr>
            <w:tcW w:w="1976" w:type="dxa"/>
            <w:vAlign w:val="center"/>
          </w:tcPr>
          <w:p w14:paraId="2BA3A0D0">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服务标准</w:t>
            </w:r>
          </w:p>
        </w:tc>
        <w:tc>
          <w:tcPr>
            <w:tcW w:w="2027" w:type="dxa"/>
            <w:vAlign w:val="center"/>
          </w:tcPr>
          <w:p w14:paraId="4D2187F6">
            <w:pPr>
              <w:spacing w:line="360" w:lineRule="auto"/>
              <w:jc w:val="center"/>
              <w:rPr>
                <w:rFonts w:ascii="仿宋" w:hAnsi="仿宋" w:eastAsia="仿宋"/>
                <w:b/>
                <w:color w:val="000000" w:themeColor="text1"/>
                <w:sz w:val="24"/>
                <w:highlight w:val="none"/>
                <w14:textFill>
                  <w14:solidFill>
                    <w14:schemeClr w14:val="tx1"/>
                  </w14:solidFill>
                </w14:textFill>
              </w:rPr>
            </w:pPr>
          </w:p>
          <w:p w14:paraId="3A2525D1">
            <w:pPr>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服务时间</w:t>
            </w:r>
          </w:p>
          <w:p w14:paraId="14954C02">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14:paraId="3047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2" w:type="dxa"/>
            <w:vAlign w:val="center"/>
          </w:tcPr>
          <w:p w14:paraId="54FD9626">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3981" w:type="dxa"/>
            <w:vAlign w:val="center"/>
          </w:tcPr>
          <w:p w14:paraId="6D1BBC8B">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居家养老上门服务</w:t>
            </w:r>
          </w:p>
        </w:tc>
        <w:tc>
          <w:tcPr>
            <w:tcW w:w="2952" w:type="dxa"/>
            <w:vAlign w:val="center"/>
          </w:tcPr>
          <w:p w14:paraId="37FC8E7D">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3200" w:type="dxa"/>
            <w:vAlign w:val="center"/>
          </w:tcPr>
          <w:p w14:paraId="4C9C18CB">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b w:val="0"/>
                <w:bCs/>
                <w:color w:val="000000" w:themeColor="text1"/>
                <w:sz w:val="24"/>
                <w:szCs w:val="24"/>
                <w:highlight w:val="none"/>
                <w:lang w:val="en-US" w:eastAsia="zh-CN"/>
                <w14:textFill>
                  <w14:solidFill>
                    <w14:schemeClr w14:val="tx1"/>
                  </w14:solidFill>
                </w14:textFill>
              </w:rPr>
              <w:t>35元/小时</w:t>
            </w:r>
          </w:p>
        </w:tc>
        <w:tc>
          <w:tcPr>
            <w:tcW w:w="1976" w:type="dxa"/>
            <w:vAlign w:val="center"/>
          </w:tcPr>
          <w:p w14:paraId="48B0CD7E">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027" w:type="dxa"/>
            <w:vAlign w:val="center"/>
          </w:tcPr>
          <w:p w14:paraId="72685ACE">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14:paraId="736B0820">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37360A52">
      <w:pPr>
        <w:spacing w:line="360" w:lineRule="auto"/>
        <w:ind w:left="-2" w:leftChars="-1"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1、供应商需按本表格式填写</w:t>
      </w:r>
      <w:r>
        <w:rPr>
          <w:rFonts w:hint="eastAsia" w:ascii="仿宋" w:hAnsi="仿宋" w:eastAsia="仿宋" w:cs="宋体"/>
          <w:b/>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响应文件含有征集人不能接受的附加条件，投标无效</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778D30D7">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highlight w:val="none"/>
          <w:lang w:val="zh-CN"/>
          <w14:textFill>
            <w14:solidFill>
              <w14:schemeClr w14:val="tx1"/>
            </w14:solidFill>
          </w14:textFill>
        </w:rPr>
        <w:t>征集人将以合同形式有偿取得货物或服务，不接受供应商给予的赠品、回扣或者与采购无关的其他商品、服务</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响应文件含有征集人不能接受的附加条件，投标无效</w:t>
      </w:r>
      <w:r>
        <w:rPr>
          <w:rFonts w:hint="eastAsia" w:ascii="仿宋" w:hAnsi="仿宋" w:eastAsia="仿宋"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仿宋" w:hAnsi="仿宋" w:eastAsia="仿宋" w:cs="宋体"/>
          <w:b/>
          <w:color w:val="000000" w:themeColor="text1"/>
          <w:kern w:val="0"/>
          <w:sz w:val="24"/>
          <w:highlight w:val="none"/>
          <w14:textFill>
            <w14:solidFill>
              <w14:schemeClr w14:val="tx1"/>
            </w14:solidFill>
          </w14:textFill>
        </w:rPr>
        <w:t>视为</w:t>
      </w:r>
      <w:r>
        <w:rPr>
          <w:rFonts w:hint="eastAsia" w:ascii="仿宋" w:hAnsi="仿宋" w:eastAsia="仿宋" w:cs="宋体"/>
          <w:b/>
          <w:color w:val="000000" w:themeColor="text1"/>
          <w:sz w:val="24"/>
          <w:highlight w:val="none"/>
          <w14:textFill>
            <w14:solidFill>
              <w14:schemeClr w14:val="tx1"/>
            </w14:solidFill>
          </w14:textFill>
        </w:rPr>
        <w:t>响应文件含有征集人不能接受的附加条件的，投标无效。</w:t>
      </w:r>
    </w:p>
    <w:p w14:paraId="7C62B1F8">
      <w:pPr>
        <w:snapToGrid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0A9D1F81">
      <w:pPr>
        <w:snapToGrid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szCs w:val="22"/>
          <w:highlight w:val="none"/>
          <w:lang w:val="zh-CN"/>
          <w14:textFill>
            <w14:solidFill>
              <w14:schemeClr w14:val="tx1"/>
            </w14:solidFill>
          </w14:textFill>
        </w:rPr>
        <w:t>4</w:t>
      </w:r>
      <w:r>
        <w:rPr>
          <w:rFonts w:hint="eastAsia" w:ascii="仿宋" w:hAnsi="仿宋" w:eastAsia="仿宋" w:cs="宋体"/>
          <w:color w:val="000000" w:themeColor="text1"/>
          <w:kern w:val="0"/>
          <w:sz w:val="24"/>
          <w:szCs w:val="22"/>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符合征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9E16392">
      <w:pPr>
        <w:pStyle w:val="675"/>
        <w:keepNext w:val="0"/>
        <w:pageBreakBefore w:val="0"/>
        <w:tabs>
          <w:tab w:val="clear" w:pos="720"/>
        </w:tabs>
        <w:snapToGrid w:val="0"/>
        <w:spacing w:before="120" w:after="120"/>
        <w:ind w:firstLine="643"/>
        <w:outlineLvl w:val="9"/>
        <w:rPr>
          <w:rFonts w:ascii="仿宋" w:hAnsi="仿宋" w:eastAsia="仿宋" w:cs="仿宋_GB2312"/>
          <w:color w:val="000000" w:themeColor="text1"/>
          <w:kern w:val="2"/>
          <w:sz w:val="32"/>
          <w:szCs w:val="32"/>
          <w:highlight w:val="none"/>
          <w14:textFill>
            <w14:solidFill>
              <w14:schemeClr w14:val="tx1"/>
            </w14:solidFill>
          </w14:textFill>
        </w:rPr>
        <w:sectPr>
          <w:pgSz w:w="16838" w:h="11906" w:orient="landscape"/>
          <w:pgMar w:top="1418" w:right="765" w:bottom="1418" w:left="471" w:header="851" w:footer="992" w:gutter="0"/>
          <w:pgBorders>
            <w:top w:val="none" w:sz="0" w:space="0"/>
            <w:left w:val="none" w:sz="0" w:space="0"/>
            <w:bottom w:val="none" w:sz="0" w:space="0"/>
            <w:right w:val="none" w:sz="0" w:space="0"/>
          </w:pgBorders>
          <w:cols w:space="720" w:num="1"/>
          <w:titlePg/>
          <w:docGrid w:linePitch="312" w:charSpace="0"/>
        </w:sectPr>
      </w:pPr>
    </w:p>
    <w:p w14:paraId="68594D66">
      <w:pPr>
        <w:pStyle w:val="675"/>
        <w:keepNext w:val="0"/>
        <w:pageBreakBefore w:val="0"/>
        <w:tabs>
          <w:tab w:val="clear" w:pos="720"/>
        </w:tabs>
        <w:snapToGrid w:val="0"/>
        <w:spacing w:before="120" w:after="120"/>
        <w:jc w:val="both"/>
        <w:outlineLvl w:val="9"/>
        <w:rPr>
          <w:rFonts w:ascii="仿宋" w:hAnsi="仿宋" w:eastAsia="仿宋" w:cs="仿宋_GB2312"/>
          <w:color w:val="000000" w:themeColor="text1"/>
          <w:kern w:val="2"/>
          <w:sz w:val="32"/>
          <w:szCs w:val="32"/>
          <w:highlight w:val="none"/>
          <w14:textFill>
            <w14:solidFill>
              <w14:schemeClr w14:val="tx1"/>
            </w14:solidFill>
          </w14:textFill>
        </w:rPr>
      </w:pPr>
    </w:p>
    <w:p w14:paraId="58B0AE9A">
      <w:pPr>
        <w:pStyle w:val="675"/>
        <w:keepNext w:val="0"/>
        <w:pageBreakBefore w:val="0"/>
        <w:tabs>
          <w:tab w:val="clear" w:pos="720"/>
        </w:tabs>
        <w:snapToGrid w:val="0"/>
        <w:spacing w:before="120" w:after="120"/>
        <w:ind w:firstLine="643"/>
        <w:outlineLvl w:val="9"/>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kern w:val="2"/>
          <w:sz w:val="32"/>
          <w:szCs w:val="32"/>
          <w:highlight w:val="none"/>
          <w14:textFill>
            <w14:solidFill>
              <w14:schemeClr w14:val="tx1"/>
            </w14:solidFill>
          </w14:textFill>
        </w:rPr>
        <w:t>二、</w:t>
      </w:r>
      <w:r>
        <w:rPr>
          <w:rFonts w:hint="eastAsia" w:ascii="仿宋" w:hAnsi="仿宋" w:eastAsia="仿宋"/>
          <w:color w:val="000000" w:themeColor="text1"/>
          <w:sz w:val="32"/>
          <w:szCs w:val="32"/>
          <w:highlight w:val="none"/>
          <w14:textFill>
            <w14:solidFill>
              <w14:schemeClr w14:val="tx1"/>
            </w14:solidFill>
          </w14:textFill>
        </w:rPr>
        <w:t>中小企业声明函（如果有）</w:t>
      </w:r>
    </w:p>
    <w:p w14:paraId="2C536802">
      <w:pPr>
        <w:widowControl/>
        <w:spacing w:line="360" w:lineRule="auto"/>
        <w:ind w:firstLine="482" w:firstLineChars="200"/>
        <w:jc w:val="left"/>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征集公告落实政府采购政策需满足的资格要求为“无”即本项目或标项未预留份额专门面向中小企业时，符合《政府采购促进中小企业发展管理办法》规定的小微企业拟享受价格扣除政策的，需提供中小企业声明函（附件6</w:t>
      </w:r>
      <w:r>
        <w:rPr>
          <w:rFonts w:ascii="仿宋" w:hAnsi="仿宋" w:eastAsia="仿宋" w:cs="仿宋_GB2312"/>
          <w:b/>
          <w:color w:val="000000" w:themeColor="text1"/>
          <w:sz w:val="24"/>
          <w:highlight w:val="none"/>
          <w14:textFill>
            <w14:solidFill>
              <w14:schemeClr w14:val="tx1"/>
            </w14:solidFill>
          </w14:textFill>
        </w:rPr>
        <w:t>）。</w:t>
      </w:r>
    </w:p>
    <w:p w14:paraId="71F8A341">
      <w:pPr>
        <w:spacing w:line="360" w:lineRule="auto"/>
        <w:jc w:val="center"/>
        <w:outlineLvl w:val="0"/>
        <w:rPr>
          <w:rFonts w:ascii="仿宋" w:hAnsi="仿宋" w:eastAsia="仿宋"/>
          <w:color w:val="000000" w:themeColor="text1"/>
          <w:sz w:val="24"/>
          <w:highlight w:val="none"/>
          <w14:textFill>
            <w14:solidFill>
              <w14:schemeClr w14:val="tx1"/>
            </w14:solidFill>
          </w14:textFill>
        </w:rPr>
      </w:pPr>
    </w:p>
    <w:p w14:paraId="6EA085ED">
      <w:pPr>
        <w:spacing w:line="360" w:lineRule="auto"/>
        <w:outlineLvl w:val="0"/>
        <w:rPr>
          <w:rFonts w:ascii="仿宋" w:hAnsi="仿宋" w:eastAsia="仿宋"/>
          <w:color w:val="000000" w:themeColor="text1"/>
          <w:sz w:val="24"/>
          <w:highlight w:val="none"/>
          <w14:textFill>
            <w14:solidFill>
              <w14:schemeClr w14:val="tx1"/>
            </w14:solidFill>
          </w14:textFill>
        </w:rPr>
      </w:pPr>
    </w:p>
    <w:p w14:paraId="323577C6">
      <w:pPr>
        <w:spacing w:line="360" w:lineRule="auto"/>
        <w:jc w:val="center"/>
        <w:rPr>
          <w:rFonts w:ascii="仿宋" w:hAnsi="仿宋" w:eastAsia="仿宋" w:cs="仿宋_GB2312"/>
          <w:b/>
          <w:bCs/>
          <w:color w:val="000000" w:themeColor="text1"/>
          <w:sz w:val="24"/>
          <w:highlight w:val="none"/>
          <w14:textFill>
            <w14:solidFill>
              <w14:schemeClr w14:val="tx1"/>
            </w14:solidFill>
          </w14:textFill>
        </w:rPr>
        <w:sectPr>
          <w:pgSz w:w="11906" w:h="16838"/>
          <w:pgMar w:top="765"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14:paraId="3B7DAB35">
      <w:pPr>
        <w:pStyle w:val="3"/>
        <w:keepNext w:val="0"/>
        <w:keepLines w:val="0"/>
        <w:pageBreakBefore/>
        <w:widowControl/>
        <w:spacing w:before="100" w:beforeAutospacing="1" w:after="100" w:afterAutospacing="1" w:line="360" w:lineRule="auto"/>
        <w:jc w:val="center"/>
        <w:rPr>
          <w:rFonts w:ascii="仿宋" w:hAnsi="仿宋" w:eastAsia="仿宋"/>
          <w:color w:val="000000" w:themeColor="text1"/>
          <w:highlight w:val="none"/>
          <w14:textFill>
            <w14:solidFill>
              <w14:schemeClr w14:val="tx1"/>
            </w14:solidFill>
          </w14:textFill>
        </w:rPr>
      </w:pPr>
      <w:bookmarkStart w:id="417" w:name="_Toc465665161"/>
      <w:r>
        <w:rPr>
          <w:rFonts w:hint="eastAsia" w:ascii="仿宋" w:hAnsi="仿宋" w:eastAsia="仿宋"/>
          <w:color w:val="000000" w:themeColor="text1"/>
          <w:highlight w:val="none"/>
          <w14:textFill>
            <w14:solidFill>
              <w14:schemeClr w14:val="tx1"/>
            </w14:solidFill>
          </w14:textFill>
        </w:rPr>
        <w:t>附件</w:t>
      </w:r>
      <w:bookmarkEnd w:id="417"/>
    </w:p>
    <w:p w14:paraId="1A423100">
      <w:pPr>
        <w:spacing w:line="360" w:lineRule="auto"/>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附件1：</w:t>
      </w:r>
    </w:p>
    <w:p w14:paraId="1823A80F">
      <w:pPr>
        <w:spacing w:line="360" w:lineRule="auto"/>
        <w:jc w:val="center"/>
        <w:rPr>
          <w:rFonts w:ascii="仿宋" w:hAnsi="仿宋" w:eastAsia="仿宋"/>
          <w:b/>
          <w:color w:val="000000" w:themeColor="text1"/>
          <w:spacing w:val="6"/>
          <w:sz w:val="32"/>
          <w:szCs w:val="32"/>
          <w:highlight w:val="none"/>
          <w14:textFill>
            <w14:solidFill>
              <w14:schemeClr w14:val="tx1"/>
            </w14:solidFill>
          </w14:textFill>
        </w:rPr>
      </w:pPr>
      <w:bookmarkStart w:id="418" w:name="OLE_LINK14"/>
      <w:bookmarkStart w:id="419" w:name="OLE_LINK13"/>
      <w:r>
        <w:rPr>
          <w:rFonts w:hint="eastAsia" w:ascii="仿宋" w:hAnsi="仿宋" w:eastAsia="仿宋"/>
          <w:b/>
          <w:color w:val="000000" w:themeColor="text1"/>
          <w:spacing w:val="6"/>
          <w:sz w:val="32"/>
          <w:szCs w:val="32"/>
          <w:highlight w:val="none"/>
          <w14:textFill>
            <w14:solidFill>
              <w14:schemeClr w14:val="tx1"/>
            </w14:solidFill>
          </w14:textFill>
        </w:rPr>
        <w:t>残疾人福利性单位声明函</w:t>
      </w:r>
    </w:p>
    <w:bookmarkEnd w:id="418"/>
    <w:bookmarkEnd w:id="419"/>
    <w:p w14:paraId="40E25E22">
      <w:pPr>
        <w:spacing w:line="360" w:lineRule="auto"/>
        <w:rPr>
          <w:rFonts w:ascii="仿宋" w:hAnsi="仿宋" w:eastAsia="仿宋"/>
          <w:b/>
          <w:color w:val="000000" w:themeColor="text1"/>
          <w:spacing w:val="6"/>
          <w:sz w:val="30"/>
          <w:szCs w:val="30"/>
          <w:highlight w:val="none"/>
          <w14:textFill>
            <w14:solidFill>
              <w14:schemeClr w14:val="tx1"/>
            </w14:solidFill>
          </w14:textFill>
        </w:rPr>
      </w:pPr>
    </w:p>
    <w:p w14:paraId="453A3C1B">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5D1E96">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本单位对上述声明的真实性负责。如有虚假，将依法承担相应责任。</w:t>
      </w:r>
    </w:p>
    <w:p w14:paraId="560F2C54">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p>
    <w:p w14:paraId="23F9997F">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p>
    <w:p w14:paraId="18E4B2E1">
      <w:pPr>
        <w:tabs>
          <w:tab w:val="left" w:pos="4860"/>
        </w:tabs>
        <w:spacing w:line="360" w:lineRule="auto"/>
        <w:ind w:right="1560" w:firstLine="480" w:firstLineChars="200"/>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响应供应商名称（电子签名）</w:t>
      </w:r>
      <w:r>
        <w:rPr>
          <w:rFonts w:hint="eastAsia" w:ascii="仿宋" w:hAnsi="仿宋" w:eastAsia="仿宋" w:cs="仿宋_GB2312"/>
          <w:color w:val="000000" w:themeColor="text1"/>
          <w:sz w:val="24"/>
          <w:highlight w:val="none"/>
          <w14:textFill>
            <w14:solidFill>
              <w14:schemeClr w14:val="tx1"/>
            </w14:solidFill>
          </w14:textFill>
        </w:rPr>
        <w:t>：</w:t>
      </w:r>
    </w:p>
    <w:p w14:paraId="3DFC9316">
      <w:pPr>
        <w:tabs>
          <w:tab w:val="left" w:pos="4860"/>
        </w:tabs>
        <w:spacing w:line="360" w:lineRule="auto"/>
        <w:ind w:right="1560" w:firstLine="480" w:firstLineChars="200"/>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日期：</w:t>
      </w:r>
    </w:p>
    <w:p w14:paraId="7576B8D9">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p>
    <w:p w14:paraId="661FD5D1">
      <w:pPr>
        <w:spacing w:line="360" w:lineRule="auto"/>
        <w:ind w:firstLine="420" w:firstLineChars="200"/>
        <w:rPr>
          <w:rFonts w:ascii="仿宋" w:hAnsi="仿宋" w:eastAsia="仿宋"/>
          <w:color w:val="000000" w:themeColor="text1"/>
          <w:highlight w:val="none"/>
          <w14:textFill>
            <w14:solidFill>
              <w14:schemeClr w14:val="tx1"/>
            </w14:solidFill>
          </w14:textFill>
        </w:rPr>
      </w:pPr>
    </w:p>
    <w:p w14:paraId="5310DF61">
      <w:pPr>
        <w:spacing w:line="360" w:lineRule="auto"/>
        <w:ind w:firstLine="420" w:firstLineChars="200"/>
        <w:rPr>
          <w:rFonts w:ascii="仿宋" w:hAnsi="仿宋" w:eastAsia="仿宋"/>
          <w:color w:val="000000" w:themeColor="text1"/>
          <w:highlight w:val="none"/>
          <w14:textFill>
            <w14:solidFill>
              <w14:schemeClr w14:val="tx1"/>
            </w14:solidFill>
          </w14:textFill>
        </w:rPr>
      </w:pPr>
    </w:p>
    <w:p w14:paraId="433E4934">
      <w:pPr>
        <w:spacing w:line="360" w:lineRule="auto"/>
        <w:ind w:firstLine="420" w:firstLineChars="200"/>
        <w:rPr>
          <w:rFonts w:ascii="仿宋" w:hAnsi="仿宋" w:eastAsia="仿宋"/>
          <w:color w:val="000000" w:themeColor="text1"/>
          <w:highlight w:val="none"/>
          <w14:textFill>
            <w14:solidFill>
              <w14:schemeClr w14:val="tx1"/>
            </w14:solidFill>
          </w14:textFill>
        </w:rPr>
      </w:pPr>
    </w:p>
    <w:p w14:paraId="252DCAE6">
      <w:pPr>
        <w:spacing w:line="360" w:lineRule="auto"/>
        <w:ind w:firstLine="420" w:firstLineChars="200"/>
        <w:rPr>
          <w:rFonts w:ascii="仿宋" w:hAnsi="仿宋" w:eastAsia="仿宋"/>
          <w:color w:val="000000" w:themeColor="text1"/>
          <w:highlight w:val="none"/>
          <w14:textFill>
            <w14:solidFill>
              <w14:schemeClr w14:val="tx1"/>
            </w14:solidFill>
          </w14:textFill>
        </w:rPr>
      </w:pPr>
    </w:p>
    <w:p w14:paraId="365F0352">
      <w:pPr>
        <w:spacing w:line="360" w:lineRule="auto"/>
        <w:rPr>
          <w:rFonts w:ascii="仿宋" w:hAnsi="仿宋" w:eastAsia="仿宋" w:cs="仿宋_GB2312"/>
          <w:b/>
          <w:color w:val="000000" w:themeColor="text1"/>
          <w:sz w:val="24"/>
          <w:highlight w:val="none"/>
          <w14:textFill>
            <w14:solidFill>
              <w14:schemeClr w14:val="tx1"/>
            </w14:solidFill>
          </w14:textFill>
        </w:rPr>
      </w:pPr>
    </w:p>
    <w:p w14:paraId="368C9193">
      <w:pPr>
        <w:spacing w:line="360" w:lineRule="auto"/>
        <w:rPr>
          <w:rFonts w:ascii="仿宋" w:hAnsi="仿宋" w:eastAsia="仿宋" w:cs="仿宋_GB2312"/>
          <w:b/>
          <w:color w:val="000000" w:themeColor="text1"/>
          <w:sz w:val="24"/>
          <w:highlight w:val="none"/>
          <w14:textFill>
            <w14:solidFill>
              <w14:schemeClr w14:val="tx1"/>
            </w14:solidFill>
          </w14:textFill>
        </w:rPr>
      </w:pPr>
    </w:p>
    <w:p w14:paraId="6115A9AC">
      <w:pPr>
        <w:spacing w:line="360" w:lineRule="auto"/>
        <w:rPr>
          <w:rFonts w:ascii="仿宋" w:hAnsi="仿宋" w:eastAsia="仿宋" w:cs="仿宋_GB2312"/>
          <w:b/>
          <w:color w:val="000000" w:themeColor="text1"/>
          <w:sz w:val="24"/>
          <w:highlight w:val="none"/>
          <w14:textFill>
            <w14:solidFill>
              <w14:schemeClr w14:val="tx1"/>
            </w14:solidFill>
          </w14:textFill>
        </w:rPr>
      </w:pPr>
    </w:p>
    <w:p w14:paraId="49635359">
      <w:pPr>
        <w:spacing w:line="360" w:lineRule="auto"/>
        <w:rPr>
          <w:rFonts w:ascii="仿宋" w:hAnsi="仿宋" w:eastAsia="仿宋" w:cs="仿宋_GB2312"/>
          <w:b/>
          <w:color w:val="000000" w:themeColor="text1"/>
          <w:sz w:val="24"/>
          <w:highlight w:val="none"/>
          <w14:textFill>
            <w14:solidFill>
              <w14:schemeClr w14:val="tx1"/>
            </w14:solidFill>
          </w14:textFill>
        </w:rPr>
      </w:pPr>
    </w:p>
    <w:p w14:paraId="09999FEB">
      <w:pPr>
        <w:spacing w:line="360" w:lineRule="auto"/>
        <w:rPr>
          <w:rFonts w:ascii="仿宋" w:hAnsi="仿宋" w:eastAsia="仿宋" w:cs="仿宋_GB2312"/>
          <w:b/>
          <w:color w:val="000000" w:themeColor="text1"/>
          <w:sz w:val="24"/>
          <w:highlight w:val="none"/>
          <w14:textFill>
            <w14:solidFill>
              <w14:schemeClr w14:val="tx1"/>
            </w14:solidFill>
          </w14:textFill>
        </w:rPr>
      </w:pPr>
    </w:p>
    <w:p w14:paraId="059037D1">
      <w:pPr>
        <w:spacing w:line="360" w:lineRule="auto"/>
        <w:rPr>
          <w:rFonts w:ascii="仿宋" w:hAnsi="仿宋" w:eastAsia="仿宋" w:cs="仿宋_GB2312"/>
          <w:b/>
          <w:color w:val="000000" w:themeColor="text1"/>
          <w:sz w:val="24"/>
          <w:highlight w:val="none"/>
          <w14:textFill>
            <w14:solidFill>
              <w14:schemeClr w14:val="tx1"/>
            </w14:solidFill>
          </w14:textFill>
        </w:rPr>
      </w:pPr>
    </w:p>
    <w:p w14:paraId="49854141">
      <w:pPr>
        <w:spacing w:line="360" w:lineRule="auto"/>
        <w:rPr>
          <w:rFonts w:ascii="仿宋" w:hAnsi="仿宋" w:eastAsia="仿宋" w:cs="仿宋_GB2312"/>
          <w:b/>
          <w:color w:val="000000" w:themeColor="text1"/>
          <w:sz w:val="24"/>
          <w:highlight w:val="none"/>
          <w14:textFill>
            <w14:solidFill>
              <w14:schemeClr w14:val="tx1"/>
            </w14:solidFill>
          </w14:textFill>
        </w:rPr>
      </w:pPr>
    </w:p>
    <w:p w14:paraId="351F94DE">
      <w:pPr>
        <w:spacing w:line="360" w:lineRule="auto"/>
        <w:rPr>
          <w:rFonts w:ascii="仿宋" w:hAnsi="仿宋" w:eastAsia="仿宋" w:cs="仿宋_GB2312"/>
          <w:b/>
          <w:color w:val="000000" w:themeColor="text1"/>
          <w:sz w:val="24"/>
          <w:highlight w:val="none"/>
          <w14:textFill>
            <w14:solidFill>
              <w14:schemeClr w14:val="tx1"/>
            </w14:solidFill>
          </w14:textFill>
        </w:rPr>
      </w:pPr>
    </w:p>
    <w:p w14:paraId="22F3FFDE">
      <w:pPr>
        <w:spacing w:line="360" w:lineRule="auto"/>
        <w:rPr>
          <w:rFonts w:ascii="仿宋" w:hAnsi="仿宋" w:eastAsia="仿宋" w:cs="仿宋_GB2312"/>
          <w:b/>
          <w:color w:val="000000" w:themeColor="text1"/>
          <w:sz w:val="24"/>
          <w:highlight w:val="none"/>
          <w14:textFill>
            <w14:solidFill>
              <w14:schemeClr w14:val="tx1"/>
            </w14:solidFill>
          </w14:textFill>
        </w:rPr>
      </w:pPr>
    </w:p>
    <w:p w14:paraId="1D50BA34">
      <w:pPr>
        <w:spacing w:line="360" w:lineRule="auto"/>
        <w:rPr>
          <w:rFonts w:ascii="仿宋" w:hAnsi="仿宋" w:eastAsia="仿宋" w:cs="仿宋_GB2312"/>
          <w:b/>
          <w:color w:val="000000" w:themeColor="text1"/>
          <w:sz w:val="24"/>
          <w:highlight w:val="none"/>
          <w14:textFill>
            <w14:solidFill>
              <w14:schemeClr w14:val="tx1"/>
            </w14:solidFill>
          </w14:textFill>
        </w:rPr>
      </w:pPr>
    </w:p>
    <w:p w14:paraId="0B80CB65">
      <w:pPr>
        <w:spacing w:line="360" w:lineRule="auto"/>
        <w:jc w:val="left"/>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附件2：质疑函范本及制作说明</w:t>
      </w:r>
    </w:p>
    <w:p w14:paraId="0F248CBF">
      <w:pPr>
        <w:spacing w:line="360" w:lineRule="auto"/>
        <w:jc w:val="center"/>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质疑函范本</w:t>
      </w:r>
    </w:p>
    <w:p w14:paraId="440E0DC5">
      <w:pPr>
        <w:snapToGrid w:val="0"/>
        <w:spacing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4CC4CA61">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p>
    <w:p w14:paraId="298BDBCF">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55A1C2B3">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08B0CD37">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p>
    <w:p w14:paraId="0EC98B2E">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5EBD3099">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08A865C2">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7443EA7A">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p>
    <w:p w14:paraId="085D6F9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质疑项目的编号：包号：</w:t>
      </w:r>
    </w:p>
    <w:p w14:paraId="24241115">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征集人名称：</w:t>
      </w:r>
    </w:p>
    <w:p w14:paraId="4885DA3C">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征集文件获取日期：</w:t>
      </w:r>
    </w:p>
    <w:p w14:paraId="3A02ED4C">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461A0DE8">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p>
    <w:p w14:paraId="0ED69B6D">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288FFB7A">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04DDC68F">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3F518301">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p>
    <w:p w14:paraId="54376F90">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2DBB66D">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31D1C33">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0EBF67D1">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657EAC49">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签字(签章)：公章：</w:t>
      </w:r>
    </w:p>
    <w:p w14:paraId="70516DD6">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日期：</w:t>
      </w:r>
    </w:p>
    <w:p w14:paraId="245CCCB7">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14:paraId="68EEB698">
      <w:pPr>
        <w:spacing w:line="360" w:lineRule="auto"/>
        <w:rPr>
          <w:rFonts w:ascii="仿宋" w:hAnsi="仿宋" w:eastAsia="仿宋"/>
          <w:b/>
          <w:color w:val="000000" w:themeColor="text1"/>
          <w:sz w:val="24"/>
          <w:highlight w:val="none"/>
          <w14:textFill>
            <w14:solidFill>
              <w14:schemeClr w14:val="tx1"/>
            </w14:solidFill>
          </w14:textFill>
        </w:rPr>
      </w:pPr>
    </w:p>
    <w:p w14:paraId="764BC47A">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质疑函制作说明：</w:t>
      </w:r>
    </w:p>
    <w:p w14:paraId="35278E94">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1.供应商提出质疑时，应提交质疑函和必要的证明材料。</w:t>
      </w:r>
    </w:p>
    <w:p w14:paraId="76341C7D">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62A2FF2">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3.质疑供应商若对项目的某一分包进行质疑，质疑函中应列明具体分包号。</w:t>
      </w:r>
    </w:p>
    <w:p w14:paraId="1AE3ACDF">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4.质疑函的质疑事项应具体、明确，并有必要的事实依据和法律依据。</w:t>
      </w:r>
    </w:p>
    <w:p w14:paraId="191FC3A0">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5.质疑函的质疑请求应与质疑事项相关。</w:t>
      </w:r>
    </w:p>
    <w:p w14:paraId="045F599B">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BB0E212">
      <w:pPr>
        <w:widowControl/>
        <w:spacing w:line="360" w:lineRule="auto"/>
        <w:ind w:firstLine="600" w:firstLineChars="200"/>
        <w:jc w:val="left"/>
        <w:rPr>
          <w:rFonts w:ascii="仿宋" w:hAnsi="仿宋" w:eastAsia="仿宋"/>
          <w:color w:val="000000" w:themeColor="text1"/>
          <w:sz w:val="30"/>
          <w:szCs w:val="30"/>
          <w:highlight w:val="none"/>
          <w14:textFill>
            <w14:solidFill>
              <w14:schemeClr w14:val="tx1"/>
            </w14:solidFill>
          </w14:textFill>
        </w:rPr>
      </w:pPr>
    </w:p>
    <w:p w14:paraId="2A8181C9">
      <w:pPr>
        <w:spacing w:line="360" w:lineRule="auto"/>
        <w:jc w:val="center"/>
        <w:rPr>
          <w:rFonts w:ascii="仿宋" w:hAnsi="仿宋" w:eastAsia="仿宋"/>
          <w:b/>
          <w:color w:val="000000" w:themeColor="text1"/>
          <w:spacing w:val="6"/>
          <w:sz w:val="32"/>
          <w:szCs w:val="32"/>
          <w:highlight w:val="none"/>
          <w14:textFill>
            <w14:solidFill>
              <w14:schemeClr w14:val="tx1"/>
            </w14:solidFill>
          </w14:textFill>
        </w:rPr>
      </w:pPr>
    </w:p>
    <w:p w14:paraId="3D329DA3">
      <w:pPr>
        <w:spacing w:line="360" w:lineRule="auto"/>
        <w:jc w:val="center"/>
        <w:rPr>
          <w:rFonts w:ascii="仿宋" w:hAnsi="仿宋" w:eastAsia="仿宋"/>
          <w:b/>
          <w:color w:val="000000" w:themeColor="text1"/>
          <w:spacing w:val="6"/>
          <w:sz w:val="32"/>
          <w:szCs w:val="32"/>
          <w:highlight w:val="none"/>
          <w14:textFill>
            <w14:solidFill>
              <w14:schemeClr w14:val="tx1"/>
            </w14:solidFill>
          </w14:textFill>
        </w:rPr>
      </w:pPr>
    </w:p>
    <w:p w14:paraId="7D0E3C3C">
      <w:pPr>
        <w:spacing w:line="360" w:lineRule="auto"/>
        <w:jc w:val="center"/>
        <w:rPr>
          <w:rFonts w:ascii="仿宋" w:hAnsi="仿宋" w:eastAsia="仿宋"/>
          <w:b/>
          <w:color w:val="000000" w:themeColor="text1"/>
          <w:spacing w:val="6"/>
          <w:sz w:val="32"/>
          <w:szCs w:val="32"/>
          <w:highlight w:val="none"/>
          <w14:textFill>
            <w14:solidFill>
              <w14:schemeClr w14:val="tx1"/>
            </w14:solidFill>
          </w14:textFill>
        </w:rPr>
      </w:pPr>
    </w:p>
    <w:p w14:paraId="573427D7">
      <w:pPr>
        <w:spacing w:line="360" w:lineRule="auto"/>
        <w:jc w:val="left"/>
        <w:rPr>
          <w:rFonts w:ascii="仿宋" w:hAnsi="仿宋" w:eastAsia="仿宋"/>
          <w:b/>
          <w:color w:val="000000" w:themeColor="text1"/>
          <w:spacing w:val="6"/>
          <w:sz w:val="32"/>
          <w:szCs w:val="32"/>
          <w:highlight w:val="none"/>
          <w14:textFill>
            <w14:solidFill>
              <w14:schemeClr w14:val="tx1"/>
            </w14:solidFill>
          </w14:textFill>
        </w:rPr>
      </w:pPr>
    </w:p>
    <w:p w14:paraId="08012011">
      <w:pPr>
        <w:spacing w:line="360" w:lineRule="auto"/>
        <w:jc w:val="left"/>
        <w:rPr>
          <w:rFonts w:ascii="仿宋" w:hAnsi="仿宋" w:eastAsia="仿宋"/>
          <w:b/>
          <w:color w:val="000000" w:themeColor="text1"/>
          <w:spacing w:val="6"/>
          <w:sz w:val="32"/>
          <w:szCs w:val="32"/>
          <w:highlight w:val="none"/>
          <w14:textFill>
            <w14:solidFill>
              <w14:schemeClr w14:val="tx1"/>
            </w14:solidFill>
          </w14:textFill>
        </w:rPr>
      </w:pPr>
      <w:r>
        <w:rPr>
          <w:rFonts w:ascii="仿宋" w:hAnsi="仿宋" w:eastAsia="仿宋"/>
          <w:b/>
          <w:color w:val="000000" w:themeColor="text1"/>
          <w:spacing w:val="6"/>
          <w:sz w:val="32"/>
          <w:szCs w:val="32"/>
          <w:highlight w:val="none"/>
          <w14:textFill>
            <w14:solidFill>
              <w14:schemeClr w14:val="tx1"/>
            </w14:solidFill>
          </w14:textFill>
        </w:rPr>
        <w:br w:type="page"/>
      </w:r>
      <w:r>
        <w:rPr>
          <w:rFonts w:hint="eastAsia" w:ascii="仿宋" w:hAnsi="仿宋" w:eastAsia="仿宋"/>
          <w:b/>
          <w:color w:val="000000" w:themeColor="text1"/>
          <w:spacing w:val="6"/>
          <w:sz w:val="32"/>
          <w:szCs w:val="32"/>
          <w:highlight w:val="none"/>
          <w14:textFill>
            <w14:solidFill>
              <w14:schemeClr w14:val="tx1"/>
            </w14:solidFill>
          </w14:textFill>
        </w:rPr>
        <w:t>附件3：投诉书范本及制作说明</w:t>
      </w:r>
    </w:p>
    <w:p w14:paraId="6F06E615">
      <w:pPr>
        <w:spacing w:line="360" w:lineRule="auto"/>
        <w:jc w:val="center"/>
        <w:rPr>
          <w:rFonts w:ascii="仿宋" w:hAnsi="仿宋" w:eastAsia="仿宋"/>
          <w:b/>
          <w:color w:val="000000" w:themeColor="text1"/>
          <w:sz w:val="24"/>
          <w:highlight w:val="none"/>
          <w14:textFill>
            <w14:solidFill>
              <w14:schemeClr w14:val="tx1"/>
            </w14:solidFill>
          </w14:textFill>
        </w:rPr>
      </w:pPr>
    </w:p>
    <w:p w14:paraId="6E7F16DF">
      <w:pPr>
        <w:spacing w:line="360" w:lineRule="auto"/>
        <w:jc w:val="center"/>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投诉书范本</w:t>
      </w:r>
    </w:p>
    <w:p w14:paraId="4C605C7C">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一、投诉相关主体基本情况</w:t>
      </w:r>
    </w:p>
    <w:p w14:paraId="38DFCDC6">
      <w:pPr>
        <w:spacing w:line="360" w:lineRule="auto"/>
        <w:rPr>
          <w:rFonts w:ascii="仿宋" w:hAnsi="仿宋" w:eastAsia="仿宋"/>
          <w:color w:val="000000" w:themeColor="text1"/>
          <w:sz w:val="24"/>
          <w:highlight w:val="none"/>
          <w:u w:val="dotted"/>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投诉人：</w:t>
      </w:r>
    </w:p>
    <w:p w14:paraId="15277F79">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地址：邮编：</w:t>
      </w:r>
    </w:p>
    <w:p w14:paraId="4D912AF4">
      <w:pPr>
        <w:tabs>
          <w:tab w:val="left" w:pos="6510"/>
        </w:tabs>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法定代表人/主要负责人：</w:t>
      </w:r>
    </w:p>
    <w:p w14:paraId="6EF192D6">
      <w:pPr>
        <w:tabs>
          <w:tab w:val="left" w:pos="6510"/>
        </w:tabs>
        <w:spacing w:line="360" w:lineRule="auto"/>
        <w:rPr>
          <w:rFonts w:ascii="仿宋" w:hAnsi="仿宋" w:eastAsia="仿宋"/>
          <w:color w:val="000000" w:themeColor="text1"/>
          <w:sz w:val="24"/>
          <w:highlight w:val="none"/>
          <w:u w:val="dotted"/>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联系电话：</w:t>
      </w:r>
    </w:p>
    <w:p w14:paraId="54A30D1B">
      <w:pPr>
        <w:spacing w:line="360" w:lineRule="auto"/>
        <w:rPr>
          <w:rFonts w:ascii="仿宋" w:hAnsi="仿宋" w:eastAsia="仿宋"/>
          <w:color w:val="000000" w:themeColor="text1"/>
          <w:sz w:val="24"/>
          <w:highlight w:val="none"/>
          <w:u w:val="dotted"/>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授权代表：联系电话</w:t>
      </w:r>
      <w:r>
        <w:rPr>
          <w:rFonts w:hint="eastAsia" w:ascii="仿宋" w:hAnsi="仿宋" w:eastAsia="仿宋"/>
          <w:color w:val="000000" w:themeColor="text1"/>
          <w:sz w:val="24"/>
          <w:highlight w:val="none"/>
          <w:u w:val="dotted"/>
          <w14:textFill>
            <w14:solidFill>
              <w14:schemeClr w14:val="tx1"/>
            </w14:solidFill>
          </w14:textFill>
        </w:rPr>
        <w:t>：</w:t>
      </w:r>
    </w:p>
    <w:p w14:paraId="4831B212">
      <w:pPr>
        <w:spacing w:line="360" w:lineRule="auto"/>
        <w:rPr>
          <w:rFonts w:ascii="仿宋" w:hAnsi="仿宋" w:eastAsia="仿宋"/>
          <w:color w:val="000000" w:themeColor="text1"/>
          <w:sz w:val="24"/>
          <w:highlight w:val="none"/>
          <w:u w:val="dotted"/>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地址：邮编：</w:t>
      </w:r>
    </w:p>
    <w:p w14:paraId="524F12A5">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被投诉人1：</w:t>
      </w:r>
    </w:p>
    <w:p w14:paraId="1FD93EC7">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地址：邮编：</w:t>
      </w:r>
    </w:p>
    <w:p w14:paraId="07C8B36C">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联系人：联系电话：</w:t>
      </w:r>
    </w:p>
    <w:p w14:paraId="6CE6614B">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被投诉人2</w:t>
      </w:r>
    </w:p>
    <w:p w14:paraId="73D60ECE">
      <w:pPr>
        <w:spacing w:line="360" w:lineRule="auto"/>
        <w:rPr>
          <w:rFonts w:ascii="仿宋" w:hAnsi="仿宋" w:eastAsia="仿宋"/>
          <w:color w:val="000000" w:themeColor="text1"/>
          <w:sz w:val="24"/>
          <w:highlight w:val="none"/>
          <w:u w:val="dotted"/>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p w14:paraId="1C8F6328">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相关供应商：</w:t>
      </w:r>
    </w:p>
    <w:p w14:paraId="10AE9FB7">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地址：邮编：</w:t>
      </w:r>
    </w:p>
    <w:p w14:paraId="7F1070AA">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联系人：联系电话：</w:t>
      </w:r>
    </w:p>
    <w:p w14:paraId="737A2A7B">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二、投诉项目基本情况</w:t>
      </w:r>
    </w:p>
    <w:p w14:paraId="05941A08">
      <w:pPr>
        <w:spacing w:line="360" w:lineRule="auto"/>
        <w:rPr>
          <w:rFonts w:ascii="仿宋" w:hAnsi="仿宋" w:eastAsia="仿宋"/>
          <w:color w:val="000000" w:themeColor="text1"/>
          <w:sz w:val="24"/>
          <w:highlight w:val="none"/>
          <w:u w:val="dotted"/>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采购项目名称：</w:t>
      </w:r>
    </w:p>
    <w:p w14:paraId="6743D939">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采购项目编号：包号：</w:t>
      </w:r>
    </w:p>
    <w:p w14:paraId="634C6767">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征集人名称：</w:t>
      </w:r>
    </w:p>
    <w:p w14:paraId="20FFF082">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代理机构名称：</w:t>
      </w:r>
    </w:p>
    <w:p w14:paraId="7C2A9592">
      <w:pPr>
        <w:spacing w:line="360" w:lineRule="auto"/>
        <w:rPr>
          <w:rFonts w:ascii="仿宋" w:hAnsi="仿宋" w:eastAsia="仿宋"/>
          <w:color w:val="000000" w:themeColor="text1"/>
          <w:sz w:val="24"/>
          <w:highlight w:val="none"/>
          <w:u w:val="dotted"/>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征集文件公告:</w:t>
      </w:r>
      <w:r>
        <w:rPr>
          <w:rFonts w:hint="eastAsia" w:ascii="仿宋" w:hAnsi="仿宋" w:eastAsia="仿宋"/>
          <w:color w:val="000000" w:themeColor="text1"/>
          <w:sz w:val="24"/>
          <w:highlight w:val="none"/>
          <w:u w:val="dotted"/>
          <w14:textFill>
            <w14:solidFill>
              <w14:schemeClr w14:val="tx1"/>
            </w14:solidFill>
          </w14:textFill>
        </w:rPr>
        <w:t>是/否</w:t>
      </w:r>
      <w:r>
        <w:rPr>
          <w:rFonts w:hint="eastAsia" w:ascii="仿宋" w:hAnsi="仿宋" w:eastAsia="仿宋"/>
          <w:color w:val="000000" w:themeColor="text1"/>
          <w:sz w:val="24"/>
          <w:highlight w:val="none"/>
          <w14:textFill>
            <w14:solidFill>
              <w14:schemeClr w14:val="tx1"/>
            </w14:solidFill>
          </w14:textFill>
        </w:rPr>
        <w:t>公告期限：</w:t>
      </w:r>
    </w:p>
    <w:p w14:paraId="28D2C4A5">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采购结果公告:</w:t>
      </w:r>
      <w:r>
        <w:rPr>
          <w:rFonts w:hint="eastAsia" w:ascii="仿宋" w:hAnsi="仿宋" w:eastAsia="仿宋"/>
          <w:color w:val="000000" w:themeColor="text1"/>
          <w:sz w:val="24"/>
          <w:highlight w:val="none"/>
          <w:u w:val="dotted"/>
          <w14:textFill>
            <w14:solidFill>
              <w14:schemeClr w14:val="tx1"/>
            </w14:solidFill>
          </w14:textFill>
        </w:rPr>
        <w:t>是/否</w:t>
      </w:r>
      <w:r>
        <w:rPr>
          <w:rFonts w:hint="eastAsia" w:ascii="仿宋" w:hAnsi="仿宋" w:eastAsia="仿宋"/>
          <w:color w:val="000000" w:themeColor="text1"/>
          <w:sz w:val="24"/>
          <w:highlight w:val="none"/>
          <w14:textFill>
            <w14:solidFill>
              <w14:schemeClr w14:val="tx1"/>
            </w14:solidFill>
          </w14:textFill>
        </w:rPr>
        <w:t>公告期限：</w:t>
      </w:r>
    </w:p>
    <w:p w14:paraId="4492AEF1">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三、质疑基本情况</w:t>
      </w:r>
    </w:p>
    <w:p w14:paraId="6CC1C28A">
      <w:pPr>
        <w:spacing w:line="360" w:lineRule="auto"/>
        <w:ind w:firstLine="480" w:firstLineChars="200"/>
        <w:rPr>
          <w:rFonts w:ascii="仿宋" w:hAnsi="仿宋" w:eastAsia="仿宋"/>
          <w:color w:val="000000" w:themeColor="text1"/>
          <w:sz w:val="24"/>
          <w:highlight w:val="none"/>
          <w:u w:val="dotted"/>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投诉人于年月日,向提出质疑，质疑事项为：</w:t>
      </w:r>
    </w:p>
    <w:p w14:paraId="21EC8F81">
      <w:pPr>
        <w:spacing w:line="360" w:lineRule="auto"/>
        <w:rPr>
          <w:rFonts w:ascii="仿宋" w:hAnsi="仿宋" w:eastAsia="仿宋"/>
          <w:color w:val="000000" w:themeColor="text1"/>
          <w:sz w:val="24"/>
          <w:highlight w:val="none"/>
          <w:u w:val="dotted"/>
          <w14:textFill>
            <w14:solidFill>
              <w14:schemeClr w14:val="tx1"/>
            </w14:solidFill>
          </w14:textFill>
        </w:rPr>
      </w:pPr>
    </w:p>
    <w:p w14:paraId="190D5C98">
      <w:pPr>
        <w:spacing w:line="360" w:lineRule="auto"/>
        <w:ind w:firstLine="360" w:firstLineChars="15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u w:val="dotted"/>
          <w14:textFill>
            <w14:solidFill>
              <w14:schemeClr w14:val="tx1"/>
            </w14:solidFill>
          </w14:textFill>
        </w:rPr>
        <w:t>征集人/代理机构</w:t>
      </w:r>
      <w:r>
        <w:rPr>
          <w:rFonts w:hint="eastAsia" w:ascii="仿宋" w:hAnsi="仿宋" w:eastAsia="仿宋"/>
          <w:color w:val="000000" w:themeColor="text1"/>
          <w:sz w:val="24"/>
          <w:highlight w:val="none"/>
          <w14:textFill>
            <w14:solidFill>
              <w14:schemeClr w14:val="tx1"/>
            </w14:solidFill>
          </w14:textFill>
        </w:rPr>
        <w:t>于年月日,就质疑事项作出了答复/没有在法定期限内作出答复。</w:t>
      </w:r>
    </w:p>
    <w:p w14:paraId="06167CED">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四、投诉事项具体内容</w:t>
      </w:r>
    </w:p>
    <w:p w14:paraId="1B7F6ABC">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投诉事项 1：</w:t>
      </w:r>
    </w:p>
    <w:p w14:paraId="513EA1E3">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事实依据：</w:t>
      </w:r>
    </w:p>
    <w:p w14:paraId="047EC179">
      <w:pPr>
        <w:spacing w:line="360" w:lineRule="auto"/>
        <w:rPr>
          <w:rFonts w:ascii="仿宋" w:hAnsi="仿宋" w:eastAsia="仿宋"/>
          <w:color w:val="000000" w:themeColor="text1"/>
          <w:sz w:val="24"/>
          <w:highlight w:val="none"/>
          <w:u w:val="dotted"/>
          <w14:textFill>
            <w14:solidFill>
              <w14:schemeClr w14:val="tx1"/>
            </w14:solidFill>
          </w14:textFill>
        </w:rPr>
      </w:pPr>
    </w:p>
    <w:p w14:paraId="78E0A8D8">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法律依据：</w:t>
      </w:r>
    </w:p>
    <w:p w14:paraId="447CBF96">
      <w:pPr>
        <w:spacing w:line="360" w:lineRule="auto"/>
        <w:rPr>
          <w:rFonts w:ascii="仿宋" w:hAnsi="仿宋" w:eastAsia="仿宋"/>
          <w:color w:val="000000" w:themeColor="text1"/>
          <w:sz w:val="24"/>
          <w:highlight w:val="none"/>
          <w:u w:val="dotted"/>
          <w14:textFill>
            <w14:solidFill>
              <w14:schemeClr w14:val="tx1"/>
            </w14:solidFill>
          </w14:textFill>
        </w:rPr>
      </w:pPr>
    </w:p>
    <w:p w14:paraId="31C147D7">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投诉事项2</w:t>
      </w:r>
    </w:p>
    <w:p w14:paraId="72C01525">
      <w:pPr>
        <w:spacing w:line="360" w:lineRule="auto"/>
        <w:rPr>
          <w:rFonts w:ascii="仿宋" w:hAnsi="仿宋" w:eastAsia="仿宋"/>
          <w:color w:val="000000" w:themeColor="text1"/>
          <w:sz w:val="24"/>
          <w:highlight w:val="none"/>
          <w:u w:val="dotted"/>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p w14:paraId="23FE95CD">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五、与投诉事项相关的投诉请求</w:t>
      </w:r>
    </w:p>
    <w:p w14:paraId="256CF1A4">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请求：</w:t>
      </w:r>
    </w:p>
    <w:p w14:paraId="1637913D">
      <w:pPr>
        <w:spacing w:line="360" w:lineRule="auto"/>
        <w:rPr>
          <w:rFonts w:ascii="仿宋" w:hAnsi="仿宋" w:eastAsia="仿宋"/>
          <w:color w:val="000000" w:themeColor="text1"/>
          <w:sz w:val="24"/>
          <w:highlight w:val="none"/>
          <w:u w:val="single"/>
          <w14:textFill>
            <w14:solidFill>
              <w14:schemeClr w14:val="tx1"/>
            </w14:solidFill>
          </w14:textFill>
        </w:rPr>
      </w:pPr>
    </w:p>
    <w:p w14:paraId="4F15229E">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签字(签章)：公章：</w:t>
      </w:r>
    </w:p>
    <w:p w14:paraId="6004B604">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日期：</w:t>
      </w:r>
    </w:p>
    <w:p w14:paraId="7FF6E098">
      <w:pPr>
        <w:spacing w:line="360" w:lineRule="auto"/>
        <w:rPr>
          <w:rFonts w:ascii="仿宋" w:hAnsi="仿宋" w:eastAsia="仿宋"/>
          <w:b/>
          <w:color w:val="000000" w:themeColor="text1"/>
          <w:sz w:val="24"/>
          <w:highlight w:val="none"/>
          <w14:textFill>
            <w14:solidFill>
              <w14:schemeClr w14:val="tx1"/>
            </w14:solidFill>
          </w14:textFill>
        </w:rPr>
      </w:pPr>
    </w:p>
    <w:p w14:paraId="4EDED700">
      <w:pPr>
        <w:spacing w:line="360" w:lineRule="auto"/>
        <w:rPr>
          <w:rFonts w:ascii="仿宋" w:hAnsi="仿宋" w:eastAsia="仿宋"/>
          <w:b/>
          <w:color w:val="000000" w:themeColor="text1"/>
          <w:sz w:val="24"/>
          <w:highlight w:val="none"/>
          <w14:textFill>
            <w14:solidFill>
              <w14:schemeClr w14:val="tx1"/>
            </w14:solidFill>
          </w14:textFill>
        </w:rPr>
      </w:pPr>
    </w:p>
    <w:p w14:paraId="52D7B3B5">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投诉书制作说明：</w:t>
      </w:r>
    </w:p>
    <w:p w14:paraId="4167ADB1">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2A929CF">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DF57738">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3.投诉人若对项目的某一分包进行投诉，投诉书应列明具体分包号。</w:t>
      </w:r>
    </w:p>
    <w:p w14:paraId="13E6FF9D">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4.投诉书应简要列明质疑事项，质疑函、质疑答复等作为附件材料提供。</w:t>
      </w:r>
    </w:p>
    <w:p w14:paraId="3A5932CF">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5.投诉书的投诉事项应具体、明确，并有必要的事实依据和法律依据。</w:t>
      </w:r>
    </w:p>
    <w:p w14:paraId="234F51AD">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6.投诉书的投诉请求应与投诉事项相关。</w:t>
      </w:r>
    </w:p>
    <w:p w14:paraId="4619423E">
      <w:pPr>
        <w:widowControl/>
        <w:spacing w:line="360" w:lineRule="auto"/>
        <w:ind w:firstLine="480" w:firstLineChars="200"/>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2E8597C">
      <w:pPr>
        <w:widowControl/>
        <w:adjustRightInd/>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14:paraId="793C625C">
      <w:pPr>
        <w:autoSpaceDE w:val="0"/>
        <w:autoSpaceDN w:val="0"/>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2B76A545">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（以联合体形式投标的，提供联合协议；本项目不接受联合体投标或者供应商不以联合体形式投标的，则不需要提供）</w:t>
      </w:r>
    </w:p>
    <w:p w14:paraId="611260E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（项目名称）【征集编号：（采购编号）】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5D96A29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A738CE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授权代表根据征集文件规定及投标内容而对征集人、采购代理机构所作的任何合法承诺，包括书面澄清及相应等均对联合投标各方产生约束力。</w:t>
      </w:r>
    </w:p>
    <w:p w14:paraId="661230F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51423B1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bookmarkStart w:id="420" w:name="_Hlk101134295"/>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p>
    <w:p w14:paraId="3A0957D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p>
    <w:p w14:paraId="7419AA95">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bookmarkEnd w:id="420"/>
    <w:p w14:paraId="3EE78E3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06587AA0">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X,</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提供的全部</w:t>
      </w:r>
      <w:r>
        <w:rPr>
          <w:rFonts w:hint="eastAsia" w:ascii="仿宋" w:hAnsi="仿宋" w:eastAsia="仿宋" w:cs="宋体"/>
          <w:color w:val="000000" w:themeColor="text1"/>
          <w:kern w:val="0"/>
          <w:sz w:val="24"/>
          <w:highlight w:val="none"/>
          <w:lang w:val="en-US" w:eastAsia="zh-CN"/>
          <w14:textFill>
            <w14:solidFill>
              <w14:schemeClr w14:val="tx1"/>
            </w14:solidFill>
          </w14:textFill>
        </w:rPr>
        <w:t>服务</w:t>
      </w:r>
      <w:r>
        <w:rPr>
          <w:rFonts w:hint="eastAsia" w:ascii="仿宋" w:hAnsi="仿宋" w:eastAsia="仿宋" w:cs="宋体"/>
          <w:color w:val="000000" w:themeColor="text1"/>
          <w:kern w:val="0"/>
          <w:sz w:val="24"/>
          <w:highlight w:val="none"/>
          <w14:textFill>
            <w14:solidFill>
              <w14:schemeClr w14:val="tx1"/>
            </w14:solidFill>
          </w14:textFill>
        </w:rPr>
        <w:t>由小微企业</w:t>
      </w:r>
      <w:r>
        <w:rPr>
          <w:rFonts w:hint="eastAsia" w:ascii="仿宋" w:hAnsi="仿宋" w:eastAsia="仿宋" w:cs="宋体"/>
          <w:color w:val="000000" w:themeColor="text1"/>
          <w:kern w:val="0"/>
          <w:sz w:val="24"/>
          <w:highlight w:val="none"/>
          <w:lang w:val="en-US" w:eastAsia="zh-CN"/>
          <w14:textFill>
            <w14:solidFill>
              <w14:schemeClr w14:val="tx1"/>
            </w14:solidFill>
          </w14:textFill>
        </w:rPr>
        <w:t>承接</w:t>
      </w:r>
      <w:r>
        <w:rPr>
          <w:rFonts w:hint="eastAsia" w:ascii="仿宋" w:hAnsi="仿宋" w:eastAsia="仿宋" w:cs="宋体"/>
          <w:color w:val="000000" w:themeColor="text1"/>
          <w:kern w:val="0"/>
          <w:sz w:val="24"/>
          <w:highlight w:val="none"/>
          <w14:textFill>
            <w14:solidFill>
              <w14:schemeClr w14:val="tx1"/>
            </w14:solidFill>
          </w14:textFill>
        </w:rPr>
        <w:t>，其合同份额占到合同总金额%以上；</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w:t>
      </w:r>
      <w:r>
        <w:rPr>
          <w:rFonts w:ascii="仿宋" w:hAnsi="仿宋" w:eastAsia="仿宋" w:cs="宋体"/>
          <w:b/>
          <w:color w:val="000000" w:themeColor="text1"/>
          <w:kern w:val="0"/>
          <w:sz w:val="24"/>
          <w:highlight w:val="none"/>
          <w:lang w:val="zh-CN"/>
          <w14:textFill>
            <w14:solidFill>
              <w14:schemeClr w14:val="tx1"/>
            </w14:solidFill>
          </w14:textFill>
        </w:rPr>
        <w:t>6</w:t>
      </w:r>
      <w:r>
        <w:rPr>
          <w:rFonts w:hint="eastAsia" w:ascii="仿宋" w:hAnsi="仿宋" w:eastAsia="仿宋" w:cs="宋体"/>
          <w:b/>
          <w:color w:val="000000" w:themeColor="text1"/>
          <w:kern w:val="0"/>
          <w:sz w:val="24"/>
          <w:highlight w:val="none"/>
          <w:lang w:val="zh-CN"/>
          <w14:textFill>
            <w14:solidFill>
              <w14:schemeClr w14:val="tx1"/>
            </w14:solidFill>
          </w14:textFill>
        </w:rPr>
        <w:t>%的扣除。供应商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27ED3FA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2、中小企业合同金额达到%，小微企业合同金额达到%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要求以联合体形式参加的项目或采购包，供应商按征集文件第一部分征集公告申请人的资格要求中规定的联合协议中中小企业、小微企业合同金额应当达到的比例要求填写。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6EC06C3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联合体各成员方共同与征集人签订合同，并就采购合同约定的事项对征集人承担连带责任。</w:t>
      </w:r>
    </w:p>
    <w:p w14:paraId="7B5949E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415E491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0F3406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83540A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3、本协议提交征集人、采购代理机构后，联合体各方不得以任何形式对上述内容进行修改或撤销。</w:t>
      </w:r>
    </w:p>
    <w:p w14:paraId="5D34F02D">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7A61B738">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29D0902B">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0CD8001F">
      <w:pPr>
        <w:autoSpaceDE w:val="0"/>
        <w:autoSpaceDN w:val="0"/>
        <w:jc w:val="center"/>
        <w:rPr>
          <w:rFonts w:ascii="仿宋" w:hAnsi="仿宋" w:eastAsia="仿宋" w:cs="宋体"/>
          <w:b/>
          <w:color w:val="000000" w:themeColor="text1"/>
          <w:spacing w:val="6"/>
          <w:sz w:val="32"/>
          <w:szCs w:val="32"/>
          <w:highlight w:val="none"/>
          <w14:textFill>
            <w14:solidFill>
              <w14:schemeClr w14:val="tx1"/>
            </w14:solidFill>
          </w14:textFill>
        </w:rPr>
      </w:pPr>
    </w:p>
    <w:p w14:paraId="528B78FA">
      <w:pPr>
        <w:autoSpaceDE w:val="0"/>
        <w:autoSpaceDN w:val="0"/>
        <w:jc w:val="center"/>
        <w:rPr>
          <w:rFonts w:ascii="仿宋" w:hAnsi="仿宋" w:eastAsia="仿宋" w:cs="宋体"/>
          <w:b/>
          <w:color w:val="000000" w:themeColor="text1"/>
          <w:spacing w:val="6"/>
          <w:sz w:val="32"/>
          <w:szCs w:val="32"/>
          <w:highlight w:val="none"/>
          <w14:textFill>
            <w14:solidFill>
              <w14:schemeClr w14:val="tx1"/>
            </w14:solidFill>
          </w14:textFill>
        </w:rPr>
      </w:pPr>
    </w:p>
    <w:p w14:paraId="59105619">
      <w:pPr>
        <w:autoSpaceDE w:val="0"/>
        <w:autoSpaceDN w:val="0"/>
        <w:jc w:val="center"/>
        <w:rPr>
          <w:rFonts w:ascii="仿宋" w:hAnsi="仿宋" w:eastAsia="仿宋" w:cs="宋体"/>
          <w:b/>
          <w:color w:val="000000" w:themeColor="text1"/>
          <w:spacing w:val="6"/>
          <w:sz w:val="32"/>
          <w:szCs w:val="32"/>
          <w:highlight w:val="none"/>
          <w14:textFill>
            <w14:solidFill>
              <w14:schemeClr w14:val="tx1"/>
            </w14:solidFill>
          </w14:textFill>
        </w:rPr>
      </w:pPr>
    </w:p>
    <w:p w14:paraId="236B4625">
      <w:pPr>
        <w:autoSpaceDE w:val="0"/>
        <w:autoSpaceDN w:val="0"/>
        <w:jc w:val="center"/>
        <w:rPr>
          <w:rFonts w:ascii="仿宋" w:hAnsi="仿宋" w:eastAsia="仿宋" w:cs="宋体"/>
          <w:b/>
          <w:color w:val="000000" w:themeColor="text1"/>
          <w:spacing w:val="6"/>
          <w:sz w:val="32"/>
          <w:szCs w:val="32"/>
          <w:highlight w:val="none"/>
          <w14:textFill>
            <w14:solidFill>
              <w14:schemeClr w14:val="tx1"/>
            </w14:solidFill>
          </w14:textFill>
        </w:rPr>
      </w:pPr>
    </w:p>
    <w:p w14:paraId="6A877429">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附件5：</w:t>
      </w: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4AFDAC54">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中标后以分包方式履行合同的，提供分包意向协议；征集人不同意分包或者供应商中标后不以分包方式履行合同的，则不需要提供。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1841966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（供应商名称）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（项目名称）【征集编号：（采购编号）】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（供应商名称）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4D2B941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28EF064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（供应商名称）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p>
    <w:p w14:paraId="21966518">
      <w:pPr>
        <w:pStyle w:val="2"/>
        <w:ind w:left="664" w:leftChars="316" w:firstLine="229" w:firstLineChars="95"/>
        <w:rPr>
          <w:rFonts w:ascii="仿宋" w:eastAsia="仿宋" w:cs="宋体"/>
          <w:color w:val="000000" w:themeColor="text1"/>
          <w:kern w:val="0"/>
          <w:sz w:val="24"/>
          <w:szCs w:val="24"/>
          <w:highlight w:val="none"/>
          <w14:textFill>
            <w14:solidFill>
              <w14:schemeClr w14:val="tx1"/>
            </w14:solidFill>
          </w14:textFill>
        </w:rPr>
      </w:pPr>
      <w:r>
        <w:rPr>
          <w:rFonts w:hint="eastAsia" w:ascii="仿宋" w:eastAsia="仿宋" w:cs="宋体"/>
          <w:color w:val="000000" w:themeColor="text1"/>
          <w:kern w:val="0"/>
          <w:sz w:val="24"/>
          <w:szCs w:val="24"/>
          <w:highlight w:val="none"/>
          <w14:textFill>
            <w14:solidFill>
              <w14:schemeClr w14:val="tx1"/>
            </w14:solidFill>
          </w14:textFill>
        </w:rPr>
        <w:t>……</w:t>
      </w:r>
    </w:p>
    <w:p w14:paraId="101FC4B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1F37D1C1">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……）提供的</w:t>
      </w:r>
      <w:r>
        <w:rPr>
          <w:rFonts w:hint="eastAsia" w:ascii="仿宋" w:hAnsi="仿宋" w:eastAsia="仿宋" w:cs="宋体"/>
          <w:color w:val="000000" w:themeColor="text1"/>
          <w:kern w:val="0"/>
          <w:sz w:val="24"/>
          <w:highlight w:val="none"/>
          <w:u w:val="single"/>
          <w:lang w:val="en-US" w:eastAsia="zh-CN"/>
          <w14:textFill>
            <w14:solidFill>
              <w14:schemeClr w14:val="tx1"/>
            </w14:solidFill>
          </w14:textFill>
        </w:rPr>
        <w:t>服务</w:t>
      </w:r>
      <w:r>
        <w:rPr>
          <w:rFonts w:hint="eastAsia" w:ascii="仿宋" w:hAnsi="仿宋" w:eastAsia="仿宋" w:cs="宋体"/>
          <w:color w:val="000000" w:themeColor="text1"/>
          <w:kern w:val="0"/>
          <w:sz w:val="24"/>
          <w:highlight w:val="none"/>
          <w:u w:val="single"/>
          <w14:textFill>
            <w14:solidFill>
              <w14:schemeClr w14:val="tx1"/>
            </w14:solidFill>
          </w14:textFill>
        </w:rPr>
        <w:t>全部由小微企业</w:t>
      </w:r>
      <w:r>
        <w:rPr>
          <w:rFonts w:hint="eastAsia" w:ascii="仿宋" w:hAnsi="仿宋" w:eastAsia="仿宋" w:cs="宋体"/>
          <w:color w:val="000000" w:themeColor="text1"/>
          <w:kern w:val="0"/>
          <w:sz w:val="24"/>
          <w:highlight w:val="none"/>
          <w:u w:val="single"/>
          <w:lang w:val="en-US" w:eastAsia="zh-CN"/>
          <w14:textFill>
            <w14:solidFill>
              <w14:schemeClr w14:val="tx1"/>
            </w14:solidFill>
          </w14:textFill>
        </w:rPr>
        <w:t>承接</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其合同份额占到合同总金额%以上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ascii="仿宋" w:hAnsi="仿宋" w:eastAsia="仿宋" w:cs="宋体"/>
          <w:b/>
          <w:color w:val="000000" w:themeColor="text1"/>
          <w:kern w:val="0"/>
          <w:sz w:val="24"/>
          <w:highlight w:val="none"/>
          <w:lang w:val="zh-CN"/>
          <w14:textFill>
            <w14:solidFill>
              <w14:schemeClr w14:val="tx1"/>
            </w14:solidFill>
          </w14:textFill>
        </w:rPr>
        <w:t>6</w:t>
      </w:r>
      <w:r>
        <w:rPr>
          <w:rFonts w:hint="eastAsia" w:ascii="仿宋" w:hAnsi="仿宋" w:eastAsia="仿宋" w:cs="宋体"/>
          <w:b/>
          <w:color w:val="000000" w:themeColor="text1"/>
          <w:kern w:val="0"/>
          <w:sz w:val="24"/>
          <w:highlight w:val="none"/>
          <w:lang w:val="zh-CN"/>
          <w14:textFill>
            <w14:solidFill>
              <w14:schemeClr w14:val="tx1"/>
            </w14:solidFill>
          </w14:textFill>
        </w:rPr>
        <w:t>%的扣除。供应商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7A8D3012">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421" w:name="_Hlk101133173"/>
      <w:r>
        <w:rPr>
          <w:rFonts w:hint="eastAsia" w:ascii="仿宋" w:hAnsi="仿宋" w:eastAsia="仿宋" w:cs="宋体"/>
          <w:color w:val="000000" w:themeColor="text1"/>
          <w:sz w:val="24"/>
          <w:highlight w:val="none"/>
          <w14:textFill>
            <w14:solidFill>
              <w14:schemeClr w14:val="tx1"/>
            </w14:solidFill>
          </w14:textFill>
        </w:rPr>
        <w:t>中小企业合同金额达到%，小微企业合同金额达到%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要求合同分包形式参加的项目或采购包，供应商按征集文件第一部分征集公告申请人的资格要求中规定的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421"/>
    </w:p>
    <w:p w14:paraId="14AC253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27361325">
      <w:pPr>
        <w:snapToGrid w:val="0"/>
        <w:spacing w:line="360" w:lineRule="auto"/>
        <w:ind w:firstLine="576"/>
        <w:rPr>
          <w:rFonts w:ascii="仿宋" w:hAnsi="仿宋" w:eastAsia="仿宋" w:cs="宋体"/>
          <w:color w:val="000000" w:themeColor="text1"/>
          <w:highlight w:val="none"/>
          <w:u w:val="single"/>
          <w14:textFill>
            <w14:solidFill>
              <w14:schemeClr w14:val="tx1"/>
            </w14:solidFill>
          </w14:textFill>
        </w:rPr>
      </w:pPr>
    </w:p>
    <w:p w14:paraId="58D72F8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38D0C4B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p>
    <w:p w14:paraId="5AF05CB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750F77C2">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p>
    <w:p w14:paraId="6BD7ECFC">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3901D40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p>
    <w:p w14:paraId="5B2C09E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2095216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p>
    <w:p w14:paraId="63C1EFF5">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响应供应商</w:t>
      </w:r>
      <w:r>
        <w:rPr>
          <w:rFonts w:hint="eastAsia" w:ascii="仿宋" w:hAnsi="仿宋" w:eastAsia="仿宋" w:cs="宋体"/>
          <w:color w:val="000000" w:themeColor="text1"/>
          <w:kern w:val="0"/>
          <w:sz w:val="24"/>
          <w:highlight w:val="none"/>
          <w:lang w:val="zh-CN"/>
          <w14:textFill>
            <w14:solidFill>
              <w14:schemeClr w14:val="tx1"/>
            </w14:solidFill>
          </w14:textFill>
        </w:rPr>
        <w:t>名称(电子签名)：</w:t>
      </w:r>
    </w:p>
    <w:p w14:paraId="0CDF2AE2">
      <w:pPr>
        <w:snapToGrid w:val="0"/>
        <w:spacing w:line="360" w:lineRule="auto"/>
        <w:ind w:firstLine="5640" w:firstLineChars="235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w:t>
      </w:r>
    </w:p>
    <w:p w14:paraId="110EF9AF">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31C6AFA7">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763037E0">
      <w:pPr>
        <w:autoSpaceDE w:val="0"/>
        <w:autoSpaceDN w:val="0"/>
        <w:rPr>
          <w:rFonts w:ascii="仿宋" w:hAnsi="仿宋" w:eastAsia="仿宋"/>
          <w:b/>
          <w:color w:val="000000" w:themeColor="text1"/>
          <w:spacing w:val="6"/>
          <w:sz w:val="32"/>
          <w:szCs w:val="32"/>
          <w:highlight w:val="none"/>
          <w14:textFill>
            <w14:solidFill>
              <w14:schemeClr w14:val="tx1"/>
            </w14:solidFill>
          </w14:textFill>
        </w:rPr>
      </w:pPr>
    </w:p>
    <w:p w14:paraId="09594B39">
      <w:pPr>
        <w:autoSpaceDE w:val="0"/>
        <w:autoSpaceDN w:val="0"/>
        <w:rPr>
          <w:rFonts w:ascii="仿宋" w:hAnsi="仿宋" w:eastAsia="仿宋"/>
          <w:b/>
          <w:color w:val="000000" w:themeColor="text1"/>
          <w:spacing w:val="6"/>
          <w:sz w:val="32"/>
          <w:szCs w:val="32"/>
          <w:highlight w:val="none"/>
          <w14:textFill>
            <w14:solidFill>
              <w14:schemeClr w14:val="tx1"/>
            </w14:solidFill>
          </w14:textFill>
        </w:rPr>
      </w:pPr>
    </w:p>
    <w:p w14:paraId="15D2B415">
      <w:pPr>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br w:type="page"/>
      </w:r>
    </w:p>
    <w:p w14:paraId="1E5C6E60">
      <w:pPr>
        <w:autoSpaceDE w:val="0"/>
        <w:autoSpaceDN w:val="0"/>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附件6：</w:t>
      </w:r>
      <w:r>
        <w:rPr>
          <w:rFonts w:hint="eastAsia" w:ascii="仿宋" w:hAnsi="仿宋" w:eastAsia="仿宋"/>
          <w:b/>
          <w:color w:val="000000" w:themeColor="text1"/>
          <w:sz w:val="32"/>
          <w:szCs w:val="32"/>
          <w:highlight w:val="none"/>
          <w14:textFill>
            <w14:solidFill>
              <w14:schemeClr w14:val="tx1"/>
            </w14:solidFill>
          </w14:textFill>
        </w:rPr>
        <w:t>中小企业声明函</w:t>
      </w:r>
    </w:p>
    <w:p w14:paraId="7D0395E6">
      <w:pPr>
        <w:spacing w:line="360" w:lineRule="auto"/>
        <w:jc w:val="center"/>
        <w:rPr>
          <w:rFonts w:ascii="仿宋" w:hAnsi="仿宋" w:eastAsia="仿宋" w:cs="仿宋_GB2312"/>
          <w:color w:val="000000" w:themeColor="text1"/>
          <w:sz w:val="24"/>
          <w:highlight w:val="none"/>
          <w:u w:val="single"/>
          <w14:textFill>
            <w14:solidFill>
              <w14:schemeClr w14:val="tx1"/>
            </w14:solidFill>
          </w14:textFill>
        </w:rPr>
      </w:pPr>
    </w:p>
    <w:p w14:paraId="749576D5">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127BA657">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 xml:space="preserve">（征集人） </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F5C8A4F">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（标的名称）</w:t>
      </w:r>
      <w:r>
        <w:rPr>
          <w:rFonts w:hint="eastAsia" w:ascii="仿宋" w:hAnsi="仿宋" w:eastAsia="仿宋" w:cs="宋体"/>
          <w:color w:val="000000" w:themeColor="text1"/>
          <w:sz w:val="24"/>
          <w:highlight w:val="none"/>
          <w14:textFill>
            <w14:solidFill>
              <w14:schemeClr w14:val="tx1"/>
            </w14:solidFill>
          </w14:textFill>
        </w:rPr>
        <w:t xml:space="preserve">，属于 </w:t>
      </w:r>
      <w:r>
        <w:rPr>
          <w:rFonts w:hint="eastAsia" w:ascii="仿宋" w:hAnsi="仿宋" w:eastAsia="仿宋" w:cs="宋体"/>
          <w:color w:val="000000" w:themeColor="text1"/>
          <w:sz w:val="24"/>
          <w:highlight w:val="none"/>
          <w:u w:val="single"/>
          <w14:textFill>
            <w14:solidFill>
              <w14:schemeClr w14:val="tx1"/>
            </w14:solidFill>
          </w14:textFill>
        </w:rPr>
        <w:t>（征集文件中明确的所属行业）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62B19E52">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（标的名称）</w:t>
      </w:r>
      <w:r>
        <w:rPr>
          <w:rFonts w:hint="eastAsia" w:ascii="仿宋" w:hAnsi="仿宋" w:eastAsia="仿宋" w:cs="宋体"/>
          <w:color w:val="000000" w:themeColor="text1"/>
          <w:sz w:val="24"/>
          <w:highlight w:val="none"/>
          <w14:textFill>
            <w14:solidFill>
              <w14:schemeClr w14:val="tx1"/>
            </w14:solidFill>
          </w14:textFill>
        </w:rPr>
        <w:t xml:space="preserve">，属于 </w:t>
      </w:r>
      <w:r>
        <w:rPr>
          <w:rFonts w:hint="eastAsia" w:ascii="仿宋" w:hAnsi="仿宋" w:eastAsia="仿宋" w:cs="宋体"/>
          <w:color w:val="000000" w:themeColor="text1"/>
          <w:sz w:val="24"/>
          <w:highlight w:val="none"/>
          <w:u w:val="single"/>
          <w14:textFill>
            <w14:solidFill>
              <w14:schemeClr w14:val="tx1"/>
            </w14:solidFill>
          </w14:textFill>
        </w:rPr>
        <w:t>（征集文件中明确的所属行业）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076A07F4">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52F71277">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F057142">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05131936">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响应供应商</w:t>
      </w:r>
      <w:r>
        <w:rPr>
          <w:rFonts w:hint="eastAsia" w:ascii="仿宋" w:hAnsi="仿宋" w:eastAsia="仿宋" w:cs="宋体"/>
          <w:color w:val="000000" w:themeColor="text1"/>
          <w:sz w:val="24"/>
          <w:highlight w:val="none"/>
          <w14:textFill>
            <w14:solidFill>
              <w14:schemeClr w14:val="tx1"/>
            </w14:solidFill>
          </w14:textFill>
        </w:rPr>
        <w:t>名称（电子签名）：</w:t>
      </w:r>
    </w:p>
    <w:p w14:paraId="76C1C324">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1B0FF6D9">
      <w:pPr>
        <w:spacing w:line="360" w:lineRule="auto"/>
        <w:ind w:firstLine="310" w:firstLineChars="147"/>
        <w:jc w:val="left"/>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6F06A4BE">
      <w:pPr>
        <w:spacing w:line="360" w:lineRule="auto"/>
        <w:ind w:right="420"/>
        <w:rPr>
          <w:rFonts w:ascii="仿宋" w:hAnsi="仿宋" w:eastAsia="仿宋" w:cs="宋体"/>
          <w:color w:val="000000" w:themeColor="text1"/>
          <w:sz w:val="24"/>
          <w:highlight w:val="none"/>
          <w14:textFill>
            <w14:solidFill>
              <w14:schemeClr w14:val="tx1"/>
            </w14:solidFill>
          </w14:textFill>
        </w:rPr>
      </w:pPr>
    </w:p>
    <w:p w14:paraId="4E6E0D94">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注：</w:t>
      </w:r>
    </w:p>
    <w:p w14:paraId="341DCBB7">
      <w:pPr>
        <w:spacing w:line="360" w:lineRule="auto"/>
        <w:ind w:right="42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填写要求：①“标的名称”、“征集文件中明确的所属行业”依据征集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003DD3E">
      <w:pPr>
        <w:spacing w:line="360" w:lineRule="auto"/>
        <w:ind w:right="420" w:firstLine="720" w:firstLineChars="3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headerReference r:id="rId13" w:type="first"/>
      <w:footerReference r:id="rId15" w:type="first"/>
      <w:headerReference r:id="rId12" w:type="default"/>
      <w:footerReference r:id="rId14" w:type="default"/>
      <w:pgSz w:w="11906" w:h="16838"/>
      <w:pgMar w:top="1247" w:right="1418" w:bottom="1276" w:left="1418" w:header="851" w:footer="56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ˎ̥">
    <w:altName w:val="微软雅黑"/>
    <w:panose1 w:val="00000000000000000000"/>
    <w:charset w:val="00"/>
    <w:family w:val="decorative"/>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modern"/>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Times New Roman"/>
    <w:panose1 w:val="00000000000000000000"/>
    <w:charset w:val="00"/>
    <w:family w:val="modern"/>
    <w:pitch w:val="default"/>
    <w:sig w:usb0="00000000" w:usb1="00000000" w:usb2="00000008" w:usb3="00000000" w:csb0="000001FF"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Neue">
    <w:altName w:val="Times New Roman"/>
    <w:panose1 w:val="00000000000000000000"/>
    <w:charset w:val="00"/>
    <w:family w:val="decorative"/>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B4616">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EB26D8">
                          <w:pPr>
                            <w:pStyle w:val="3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ZIm8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Vi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sWSJvLAQAAnAMAAA4AAAAAAAAAAQAgAAAAHgEAAGRycy9lMm9E&#10;b2MueG1sUEsFBgAAAAAGAAYAWQEAAFsFAAAAAA==&#10;">
              <v:fill on="f" focussize="0,0"/>
              <v:stroke on="f"/>
              <v:imagedata o:title=""/>
              <o:lock v:ext="edit" aspectratio="f"/>
              <v:textbox inset="0mm,0mm,0mm,0mm" style="mso-fit-shape-to-text:t;">
                <w:txbxContent>
                  <w:p w14:paraId="54EB26D8">
                    <w:pPr>
                      <w:pStyle w:val="3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5F45">
    <w:pPr>
      <w:pStyle w:val="33"/>
      <w:framePr w:wrap="around" w:vAnchor="text" w:hAnchor="margin" w:xAlign="right" w:y="1"/>
      <w:rPr>
        <w:rStyle w:val="53"/>
      </w:rPr>
    </w:pPr>
    <w:r>
      <w:fldChar w:fldCharType="begin"/>
    </w:r>
    <w:r>
      <w:rPr>
        <w:rStyle w:val="53"/>
      </w:rPr>
      <w:instrText xml:space="preserve">PAGE  </w:instrText>
    </w:r>
    <w:r>
      <w:fldChar w:fldCharType="end"/>
    </w:r>
  </w:p>
  <w:p w14:paraId="74CC4C25">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FD82">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F29C96">
                          <w:pPr>
                            <w:pStyle w:val="3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4RNMsBAACdAwAADgAAAGRycy9lMm9Eb2MueG1srVPNjtMwEL4j7TtY&#10;vm+dVAhVUdMVqFqEhABp4QFcx2ks+U8et0lfAN6AExfuPFefg7GTtLB72cNenPHM+Jv5vpms7waj&#10;yVEGUM7WtFwUlEgrXKPsvqbfvt7friiByG3DtbOypicJ9G5z82rd+0ouXed0IwNBEAtV72vaxegr&#10;xkB00nBYOC8tBlsXDI94DXvWBN4jutFsWRRvWO9C44MTEgC92zFIJ8TwHEDXtkrIrRMHI20cUYPU&#10;PCIl6JQHusndtq0U8XPbgoxE1xSZxnxiEbR36WSbNa/2gftOiakF/pwWHnEyXFkseoHa8sjJIagn&#10;UEaJ4MC1cSGcYSORrAiyKItH2jx03MvMBaUGfxEdXg5WfDp+CUQ1uAklJZYbnPj554/zrz/n399J&#10;WbzOEvUeKsx88Jgbh3duwPQkXfIDOhPzoQ0mfZETwTgKfLoILIdIRHq0Wq5WBYYExuYL4rDrcx8g&#10;vpfOkGTUNOAEs7D8+BHimDqnpGrW3Sut8xS1/c+BmMnDrj0mKw67YWp855oT8ulx+DW1uOuU6A8W&#10;tU17MhthNnazcfBB7Ttsrcx9gX97iNhE7i1VGGGnwji1zG7asLQW/95z1vW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z+ETTLAQAAnQMAAA4AAAAAAAAAAQAgAAAAHgEAAGRycy9lMm9E&#10;b2MueG1sUEsFBgAAAAAGAAYAWQEAAFsFAAAAAA==&#10;">
              <v:fill on="f" focussize="0,0"/>
              <v:stroke on="f"/>
              <v:imagedata o:title=""/>
              <o:lock v:ext="edit" aspectratio="f"/>
              <v:textbox inset="0mm,0mm,0mm,0mm" style="mso-fit-shape-to-text:t;">
                <w:txbxContent>
                  <w:p w14:paraId="5AF29C96">
                    <w:pPr>
                      <w:pStyle w:val="3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62FE">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9E921B">
                          <w:pPr>
                            <w:pStyle w:val="3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HVRssBAACd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StKHLc48cv3b5cfvy4/v5Jl&#10;9fJ1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Fh1UbLAQAAnQMAAA4AAAAAAAAAAQAgAAAAHgEAAGRycy9lMm9E&#10;b2MueG1sUEsFBgAAAAAGAAYAWQEAAFsFAAAAAA==&#10;">
              <v:fill on="f" focussize="0,0"/>
              <v:stroke on="f"/>
              <v:imagedata o:title=""/>
              <o:lock v:ext="edit" aspectratio="f"/>
              <v:textbox inset="0mm,0mm,0mm,0mm" style="mso-fit-shape-to-text:t;">
                <w:txbxContent>
                  <w:p w14:paraId="7E9E921B">
                    <w:pPr>
                      <w:pStyle w:val="3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AD00">
    <w:pPr>
      <w:pStyle w:val="33"/>
      <w:rPr>
        <w:rFonts w:ascii="仿宋" w:hAnsi="仿宋" w:eastAsia="仿宋" w:cs="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34C294">
                          <w:pPr>
                            <w:pStyle w:val="3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iyjr8wBAACdAwAADgAAAGRycy9lMm9Eb2MueG1srVPNjtMwEL4j7TtY&#10;vm+ddBG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g5twQ4nlBid+/v7t/OPX+edX&#10;Uhavy9Si3kOFmQ8ec+Pwzg2YPvsBnUn50AaTvqiJYBwbfLo0WA6RiPRotVytCgwJjM0XxGdPz32A&#10;eC+dIcmoacAJ5sby4weIY+qckqpZd6e0zlPU9i8HYiYPS9xHjsmKw26YBO1cc0I9PQ6/phZ3nRL9&#10;3mJv057MRpiN3WwcfFD7DqmV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6LKOvzAEAAJ0DAAAOAAAAAAAAAAEAIAAAAB4BAABkcnMvZTJv&#10;RG9jLnhtbFBLBQYAAAAABgAGAFkBAABcBQAAAAA=&#10;">
              <v:fill on="f" focussize="0,0"/>
              <v:stroke on="f"/>
              <v:imagedata o:title=""/>
              <o:lock v:ext="edit" aspectratio="f"/>
              <v:textbox inset="0mm,0mm,0mm,0mm" style="mso-fit-shape-to-text:t;">
                <w:txbxContent>
                  <w:p w14:paraId="7434C294">
                    <w:pPr>
                      <w:pStyle w:val="3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E671">
    <w:pPr>
      <w:pStyle w:val="33"/>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71</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198F">
    <w:pPr>
      <w:pStyle w:val="47"/>
      <w:ind w:firstLine="210" w:firstLineChars="100"/>
      <w:jc w:val="right"/>
      <w:rPr>
        <w:rFonts w:ascii="仿宋" w:hAnsi="仿宋" w:eastAsia="仿宋"/>
        <w:b w:val="0"/>
        <w:i/>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93A8">
    <w:pPr>
      <w:pStyle w:val="34"/>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3B3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5F35">
    <w:pPr>
      <w:pStyle w:val="778"/>
    </w:pPr>
    <w:r>
      <w:rPr>
        <w:lang w:val="zh-CN"/>
      </w:rPr>
      <w:t></w:t>
    </w:r>
    <w:r>
      <w:tab/>
    </w:r>
    <w:r>
      <w:rPr>
        <w:lang w:val="zh-CN"/>
      </w:rPr>
      <w: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BE644">
    <w:pPr>
      <w:pBdr>
        <w:bottom w:val="none" w:color="auto" w:sz="0" w:space="0"/>
      </w:pBdr>
    </w:pPr>
  </w:p>
  <w:p w14:paraId="31A73636">
    <w:pPr>
      <w:pStyle w:val="77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5532">
    <w:pPr>
      <w:pStyle w:val="3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0FEC">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0E303"/>
    <w:multiLevelType w:val="singleLevel"/>
    <w:tmpl w:val="8AF0E303"/>
    <w:lvl w:ilvl="0" w:tentative="0">
      <w:start w:val="8"/>
      <w:numFmt w:val="chineseCounting"/>
      <w:suff w:val="nothing"/>
      <w:lvlText w:val="%1、"/>
      <w:lvlJc w:val="left"/>
      <w:pPr>
        <w:ind w:left="-3357"/>
      </w:pPr>
      <w:rPr>
        <w:rFonts w:hint="eastAsia"/>
      </w:rPr>
    </w:lvl>
  </w:abstractNum>
  <w:abstractNum w:abstractNumId="1">
    <w:nsid w:val="AD23E7A7"/>
    <w:multiLevelType w:val="singleLevel"/>
    <w:tmpl w:val="AD23E7A7"/>
    <w:lvl w:ilvl="0" w:tentative="0">
      <w:start w:val="31"/>
      <w:numFmt w:val="decimal"/>
      <w:suff w:val="space"/>
      <w:lvlText w:val="%1."/>
      <w:lvlJc w:val="left"/>
    </w:lvl>
  </w:abstractNum>
  <w:abstractNum w:abstractNumId="2">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E5CB78B"/>
    <w:multiLevelType w:val="singleLevel"/>
    <w:tmpl w:val="0E5CB78B"/>
    <w:lvl w:ilvl="0" w:tentative="0">
      <w:start w:val="4"/>
      <w:numFmt w:val="chineseCounting"/>
      <w:suff w:val="space"/>
      <w:lvlText w:val="第%1条"/>
      <w:lvlJc w:val="left"/>
      <w:rPr>
        <w:rFonts w:hint="eastAsia"/>
      </w:rPr>
    </w:lvl>
  </w:abstractNum>
  <w:abstractNum w:abstractNumId="4">
    <w:nsid w:val="30DB63A4"/>
    <w:multiLevelType w:val="singleLevel"/>
    <w:tmpl w:val="30DB63A4"/>
    <w:lvl w:ilvl="0" w:tentative="0">
      <w:start w:val="3"/>
      <w:numFmt w:val="chineseCounting"/>
      <w:suff w:val="nothing"/>
      <w:lvlText w:val="%1、"/>
      <w:lvlJc w:val="left"/>
      <w:rPr>
        <w:rFonts w:hint="eastAsia"/>
      </w:rPr>
    </w:lvl>
  </w:abstractNum>
  <w:abstractNum w:abstractNumId="5">
    <w:nsid w:val="47DC0923"/>
    <w:multiLevelType w:val="multilevel"/>
    <w:tmpl w:val="47DC092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ZjllMWVlZmVhYWU2NGY4ZGJhN2JlMzE1MWMyOTUifQ=="/>
    <w:docVar w:name="KSO_WPS_MARK_KEY" w:val="b4efbbef-7589-4146-96ed-476d982524f4"/>
  </w:docVars>
  <w:rsids>
    <w:rsidRoot w:val="00E1616D"/>
    <w:rsid w:val="0000035B"/>
    <w:rsid w:val="00000759"/>
    <w:rsid w:val="00001A22"/>
    <w:rsid w:val="000047AF"/>
    <w:rsid w:val="00007234"/>
    <w:rsid w:val="00011EDE"/>
    <w:rsid w:val="0002280B"/>
    <w:rsid w:val="00024E1B"/>
    <w:rsid w:val="000253AB"/>
    <w:rsid w:val="000263FD"/>
    <w:rsid w:val="00030D4F"/>
    <w:rsid w:val="000351FB"/>
    <w:rsid w:val="00036306"/>
    <w:rsid w:val="00040B07"/>
    <w:rsid w:val="00040E53"/>
    <w:rsid w:val="0004425F"/>
    <w:rsid w:val="00046747"/>
    <w:rsid w:val="000475A5"/>
    <w:rsid w:val="000600EB"/>
    <w:rsid w:val="00063D28"/>
    <w:rsid w:val="00064A6E"/>
    <w:rsid w:val="00065783"/>
    <w:rsid w:val="000703F3"/>
    <w:rsid w:val="00076120"/>
    <w:rsid w:val="00076357"/>
    <w:rsid w:val="000948E5"/>
    <w:rsid w:val="000A5D6A"/>
    <w:rsid w:val="000B1252"/>
    <w:rsid w:val="000B6BE9"/>
    <w:rsid w:val="000C1EC7"/>
    <w:rsid w:val="000C68FA"/>
    <w:rsid w:val="000D0EDB"/>
    <w:rsid w:val="000D373A"/>
    <w:rsid w:val="000D37FF"/>
    <w:rsid w:val="000D52AD"/>
    <w:rsid w:val="000D68FB"/>
    <w:rsid w:val="000D705C"/>
    <w:rsid w:val="000E2573"/>
    <w:rsid w:val="000E2FED"/>
    <w:rsid w:val="000E58C7"/>
    <w:rsid w:val="000F548B"/>
    <w:rsid w:val="000F7EFF"/>
    <w:rsid w:val="001003E2"/>
    <w:rsid w:val="00101507"/>
    <w:rsid w:val="00104316"/>
    <w:rsid w:val="00111211"/>
    <w:rsid w:val="00112DB9"/>
    <w:rsid w:val="001130C5"/>
    <w:rsid w:val="0011665B"/>
    <w:rsid w:val="00124100"/>
    <w:rsid w:val="0012472C"/>
    <w:rsid w:val="00125396"/>
    <w:rsid w:val="00125E20"/>
    <w:rsid w:val="00126CC7"/>
    <w:rsid w:val="00131617"/>
    <w:rsid w:val="00135E9F"/>
    <w:rsid w:val="00136CB6"/>
    <w:rsid w:val="00142C7C"/>
    <w:rsid w:val="0014681E"/>
    <w:rsid w:val="001510D0"/>
    <w:rsid w:val="001511EB"/>
    <w:rsid w:val="00151562"/>
    <w:rsid w:val="00153C12"/>
    <w:rsid w:val="00155AB9"/>
    <w:rsid w:val="00156CA5"/>
    <w:rsid w:val="001624C6"/>
    <w:rsid w:val="0016396E"/>
    <w:rsid w:val="00164F9E"/>
    <w:rsid w:val="00165AF2"/>
    <w:rsid w:val="00175C6F"/>
    <w:rsid w:val="00182976"/>
    <w:rsid w:val="00183043"/>
    <w:rsid w:val="00194C63"/>
    <w:rsid w:val="00195D3D"/>
    <w:rsid w:val="001C1850"/>
    <w:rsid w:val="001C2284"/>
    <w:rsid w:val="001C685D"/>
    <w:rsid w:val="001D253D"/>
    <w:rsid w:val="001D3DA3"/>
    <w:rsid w:val="001D51B5"/>
    <w:rsid w:val="001D5AB9"/>
    <w:rsid w:val="001E0643"/>
    <w:rsid w:val="001E299B"/>
    <w:rsid w:val="001E309F"/>
    <w:rsid w:val="001E618E"/>
    <w:rsid w:val="00205FA0"/>
    <w:rsid w:val="002114D6"/>
    <w:rsid w:val="00212AD8"/>
    <w:rsid w:val="00215E3A"/>
    <w:rsid w:val="00216D43"/>
    <w:rsid w:val="00222E84"/>
    <w:rsid w:val="00234D6F"/>
    <w:rsid w:val="00242A7E"/>
    <w:rsid w:val="00243805"/>
    <w:rsid w:val="00246545"/>
    <w:rsid w:val="00250B2A"/>
    <w:rsid w:val="00252322"/>
    <w:rsid w:val="00252CFE"/>
    <w:rsid w:val="0026525D"/>
    <w:rsid w:val="0026648D"/>
    <w:rsid w:val="002712BB"/>
    <w:rsid w:val="00277348"/>
    <w:rsid w:val="002854F0"/>
    <w:rsid w:val="00290FE3"/>
    <w:rsid w:val="002920CE"/>
    <w:rsid w:val="002B3BAA"/>
    <w:rsid w:val="002B54B7"/>
    <w:rsid w:val="002B5A6B"/>
    <w:rsid w:val="002B7244"/>
    <w:rsid w:val="002C0A55"/>
    <w:rsid w:val="002C3EC4"/>
    <w:rsid w:val="002C563E"/>
    <w:rsid w:val="002C77B0"/>
    <w:rsid w:val="002D2187"/>
    <w:rsid w:val="002D37CB"/>
    <w:rsid w:val="002D4132"/>
    <w:rsid w:val="002D4D26"/>
    <w:rsid w:val="002D51F4"/>
    <w:rsid w:val="002D7AFE"/>
    <w:rsid w:val="002E7EDB"/>
    <w:rsid w:val="002F12C3"/>
    <w:rsid w:val="002F4E51"/>
    <w:rsid w:val="002F7FF3"/>
    <w:rsid w:val="00300CE7"/>
    <w:rsid w:val="00303BE7"/>
    <w:rsid w:val="0030770D"/>
    <w:rsid w:val="00307959"/>
    <w:rsid w:val="00320180"/>
    <w:rsid w:val="003263B8"/>
    <w:rsid w:val="00333A2A"/>
    <w:rsid w:val="00335E22"/>
    <w:rsid w:val="00336E64"/>
    <w:rsid w:val="00337FA7"/>
    <w:rsid w:val="00342478"/>
    <w:rsid w:val="00347F7E"/>
    <w:rsid w:val="00351448"/>
    <w:rsid w:val="00361006"/>
    <w:rsid w:val="00361DB1"/>
    <w:rsid w:val="00362E89"/>
    <w:rsid w:val="00364EAB"/>
    <w:rsid w:val="0036578E"/>
    <w:rsid w:val="0037054E"/>
    <w:rsid w:val="00371340"/>
    <w:rsid w:val="003744F5"/>
    <w:rsid w:val="0038004C"/>
    <w:rsid w:val="003807FB"/>
    <w:rsid w:val="0038363E"/>
    <w:rsid w:val="003841E3"/>
    <w:rsid w:val="00385396"/>
    <w:rsid w:val="00393193"/>
    <w:rsid w:val="00394BBB"/>
    <w:rsid w:val="003A0A01"/>
    <w:rsid w:val="003A4370"/>
    <w:rsid w:val="003A4994"/>
    <w:rsid w:val="003A5D7C"/>
    <w:rsid w:val="003B0438"/>
    <w:rsid w:val="003B082E"/>
    <w:rsid w:val="003B48E2"/>
    <w:rsid w:val="003B6AA0"/>
    <w:rsid w:val="003C0881"/>
    <w:rsid w:val="003C164E"/>
    <w:rsid w:val="003C49BD"/>
    <w:rsid w:val="003C7C19"/>
    <w:rsid w:val="003D613E"/>
    <w:rsid w:val="003D71D0"/>
    <w:rsid w:val="003D75C6"/>
    <w:rsid w:val="003E056A"/>
    <w:rsid w:val="003E0EAB"/>
    <w:rsid w:val="003E66B5"/>
    <w:rsid w:val="003E73B0"/>
    <w:rsid w:val="003F0E6D"/>
    <w:rsid w:val="003F2D26"/>
    <w:rsid w:val="003F4517"/>
    <w:rsid w:val="004058AD"/>
    <w:rsid w:val="00411B8D"/>
    <w:rsid w:val="004161F7"/>
    <w:rsid w:val="00420B4D"/>
    <w:rsid w:val="00422113"/>
    <w:rsid w:val="00422BC2"/>
    <w:rsid w:val="00427D37"/>
    <w:rsid w:val="00435DC6"/>
    <w:rsid w:val="00441CAF"/>
    <w:rsid w:val="00442268"/>
    <w:rsid w:val="004424A3"/>
    <w:rsid w:val="00442AFB"/>
    <w:rsid w:val="00443816"/>
    <w:rsid w:val="00443ABF"/>
    <w:rsid w:val="00450E95"/>
    <w:rsid w:val="00451DB9"/>
    <w:rsid w:val="00452660"/>
    <w:rsid w:val="004541AB"/>
    <w:rsid w:val="0045790E"/>
    <w:rsid w:val="00461257"/>
    <w:rsid w:val="00466A65"/>
    <w:rsid w:val="00472BDF"/>
    <w:rsid w:val="00473316"/>
    <w:rsid w:val="00474CF4"/>
    <w:rsid w:val="004751F2"/>
    <w:rsid w:val="00476B83"/>
    <w:rsid w:val="0048320B"/>
    <w:rsid w:val="004879D9"/>
    <w:rsid w:val="00494665"/>
    <w:rsid w:val="004A0B7B"/>
    <w:rsid w:val="004A5577"/>
    <w:rsid w:val="004A7A02"/>
    <w:rsid w:val="004B0F07"/>
    <w:rsid w:val="004B11EE"/>
    <w:rsid w:val="004C0326"/>
    <w:rsid w:val="004C249E"/>
    <w:rsid w:val="004C2CE0"/>
    <w:rsid w:val="004C5E80"/>
    <w:rsid w:val="004D1759"/>
    <w:rsid w:val="004D187E"/>
    <w:rsid w:val="004D1AEB"/>
    <w:rsid w:val="004D5652"/>
    <w:rsid w:val="004E364C"/>
    <w:rsid w:val="004E426F"/>
    <w:rsid w:val="004E712C"/>
    <w:rsid w:val="004E740B"/>
    <w:rsid w:val="004F29EA"/>
    <w:rsid w:val="004F6D43"/>
    <w:rsid w:val="0050098C"/>
    <w:rsid w:val="00502663"/>
    <w:rsid w:val="005034ED"/>
    <w:rsid w:val="00503C62"/>
    <w:rsid w:val="00504E56"/>
    <w:rsid w:val="00506395"/>
    <w:rsid w:val="0051164A"/>
    <w:rsid w:val="00514D8A"/>
    <w:rsid w:val="0052005D"/>
    <w:rsid w:val="005227FF"/>
    <w:rsid w:val="00522DD7"/>
    <w:rsid w:val="00523BA9"/>
    <w:rsid w:val="00523E5E"/>
    <w:rsid w:val="00531763"/>
    <w:rsid w:val="0053578A"/>
    <w:rsid w:val="00536354"/>
    <w:rsid w:val="005375E1"/>
    <w:rsid w:val="00537ADA"/>
    <w:rsid w:val="005415BC"/>
    <w:rsid w:val="005546F0"/>
    <w:rsid w:val="00555116"/>
    <w:rsid w:val="0056017E"/>
    <w:rsid w:val="00560234"/>
    <w:rsid w:val="00560E04"/>
    <w:rsid w:val="00562271"/>
    <w:rsid w:val="005657A0"/>
    <w:rsid w:val="00565BBB"/>
    <w:rsid w:val="005663EC"/>
    <w:rsid w:val="00567750"/>
    <w:rsid w:val="00570683"/>
    <w:rsid w:val="00570F0B"/>
    <w:rsid w:val="00574C5F"/>
    <w:rsid w:val="00575386"/>
    <w:rsid w:val="00575DBA"/>
    <w:rsid w:val="00580E18"/>
    <w:rsid w:val="005817DC"/>
    <w:rsid w:val="00583939"/>
    <w:rsid w:val="005845E6"/>
    <w:rsid w:val="00584C44"/>
    <w:rsid w:val="00587E1C"/>
    <w:rsid w:val="00595308"/>
    <w:rsid w:val="00595FF5"/>
    <w:rsid w:val="00596395"/>
    <w:rsid w:val="00596576"/>
    <w:rsid w:val="0059738F"/>
    <w:rsid w:val="005974CC"/>
    <w:rsid w:val="005A073D"/>
    <w:rsid w:val="005A0A61"/>
    <w:rsid w:val="005A141C"/>
    <w:rsid w:val="005A1A6A"/>
    <w:rsid w:val="005A2CBD"/>
    <w:rsid w:val="005A552D"/>
    <w:rsid w:val="005A701D"/>
    <w:rsid w:val="005B0C20"/>
    <w:rsid w:val="005B1D35"/>
    <w:rsid w:val="005B3E72"/>
    <w:rsid w:val="005B5150"/>
    <w:rsid w:val="005B67F4"/>
    <w:rsid w:val="005B787D"/>
    <w:rsid w:val="005C0D58"/>
    <w:rsid w:val="005D0857"/>
    <w:rsid w:val="005D4EC0"/>
    <w:rsid w:val="005D5D7B"/>
    <w:rsid w:val="005D6DCF"/>
    <w:rsid w:val="005E063C"/>
    <w:rsid w:val="005E1D6A"/>
    <w:rsid w:val="005E2BC7"/>
    <w:rsid w:val="005E3BE7"/>
    <w:rsid w:val="005E6D07"/>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1D15"/>
    <w:rsid w:val="006627E0"/>
    <w:rsid w:val="00663843"/>
    <w:rsid w:val="006645D1"/>
    <w:rsid w:val="0067125B"/>
    <w:rsid w:val="006715C4"/>
    <w:rsid w:val="006731C2"/>
    <w:rsid w:val="00675855"/>
    <w:rsid w:val="00676663"/>
    <w:rsid w:val="00680864"/>
    <w:rsid w:val="006811A6"/>
    <w:rsid w:val="006851D6"/>
    <w:rsid w:val="00686064"/>
    <w:rsid w:val="006968A1"/>
    <w:rsid w:val="006B38E9"/>
    <w:rsid w:val="006B5686"/>
    <w:rsid w:val="006B7E53"/>
    <w:rsid w:val="006C5394"/>
    <w:rsid w:val="006C6D6C"/>
    <w:rsid w:val="006D5AAA"/>
    <w:rsid w:val="006E0E44"/>
    <w:rsid w:val="006E22FC"/>
    <w:rsid w:val="006E51F1"/>
    <w:rsid w:val="006E7AA3"/>
    <w:rsid w:val="006E7FB6"/>
    <w:rsid w:val="006F3D87"/>
    <w:rsid w:val="006F41F1"/>
    <w:rsid w:val="007032FC"/>
    <w:rsid w:val="00705080"/>
    <w:rsid w:val="0071341C"/>
    <w:rsid w:val="00724D10"/>
    <w:rsid w:val="007359F2"/>
    <w:rsid w:val="00736C2E"/>
    <w:rsid w:val="007459B1"/>
    <w:rsid w:val="00746411"/>
    <w:rsid w:val="00753986"/>
    <w:rsid w:val="007632BA"/>
    <w:rsid w:val="0076460E"/>
    <w:rsid w:val="00766E81"/>
    <w:rsid w:val="00767334"/>
    <w:rsid w:val="00773184"/>
    <w:rsid w:val="00773325"/>
    <w:rsid w:val="00775DB7"/>
    <w:rsid w:val="00782191"/>
    <w:rsid w:val="0078732E"/>
    <w:rsid w:val="00790BB0"/>
    <w:rsid w:val="0079223F"/>
    <w:rsid w:val="00795F45"/>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6D51"/>
    <w:rsid w:val="007D7699"/>
    <w:rsid w:val="007E1B95"/>
    <w:rsid w:val="007E1FFE"/>
    <w:rsid w:val="00800459"/>
    <w:rsid w:val="0080236B"/>
    <w:rsid w:val="00805364"/>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6FDC"/>
    <w:rsid w:val="008703F6"/>
    <w:rsid w:val="00885ADC"/>
    <w:rsid w:val="00895A87"/>
    <w:rsid w:val="00895AEE"/>
    <w:rsid w:val="00897C89"/>
    <w:rsid w:val="008B6087"/>
    <w:rsid w:val="008B6178"/>
    <w:rsid w:val="008B63A5"/>
    <w:rsid w:val="008C0D38"/>
    <w:rsid w:val="008C3B8C"/>
    <w:rsid w:val="008C6542"/>
    <w:rsid w:val="008D00C8"/>
    <w:rsid w:val="008D049B"/>
    <w:rsid w:val="008D04FB"/>
    <w:rsid w:val="008F7009"/>
    <w:rsid w:val="008F75E9"/>
    <w:rsid w:val="00914EC8"/>
    <w:rsid w:val="009160B3"/>
    <w:rsid w:val="009218EA"/>
    <w:rsid w:val="009263BF"/>
    <w:rsid w:val="00926970"/>
    <w:rsid w:val="00931ABA"/>
    <w:rsid w:val="0094235D"/>
    <w:rsid w:val="00946565"/>
    <w:rsid w:val="009537C0"/>
    <w:rsid w:val="0095606D"/>
    <w:rsid w:val="00960A61"/>
    <w:rsid w:val="00961D71"/>
    <w:rsid w:val="0096269F"/>
    <w:rsid w:val="00962B8B"/>
    <w:rsid w:val="00963CA7"/>
    <w:rsid w:val="00967775"/>
    <w:rsid w:val="009760E9"/>
    <w:rsid w:val="00977A38"/>
    <w:rsid w:val="00980FC1"/>
    <w:rsid w:val="009817E8"/>
    <w:rsid w:val="00982C44"/>
    <w:rsid w:val="00983401"/>
    <w:rsid w:val="00984BC8"/>
    <w:rsid w:val="0098569F"/>
    <w:rsid w:val="00986E66"/>
    <w:rsid w:val="0098775F"/>
    <w:rsid w:val="00990E12"/>
    <w:rsid w:val="00993137"/>
    <w:rsid w:val="00996DC3"/>
    <w:rsid w:val="009A0253"/>
    <w:rsid w:val="009A3225"/>
    <w:rsid w:val="009A4A1D"/>
    <w:rsid w:val="009A4ADA"/>
    <w:rsid w:val="009A71C8"/>
    <w:rsid w:val="009B07F6"/>
    <w:rsid w:val="009B7E95"/>
    <w:rsid w:val="009C177B"/>
    <w:rsid w:val="009C21D6"/>
    <w:rsid w:val="009C4A4C"/>
    <w:rsid w:val="009D158B"/>
    <w:rsid w:val="009D17DD"/>
    <w:rsid w:val="009D253B"/>
    <w:rsid w:val="009D395A"/>
    <w:rsid w:val="009D4ECA"/>
    <w:rsid w:val="009D55D1"/>
    <w:rsid w:val="009E61D3"/>
    <w:rsid w:val="009F04BF"/>
    <w:rsid w:val="009F14F6"/>
    <w:rsid w:val="009F439F"/>
    <w:rsid w:val="009F5DFD"/>
    <w:rsid w:val="00A01BB9"/>
    <w:rsid w:val="00A078F8"/>
    <w:rsid w:val="00A1481A"/>
    <w:rsid w:val="00A32D2B"/>
    <w:rsid w:val="00A40F00"/>
    <w:rsid w:val="00A458CA"/>
    <w:rsid w:val="00A5489E"/>
    <w:rsid w:val="00A55B46"/>
    <w:rsid w:val="00A573F6"/>
    <w:rsid w:val="00A62D9B"/>
    <w:rsid w:val="00A67757"/>
    <w:rsid w:val="00A70980"/>
    <w:rsid w:val="00A71448"/>
    <w:rsid w:val="00A73E11"/>
    <w:rsid w:val="00A750BA"/>
    <w:rsid w:val="00A817E3"/>
    <w:rsid w:val="00A87CE1"/>
    <w:rsid w:val="00A90869"/>
    <w:rsid w:val="00A91432"/>
    <w:rsid w:val="00A921CB"/>
    <w:rsid w:val="00A9431F"/>
    <w:rsid w:val="00A95895"/>
    <w:rsid w:val="00A95EE9"/>
    <w:rsid w:val="00AA1A5F"/>
    <w:rsid w:val="00AA31B8"/>
    <w:rsid w:val="00AA49E9"/>
    <w:rsid w:val="00AA7969"/>
    <w:rsid w:val="00AA7A0B"/>
    <w:rsid w:val="00AB0FE8"/>
    <w:rsid w:val="00AB1025"/>
    <w:rsid w:val="00AB454E"/>
    <w:rsid w:val="00AB68EB"/>
    <w:rsid w:val="00AB6D98"/>
    <w:rsid w:val="00AC3D46"/>
    <w:rsid w:val="00AC41D1"/>
    <w:rsid w:val="00AE4122"/>
    <w:rsid w:val="00AE6341"/>
    <w:rsid w:val="00AF09BB"/>
    <w:rsid w:val="00AF1428"/>
    <w:rsid w:val="00B019FA"/>
    <w:rsid w:val="00B03937"/>
    <w:rsid w:val="00B06C62"/>
    <w:rsid w:val="00B10F32"/>
    <w:rsid w:val="00B1269D"/>
    <w:rsid w:val="00B13A9D"/>
    <w:rsid w:val="00B156DB"/>
    <w:rsid w:val="00B16D24"/>
    <w:rsid w:val="00B27A9E"/>
    <w:rsid w:val="00B3501D"/>
    <w:rsid w:val="00B35E84"/>
    <w:rsid w:val="00B36F2A"/>
    <w:rsid w:val="00B3706C"/>
    <w:rsid w:val="00B37657"/>
    <w:rsid w:val="00B41E1F"/>
    <w:rsid w:val="00B432AA"/>
    <w:rsid w:val="00B507B6"/>
    <w:rsid w:val="00B51764"/>
    <w:rsid w:val="00B545D6"/>
    <w:rsid w:val="00B55927"/>
    <w:rsid w:val="00B567B1"/>
    <w:rsid w:val="00B609DD"/>
    <w:rsid w:val="00B638EC"/>
    <w:rsid w:val="00B645BD"/>
    <w:rsid w:val="00B64CBE"/>
    <w:rsid w:val="00B65D0F"/>
    <w:rsid w:val="00B70D08"/>
    <w:rsid w:val="00B71969"/>
    <w:rsid w:val="00B9167F"/>
    <w:rsid w:val="00B96BE5"/>
    <w:rsid w:val="00BA5723"/>
    <w:rsid w:val="00BA5923"/>
    <w:rsid w:val="00BB106F"/>
    <w:rsid w:val="00BB7216"/>
    <w:rsid w:val="00BB75F3"/>
    <w:rsid w:val="00BC1A1A"/>
    <w:rsid w:val="00BC699D"/>
    <w:rsid w:val="00BD19A4"/>
    <w:rsid w:val="00BD2765"/>
    <w:rsid w:val="00BD2940"/>
    <w:rsid w:val="00BD331A"/>
    <w:rsid w:val="00BD788C"/>
    <w:rsid w:val="00BD7913"/>
    <w:rsid w:val="00BD79F0"/>
    <w:rsid w:val="00BE140D"/>
    <w:rsid w:val="00BE1ABD"/>
    <w:rsid w:val="00BE53DD"/>
    <w:rsid w:val="00C04DB7"/>
    <w:rsid w:val="00C12949"/>
    <w:rsid w:val="00C157E9"/>
    <w:rsid w:val="00C23049"/>
    <w:rsid w:val="00C23A0B"/>
    <w:rsid w:val="00C24E8A"/>
    <w:rsid w:val="00C32E09"/>
    <w:rsid w:val="00C330EA"/>
    <w:rsid w:val="00C3678B"/>
    <w:rsid w:val="00C376D7"/>
    <w:rsid w:val="00C40B38"/>
    <w:rsid w:val="00C422D2"/>
    <w:rsid w:val="00C42482"/>
    <w:rsid w:val="00C429A2"/>
    <w:rsid w:val="00C42AF5"/>
    <w:rsid w:val="00C44857"/>
    <w:rsid w:val="00C45328"/>
    <w:rsid w:val="00C501FD"/>
    <w:rsid w:val="00C5223D"/>
    <w:rsid w:val="00C52497"/>
    <w:rsid w:val="00C55534"/>
    <w:rsid w:val="00C56663"/>
    <w:rsid w:val="00C56BFC"/>
    <w:rsid w:val="00C5749B"/>
    <w:rsid w:val="00C6277F"/>
    <w:rsid w:val="00C6473E"/>
    <w:rsid w:val="00C7410B"/>
    <w:rsid w:val="00C81AF6"/>
    <w:rsid w:val="00C81EA7"/>
    <w:rsid w:val="00C8217C"/>
    <w:rsid w:val="00C87B3A"/>
    <w:rsid w:val="00C87F71"/>
    <w:rsid w:val="00C91732"/>
    <w:rsid w:val="00C947CE"/>
    <w:rsid w:val="00C96169"/>
    <w:rsid w:val="00C965D2"/>
    <w:rsid w:val="00CA1D78"/>
    <w:rsid w:val="00CA2384"/>
    <w:rsid w:val="00CA33FF"/>
    <w:rsid w:val="00CA3754"/>
    <w:rsid w:val="00CA3C72"/>
    <w:rsid w:val="00CA7DC1"/>
    <w:rsid w:val="00CB6099"/>
    <w:rsid w:val="00CB7272"/>
    <w:rsid w:val="00CC504C"/>
    <w:rsid w:val="00CC7CB0"/>
    <w:rsid w:val="00CD0437"/>
    <w:rsid w:val="00CD46EC"/>
    <w:rsid w:val="00CD612B"/>
    <w:rsid w:val="00CD7143"/>
    <w:rsid w:val="00CE0842"/>
    <w:rsid w:val="00CE2C9C"/>
    <w:rsid w:val="00CE3A99"/>
    <w:rsid w:val="00CE46E3"/>
    <w:rsid w:val="00CF3B6F"/>
    <w:rsid w:val="00D01170"/>
    <w:rsid w:val="00D04EC6"/>
    <w:rsid w:val="00D10D75"/>
    <w:rsid w:val="00D14B45"/>
    <w:rsid w:val="00D27C16"/>
    <w:rsid w:val="00D4333B"/>
    <w:rsid w:val="00D446C8"/>
    <w:rsid w:val="00D56824"/>
    <w:rsid w:val="00D5761C"/>
    <w:rsid w:val="00D60825"/>
    <w:rsid w:val="00D65FD1"/>
    <w:rsid w:val="00D82D30"/>
    <w:rsid w:val="00D83812"/>
    <w:rsid w:val="00D875BC"/>
    <w:rsid w:val="00D921CE"/>
    <w:rsid w:val="00D92503"/>
    <w:rsid w:val="00D95F60"/>
    <w:rsid w:val="00D97F8B"/>
    <w:rsid w:val="00DA33AB"/>
    <w:rsid w:val="00DA68D9"/>
    <w:rsid w:val="00DB5A81"/>
    <w:rsid w:val="00DC1D8F"/>
    <w:rsid w:val="00DD675A"/>
    <w:rsid w:val="00DD7BF7"/>
    <w:rsid w:val="00DE057B"/>
    <w:rsid w:val="00DE3508"/>
    <w:rsid w:val="00DE3535"/>
    <w:rsid w:val="00DE5085"/>
    <w:rsid w:val="00DF016E"/>
    <w:rsid w:val="00DF0374"/>
    <w:rsid w:val="00DF170F"/>
    <w:rsid w:val="00DF664B"/>
    <w:rsid w:val="00DF6E0D"/>
    <w:rsid w:val="00DF6E8F"/>
    <w:rsid w:val="00DF78B3"/>
    <w:rsid w:val="00E017AA"/>
    <w:rsid w:val="00E02BE4"/>
    <w:rsid w:val="00E051EE"/>
    <w:rsid w:val="00E05B49"/>
    <w:rsid w:val="00E05C63"/>
    <w:rsid w:val="00E079D5"/>
    <w:rsid w:val="00E124FD"/>
    <w:rsid w:val="00E132BC"/>
    <w:rsid w:val="00E1616D"/>
    <w:rsid w:val="00E163AF"/>
    <w:rsid w:val="00E16F79"/>
    <w:rsid w:val="00E1711B"/>
    <w:rsid w:val="00E234CB"/>
    <w:rsid w:val="00E27688"/>
    <w:rsid w:val="00E30A1E"/>
    <w:rsid w:val="00E337FD"/>
    <w:rsid w:val="00E3531D"/>
    <w:rsid w:val="00E3741F"/>
    <w:rsid w:val="00E50368"/>
    <w:rsid w:val="00E515F9"/>
    <w:rsid w:val="00E52C72"/>
    <w:rsid w:val="00E533CB"/>
    <w:rsid w:val="00E538D0"/>
    <w:rsid w:val="00E63AEA"/>
    <w:rsid w:val="00E664B4"/>
    <w:rsid w:val="00E7155B"/>
    <w:rsid w:val="00E71E70"/>
    <w:rsid w:val="00E726E9"/>
    <w:rsid w:val="00E72E1E"/>
    <w:rsid w:val="00E72E5F"/>
    <w:rsid w:val="00E734E2"/>
    <w:rsid w:val="00E75E27"/>
    <w:rsid w:val="00E8221C"/>
    <w:rsid w:val="00E8457C"/>
    <w:rsid w:val="00E86D6C"/>
    <w:rsid w:val="00E9770D"/>
    <w:rsid w:val="00E97BBD"/>
    <w:rsid w:val="00EA2190"/>
    <w:rsid w:val="00EA5677"/>
    <w:rsid w:val="00EA581B"/>
    <w:rsid w:val="00EA75A3"/>
    <w:rsid w:val="00EB7CB7"/>
    <w:rsid w:val="00EC189D"/>
    <w:rsid w:val="00EC1FEA"/>
    <w:rsid w:val="00EC690D"/>
    <w:rsid w:val="00EC7414"/>
    <w:rsid w:val="00ED1FAA"/>
    <w:rsid w:val="00ED5543"/>
    <w:rsid w:val="00EE44FE"/>
    <w:rsid w:val="00EE475E"/>
    <w:rsid w:val="00EE4B24"/>
    <w:rsid w:val="00EE5377"/>
    <w:rsid w:val="00EE6A18"/>
    <w:rsid w:val="00EE74E9"/>
    <w:rsid w:val="00EF12CD"/>
    <w:rsid w:val="00EF6031"/>
    <w:rsid w:val="00F0236F"/>
    <w:rsid w:val="00F029A8"/>
    <w:rsid w:val="00F06920"/>
    <w:rsid w:val="00F07C24"/>
    <w:rsid w:val="00F11579"/>
    <w:rsid w:val="00F14042"/>
    <w:rsid w:val="00F22CF5"/>
    <w:rsid w:val="00F24F83"/>
    <w:rsid w:val="00F25B41"/>
    <w:rsid w:val="00F31024"/>
    <w:rsid w:val="00F31291"/>
    <w:rsid w:val="00F32BAD"/>
    <w:rsid w:val="00F376F3"/>
    <w:rsid w:val="00F47A4D"/>
    <w:rsid w:val="00F51DE3"/>
    <w:rsid w:val="00F60AA5"/>
    <w:rsid w:val="00F654CD"/>
    <w:rsid w:val="00F73E77"/>
    <w:rsid w:val="00F743A8"/>
    <w:rsid w:val="00F81E3E"/>
    <w:rsid w:val="00F82631"/>
    <w:rsid w:val="00F84EAB"/>
    <w:rsid w:val="00F85975"/>
    <w:rsid w:val="00F8600A"/>
    <w:rsid w:val="00F8795B"/>
    <w:rsid w:val="00F91A46"/>
    <w:rsid w:val="00FA07B7"/>
    <w:rsid w:val="00FA0DFA"/>
    <w:rsid w:val="00FA2B72"/>
    <w:rsid w:val="00FA5EFC"/>
    <w:rsid w:val="00FB0EE0"/>
    <w:rsid w:val="00FB12D0"/>
    <w:rsid w:val="00FB2B99"/>
    <w:rsid w:val="00FB6999"/>
    <w:rsid w:val="00FB7EFF"/>
    <w:rsid w:val="00FC0FB4"/>
    <w:rsid w:val="00FC38E5"/>
    <w:rsid w:val="00FC3BEC"/>
    <w:rsid w:val="00FD3C51"/>
    <w:rsid w:val="00FD6B77"/>
    <w:rsid w:val="00FE0A98"/>
    <w:rsid w:val="00FE2F6B"/>
    <w:rsid w:val="00FE329C"/>
    <w:rsid w:val="00FF0DEB"/>
    <w:rsid w:val="00FF1620"/>
    <w:rsid w:val="00FF17B6"/>
    <w:rsid w:val="00FF240C"/>
    <w:rsid w:val="00FF3E26"/>
    <w:rsid w:val="00FF7915"/>
    <w:rsid w:val="00FF7A18"/>
    <w:rsid w:val="01964270"/>
    <w:rsid w:val="02502671"/>
    <w:rsid w:val="026D04F2"/>
    <w:rsid w:val="03887BE8"/>
    <w:rsid w:val="03BB6210"/>
    <w:rsid w:val="03EA3A7E"/>
    <w:rsid w:val="03F8305C"/>
    <w:rsid w:val="04644481"/>
    <w:rsid w:val="05355B4E"/>
    <w:rsid w:val="05542955"/>
    <w:rsid w:val="05856AD5"/>
    <w:rsid w:val="05C642DE"/>
    <w:rsid w:val="05DF6188"/>
    <w:rsid w:val="060519C4"/>
    <w:rsid w:val="06352490"/>
    <w:rsid w:val="067601CC"/>
    <w:rsid w:val="06806663"/>
    <w:rsid w:val="072D11D3"/>
    <w:rsid w:val="073267E9"/>
    <w:rsid w:val="07C35693"/>
    <w:rsid w:val="08797A5E"/>
    <w:rsid w:val="088968DD"/>
    <w:rsid w:val="089F7EAE"/>
    <w:rsid w:val="08EF7EA7"/>
    <w:rsid w:val="09184470"/>
    <w:rsid w:val="093A2BC1"/>
    <w:rsid w:val="093D3223"/>
    <w:rsid w:val="09572537"/>
    <w:rsid w:val="09BF626E"/>
    <w:rsid w:val="0A0F216C"/>
    <w:rsid w:val="0B4821A6"/>
    <w:rsid w:val="0B626F71"/>
    <w:rsid w:val="0BB377CC"/>
    <w:rsid w:val="0BE502CE"/>
    <w:rsid w:val="0C2B1A59"/>
    <w:rsid w:val="0C7005A3"/>
    <w:rsid w:val="0D5079C9"/>
    <w:rsid w:val="0DA93427"/>
    <w:rsid w:val="0DE511AA"/>
    <w:rsid w:val="0E7F4D81"/>
    <w:rsid w:val="0E863088"/>
    <w:rsid w:val="0EEC1973"/>
    <w:rsid w:val="0F34026C"/>
    <w:rsid w:val="0F38079F"/>
    <w:rsid w:val="0F425530"/>
    <w:rsid w:val="0F793CA8"/>
    <w:rsid w:val="0F9E27B1"/>
    <w:rsid w:val="0FDB19E4"/>
    <w:rsid w:val="1097151B"/>
    <w:rsid w:val="10C36704"/>
    <w:rsid w:val="116F251B"/>
    <w:rsid w:val="1235426E"/>
    <w:rsid w:val="1302511E"/>
    <w:rsid w:val="13B00541"/>
    <w:rsid w:val="14975EDD"/>
    <w:rsid w:val="14ED26E7"/>
    <w:rsid w:val="151076E3"/>
    <w:rsid w:val="152B4D59"/>
    <w:rsid w:val="153674A4"/>
    <w:rsid w:val="168D7D37"/>
    <w:rsid w:val="16D03928"/>
    <w:rsid w:val="17FB2C27"/>
    <w:rsid w:val="182242EF"/>
    <w:rsid w:val="1895590B"/>
    <w:rsid w:val="18BC7DE6"/>
    <w:rsid w:val="18F67569"/>
    <w:rsid w:val="19627BE0"/>
    <w:rsid w:val="19C25F53"/>
    <w:rsid w:val="1A280C73"/>
    <w:rsid w:val="1A654388"/>
    <w:rsid w:val="1A750A6F"/>
    <w:rsid w:val="1AE56E79"/>
    <w:rsid w:val="1B0D0CA7"/>
    <w:rsid w:val="1B471160"/>
    <w:rsid w:val="1B7D7315"/>
    <w:rsid w:val="1DA358F3"/>
    <w:rsid w:val="1DE43E33"/>
    <w:rsid w:val="1DF75BEC"/>
    <w:rsid w:val="1F3709E9"/>
    <w:rsid w:val="1F3C6817"/>
    <w:rsid w:val="1FD75435"/>
    <w:rsid w:val="202F61E2"/>
    <w:rsid w:val="204B2AF3"/>
    <w:rsid w:val="21423675"/>
    <w:rsid w:val="218617B3"/>
    <w:rsid w:val="222978D4"/>
    <w:rsid w:val="223F3321"/>
    <w:rsid w:val="22914623"/>
    <w:rsid w:val="2342795C"/>
    <w:rsid w:val="23D7A504"/>
    <w:rsid w:val="243518F0"/>
    <w:rsid w:val="243948BB"/>
    <w:rsid w:val="244A5295"/>
    <w:rsid w:val="244E1F2B"/>
    <w:rsid w:val="247E2C16"/>
    <w:rsid w:val="24854ADC"/>
    <w:rsid w:val="24C2273E"/>
    <w:rsid w:val="24DD5B8E"/>
    <w:rsid w:val="24F15F5D"/>
    <w:rsid w:val="252448AD"/>
    <w:rsid w:val="252C216A"/>
    <w:rsid w:val="25387269"/>
    <w:rsid w:val="25900E53"/>
    <w:rsid w:val="26064772"/>
    <w:rsid w:val="26863B51"/>
    <w:rsid w:val="276460F3"/>
    <w:rsid w:val="27952750"/>
    <w:rsid w:val="286640ED"/>
    <w:rsid w:val="288029BC"/>
    <w:rsid w:val="29982084"/>
    <w:rsid w:val="29CA2459"/>
    <w:rsid w:val="2ACB3A76"/>
    <w:rsid w:val="2B2A1401"/>
    <w:rsid w:val="2B3D7387"/>
    <w:rsid w:val="2B7703BB"/>
    <w:rsid w:val="2BB60EE7"/>
    <w:rsid w:val="2C4464F3"/>
    <w:rsid w:val="2CB159A1"/>
    <w:rsid w:val="2CD37B28"/>
    <w:rsid w:val="2DBE22D5"/>
    <w:rsid w:val="2DCC49F2"/>
    <w:rsid w:val="2E982B26"/>
    <w:rsid w:val="2EBE74D1"/>
    <w:rsid w:val="2EFF3269"/>
    <w:rsid w:val="2F3E4EAB"/>
    <w:rsid w:val="2FC114AB"/>
    <w:rsid w:val="2FDC70E7"/>
    <w:rsid w:val="2FDFF92E"/>
    <w:rsid w:val="300852DE"/>
    <w:rsid w:val="300F0BC6"/>
    <w:rsid w:val="303E2AC2"/>
    <w:rsid w:val="30BA4FD6"/>
    <w:rsid w:val="31102E48"/>
    <w:rsid w:val="313C1E8F"/>
    <w:rsid w:val="31570A76"/>
    <w:rsid w:val="316B0241"/>
    <w:rsid w:val="31D43E75"/>
    <w:rsid w:val="33127A3B"/>
    <w:rsid w:val="335B6ED2"/>
    <w:rsid w:val="3488324A"/>
    <w:rsid w:val="34DA3E98"/>
    <w:rsid w:val="34EE16F2"/>
    <w:rsid w:val="35050905"/>
    <w:rsid w:val="35A10338"/>
    <w:rsid w:val="361B321B"/>
    <w:rsid w:val="3656754F"/>
    <w:rsid w:val="36941E25"/>
    <w:rsid w:val="36A35CDC"/>
    <w:rsid w:val="3709636F"/>
    <w:rsid w:val="373692BD"/>
    <w:rsid w:val="375C0B95"/>
    <w:rsid w:val="381A08EC"/>
    <w:rsid w:val="383B2EA0"/>
    <w:rsid w:val="391D07F7"/>
    <w:rsid w:val="393022D9"/>
    <w:rsid w:val="3A6A35F5"/>
    <w:rsid w:val="3B0E76B6"/>
    <w:rsid w:val="3B477222"/>
    <w:rsid w:val="3C1732DC"/>
    <w:rsid w:val="3C2146CA"/>
    <w:rsid w:val="3CAB6D4D"/>
    <w:rsid w:val="3CCF1E09"/>
    <w:rsid w:val="3E216694"/>
    <w:rsid w:val="3EE33365"/>
    <w:rsid w:val="3FBA5A8D"/>
    <w:rsid w:val="3FFFF789"/>
    <w:rsid w:val="404A2A87"/>
    <w:rsid w:val="4081166C"/>
    <w:rsid w:val="408B6EED"/>
    <w:rsid w:val="40CF0629"/>
    <w:rsid w:val="417D2B06"/>
    <w:rsid w:val="41886A2A"/>
    <w:rsid w:val="418F600A"/>
    <w:rsid w:val="41EC5318"/>
    <w:rsid w:val="42AC04F6"/>
    <w:rsid w:val="42FB573A"/>
    <w:rsid w:val="431C4995"/>
    <w:rsid w:val="43482915"/>
    <w:rsid w:val="4374370A"/>
    <w:rsid w:val="43A52BED"/>
    <w:rsid w:val="43BB30E7"/>
    <w:rsid w:val="43E4263E"/>
    <w:rsid w:val="44063FD2"/>
    <w:rsid w:val="441B288E"/>
    <w:rsid w:val="44314783"/>
    <w:rsid w:val="4467501D"/>
    <w:rsid w:val="452D52E6"/>
    <w:rsid w:val="455E0064"/>
    <w:rsid w:val="458D2BAE"/>
    <w:rsid w:val="45F36B68"/>
    <w:rsid w:val="46843C64"/>
    <w:rsid w:val="46A55988"/>
    <w:rsid w:val="476E221E"/>
    <w:rsid w:val="48104C5A"/>
    <w:rsid w:val="484F2050"/>
    <w:rsid w:val="4867383D"/>
    <w:rsid w:val="487F6972"/>
    <w:rsid w:val="489839F7"/>
    <w:rsid w:val="48E00EFA"/>
    <w:rsid w:val="48F00082"/>
    <w:rsid w:val="490311F9"/>
    <w:rsid w:val="490C1CEF"/>
    <w:rsid w:val="49425841"/>
    <w:rsid w:val="495E7E0F"/>
    <w:rsid w:val="499F55E5"/>
    <w:rsid w:val="49A14974"/>
    <w:rsid w:val="4A5E2A1E"/>
    <w:rsid w:val="4A6B0275"/>
    <w:rsid w:val="4A7021F9"/>
    <w:rsid w:val="4BAB23AA"/>
    <w:rsid w:val="4BBB4237"/>
    <w:rsid w:val="4BED4059"/>
    <w:rsid w:val="4BF2235F"/>
    <w:rsid w:val="4CBD7ED0"/>
    <w:rsid w:val="4CFA6A2E"/>
    <w:rsid w:val="4D9F7EA1"/>
    <w:rsid w:val="4E78284D"/>
    <w:rsid w:val="4EDD690D"/>
    <w:rsid w:val="4EDF237F"/>
    <w:rsid w:val="4F5DCF2E"/>
    <w:rsid w:val="4F6DDAC3"/>
    <w:rsid w:val="4F815C51"/>
    <w:rsid w:val="4FD32D75"/>
    <w:rsid w:val="50DB2551"/>
    <w:rsid w:val="51125306"/>
    <w:rsid w:val="51FD3793"/>
    <w:rsid w:val="520619D1"/>
    <w:rsid w:val="526D37FE"/>
    <w:rsid w:val="52742DDF"/>
    <w:rsid w:val="528172AA"/>
    <w:rsid w:val="52E321D1"/>
    <w:rsid w:val="534327B1"/>
    <w:rsid w:val="539F426B"/>
    <w:rsid w:val="53D60AE0"/>
    <w:rsid w:val="541A79B6"/>
    <w:rsid w:val="54353740"/>
    <w:rsid w:val="54947768"/>
    <w:rsid w:val="5572737D"/>
    <w:rsid w:val="5579695E"/>
    <w:rsid w:val="566A23DB"/>
    <w:rsid w:val="56B539C6"/>
    <w:rsid w:val="56D06A51"/>
    <w:rsid w:val="570A744B"/>
    <w:rsid w:val="579A440E"/>
    <w:rsid w:val="57C57C38"/>
    <w:rsid w:val="57EABBA6"/>
    <w:rsid w:val="5966544B"/>
    <w:rsid w:val="5A9F0C15"/>
    <w:rsid w:val="5AAC3332"/>
    <w:rsid w:val="5AB44C34"/>
    <w:rsid w:val="5B34012D"/>
    <w:rsid w:val="5B835E40"/>
    <w:rsid w:val="5BF16B95"/>
    <w:rsid w:val="5BF7DEF9"/>
    <w:rsid w:val="5BFE4FAD"/>
    <w:rsid w:val="5C0056E3"/>
    <w:rsid w:val="5C0735ED"/>
    <w:rsid w:val="5C3D4D95"/>
    <w:rsid w:val="5C3E7FB9"/>
    <w:rsid w:val="5C514191"/>
    <w:rsid w:val="5C67685F"/>
    <w:rsid w:val="5CE620CD"/>
    <w:rsid w:val="5CF410E7"/>
    <w:rsid w:val="5CFC234E"/>
    <w:rsid w:val="5D675118"/>
    <w:rsid w:val="5D7F77C7"/>
    <w:rsid w:val="5D9A4254"/>
    <w:rsid w:val="5DA6050C"/>
    <w:rsid w:val="5DF5D9E4"/>
    <w:rsid w:val="5DFF344B"/>
    <w:rsid w:val="5E056FE1"/>
    <w:rsid w:val="5E573A96"/>
    <w:rsid w:val="5E7F7BD4"/>
    <w:rsid w:val="5E8C1F43"/>
    <w:rsid w:val="5F334021"/>
    <w:rsid w:val="5FAA769A"/>
    <w:rsid w:val="5FBA3DFB"/>
    <w:rsid w:val="5FC627A0"/>
    <w:rsid w:val="5FD319E8"/>
    <w:rsid w:val="5FDB7E4E"/>
    <w:rsid w:val="60600303"/>
    <w:rsid w:val="60750633"/>
    <w:rsid w:val="608A4471"/>
    <w:rsid w:val="60A517DE"/>
    <w:rsid w:val="610E4B69"/>
    <w:rsid w:val="61193193"/>
    <w:rsid w:val="615C33BC"/>
    <w:rsid w:val="61C15914"/>
    <w:rsid w:val="61F21F72"/>
    <w:rsid w:val="624531DA"/>
    <w:rsid w:val="635307EE"/>
    <w:rsid w:val="63B53257"/>
    <w:rsid w:val="63B76FCF"/>
    <w:rsid w:val="63D538F9"/>
    <w:rsid w:val="641E0DFC"/>
    <w:rsid w:val="64CE2822"/>
    <w:rsid w:val="64D114A0"/>
    <w:rsid w:val="65033C7C"/>
    <w:rsid w:val="65393A14"/>
    <w:rsid w:val="655D5954"/>
    <w:rsid w:val="659375C8"/>
    <w:rsid w:val="660B3602"/>
    <w:rsid w:val="66430121"/>
    <w:rsid w:val="666351EC"/>
    <w:rsid w:val="667D1CC6"/>
    <w:rsid w:val="66926769"/>
    <w:rsid w:val="66A4259C"/>
    <w:rsid w:val="6703252B"/>
    <w:rsid w:val="67D30150"/>
    <w:rsid w:val="67FF0F45"/>
    <w:rsid w:val="68293CE6"/>
    <w:rsid w:val="68C11E75"/>
    <w:rsid w:val="69270753"/>
    <w:rsid w:val="69342E70"/>
    <w:rsid w:val="6A1A02B8"/>
    <w:rsid w:val="6A2B6021"/>
    <w:rsid w:val="6A3D789D"/>
    <w:rsid w:val="6A6C0D78"/>
    <w:rsid w:val="6AB029CA"/>
    <w:rsid w:val="6ABCBB87"/>
    <w:rsid w:val="6ABF50F6"/>
    <w:rsid w:val="6B39672C"/>
    <w:rsid w:val="6B7ED678"/>
    <w:rsid w:val="6BA9307D"/>
    <w:rsid w:val="6BC2108F"/>
    <w:rsid w:val="6BD9169B"/>
    <w:rsid w:val="6BF76122"/>
    <w:rsid w:val="6BFB53E8"/>
    <w:rsid w:val="6C2B0F00"/>
    <w:rsid w:val="6D7B84BD"/>
    <w:rsid w:val="6E63613F"/>
    <w:rsid w:val="6E9142D2"/>
    <w:rsid w:val="6F112763"/>
    <w:rsid w:val="6F2571F3"/>
    <w:rsid w:val="6F4831D1"/>
    <w:rsid w:val="701D28B0"/>
    <w:rsid w:val="710B4A4C"/>
    <w:rsid w:val="71132E71"/>
    <w:rsid w:val="720E0754"/>
    <w:rsid w:val="72350B1C"/>
    <w:rsid w:val="724B45BB"/>
    <w:rsid w:val="72533C5C"/>
    <w:rsid w:val="72FD23C0"/>
    <w:rsid w:val="73505A66"/>
    <w:rsid w:val="737422BC"/>
    <w:rsid w:val="738ED7A4"/>
    <w:rsid w:val="73CB696A"/>
    <w:rsid w:val="73EF53EC"/>
    <w:rsid w:val="74AA28A5"/>
    <w:rsid w:val="74DF6386"/>
    <w:rsid w:val="74E230E6"/>
    <w:rsid w:val="7525141B"/>
    <w:rsid w:val="75952EE8"/>
    <w:rsid w:val="75D31A67"/>
    <w:rsid w:val="75F573FC"/>
    <w:rsid w:val="76CD220E"/>
    <w:rsid w:val="76FB44E0"/>
    <w:rsid w:val="77314B8B"/>
    <w:rsid w:val="776A5D31"/>
    <w:rsid w:val="77A25D75"/>
    <w:rsid w:val="77A73069"/>
    <w:rsid w:val="77DF2778"/>
    <w:rsid w:val="77E5466A"/>
    <w:rsid w:val="77E97F7D"/>
    <w:rsid w:val="782B4284"/>
    <w:rsid w:val="784A1D68"/>
    <w:rsid w:val="785B70C0"/>
    <w:rsid w:val="79000CCA"/>
    <w:rsid w:val="794E016C"/>
    <w:rsid w:val="79907C4E"/>
    <w:rsid w:val="799395D7"/>
    <w:rsid w:val="7A2103A5"/>
    <w:rsid w:val="7AFF8001"/>
    <w:rsid w:val="7B9A6B62"/>
    <w:rsid w:val="7B9D1842"/>
    <w:rsid w:val="7BB8146F"/>
    <w:rsid w:val="7BC13C07"/>
    <w:rsid w:val="7BFA68D5"/>
    <w:rsid w:val="7BFBFAE3"/>
    <w:rsid w:val="7BFE0816"/>
    <w:rsid w:val="7BFE2842"/>
    <w:rsid w:val="7BFFBC46"/>
    <w:rsid w:val="7C1A7CA3"/>
    <w:rsid w:val="7CC71774"/>
    <w:rsid w:val="7DBD483E"/>
    <w:rsid w:val="7DFE4CD7"/>
    <w:rsid w:val="7E1E7F1F"/>
    <w:rsid w:val="7E617E0B"/>
    <w:rsid w:val="7E6A21D9"/>
    <w:rsid w:val="7E745001"/>
    <w:rsid w:val="7ED60F26"/>
    <w:rsid w:val="7F58120E"/>
    <w:rsid w:val="7F6F0306"/>
    <w:rsid w:val="7FB61B21"/>
    <w:rsid w:val="7FCF35C1"/>
    <w:rsid w:val="7FDB4D8C"/>
    <w:rsid w:val="87DF8037"/>
    <w:rsid w:val="97BF7931"/>
    <w:rsid w:val="9B66D5FA"/>
    <w:rsid w:val="9BDE8504"/>
    <w:rsid w:val="9DD6A4F4"/>
    <w:rsid w:val="AFBE23F4"/>
    <w:rsid w:val="B77EFB20"/>
    <w:rsid w:val="BE9F7F36"/>
    <w:rsid w:val="BEEF53E0"/>
    <w:rsid w:val="BEF95CF8"/>
    <w:rsid w:val="BEFCAAD5"/>
    <w:rsid w:val="CE9EA866"/>
    <w:rsid w:val="D3FEBF7C"/>
    <w:rsid w:val="DCEFAAC1"/>
    <w:rsid w:val="DDDEF4AB"/>
    <w:rsid w:val="DFF7B5AF"/>
    <w:rsid w:val="DFFF4C6A"/>
    <w:rsid w:val="EA7F06EC"/>
    <w:rsid w:val="EFAF2FC5"/>
    <w:rsid w:val="EFBB1F70"/>
    <w:rsid w:val="EFEF0243"/>
    <w:rsid w:val="EFFF478C"/>
    <w:rsid w:val="F11F0BCE"/>
    <w:rsid w:val="F3FB26FC"/>
    <w:rsid w:val="F4FFC58E"/>
    <w:rsid w:val="F5634258"/>
    <w:rsid w:val="F62B604B"/>
    <w:rsid w:val="F9BF7126"/>
    <w:rsid w:val="FAFCA1AB"/>
    <w:rsid w:val="FB7B6F63"/>
    <w:rsid w:val="FBFFBD6B"/>
    <w:rsid w:val="FE1FAC09"/>
    <w:rsid w:val="FF7BDE62"/>
    <w:rsid w:val="FF7E4620"/>
    <w:rsid w:val="FFBFD9E7"/>
    <w:rsid w:val="FFE70A19"/>
    <w:rsid w:val="FFEB23F3"/>
    <w:rsid w:val="FFEC9493"/>
    <w:rsid w:val="FFFF43B7"/>
    <w:rsid w:val="FFFFE9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47"/>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15"/>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91"/>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78"/>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7"/>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96"/>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16"/>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3">
    <w:name w:val="Normal Indent"/>
    <w:basedOn w:val="1"/>
    <w:next w:val="1"/>
    <w:link w:val="111"/>
    <w:qFormat/>
    <w:uiPriority w:val="0"/>
    <w:pPr>
      <w:widowControl/>
      <w:snapToGrid w:val="0"/>
      <w:spacing w:line="480" w:lineRule="exact"/>
      <w:ind w:firstLine="567"/>
    </w:pPr>
    <w:rPr>
      <w:rFonts w:ascii="宋体"/>
      <w:snapToGrid w:val="0"/>
      <w:color w:val="000000"/>
      <w:kern w:val="28"/>
      <w:sz w:val="28"/>
      <w:szCs w:val="20"/>
    </w:rPr>
  </w:style>
  <w:style w:type="paragraph" w:styleId="14">
    <w:name w:val="caption"/>
    <w:basedOn w:val="1"/>
    <w:next w:val="1"/>
    <w:link w:val="340"/>
    <w:qFormat/>
    <w:uiPriority w:val="0"/>
    <w:rPr>
      <w:b/>
      <w:sz w:val="28"/>
      <w:szCs w:val="20"/>
    </w:rPr>
  </w:style>
  <w:style w:type="paragraph" w:styleId="15">
    <w:name w:val="index 5"/>
    <w:basedOn w:val="1"/>
    <w:next w:val="1"/>
    <w:qFormat/>
    <w:uiPriority w:val="0"/>
    <w:pPr>
      <w:adjustRightInd/>
      <w:ind w:left="800" w:leftChars="800" w:firstLine="200" w:firstLineChars="200"/>
    </w:pPr>
  </w:style>
  <w:style w:type="paragraph" w:styleId="16">
    <w:name w:val="Document Map"/>
    <w:basedOn w:val="1"/>
    <w:link w:val="127"/>
    <w:qFormat/>
    <w:uiPriority w:val="6"/>
    <w:pPr>
      <w:shd w:val="clear" w:color="auto" w:fill="000080"/>
    </w:pPr>
    <w:rPr>
      <w:rFonts w:ascii="Arial" w:hAnsi="Arial" w:eastAsia="黑体"/>
      <w:snapToGrid w:val="0"/>
    </w:rPr>
  </w:style>
  <w:style w:type="paragraph" w:styleId="17">
    <w:name w:val="annotation text"/>
    <w:basedOn w:val="1"/>
    <w:link w:val="288"/>
    <w:qFormat/>
    <w:uiPriority w:val="99"/>
    <w:pPr>
      <w:jc w:val="left"/>
    </w:pPr>
  </w:style>
  <w:style w:type="paragraph" w:styleId="18">
    <w:name w:val="Salutation"/>
    <w:basedOn w:val="1"/>
    <w:next w:val="1"/>
    <w:link w:val="276"/>
    <w:qFormat/>
    <w:uiPriority w:val="0"/>
    <w:rPr>
      <w:rFonts w:ascii="仿宋_GB2312" w:eastAsia="仿宋_GB2312"/>
      <w:sz w:val="28"/>
      <w:szCs w:val="20"/>
    </w:rPr>
  </w:style>
  <w:style w:type="paragraph" w:styleId="19">
    <w:name w:val="Body Text 3"/>
    <w:basedOn w:val="1"/>
    <w:link w:val="270"/>
    <w:qFormat/>
    <w:uiPriority w:val="0"/>
    <w:pPr>
      <w:jc w:val="center"/>
    </w:pPr>
    <w:rPr>
      <w:szCs w:val="20"/>
    </w:rPr>
  </w:style>
  <w:style w:type="paragraph" w:styleId="20">
    <w:name w:val="Body Text"/>
    <w:basedOn w:val="1"/>
    <w:link w:val="83"/>
    <w:qFormat/>
    <w:uiPriority w:val="0"/>
    <w:pPr>
      <w:autoSpaceDE w:val="0"/>
      <w:autoSpaceDN w:val="0"/>
      <w:spacing w:line="360" w:lineRule="auto"/>
    </w:pPr>
    <w:rPr>
      <w:rFonts w:ascii="宋体" w:hAnsi="Arial" w:eastAsia="黑体"/>
      <w:snapToGrid w:val="0"/>
      <w:sz w:val="24"/>
      <w:szCs w:val="21"/>
      <w:lang w:val="zh-CN"/>
    </w:rPr>
  </w:style>
  <w:style w:type="paragraph" w:styleId="21">
    <w:name w:val="Body Text Indent"/>
    <w:basedOn w:val="1"/>
    <w:next w:val="22"/>
    <w:link w:val="208"/>
    <w:qFormat/>
    <w:uiPriority w:val="0"/>
    <w:pPr>
      <w:spacing w:line="480" w:lineRule="exact"/>
      <w:ind w:firstLine="480" w:firstLineChars="200"/>
    </w:pPr>
    <w:rPr>
      <w:rFonts w:ascii="宋体" w:hAnsi="宋体"/>
      <w:sz w:val="24"/>
    </w:rPr>
  </w:style>
  <w:style w:type="paragraph" w:styleId="22">
    <w:name w:val="envelope return"/>
    <w:basedOn w:val="1"/>
    <w:qFormat/>
    <w:uiPriority w:val="0"/>
    <w:pPr>
      <w:snapToGrid w:val="0"/>
    </w:pPr>
    <w:rPr>
      <w:rFonts w:ascii="Arial" w:hAnsi="Arial"/>
    </w:rPr>
  </w:style>
  <w:style w:type="paragraph" w:styleId="23">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4">
    <w:name w:val="List 2"/>
    <w:basedOn w:val="1"/>
    <w:qFormat/>
    <w:uiPriority w:val="0"/>
    <w:pPr>
      <w:adjustRightInd/>
      <w:spacing w:line="360" w:lineRule="auto"/>
      <w:ind w:left="100" w:leftChars="200" w:hanging="200" w:hangingChars="200"/>
    </w:pPr>
    <w:rPr>
      <w:rFonts w:eastAsia="微软雅黑"/>
    </w:rPr>
  </w:style>
  <w:style w:type="paragraph" w:styleId="2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6">
    <w:name w:val="List Bullet 2"/>
    <w:basedOn w:val="1"/>
    <w:qFormat/>
    <w:uiPriority w:val="0"/>
    <w:pPr>
      <w:autoSpaceDE w:val="0"/>
      <w:autoSpaceDN w:val="0"/>
      <w:ind w:left="420"/>
      <w:jc w:val="left"/>
    </w:pPr>
    <w:rPr>
      <w:rFonts w:ascii="宋体" w:hAnsi="宋体"/>
      <w:color w:val="000000"/>
      <w:kern w:val="0"/>
      <w:sz w:val="24"/>
      <w:szCs w:val="20"/>
    </w:rPr>
  </w:style>
  <w:style w:type="paragraph" w:styleId="27">
    <w:name w:val="HTML Address"/>
    <w:basedOn w:val="1"/>
    <w:link w:val="86"/>
    <w:qFormat/>
    <w:uiPriority w:val="0"/>
    <w:pPr>
      <w:widowControl/>
      <w:adjustRightInd/>
      <w:ind w:firstLine="200" w:firstLineChars="200"/>
      <w:jc w:val="left"/>
    </w:pPr>
    <w:rPr>
      <w:rFonts w:ascii="宋体" w:hAnsi="宋体"/>
      <w:i/>
      <w:iCs/>
      <w:kern w:val="0"/>
      <w:sz w:val="24"/>
    </w:rPr>
  </w:style>
  <w:style w:type="paragraph" w:styleId="28">
    <w:name w:val="Plain Text"/>
    <w:basedOn w:val="1"/>
    <w:next w:val="13"/>
    <w:link w:val="152"/>
    <w:qFormat/>
    <w:uiPriority w:val="0"/>
    <w:rPr>
      <w:rFonts w:ascii="宋体" w:hAnsi="Courier New" w:eastAsia="黑体"/>
      <w:snapToGrid w:val="0"/>
      <w:szCs w:val="21"/>
    </w:rPr>
  </w:style>
  <w:style w:type="paragraph" w:styleId="2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0">
    <w:name w:val="Date"/>
    <w:basedOn w:val="1"/>
    <w:next w:val="1"/>
    <w:link w:val="112"/>
    <w:qFormat/>
    <w:uiPriority w:val="0"/>
    <w:pPr>
      <w:ind w:left="100" w:leftChars="2500"/>
    </w:pPr>
    <w:rPr>
      <w:rFonts w:ascii="宋体"/>
      <w:sz w:val="24"/>
      <w:szCs w:val="21"/>
      <w:lang w:val="zh-CN"/>
    </w:rPr>
  </w:style>
  <w:style w:type="paragraph" w:styleId="31">
    <w:name w:val="Body Text Indent 2"/>
    <w:basedOn w:val="1"/>
    <w:link w:val="227"/>
    <w:qFormat/>
    <w:uiPriority w:val="0"/>
    <w:pPr>
      <w:spacing w:line="360" w:lineRule="auto"/>
      <w:ind w:firstLine="601"/>
      <w:textAlignment w:val="baseline"/>
    </w:pPr>
    <w:rPr>
      <w:rFonts w:ascii="宋体"/>
      <w:kern w:val="0"/>
      <w:sz w:val="28"/>
      <w:szCs w:val="20"/>
    </w:rPr>
  </w:style>
  <w:style w:type="paragraph" w:styleId="32">
    <w:name w:val="Balloon Text"/>
    <w:basedOn w:val="1"/>
    <w:link w:val="105"/>
    <w:qFormat/>
    <w:uiPriority w:val="99"/>
    <w:rPr>
      <w:sz w:val="18"/>
      <w:szCs w:val="18"/>
    </w:rPr>
  </w:style>
  <w:style w:type="paragraph" w:styleId="33">
    <w:name w:val="footer"/>
    <w:basedOn w:val="1"/>
    <w:link w:val="125"/>
    <w:qFormat/>
    <w:uiPriority w:val="99"/>
    <w:pPr>
      <w:tabs>
        <w:tab w:val="center" w:pos="4153"/>
        <w:tab w:val="right" w:pos="8306"/>
      </w:tabs>
      <w:snapToGrid w:val="0"/>
      <w:jc w:val="left"/>
    </w:pPr>
    <w:rPr>
      <w:sz w:val="18"/>
      <w:szCs w:val="18"/>
    </w:rPr>
  </w:style>
  <w:style w:type="paragraph" w:styleId="34">
    <w:name w:val="header"/>
    <w:basedOn w:val="1"/>
    <w:link w:val="165"/>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5">
    <w:name w:val="Signature"/>
    <w:basedOn w:val="1"/>
    <w:link w:val="284"/>
    <w:qFormat/>
    <w:uiPriority w:val="0"/>
    <w:pPr>
      <w:spacing w:after="600" w:line="312" w:lineRule="atLeast"/>
      <w:jc w:val="center"/>
      <w:textAlignment w:val="baseline"/>
    </w:pPr>
    <w:rPr>
      <w:rFonts w:eastAsia="仿宋_GB2312"/>
      <w:kern w:val="0"/>
      <w:sz w:val="24"/>
      <w:szCs w:val="20"/>
    </w:rPr>
  </w:style>
  <w:style w:type="paragraph" w:styleId="36">
    <w:name w:val="index heading"/>
    <w:basedOn w:val="1"/>
    <w:next w:val="37"/>
    <w:qFormat/>
    <w:uiPriority w:val="0"/>
    <w:pPr>
      <w:adjustRightInd/>
      <w:ind w:firstLine="200" w:firstLineChars="200"/>
    </w:pPr>
  </w:style>
  <w:style w:type="paragraph" w:styleId="37">
    <w:name w:val="index 1"/>
    <w:basedOn w:val="1"/>
    <w:next w:val="1"/>
    <w:qFormat/>
    <w:uiPriority w:val="0"/>
    <w:pPr>
      <w:adjustRightInd/>
      <w:spacing w:line="360" w:lineRule="auto"/>
      <w:ind w:firstLine="200" w:firstLineChars="200"/>
      <w:jc w:val="center"/>
    </w:pPr>
    <w:rPr>
      <w:sz w:val="24"/>
      <w:szCs w:val="20"/>
    </w:rPr>
  </w:style>
  <w:style w:type="paragraph" w:styleId="38">
    <w:name w:val="Subtitle"/>
    <w:link w:val="91"/>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9">
    <w:name w:val="List Number 5"/>
    <w:basedOn w:val="1"/>
    <w:qFormat/>
    <w:uiPriority w:val="0"/>
    <w:pPr>
      <w:tabs>
        <w:tab w:val="left" w:pos="902"/>
      </w:tabs>
      <w:adjustRightInd/>
      <w:spacing w:line="400" w:lineRule="exact"/>
      <w:ind w:left="902" w:hanging="420"/>
    </w:pPr>
    <w:rPr>
      <w:sz w:val="24"/>
      <w:szCs w:val="20"/>
    </w:rPr>
  </w:style>
  <w:style w:type="paragraph" w:styleId="40">
    <w:name w:val="List"/>
    <w:basedOn w:val="1"/>
    <w:qFormat/>
    <w:uiPriority w:val="0"/>
    <w:pPr>
      <w:ind w:left="200" w:hanging="200" w:hangingChars="200"/>
    </w:pPr>
  </w:style>
  <w:style w:type="paragraph" w:styleId="41">
    <w:name w:val="footnote text"/>
    <w:basedOn w:val="13"/>
    <w:link w:val="71"/>
    <w:qFormat/>
    <w:uiPriority w:val="0"/>
    <w:pPr>
      <w:adjustRightInd/>
      <w:snapToGrid/>
      <w:spacing w:before="60" w:after="60" w:line="300" w:lineRule="exact"/>
      <w:ind w:firstLine="0"/>
    </w:pPr>
    <w:rPr>
      <w:rFonts w:ascii="Times New Roman"/>
      <w:snapToGrid/>
      <w:color w:val="0000FF"/>
      <w:kern w:val="0"/>
      <w:sz w:val="21"/>
    </w:rPr>
  </w:style>
  <w:style w:type="paragraph" w:styleId="42">
    <w:name w:val="List 5"/>
    <w:basedOn w:val="1"/>
    <w:qFormat/>
    <w:uiPriority w:val="0"/>
    <w:pPr>
      <w:adjustRightInd/>
      <w:ind w:left="100" w:leftChars="800" w:hanging="200" w:hangingChars="200"/>
    </w:pPr>
  </w:style>
  <w:style w:type="paragraph" w:styleId="43">
    <w:name w:val="Body Text Indent 3"/>
    <w:basedOn w:val="1"/>
    <w:link w:val="134"/>
    <w:qFormat/>
    <w:uiPriority w:val="0"/>
    <w:pPr>
      <w:spacing w:line="360" w:lineRule="auto"/>
      <w:ind w:firstLine="420"/>
    </w:pPr>
    <w:rPr>
      <w:sz w:val="24"/>
      <w:szCs w:val="20"/>
    </w:rPr>
  </w:style>
  <w:style w:type="paragraph" w:styleId="44">
    <w:name w:val="Body Text 2"/>
    <w:basedOn w:val="1"/>
    <w:link w:val="240"/>
    <w:qFormat/>
    <w:uiPriority w:val="6"/>
    <w:pPr>
      <w:spacing w:after="120" w:line="480" w:lineRule="auto"/>
    </w:pPr>
    <w:rPr>
      <w:rFonts w:ascii="Arial" w:hAnsi="Arial" w:eastAsia="黑体"/>
      <w:snapToGrid w:val="0"/>
    </w:rPr>
  </w:style>
  <w:style w:type="paragraph" w:styleId="45">
    <w:name w:val="HTML Preformatted"/>
    <w:basedOn w:val="1"/>
    <w:link w:val="2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link w:val="69"/>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8">
    <w:name w:val="annotation subject"/>
    <w:basedOn w:val="17"/>
    <w:next w:val="17"/>
    <w:link w:val="221"/>
    <w:qFormat/>
    <w:uiPriority w:val="99"/>
    <w:rPr>
      <w:b/>
      <w:bCs/>
      <w:snapToGrid w:val="0"/>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basedOn w:val="51"/>
    <w:qFormat/>
    <w:uiPriority w:val="99"/>
    <w:rPr>
      <w:color w:val="800080"/>
      <w:u w:val="single"/>
    </w:rPr>
  </w:style>
  <w:style w:type="character" w:styleId="55">
    <w:name w:val="Emphasis"/>
    <w:qFormat/>
    <w:uiPriority w:val="0"/>
    <w:rPr>
      <w:color w:val="CC0033"/>
    </w:rPr>
  </w:style>
  <w:style w:type="character" w:styleId="56">
    <w:name w:val="line number"/>
    <w:basedOn w:val="51"/>
    <w:qFormat/>
    <w:uiPriority w:val="0"/>
  </w:style>
  <w:style w:type="character" w:styleId="57">
    <w:name w:val="Hyperlink"/>
    <w:qFormat/>
    <w:uiPriority w:val="99"/>
    <w:rPr>
      <w:color w:val="0000FF"/>
      <w:u w:val="single"/>
    </w:rPr>
  </w:style>
  <w:style w:type="character" w:styleId="58">
    <w:name w:val="HTML Code"/>
    <w:qFormat/>
    <w:uiPriority w:val="0"/>
    <w:rPr>
      <w:rFonts w:ascii="黑体" w:hAnsi="Courier New" w:eastAsia="黑体" w:cs="楷体_GB2312"/>
      <w:sz w:val="20"/>
      <w:szCs w:val="20"/>
    </w:rPr>
  </w:style>
  <w:style w:type="character" w:styleId="59">
    <w:name w:val="annotation reference"/>
    <w:qFormat/>
    <w:uiPriority w:val="99"/>
    <w:rPr>
      <w:sz w:val="21"/>
      <w:szCs w:val="21"/>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1">
    <w:name w:val="标题 1 Char"/>
    <w:qFormat/>
    <w:uiPriority w:val="9"/>
    <w:rPr>
      <w:b/>
      <w:bCs/>
      <w:kern w:val="44"/>
      <w:sz w:val="44"/>
      <w:szCs w:val="44"/>
    </w:rPr>
  </w:style>
  <w:style w:type="character" w:customStyle="1" w:styleId="62">
    <w:name w:val="文档结构图 Char"/>
    <w:link w:val="63"/>
    <w:qFormat/>
    <w:uiPriority w:val="0"/>
    <w:rPr>
      <w:rFonts w:eastAsia="宋体"/>
      <w:kern w:val="2"/>
      <w:sz w:val="21"/>
      <w:szCs w:val="24"/>
      <w:lang w:val="en-US" w:eastAsia="zh-CN" w:bidi="ar-SA"/>
    </w:rPr>
  </w:style>
  <w:style w:type="paragraph" w:customStyle="1" w:styleId="63">
    <w:name w:val="文档结构图1"/>
    <w:basedOn w:val="1"/>
    <w:link w:val="62"/>
    <w:qFormat/>
    <w:uiPriority w:val="0"/>
    <w:pPr>
      <w:shd w:val="clear" w:color="auto" w:fill="000080"/>
      <w:adjustRightInd/>
    </w:pPr>
  </w:style>
  <w:style w:type="character" w:customStyle="1" w:styleId="64">
    <w:name w:val="访问过的超链接1"/>
    <w:qFormat/>
    <w:uiPriority w:val="99"/>
    <w:rPr>
      <w:color w:val="800080"/>
      <w:u w:val="single"/>
    </w:rPr>
  </w:style>
  <w:style w:type="character" w:customStyle="1" w:styleId="65">
    <w:name w:val="dectext1"/>
    <w:qFormat/>
    <w:uiPriority w:val="0"/>
    <w:rPr>
      <w:rFonts w:ascii="宋体" w:hAnsi="宋体" w:eastAsia="宋体"/>
      <w:color w:val="333333"/>
      <w:sz w:val="21"/>
      <w:szCs w:val="21"/>
      <w:u w:val="none"/>
    </w:rPr>
  </w:style>
  <w:style w:type="character" w:customStyle="1" w:styleId="66">
    <w:name w:val="FA正文 Char Char"/>
    <w:qFormat/>
    <w:uiPriority w:val="0"/>
    <w:rPr>
      <w:rFonts w:hAnsi="宋体"/>
      <w:kern w:val="2"/>
      <w:sz w:val="24"/>
      <w:lang w:bidi="ar-SA"/>
    </w:rPr>
  </w:style>
  <w:style w:type="character" w:customStyle="1" w:styleId="67">
    <w:name w:val="样式 宋体"/>
    <w:qFormat/>
    <w:uiPriority w:val="0"/>
    <w:rPr>
      <w:rFonts w:ascii="宋体" w:hAnsi="宋体"/>
      <w:sz w:val="24"/>
    </w:rPr>
  </w:style>
  <w:style w:type="character" w:customStyle="1" w:styleId="68">
    <w:name w:val="zbggmain style9"/>
    <w:qFormat/>
    <w:uiPriority w:val="0"/>
  </w:style>
  <w:style w:type="character" w:customStyle="1" w:styleId="69">
    <w:name w:val="标题 Char1"/>
    <w:link w:val="47"/>
    <w:qFormat/>
    <w:uiPriority w:val="0"/>
    <w:rPr>
      <w:rFonts w:ascii="Arial" w:hAnsi="Arial" w:eastAsia="黑体" w:cs="Arial"/>
      <w:b/>
      <w:snapToGrid w:val="0"/>
      <w:kern w:val="0"/>
      <w:sz w:val="24"/>
      <w:szCs w:val="21"/>
      <w:lang w:val="en-GB"/>
    </w:rPr>
  </w:style>
  <w:style w:type="character" w:customStyle="1" w:styleId="7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71">
    <w:name w:val="脚注文本 Char"/>
    <w:link w:val="41"/>
    <w:qFormat/>
    <w:uiPriority w:val="0"/>
    <w:rPr>
      <w:color w:val="0000FF"/>
      <w:sz w:val="21"/>
    </w:rPr>
  </w:style>
  <w:style w:type="character" w:customStyle="1" w:styleId="72">
    <w:name w:val="批注引用1"/>
    <w:qFormat/>
    <w:uiPriority w:val="0"/>
    <w:rPr>
      <w:sz w:val="21"/>
    </w:rPr>
  </w:style>
  <w:style w:type="character" w:customStyle="1" w:styleId="73">
    <w:name w:val="插图说明 Char"/>
    <w:qFormat/>
    <w:uiPriority w:val="0"/>
    <w:rPr>
      <w:rFonts w:eastAsia="黑体"/>
      <w:sz w:val="24"/>
      <w:lang w:val="en-US" w:eastAsia="zh-CN"/>
    </w:rPr>
  </w:style>
  <w:style w:type="character" w:customStyle="1" w:styleId="74">
    <w:name w:val="font21"/>
    <w:qFormat/>
    <w:uiPriority w:val="0"/>
    <w:rPr>
      <w:rFonts w:hint="eastAsia" w:ascii="宋体" w:hAnsi="宋体" w:eastAsia="宋体"/>
      <w:kern w:val="2"/>
      <w:sz w:val="28"/>
      <w:szCs w:val="28"/>
      <w:lang w:val="en-US" w:eastAsia="zh-CN" w:bidi="ar-SA"/>
    </w:rPr>
  </w:style>
  <w:style w:type="character" w:customStyle="1" w:styleId="75">
    <w:name w:val="Char Char Char Char Char"/>
    <w:link w:val="76"/>
    <w:qFormat/>
    <w:uiPriority w:val="0"/>
    <w:rPr>
      <w:rFonts w:ascii="仿宋_GB2312" w:eastAsia="仿宋_GB2312"/>
      <w:b/>
      <w:kern w:val="2"/>
      <w:sz w:val="32"/>
      <w:szCs w:val="32"/>
    </w:rPr>
  </w:style>
  <w:style w:type="paragraph" w:customStyle="1" w:styleId="76">
    <w:name w:val="Char"/>
    <w:basedOn w:val="1"/>
    <w:link w:val="75"/>
    <w:qFormat/>
    <w:uiPriority w:val="0"/>
    <w:rPr>
      <w:rFonts w:ascii="仿宋_GB2312" w:eastAsia="仿宋_GB2312"/>
      <w:b/>
      <w:sz w:val="32"/>
      <w:szCs w:val="32"/>
    </w:rPr>
  </w:style>
  <w:style w:type="character" w:customStyle="1" w:styleId="77">
    <w:name w:val="标题 7 Char"/>
    <w:link w:val="8"/>
    <w:qFormat/>
    <w:uiPriority w:val="9"/>
    <w:rPr>
      <w:b/>
      <w:bCs/>
      <w:kern w:val="2"/>
      <w:sz w:val="24"/>
      <w:szCs w:val="24"/>
    </w:rPr>
  </w:style>
  <w:style w:type="character" w:customStyle="1" w:styleId="78">
    <w:name w:val="样式3 Char"/>
    <w:basedOn w:val="79"/>
    <w:qFormat/>
    <w:uiPriority w:val="0"/>
    <w:rPr>
      <w:rFonts w:ascii="仿宋_GB2312" w:hAnsi="仿宋" w:eastAsia="仿宋_GB2312" w:cs="仿宋_GB2312"/>
      <w:sz w:val="32"/>
      <w:szCs w:val="30"/>
      <w:lang w:val="zh-CN"/>
    </w:rPr>
  </w:style>
  <w:style w:type="character" w:customStyle="1" w:styleId="79">
    <w:name w:val="样式2 Char"/>
    <w:qFormat/>
    <w:uiPriority w:val="0"/>
    <w:rPr>
      <w:rFonts w:ascii="仿宋_GB2312" w:hAnsi="仿宋" w:eastAsia="仿宋_GB2312" w:cs="仿宋_GB2312"/>
      <w:b/>
      <w:bCs/>
      <w:sz w:val="32"/>
      <w:szCs w:val="30"/>
      <w:lang w:val="zh-CN"/>
    </w:rPr>
  </w:style>
  <w:style w:type="character" w:customStyle="1" w:styleId="80">
    <w:name w:val="样式 样式 标题 4h4H4Fab-4T5Ref Heading 1rh1Heading sqlsect 1.2.3.... +... Char"/>
    <w:link w:val="81"/>
    <w:qFormat/>
    <w:uiPriority w:val="0"/>
    <w:rPr>
      <w:rFonts w:ascii="微软雅黑" w:hAnsi="微软雅黑" w:eastAsia="微软雅黑"/>
      <w:b/>
      <w:bCs/>
      <w:kern w:val="2"/>
      <w:sz w:val="24"/>
      <w:szCs w:val="28"/>
    </w:rPr>
  </w:style>
  <w:style w:type="paragraph" w:customStyle="1" w:styleId="81">
    <w:name w:val="样式 样式 标题 4h4H4Fab-4T5Ref Heading 1rh1Heading sqlsect 1.2.3.... +..."/>
    <w:basedOn w:val="82"/>
    <w:link w:val="80"/>
    <w:qFormat/>
    <w:uiPriority w:val="0"/>
    <w:pPr>
      <w:tabs>
        <w:tab w:val="left" w:pos="864"/>
        <w:tab w:val="left" w:pos="2356"/>
      </w:tabs>
    </w:pPr>
  </w:style>
  <w:style w:type="paragraph" w:customStyle="1" w:styleId="82">
    <w:name w:val="样式 标题 4h4H4Fab-4T5Ref Heading 1rh1Heading sqlsect 1.2.3...."/>
    <w:basedOn w:val="5"/>
    <w:link w:val="144"/>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3">
    <w:name w:val="正文文本 Char1"/>
    <w:link w:val="20"/>
    <w:qFormat/>
    <w:uiPriority w:val="6"/>
    <w:rPr>
      <w:rFonts w:ascii="宋体" w:hAnsi="Arial" w:eastAsia="黑体" w:cs="Arial"/>
      <w:snapToGrid w:val="0"/>
      <w:kern w:val="2"/>
      <w:sz w:val="24"/>
      <w:szCs w:val="21"/>
      <w:lang w:val="zh-CN"/>
    </w:rPr>
  </w:style>
  <w:style w:type="character" w:customStyle="1" w:styleId="84">
    <w:name w:val="表正文 Char"/>
    <w:qFormat/>
    <w:uiPriority w:val="0"/>
    <w:rPr>
      <w:rFonts w:ascii="宋体" w:eastAsia="宋体"/>
      <w:snapToGrid w:val="0"/>
      <w:color w:val="000000"/>
      <w:kern w:val="28"/>
      <w:sz w:val="28"/>
      <w:lang w:val="en-US" w:eastAsia="zh-CN" w:bidi="ar-SA"/>
    </w:rPr>
  </w:style>
  <w:style w:type="character" w:customStyle="1" w:styleId="85">
    <w:name w:val="列出段落 Char"/>
    <w:qFormat/>
    <w:uiPriority w:val="34"/>
    <w:rPr>
      <w:rFonts w:eastAsia="楷体_GB2312" w:cs="Lucida Sans"/>
      <w:kern w:val="2"/>
      <w:sz w:val="24"/>
      <w:szCs w:val="24"/>
      <w:lang w:val="en-US" w:eastAsia="zh-CN" w:bidi="ar-SA"/>
    </w:rPr>
  </w:style>
  <w:style w:type="character" w:customStyle="1" w:styleId="86">
    <w:name w:val="HTML 地址 Char"/>
    <w:link w:val="27"/>
    <w:qFormat/>
    <w:uiPriority w:val="0"/>
    <w:rPr>
      <w:rFonts w:ascii="宋体" w:hAnsi="宋体"/>
      <w:i/>
      <w:iCs/>
      <w:sz w:val="24"/>
      <w:szCs w:val="24"/>
    </w:rPr>
  </w:style>
  <w:style w:type="character" w:customStyle="1" w:styleId="87">
    <w:name w:val="Normal Indent Char Char"/>
    <w:qFormat/>
    <w:uiPriority w:val="0"/>
    <w:rPr>
      <w:rFonts w:eastAsia="宋体"/>
      <w:kern w:val="2"/>
      <w:sz w:val="21"/>
      <w:lang w:val="en-US" w:eastAsia="zh-CN" w:bidi="ar-SA"/>
    </w:rPr>
  </w:style>
  <w:style w:type="character" w:customStyle="1" w:styleId="88">
    <w:name w:val="Char Char12"/>
    <w:qFormat/>
    <w:uiPriority w:val="0"/>
    <w:rPr>
      <w:rFonts w:ascii="仿宋_GB2312" w:eastAsia="仿宋_GB2312"/>
      <w:b/>
      <w:bCs/>
      <w:kern w:val="2"/>
      <w:sz w:val="24"/>
      <w:szCs w:val="24"/>
      <w:lang w:val="zh-CN"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Char Char41"/>
    <w:qFormat/>
    <w:uiPriority w:val="0"/>
    <w:rPr>
      <w:rFonts w:eastAsia="宋体"/>
      <w:b/>
      <w:sz w:val="24"/>
      <w:lang w:val="en-GB" w:eastAsia="zh-CN" w:bidi="ar-SA"/>
    </w:rPr>
  </w:style>
  <w:style w:type="character" w:customStyle="1" w:styleId="91">
    <w:name w:val="副标题 Char"/>
    <w:link w:val="38"/>
    <w:qFormat/>
    <w:uiPriority w:val="11"/>
    <w:rPr>
      <w:rFonts w:ascii="Arial" w:hAnsi="Arial" w:eastAsia="隶书"/>
      <w:b/>
      <w:bCs/>
      <w:kern w:val="28"/>
      <w:sz w:val="44"/>
      <w:szCs w:val="32"/>
      <w:lang w:val="en-US" w:eastAsia="zh-CN" w:bidi="ar-SA"/>
    </w:rPr>
  </w:style>
  <w:style w:type="character" w:customStyle="1" w:styleId="92">
    <w:name w:val="二级标题 Char Char"/>
    <w:qFormat/>
    <w:uiPriority w:val="0"/>
    <w:rPr>
      <w:rFonts w:ascii="宋体" w:hAnsi="宋体" w:eastAsia="宋体"/>
      <w:b/>
      <w:snapToGrid w:val="0"/>
      <w:kern w:val="2"/>
      <w:sz w:val="24"/>
      <w:szCs w:val="24"/>
      <w:lang w:val="en-US" w:eastAsia="zh-CN" w:bidi="ar-SA"/>
    </w:rPr>
  </w:style>
  <w:style w:type="character" w:customStyle="1" w:styleId="93">
    <w:name w:val="Document Map Char"/>
    <w:qFormat/>
    <w:uiPriority w:val="0"/>
    <w:rPr>
      <w:rFonts w:eastAsia="宋体"/>
      <w:kern w:val="2"/>
      <w:sz w:val="21"/>
      <w:szCs w:val="24"/>
      <w:lang w:val="en-US" w:eastAsia="zh-CN" w:bidi="ar-SA"/>
    </w:rPr>
  </w:style>
  <w:style w:type="character" w:customStyle="1" w:styleId="94">
    <w:name w:val="正文首行缩进两字 Char"/>
    <w:qFormat/>
    <w:uiPriority w:val="0"/>
    <w:rPr>
      <w:sz w:val="24"/>
      <w:szCs w:val="24"/>
      <w:lang w:val="en-US" w:eastAsia="zh-CN" w:bidi="ar-SA"/>
    </w:rPr>
  </w:style>
  <w:style w:type="character" w:customStyle="1" w:styleId="95">
    <w:name w:val="HTML 地址 Char1"/>
    <w:qFormat/>
    <w:uiPriority w:val="99"/>
    <w:rPr>
      <w:rFonts w:ascii="Times New Roman" w:hAnsi="Times New Roman" w:eastAsia="宋体" w:cs="Times New Roman"/>
      <w:i/>
      <w:iCs/>
      <w:szCs w:val="24"/>
    </w:rPr>
  </w:style>
  <w:style w:type="character" w:customStyle="1" w:styleId="96">
    <w:name w:val="正文2 Char Char"/>
    <w:link w:val="97"/>
    <w:qFormat/>
    <w:uiPriority w:val="0"/>
    <w:rPr>
      <w:rFonts w:eastAsia="宋体"/>
      <w:kern w:val="2"/>
      <w:sz w:val="24"/>
      <w:lang w:val="en-US" w:eastAsia="zh-CN" w:bidi="ar-SA"/>
    </w:rPr>
  </w:style>
  <w:style w:type="paragraph" w:customStyle="1" w:styleId="97">
    <w:name w:val="正文2"/>
    <w:basedOn w:val="1"/>
    <w:link w:val="96"/>
    <w:qFormat/>
    <w:uiPriority w:val="0"/>
    <w:pPr>
      <w:spacing w:before="156" w:line="360" w:lineRule="auto"/>
      <w:ind w:firstLine="510" w:firstLineChars="200"/>
    </w:pPr>
    <w:rPr>
      <w:sz w:val="24"/>
      <w:szCs w:val="20"/>
    </w:rPr>
  </w:style>
  <w:style w:type="character" w:customStyle="1" w:styleId="98">
    <w:name w:val="日期 Char1"/>
    <w:qFormat/>
    <w:uiPriority w:val="0"/>
    <w:rPr>
      <w:rFonts w:ascii="Times New Roman" w:hAnsi="Times New Roman" w:eastAsia="宋体" w:cs="Times New Roman"/>
      <w:szCs w:val="24"/>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HTML 预设格式 Char1"/>
    <w:qFormat/>
    <w:uiPriority w:val="0"/>
    <w:rPr>
      <w:rFonts w:ascii="Courier New" w:hAnsi="Courier New" w:eastAsia="宋体" w:cs="Courier New"/>
      <w:sz w:val="20"/>
      <w:szCs w:val="20"/>
    </w:rPr>
  </w:style>
  <w:style w:type="character" w:customStyle="1" w:styleId="102">
    <w:name w:val="tw4winJump"/>
    <w:qFormat/>
    <w:uiPriority w:val="0"/>
    <w:rPr>
      <w:rFonts w:ascii="Courier New" w:hAnsi="Courier New" w:cs="Courier New"/>
      <w:color w:val="008080"/>
      <w:lang w:val="en-US" w:eastAsia="zh-CN"/>
    </w:rPr>
  </w:style>
  <w:style w:type="character" w:customStyle="1" w:styleId="103">
    <w:name w:val="称呼 Char1"/>
    <w:qFormat/>
    <w:uiPriority w:val="99"/>
    <w:rPr>
      <w:rFonts w:ascii="Times New Roman" w:hAnsi="Times New Roman" w:eastAsia="宋体" w:cs="Times New Roman"/>
      <w:szCs w:val="24"/>
    </w:rPr>
  </w:style>
  <w:style w:type="character" w:customStyle="1" w:styleId="104">
    <w:name w:val="Char Char26"/>
    <w:qFormat/>
    <w:uiPriority w:val="6"/>
    <w:rPr>
      <w:kern w:val="1"/>
      <w:sz w:val="21"/>
      <w:szCs w:val="24"/>
    </w:rPr>
  </w:style>
  <w:style w:type="character" w:customStyle="1" w:styleId="105">
    <w:name w:val="批注框文本 Char"/>
    <w:link w:val="32"/>
    <w:qFormat/>
    <w:uiPriority w:val="99"/>
    <w:rPr>
      <w:kern w:val="2"/>
      <w:sz w:val="18"/>
      <w:szCs w:val="18"/>
    </w:rPr>
  </w:style>
  <w:style w:type="character" w:customStyle="1" w:styleId="106">
    <w:name w:val="正文段 Char"/>
    <w:link w:val="107"/>
    <w:qFormat/>
    <w:uiPriority w:val="0"/>
    <w:rPr>
      <w:sz w:val="24"/>
    </w:rPr>
  </w:style>
  <w:style w:type="paragraph" w:customStyle="1" w:styleId="107">
    <w:name w:val="正文段"/>
    <w:basedOn w:val="1"/>
    <w:link w:val="106"/>
    <w:qFormat/>
    <w:uiPriority w:val="0"/>
    <w:pPr>
      <w:widowControl/>
      <w:snapToGrid w:val="0"/>
      <w:spacing w:afterLines="50"/>
      <w:ind w:firstLine="200" w:firstLineChars="200"/>
    </w:pPr>
    <w:rPr>
      <w:kern w:val="0"/>
      <w:sz w:val="24"/>
      <w:szCs w:val="20"/>
    </w:rPr>
  </w:style>
  <w:style w:type="character" w:customStyle="1" w:styleId="108">
    <w:name w:val="仿宋正文 Char"/>
    <w:link w:val="109"/>
    <w:qFormat/>
    <w:uiPriority w:val="0"/>
    <w:rPr>
      <w:rFonts w:ascii="仿宋_GB2312" w:eastAsia="仿宋_GB2312"/>
      <w:kern w:val="2"/>
      <w:sz w:val="24"/>
      <w:lang w:val="en-US" w:eastAsia="zh-CN" w:bidi="ar-SA"/>
    </w:rPr>
  </w:style>
  <w:style w:type="paragraph" w:customStyle="1" w:styleId="109">
    <w:name w:val="仿宋正文"/>
    <w:basedOn w:val="1"/>
    <w:link w:val="108"/>
    <w:qFormat/>
    <w:uiPriority w:val="0"/>
    <w:pPr>
      <w:adjustRightInd/>
      <w:spacing w:line="360" w:lineRule="auto"/>
      <w:ind w:firstLine="480" w:firstLineChars="200"/>
    </w:pPr>
    <w:rPr>
      <w:rFonts w:ascii="仿宋_GB2312" w:eastAsia="仿宋_GB2312"/>
      <w:sz w:val="24"/>
      <w:szCs w:val="20"/>
    </w:rPr>
  </w:style>
  <w:style w:type="character" w:customStyle="1" w:styleId="110">
    <w:name w:val="Char Char14"/>
    <w:qFormat/>
    <w:uiPriority w:val="6"/>
    <w:rPr>
      <w:rFonts w:ascii="黑体" w:hAnsi="黑体" w:eastAsia="黑体"/>
    </w:rPr>
  </w:style>
  <w:style w:type="character" w:customStyle="1" w:styleId="111">
    <w:name w:val="正文缩进 Char3"/>
    <w:link w:val="13"/>
    <w:qFormat/>
    <w:uiPriority w:val="0"/>
    <w:rPr>
      <w:rFonts w:ascii="宋体" w:eastAsia="宋体"/>
      <w:snapToGrid w:val="0"/>
      <w:color w:val="000000"/>
      <w:kern w:val="28"/>
      <w:sz w:val="28"/>
      <w:lang w:val="en-US" w:eastAsia="zh-CN" w:bidi="ar-SA"/>
    </w:rPr>
  </w:style>
  <w:style w:type="character" w:customStyle="1" w:styleId="112">
    <w:name w:val="日期 Char"/>
    <w:link w:val="30"/>
    <w:qFormat/>
    <w:uiPriority w:val="0"/>
    <w:rPr>
      <w:rFonts w:ascii="宋体"/>
      <w:kern w:val="2"/>
      <w:sz w:val="24"/>
      <w:szCs w:val="21"/>
      <w:lang w:val="zh-CN"/>
    </w:rPr>
  </w:style>
  <w:style w:type="character" w:customStyle="1" w:styleId="113">
    <w:name w:val="Char Char30"/>
    <w:qFormat/>
    <w:uiPriority w:val="6"/>
    <w:rPr>
      <w:rFonts w:ascii="Arial" w:hAnsi="Arial" w:eastAsia="黑体"/>
      <w:kern w:val="1"/>
      <w:sz w:val="21"/>
      <w:szCs w:val="21"/>
    </w:rPr>
  </w:style>
  <w:style w:type="character" w:customStyle="1" w:styleId="114">
    <w:name w:val="正文文本 2 Char"/>
    <w:qFormat/>
    <w:uiPriority w:val="0"/>
    <w:rPr>
      <w:rFonts w:eastAsia="宋体"/>
      <w:kern w:val="2"/>
      <w:sz w:val="21"/>
      <w:szCs w:val="24"/>
      <w:lang w:val="en-US" w:eastAsia="zh-CN" w:bidi="ar-SA"/>
    </w:rPr>
  </w:style>
  <w:style w:type="character" w:customStyle="1" w:styleId="115">
    <w:name w:val="标题 4 Char"/>
    <w:link w:val="5"/>
    <w:qFormat/>
    <w:uiPriority w:val="9"/>
    <w:rPr>
      <w:rFonts w:ascii="Arial" w:hAnsi="Arial" w:eastAsia="黑体"/>
      <w:b/>
      <w:bCs/>
      <w:kern w:val="2"/>
      <w:sz w:val="28"/>
      <w:szCs w:val="28"/>
      <w:lang w:val="zh-CN"/>
    </w:rPr>
  </w:style>
  <w:style w:type="character" w:customStyle="1" w:styleId="116">
    <w:name w:val="标题 9 Char"/>
    <w:link w:val="10"/>
    <w:qFormat/>
    <w:uiPriority w:val="9"/>
    <w:rPr>
      <w:rFonts w:ascii="Arial" w:hAnsi="Arial" w:eastAsia="黑体"/>
      <w:kern w:val="2"/>
      <w:sz w:val="21"/>
      <w:szCs w:val="21"/>
    </w:rPr>
  </w:style>
  <w:style w:type="character" w:customStyle="1" w:styleId="117">
    <w:name w:val="普通文字 Char1"/>
    <w:qFormat/>
    <w:uiPriority w:val="0"/>
    <w:rPr>
      <w:rFonts w:ascii="宋体" w:hAnsi="Courier New" w:eastAsia="宋体"/>
      <w:kern w:val="2"/>
      <w:sz w:val="21"/>
      <w:lang w:val="en-US" w:eastAsia="zh-CN"/>
    </w:rPr>
  </w:style>
  <w:style w:type="character" w:customStyle="1" w:styleId="118">
    <w:name w:val="px14"/>
    <w:qFormat/>
    <w:uiPriority w:val="0"/>
    <w:rPr>
      <w:rFonts w:ascii="仿宋_GB2312" w:eastAsia="微软雅黑" w:cs="Times New Roman"/>
      <w:b/>
      <w:kern w:val="2"/>
      <w:sz w:val="32"/>
      <w:szCs w:val="32"/>
      <w:lang w:val="en-US" w:eastAsia="zh-CN" w:bidi="ar-SA"/>
    </w:rPr>
  </w:style>
  <w:style w:type="character" w:customStyle="1" w:styleId="119">
    <w:name w:val="myp1111"/>
    <w:qFormat/>
    <w:uiPriority w:val="0"/>
    <w:rPr>
      <w:rFonts w:hint="default" w:ascii="ˎ̥" w:hAnsi="ˎ̥"/>
      <w:color w:val="000000"/>
      <w:sz w:val="20"/>
      <w:szCs w:val="20"/>
      <w:u w:val="none"/>
    </w:rPr>
  </w:style>
  <w:style w:type="character" w:customStyle="1" w:styleId="120">
    <w:name w:val="正文首行缩进 Char Char Char Char Char Char"/>
    <w:qFormat/>
    <w:uiPriority w:val="0"/>
    <w:rPr>
      <w:rFonts w:ascii="宋体" w:eastAsia="宋体"/>
      <w:kern w:val="2"/>
      <w:sz w:val="24"/>
      <w:lang w:val="zh-CN" w:bidi="ar-SA"/>
    </w:rPr>
  </w:style>
  <w:style w:type="character" w:customStyle="1" w:styleId="121">
    <w:name w:val="tw4winMark"/>
    <w:qFormat/>
    <w:uiPriority w:val="0"/>
    <w:rPr>
      <w:rFonts w:ascii="Courier New" w:hAnsi="Courier New" w:cs="Courier New"/>
      <w:vanish/>
      <w:color w:val="800080"/>
      <w:sz w:val="24"/>
      <w:szCs w:val="24"/>
      <w:vertAlign w:val="subscript"/>
    </w:rPr>
  </w:style>
  <w:style w:type="character" w:customStyle="1" w:styleId="122">
    <w:name w:val="正文文本首行缩进 2 字符"/>
    <w:link w:val="123"/>
    <w:qFormat/>
    <w:uiPriority w:val="0"/>
    <w:rPr>
      <w:rFonts w:ascii="宋体" w:hAnsi="宋体"/>
      <w:kern w:val="2"/>
      <w:sz w:val="21"/>
      <w:szCs w:val="24"/>
    </w:rPr>
  </w:style>
  <w:style w:type="paragraph" w:customStyle="1" w:styleId="123">
    <w:name w:val="正文文本首行缩进 21"/>
    <w:basedOn w:val="21"/>
    <w:link w:val="122"/>
    <w:qFormat/>
    <w:uiPriority w:val="0"/>
    <w:pPr>
      <w:adjustRightInd/>
      <w:spacing w:after="120" w:line="240" w:lineRule="auto"/>
      <w:ind w:left="420" w:leftChars="200" w:firstLine="210"/>
    </w:pPr>
    <w:rPr>
      <w:sz w:val="21"/>
    </w:rPr>
  </w:style>
  <w:style w:type="character" w:customStyle="1" w:styleId="124">
    <w:name w:val="Char Char51"/>
    <w:qFormat/>
    <w:uiPriority w:val="0"/>
    <w:rPr>
      <w:rFonts w:ascii="宋体" w:hAnsi="Courier New" w:eastAsia="宋体"/>
      <w:kern w:val="2"/>
      <w:sz w:val="21"/>
      <w:lang w:val="en-US" w:eastAsia="zh-CN"/>
    </w:rPr>
  </w:style>
  <w:style w:type="character" w:customStyle="1" w:styleId="125">
    <w:name w:val="页脚 Char3"/>
    <w:link w:val="33"/>
    <w:qFormat/>
    <w:uiPriority w:val="99"/>
    <w:rPr>
      <w:rFonts w:eastAsia="宋体"/>
      <w:kern w:val="2"/>
      <w:sz w:val="18"/>
      <w:szCs w:val="18"/>
      <w:lang w:val="en-US" w:eastAsia="zh-CN" w:bidi="ar-SA"/>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文档结构图 Char1"/>
    <w:link w:val="16"/>
    <w:qFormat/>
    <w:uiPriority w:val="6"/>
    <w:rPr>
      <w:rFonts w:ascii="Arial" w:hAnsi="Arial" w:eastAsia="黑体" w:cs="Arial"/>
      <w:snapToGrid w:val="0"/>
      <w:kern w:val="2"/>
      <w:sz w:val="21"/>
      <w:szCs w:val="24"/>
      <w:shd w:val="clear" w:color="auto" w:fill="000080"/>
    </w:rPr>
  </w:style>
  <w:style w:type="character" w:customStyle="1" w:styleId="128">
    <w:name w:val="b11_01b Char"/>
    <w:link w:val="129"/>
    <w:qFormat/>
    <w:uiPriority w:val="0"/>
    <w:rPr>
      <w:rFonts w:ascii="Verdana" w:hAnsi="Verdana"/>
      <w:b/>
      <w:bCs/>
      <w:color w:val="4A82CA"/>
      <w:sz w:val="17"/>
      <w:szCs w:val="17"/>
    </w:rPr>
  </w:style>
  <w:style w:type="paragraph" w:customStyle="1" w:styleId="129">
    <w:name w:val="b11_01b"/>
    <w:basedOn w:val="1"/>
    <w:next w:val="1"/>
    <w:link w:val="12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0">
    <w:name w:val="t21"/>
    <w:qFormat/>
    <w:uiPriority w:val="0"/>
    <w:rPr>
      <w:rFonts w:ascii="仿宋_GB2312" w:eastAsia="微软雅黑"/>
      <w:b/>
      <w:kern w:val="2"/>
      <w:sz w:val="23"/>
      <w:szCs w:val="23"/>
      <w:lang w:val="en-US" w:eastAsia="zh-CN" w:bidi="ar-SA"/>
    </w:rPr>
  </w:style>
  <w:style w:type="character" w:customStyle="1" w:styleId="131">
    <w:name w:val="正文缩进 Char1"/>
    <w:qFormat/>
    <w:uiPriority w:val="0"/>
    <w:rPr>
      <w:rFonts w:ascii="宋体" w:eastAsia="宋体"/>
      <w:snapToGrid w:val="0"/>
      <w:color w:val="000000"/>
      <w:kern w:val="28"/>
      <w:sz w:val="28"/>
      <w:lang w:val="en-US" w:eastAsia="zh-CN" w:bidi="ar-SA"/>
    </w:rPr>
  </w:style>
  <w:style w:type="character" w:customStyle="1" w:styleId="132">
    <w:name w:val="正文文本首行缩进 字符"/>
    <w:link w:val="133"/>
    <w:qFormat/>
    <w:uiPriority w:val="0"/>
    <w:rPr>
      <w:rFonts w:ascii="宋体"/>
      <w:kern w:val="2"/>
      <w:sz w:val="24"/>
      <w:lang w:val="zh-CN"/>
    </w:rPr>
  </w:style>
  <w:style w:type="paragraph" w:customStyle="1" w:styleId="133">
    <w:name w:val="正文文本首行缩进1"/>
    <w:basedOn w:val="20"/>
    <w:link w:val="132"/>
    <w:qFormat/>
    <w:uiPriority w:val="0"/>
    <w:pPr>
      <w:ind w:firstLine="420"/>
    </w:pPr>
    <w:rPr>
      <w:rFonts w:hAnsi="Times New Roman" w:eastAsia="宋体"/>
      <w:snapToGrid/>
      <w:szCs w:val="20"/>
    </w:rPr>
  </w:style>
  <w:style w:type="character" w:customStyle="1" w:styleId="134">
    <w:name w:val="正文文本缩进 3 Char"/>
    <w:link w:val="43"/>
    <w:qFormat/>
    <w:uiPriority w:val="0"/>
    <w:rPr>
      <w:kern w:val="2"/>
      <w:sz w:val="24"/>
    </w:rPr>
  </w:style>
  <w:style w:type="character" w:customStyle="1" w:styleId="135">
    <w:name w:val="Char Char311"/>
    <w:qFormat/>
    <w:uiPriority w:val="0"/>
    <w:rPr>
      <w:rFonts w:eastAsia="宋体"/>
      <w:kern w:val="2"/>
      <w:sz w:val="21"/>
      <w:szCs w:val="24"/>
      <w:lang w:val="en-US" w:eastAsia="zh-CN" w:bidi="ar-SA"/>
    </w:rPr>
  </w:style>
  <w:style w:type="character" w:customStyle="1" w:styleId="136">
    <w:name w:val="Used by Word for text of Help footnotes Char Char"/>
    <w:qFormat/>
    <w:uiPriority w:val="0"/>
    <w:rPr>
      <w:rFonts w:ascii="Times New Roman" w:hAnsi="Times New Roman" w:eastAsia="宋体" w:cs="Times New Roman"/>
      <w:sz w:val="20"/>
      <w:szCs w:val="20"/>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Char Char33"/>
    <w:qFormat/>
    <w:uiPriority w:val="6"/>
    <w:rPr>
      <w:rFonts w:ascii="Arial" w:hAnsi="Arial" w:eastAsia="黑体"/>
      <w:b/>
      <w:kern w:val="1"/>
      <w:sz w:val="24"/>
      <w:szCs w:val="24"/>
    </w:rPr>
  </w:style>
  <w:style w:type="character" w:customStyle="1" w:styleId="139">
    <w:name w:val="Bold"/>
    <w:qFormat/>
    <w:uiPriority w:val="0"/>
    <w:rPr>
      <w:rFonts w:ascii="Arial" w:hAnsi="Arial" w:eastAsia="黑体" w:cs="Times New Roman"/>
      <w:b/>
      <w:kern w:val="2"/>
      <w:sz w:val="32"/>
      <w:szCs w:val="32"/>
      <w:lang w:val="en-US" w:eastAsia="zh-CN" w:bidi="ar-SA"/>
    </w:rPr>
  </w:style>
  <w:style w:type="character" w:customStyle="1" w:styleId="140">
    <w:name w:val="批注文字 Char1"/>
    <w:qFormat/>
    <w:uiPriority w:val="99"/>
    <w:rPr>
      <w:rFonts w:ascii="Times New Roman" w:hAnsi="Times New Roman" w:eastAsia="宋体" w:cs="Times New Roman"/>
      <w:snapToGrid w:val="0"/>
      <w:kern w:val="0"/>
      <w:szCs w:val="24"/>
    </w:rPr>
  </w:style>
  <w:style w:type="character" w:customStyle="1" w:styleId="141">
    <w:name w:val="Ò³Ã¼ Char Char1"/>
    <w:qFormat/>
    <w:uiPriority w:val="0"/>
    <w:rPr>
      <w:rFonts w:eastAsia="宋体"/>
      <w:kern w:val="2"/>
      <w:sz w:val="18"/>
      <w:szCs w:val="18"/>
      <w:lang w:val="en-US" w:eastAsia="zh-CN" w:bidi="ar-SA"/>
    </w:rPr>
  </w:style>
  <w:style w:type="character" w:customStyle="1" w:styleId="142">
    <w:name w:val="md"/>
    <w:basedOn w:val="51"/>
    <w:qFormat/>
    <w:uiPriority w:val="0"/>
  </w:style>
  <w:style w:type="character" w:customStyle="1" w:styleId="143">
    <w:name w:val="Char Char37"/>
    <w:qFormat/>
    <w:uiPriority w:val="6"/>
    <w:rPr>
      <w:b/>
      <w:kern w:val="1"/>
      <w:sz w:val="44"/>
      <w:szCs w:val="44"/>
    </w:rPr>
  </w:style>
  <w:style w:type="character" w:customStyle="1" w:styleId="144">
    <w:name w:val="样式 标题 4h4H4Fab-4T5Ref Heading 1rh1Heading sqlsect 1.2.3.... Char"/>
    <w:link w:val="82"/>
    <w:qFormat/>
    <w:uiPriority w:val="0"/>
    <w:rPr>
      <w:rFonts w:ascii="微软雅黑" w:hAnsi="微软雅黑" w:eastAsia="微软雅黑"/>
      <w:b/>
      <w:bCs/>
      <w:kern w:val="2"/>
      <w:sz w:val="24"/>
      <w:szCs w:val="28"/>
    </w:rPr>
  </w:style>
  <w:style w:type="character" w:customStyle="1" w:styleId="145">
    <w:name w:val="样式6 Char"/>
    <w:qFormat/>
    <w:uiPriority w:val="0"/>
    <w:rPr>
      <w:rFonts w:ascii="仿宋_GB2312" w:hAnsi="宋体" w:eastAsia="仿宋_GB2312"/>
      <w:b/>
      <w:bCs/>
      <w:kern w:val="2"/>
      <w:sz w:val="24"/>
      <w:szCs w:val="24"/>
      <w:lang w:val="en-US" w:eastAsia="zh-CN" w:bidi="ar-SA"/>
    </w:rPr>
  </w:style>
  <w:style w:type="character" w:customStyle="1" w:styleId="146">
    <w:name w:val="样式8 Char"/>
    <w:qFormat/>
    <w:uiPriority w:val="0"/>
    <w:rPr>
      <w:rFonts w:ascii="仿宋_GB2312" w:hAnsi="宋体" w:eastAsia="仿宋_GB2312"/>
      <w:b/>
      <w:bCs/>
      <w:kern w:val="2"/>
      <w:sz w:val="24"/>
      <w:szCs w:val="24"/>
    </w:rPr>
  </w:style>
  <w:style w:type="character" w:customStyle="1" w:styleId="147">
    <w:name w:val="标题 3 Char"/>
    <w:link w:val="4"/>
    <w:qFormat/>
    <w:uiPriority w:val="9"/>
    <w:rPr>
      <w:b/>
      <w:bCs/>
      <w:kern w:val="2"/>
      <w:sz w:val="32"/>
      <w:szCs w:val="32"/>
    </w:rPr>
  </w:style>
  <w:style w:type="character" w:customStyle="1" w:styleId="148">
    <w:name w:val="c7 style3"/>
    <w:qFormat/>
    <w:uiPriority w:val="0"/>
  </w:style>
  <w:style w:type="character" w:customStyle="1" w:styleId="149">
    <w:name w:val="Char Char5"/>
    <w:qFormat/>
    <w:uiPriority w:val="0"/>
    <w:rPr>
      <w:rFonts w:ascii="宋体" w:hAnsi="Courier New" w:eastAsia="宋体"/>
      <w:kern w:val="2"/>
      <w:sz w:val="21"/>
      <w:lang w:val="en-US" w:eastAsia="zh-CN"/>
    </w:rPr>
  </w:style>
  <w:style w:type="character" w:customStyle="1" w:styleId="150">
    <w:name w:val="Font Style82"/>
    <w:qFormat/>
    <w:uiPriority w:val="99"/>
    <w:rPr>
      <w:rFonts w:ascii="宋体" w:eastAsia="宋体" w:cs="宋体"/>
      <w:color w:val="000000"/>
      <w:sz w:val="14"/>
      <w:szCs w:val="14"/>
    </w:rPr>
  </w:style>
  <w:style w:type="character" w:customStyle="1" w:styleId="151">
    <w:name w:val="tw4winInternal"/>
    <w:qFormat/>
    <w:uiPriority w:val="0"/>
    <w:rPr>
      <w:rFonts w:ascii="Courier New" w:hAnsi="Courier New" w:cs="Courier New"/>
      <w:color w:val="FF0000"/>
      <w:lang w:val="en-US" w:eastAsia="zh-CN"/>
    </w:rPr>
  </w:style>
  <w:style w:type="character" w:customStyle="1" w:styleId="152">
    <w:name w:val="纯文本 Char3"/>
    <w:link w:val="28"/>
    <w:qFormat/>
    <w:uiPriority w:val="0"/>
    <w:rPr>
      <w:rFonts w:ascii="宋体" w:hAnsi="Courier New" w:eastAsia="黑体" w:cs="Arial"/>
      <w:snapToGrid w:val="0"/>
      <w:kern w:val="2"/>
      <w:sz w:val="21"/>
      <w:szCs w:val="21"/>
    </w:rPr>
  </w:style>
  <w:style w:type="character" w:customStyle="1" w:styleId="153">
    <w:name w:val="正文1 Char"/>
    <w:qFormat/>
    <w:uiPriority w:val="0"/>
    <w:rPr>
      <w:rFonts w:ascii="宋体" w:eastAsia="宋体"/>
      <w:snapToGrid w:val="0"/>
      <w:color w:val="000000"/>
      <w:kern w:val="28"/>
      <w:sz w:val="28"/>
      <w:lang w:val="en-US" w:eastAsia="zh-CN" w:bidi="ar-SA"/>
    </w:rPr>
  </w:style>
  <w:style w:type="character" w:customStyle="1" w:styleId="154">
    <w:name w:val="shadow11"/>
    <w:qFormat/>
    <w:uiPriority w:val="0"/>
    <w:rPr>
      <w:color w:val="000000"/>
      <w:sz w:val="21"/>
    </w:rPr>
  </w:style>
  <w:style w:type="character" w:customStyle="1" w:styleId="155">
    <w:name w:val="Char Char71"/>
    <w:qFormat/>
    <w:uiPriority w:val="0"/>
    <w:rPr>
      <w:rFonts w:eastAsia="宋体"/>
      <w:kern w:val="2"/>
      <w:sz w:val="21"/>
      <w:szCs w:val="24"/>
      <w:lang w:val="en-US" w:eastAsia="zh-CN" w:bidi="ar-SA"/>
    </w:rPr>
  </w:style>
  <w:style w:type="character" w:customStyle="1" w:styleId="156">
    <w:name w:val="tw4winError"/>
    <w:qFormat/>
    <w:uiPriority w:val="0"/>
    <w:rPr>
      <w:rFonts w:ascii="Courier New" w:hAnsi="Courier New" w:cs="Courier New"/>
      <w:color w:val="00FF00"/>
      <w:sz w:val="40"/>
      <w:szCs w:val="40"/>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Char Char19"/>
    <w:qFormat/>
    <w:uiPriority w:val="6"/>
    <w:rPr>
      <w:rFonts w:ascii="宋体" w:hAnsi="宋体"/>
      <w:i/>
      <w:sz w:val="24"/>
      <w:szCs w:val="24"/>
    </w:rPr>
  </w:style>
  <w:style w:type="character" w:customStyle="1" w:styleId="159">
    <w:name w:val="Char Char28"/>
    <w:qFormat/>
    <w:uiPriority w:val="6"/>
    <w:rPr>
      <w:rFonts w:ascii="仿宋_GB2312" w:hAnsi="仿宋_GB2312" w:eastAsia="仿宋_GB2312"/>
      <w:kern w:val="1"/>
      <w:sz w:val="28"/>
    </w:rPr>
  </w:style>
  <w:style w:type="character" w:customStyle="1" w:styleId="160">
    <w:name w:val="pt9"/>
    <w:qFormat/>
    <w:uiPriority w:val="0"/>
    <w:rPr>
      <w:rFonts w:ascii="仿宋_GB2312" w:eastAsia="微软雅黑"/>
      <w:b/>
      <w:kern w:val="2"/>
      <w:sz w:val="32"/>
      <w:szCs w:val="32"/>
      <w:lang w:val="en-US" w:eastAsia="zh-CN" w:bidi="ar-SA"/>
    </w:rPr>
  </w:style>
  <w:style w:type="character" w:customStyle="1" w:styleId="161">
    <w:name w:val="标题 1 Char1"/>
    <w:link w:val="3"/>
    <w:qFormat/>
    <w:uiPriority w:val="9"/>
    <w:rPr>
      <w:b/>
      <w:bCs/>
      <w:kern w:val="44"/>
      <w:sz w:val="44"/>
      <w:szCs w:val="44"/>
    </w:rPr>
  </w:style>
  <w:style w:type="character" w:customStyle="1" w:styleId="162">
    <w:name w:val="正文2 Char"/>
    <w:qFormat/>
    <w:uiPriority w:val="0"/>
    <w:rPr>
      <w:rFonts w:eastAsia="宋体"/>
      <w:kern w:val="2"/>
      <w:sz w:val="24"/>
      <w:lang w:val="en-US" w:eastAsia="zh-CN" w:bidi="ar-SA"/>
    </w:rPr>
  </w:style>
  <w:style w:type="character" w:customStyle="1" w:styleId="163">
    <w:name w:val="普通文字 Char3"/>
    <w:qFormat/>
    <w:uiPriority w:val="0"/>
    <w:rPr>
      <w:rFonts w:ascii="宋体" w:hAnsi="Courier New" w:eastAsia="宋体"/>
      <w:kern w:val="2"/>
      <w:sz w:val="21"/>
      <w:lang w:val="en-US" w:eastAsia="zh-CN" w:bidi="ar-SA"/>
    </w:rPr>
  </w:style>
  <w:style w:type="character" w:customStyle="1" w:styleId="164">
    <w:name w:val="h Char Char"/>
    <w:qFormat/>
    <w:uiPriority w:val="0"/>
    <w:rPr>
      <w:rFonts w:eastAsia="宋体"/>
      <w:kern w:val="2"/>
      <w:sz w:val="18"/>
      <w:lang w:val="en-US" w:eastAsia="zh-CN" w:bidi="ar-SA"/>
    </w:rPr>
  </w:style>
  <w:style w:type="character" w:customStyle="1" w:styleId="165">
    <w:name w:val="页眉 Char3"/>
    <w:link w:val="34"/>
    <w:qFormat/>
    <w:uiPriority w:val="99"/>
    <w:rPr>
      <w:rFonts w:ascii="仿宋" w:hAnsi="仿宋" w:eastAsia="仿宋"/>
      <w:i/>
      <w:snapToGrid w:val="0"/>
      <w:kern w:val="2"/>
      <w:sz w:val="18"/>
      <w:szCs w:val="18"/>
      <w:u w:val="single"/>
      <w:lang w:val="en-GB"/>
    </w:rPr>
  </w:style>
  <w:style w:type="character" w:customStyle="1" w:styleId="166">
    <w:name w:val="mdeck"/>
    <w:qFormat/>
    <w:uiPriority w:val="0"/>
    <w:rPr>
      <w:rFonts w:ascii="仿宋_GB2312" w:eastAsia="微软雅黑"/>
      <w:b/>
      <w:kern w:val="2"/>
      <w:sz w:val="32"/>
      <w:szCs w:val="32"/>
      <w:lang w:val="en-US" w:eastAsia="zh-CN" w:bidi="ar-SA"/>
    </w:rPr>
  </w:style>
  <w:style w:type="character" w:customStyle="1" w:styleId="167">
    <w:name w:val="标题4-dyf Char"/>
    <w:link w:val="168"/>
    <w:qFormat/>
    <w:uiPriority w:val="0"/>
    <w:rPr>
      <w:rFonts w:ascii="Cambria" w:hAnsi="Cambria"/>
      <w:b/>
      <w:bCs/>
      <w:color w:val="000000"/>
      <w:kern w:val="2"/>
      <w:sz w:val="21"/>
      <w:szCs w:val="21"/>
    </w:rPr>
  </w:style>
  <w:style w:type="paragraph" w:customStyle="1" w:styleId="168">
    <w:name w:val="标题4-dyf"/>
    <w:basedOn w:val="5"/>
    <w:link w:val="167"/>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69">
    <w:name w:val="style91"/>
    <w:qFormat/>
    <w:uiPriority w:val="0"/>
    <w:rPr>
      <w:color w:val="333333"/>
    </w:rPr>
  </w:style>
  <w:style w:type="character" w:customStyle="1" w:styleId="170">
    <w:name w:val="公文正文 Char"/>
    <w:qFormat/>
    <w:uiPriority w:val="0"/>
    <w:rPr>
      <w:rFonts w:ascii="仿宋_GB2312" w:eastAsia="仿宋_GB2312"/>
      <w:kern w:val="2"/>
      <w:sz w:val="24"/>
      <w:szCs w:val="24"/>
      <w:lang w:val="en-US" w:eastAsia="zh-CN" w:bidi="ar-SA"/>
    </w:rPr>
  </w:style>
  <w:style w:type="character" w:customStyle="1" w:styleId="171">
    <w:name w:val="正文 项目 Char"/>
    <w:qFormat/>
    <w:uiPriority w:val="0"/>
    <w:rPr>
      <w:rFonts w:ascii="仿宋_GB2312" w:hAnsi="仿宋_GB2312" w:eastAsia="仿宋_GB2312"/>
      <w:kern w:val="2"/>
      <w:sz w:val="24"/>
      <w:lang w:bidi="ar-SA"/>
    </w:rPr>
  </w:style>
  <w:style w:type="character" w:customStyle="1" w:styleId="172">
    <w:name w:val="f141"/>
    <w:qFormat/>
    <w:uiPriority w:val="0"/>
    <w:rPr>
      <w:rFonts w:ascii="Tahoma" w:hAnsi="Tahoma" w:eastAsia="宋体"/>
      <w:b/>
      <w:kern w:val="2"/>
      <w:sz w:val="21"/>
      <w:szCs w:val="21"/>
      <w:lang w:val="en-US" w:eastAsia="zh-CN" w:bidi="ar-SA"/>
    </w:rPr>
  </w:style>
  <w:style w:type="character" w:customStyle="1" w:styleId="173">
    <w:name w:val="No Spacing Char"/>
    <w:link w:val="174"/>
    <w:qFormat/>
    <w:uiPriority w:val="1"/>
    <w:rPr>
      <w:sz w:val="22"/>
      <w:szCs w:val="22"/>
      <w:lang w:val="en-US" w:eastAsia="zh-CN" w:bidi="ar-SA"/>
    </w:rPr>
  </w:style>
  <w:style w:type="paragraph" w:customStyle="1" w:styleId="174">
    <w:name w:val="无间隔1"/>
    <w:link w:val="173"/>
    <w:qFormat/>
    <w:uiPriority w:val="1"/>
    <w:rPr>
      <w:rFonts w:ascii="Times New Roman" w:hAnsi="Times New Roman" w:eastAsia="宋体" w:cs="Times New Roman"/>
      <w:sz w:val="22"/>
      <w:szCs w:val="22"/>
      <w:lang w:val="en-US" w:eastAsia="zh-CN" w:bidi="ar-SA"/>
    </w:rPr>
  </w:style>
  <w:style w:type="character" w:customStyle="1" w:styleId="175">
    <w:name w:val="Char Char17"/>
    <w:qFormat/>
    <w:uiPriority w:val="6"/>
    <w:rPr>
      <w:rFonts w:eastAsia="仿宋_GB2312"/>
      <w:sz w:val="24"/>
    </w:rPr>
  </w:style>
  <w:style w:type="character" w:customStyle="1" w:styleId="176">
    <w:name w:val="页眉 Char"/>
    <w:qFormat/>
    <w:uiPriority w:val="99"/>
    <w:rPr>
      <w:rFonts w:eastAsia="仿宋_GB2312"/>
      <w:kern w:val="2"/>
      <w:sz w:val="18"/>
      <w:lang w:val="en-US" w:eastAsia="zh-CN"/>
    </w:rPr>
  </w:style>
  <w:style w:type="character" w:customStyle="1" w:styleId="177">
    <w:name w:val="Header Char_d4b1c253-a30e-432c-adeb-63682d892f75"/>
    <w:qFormat/>
    <w:uiPriority w:val="0"/>
    <w:rPr>
      <w:rFonts w:eastAsia="宋体"/>
      <w:kern w:val="2"/>
      <w:sz w:val="18"/>
      <w:szCs w:val="18"/>
      <w:lang w:val="en-US" w:eastAsia="zh-CN" w:bidi="ar-SA"/>
    </w:rPr>
  </w:style>
  <w:style w:type="character" w:customStyle="1" w:styleId="178">
    <w:name w:val="标题 6 Char"/>
    <w:link w:val="7"/>
    <w:qFormat/>
    <w:uiPriority w:val="9"/>
    <w:rPr>
      <w:rFonts w:ascii="Arial" w:hAnsi="Arial" w:eastAsia="黑体"/>
      <w:b/>
      <w:bCs/>
      <w:kern w:val="2"/>
      <w:sz w:val="24"/>
      <w:szCs w:val="24"/>
    </w:rPr>
  </w:style>
  <w:style w:type="character" w:customStyle="1" w:styleId="179">
    <w:name w:val="Char Char18"/>
    <w:qFormat/>
    <w:uiPriority w:val="6"/>
    <w:rPr>
      <w:rFonts w:ascii="宋体" w:hAnsi="宋体"/>
      <w:sz w:val="28"/>
    </w:rPr>
  </w:style>
  <w:style w:type="character" w:customStyle="1" w:styleId="180">
    <w:name w:val="Char Char16"/>
    <w:qFormat/>
    <w:uiPriority w:val="6"/>
    <w:rPr>
      <w:kern w:val="1"/>
      <w:sz w:val="18"/>
      <w:szCs w:val="18"/>
    </w:rPr>
  </w:style>
  <w:style w:type="character" w:customStyle="1" w:styleId="181">
    <w:name w:val="标准正文格式 Char"/>
    <w:qFormat/>
    <w:uiPriority w:val="0"/>
    <w:rPr>
      <w:rFonts w:ascii="宋体" w:eastAsia="仿宋_GB2312" w:cs="宋体"/>
      <w:color w:val="000000"/>
      <w:sz w:val="24"/>
      <w:lang w:val="en-US" w:eastAsia="zh-CN" w:bidi="ar-SA"/>
    </w:rPr>
  </w:style>
  <w:style w:type="character" w:customStyle="1" w:styleId="182">
    <w:name w:val="标题 Char"/>
    <w:qFormat/>
    <w:uiPriority w:val="0"/>
    <w:rPr>
      <w:rFonts w:eastAsia="宋体"/>
      <w:b/>
      <w:sz w:val="24"/>
      <w:lang w:val="en-GB" w:eastAsia="zh-CN" w:bidi="ar-SA"/>
    </w:rPr>
  </w:style>
  <w:style w:type="character" w:customStyle="1" w:styleId="183">
    <w:name w:val="tw4winTerm"/>
    <w:qFormat/>
    <w:uiPriority w:val="0"/>
    <w:rPr>
      <w:color w:val="0000FF"/>
    </w:rPr>
  </w:style>
  <w:style w:type="character" w:customStyle="1" w:styleId="184">
    <w:name w:val="h3 Char"/>
    <w:qFormat/>
    <w:uiPriority w:val="0"/>
    <w:rPr>
      <w:rFonts w:eastAsia="宋体"/>
      <w:b/>
      <w:kern w:val="2"/>
      <w:sz w:val="32"/>
      <w:lang w:val="en-US" w:eastAsia="zh-CN" w:bidi="ar-SA"/>
    </w:rPr>
  </w:style>
  <w:style w:type="character" w:customStyle="1" w:styleId="185">
    <w:name w:val="Balloon Text Char"/>
    <w:qFormat/>
    <w:uiPriority w:val="0"/>
    <w:rPr>
      <w:rFonts w:eastAsia="宋体"/>
      <w:kern w:val="2"/>
      <w:sz w:val="18"/>
      <w:szCs w:val="18"/>
      <w:lang w:val="en-US" w:eastAsia="zh-CN" w:bidi="ar-SA"/>
    </w:rPr>
  </w:style>
  <w:style w:type="character" w:customStyle="1" w:styleId="186">
    <w:name w:val="unnamed11"/>
    <w:qFormat/>
    <w:uiPriority w:val="0"/>
    <w:rPr>
      <w:sz w:val="20"/>
      <w:szCs w:val="20"/>
    </w:rPr>
  </w:style>
  <w:style w:type="character" w:customStyle="1" w:styleId="187">
    <w:name w:val="样式 正文缩进 + 首行缩进:  2 字符 Char Char"/>
    <w:link w:val="188"/>
    <w:qFormat/>
    <w:uiPriority w:val="0"/>
    <w:rPr>
      <w:rFonts w:ascii="Arial" w:hAnsi="Arial" w:eastAsia="黑体" w:cs="宋体"/>
      <w:snapToGrid w:val="0"/>
      <w:kern w:val="2"/>
      <w:sz w:val="24"/>
      <w:szCs w:val="21"/>
    </w:rPr>
  </w:style>
  <w:style w:type="paragraph" w:customStyle="1" w:styleId="188">
    <w:name w:val="样式 正文缩进 + 首行缩进:  2 字符"/>
    <w:basedOn w:val="13"/>
    <w:link w:val="187"/>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89">
    <w:name w:val="带编号样式 Char"/>
    <w:qFormat/>
    <w:uiPriority w:val="0"/>
    <w:rPr>
      <w:rFonts w:ascii="仿宋_GB2312" w:eastAsia="仿宋_GB2312"/>
      <w:color w:val="000000"/>
      <w:sz w:val="24"/>
      <w:lang w:bidi="ar-SA"/>
    </w:rPr>
  </w:style>
  <w:style w:type="character" w:customStyle="1" w:styleId="190">
    <w:name w:val="Footer-Even Char"/>
    <w:qFormat/>
    <w:uiPriority w:val="0"/>
    <w:rPr>
      <w:rFonts w:eastAsia="宋体"/>
      <w:kern w:val="2"/>
      <w:sz w:val="18"/>
      <w:lang w:val="en-US" w:eastAsia="zh-CN" w:bidi="ar-SA"/>
    </w:rPr>
  </w:style>
  <w:style w:type="character" w:customStyle="1" w:styleId="191">
    <w:name w:val="标题 5 Char"/>
    <w:link w:val="6"/>
    <w:qFormat/>
    <w:uiPriority w:val="9"/>
    <w:rPr>
      <w:b/>
      <w:bCs/>
      <w:kern w:val="2"/>
      <w:sz w:val="28"/>
      <w:szCs w:val="28"/>
    </w:rPr>
  </w:style>
  <w:style w:type="character" w:customStyle="1" w:styleId="192">
    <w:name w:val="Char Char31"/>
    <w:qFormat/>
    <w:uiPriority w:val="6"/>
    <w:rPr>
      <w:rFonts w:ascii="Arial" w:hAnsi="Arial" w:eastAsia="黑体"/>
      <w:kern w:val="1"/>
      <w:sz w:val="24"/>
      <w:szCs w:val="24"/>
    </w:rPr>
  </w:style>
  <w:style w:type="character" w:customStyle="1" w:styleId="193">
    <w:name w:val="链接"/>
    <w:qFormat/>
    <w:uiPriority w:val="0"/>
    <w:rPr>
      <w:color w:val="0000FF"/>
      <w:sz w:val="21"/>
      <w:szCs w:val="21"/>
      <w:u w:val="single"/>
    </w:rPr>
  </w:style>
  <w:style w:type="character" w:customStyle="1" w:styleId="194">
    <w:name w:val="style36"/>
    <w:basedOn w:val="51"/>
    <w:qFormat/>
    <w:uiPriority w:val="0"/>
  </w:style>
  <w:style w:type="character" w:customStyle="1" w:styleId="195">
    <w:name w:val="标题 4 Char1"/>
    <w:qFormat/>
    <w:uiPriority w:val="9"/>
    <w:rPr>
      <w:rFonts w:ascii="Cambria" w:hAnsi="Cambria" w:eastAsia="宋体" w:cs="Times New Roman"/>
      <w:b/>
      <w:bCs/>
      <w:kern w:val="2"/>
      <w:sz w:val="28"/>
      <w:szCs w:val="28"/>
    </w:rPr>
  </w:style>
  <w:style w:type="character" w:customStyle="1" w:styleId="196">
    <w:name w:val="标题 8 Char"/>
    <w:link w:val="9"/>
    <w:qFormat/>
    <w:uiPriority w:val="9"/>
    <w:rPr>
      <w:rFonts w:ascii="Arial" w:hAnsi="Arial" w:eastAsia="黑体"/>
      <w:kern w:val="2"/>
      <w:sz w:val="24"/>
      <w:szCs w:val="24"/>
    </w:rPr>
  </w:style>
  <w:style w:type="character" w:customStyle="1" w:styleId="197">
    <w:name w:val="首行缩进 Char"/>
    <w:qFormat/>
    <w:uiPriority w:val="0"/>
    <w:rPr>
      <w:rFonts w:ascii="宋体" w:eastAsia="宋体"/>
      <w:kern w:val="2"/>
      <w:sz w:val="24"/>
      <w:lang w:val="en-US" w:eastAsia="zh-CN" w:bidi="ar-SA"/>
    </w:rPr>
  </w:style>
  <w:style w:type="character" w:customStyle="1" w:styleId="198">
    <w:name w:val="unnamed31"/>
    <w:qFormat/>
    <w:uiPriority w:val="0"/>
    <w:rPr>
      <w:rFonts w:ascii="Tahoma" w:hAnsi="Tahoma" w:eastAsia="宋体"/>
      <w:b/>
      <w:kern w:val="2"/>
      <w:sz w:val="24"/>
      <w:szCs w:val="32"/>
      <w:u w:val="none"/>
      <w:lang w:val="en-US" w:eastAsia="zh-CN" w:bidi="ar-SA"/>
    </w:rPr>
  </w:style>
  <w:style w:type="character" w:customStyle="1" w:styleId="199">
    <w:name w:val="dandyren_title1"/>
    <w:qFormat/>
    <w:uiPriority w:val="0"/>
    <w:rPr>
      <w:b/>
      <w:bCs/>
      <w:color w:val="FF6633"/>
      <w:sz w:val="18"/>
      <w:szCs w:val="18"/>
    </w:rPr>
  </w:style>
  <w:style w:type="character" w:customStyle="1" w:styleId="200">
    <w:name w:val="Char Char61"/>
    <w:qFormat/>
    <w:uiPriority w:val="6"/>
    <w:rPr>
      <w:rFonts w:eastAsia="宋体"/>
      <w:kern w:val="2"/>
      <w:sz w:val="21"/>
      <w:szCs w:val="24"/>
      <w:lang w:val="en-US" w:eastAsia="zh-CN" w:bidi="ar-SA"/>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文本正文 Char Char"/>
    <w:qFormat/>
    <w:uiPriority w:val="0"/>
    <w:rPr>
      <w:sz w:val="24"/>
      <w:lang w:bidi="ar-SA"/>
    </w:rPr>
  </w:style>
  <w:style w:type="character" w:customStyle="1" w:styleId="203">
    <w:name w:val="DO_NOT_TRANSLATE"/>
    <w:qFormat/>
    <w:uiPriority w:val="0"/>
    <w:rPr>
      <w:rFonts w:ascii="Courier New" w:hAnsi="Courier New" w:cs="Courier New"/>
      <w:color w:val="800000"/>
      <w:lang w:val="en-US" w:eastAsia="zh-CN"/>
    </w:rPr>
  </w:style>
  <w:style w:type="character" w:customStyle="1" w:styleId="204">
    <w:name w:val="hui"/>
    <w:basedOn w:val="51"/>
    <w:qFormat/>
    <w:uiPriority w:val="0"/>
  </w:style>
  <w:style w:type="character" w:customStyle="1" w:styleId="205">
    <w:name w:val="Heading 1 Char_39036d89-f680-4e07-9d9e-aef03a1fa893"/>
    <w:qFormat/>
    <w:uiPriority w:val="6"/>
    <w:rPr>
      <w:rFonts w:ascii="Times New Roman" w:hAnsi="Times New Roman" w:eastAsia="黑体" w:cs="Times New Roman"/>
      <w:b/>
      <w:kern w:val="0"/>
      <w:sz w:val="24"/>
      <w:szCs w:val="24"/>
    </w:rPr>
  </w:style>
  <w:style w:type="character" w:customStyle="1" w:styleId="206">
    <w:name w:val="gray6"/>
    <w:basedOn w:val="51"/>
    <w:qFormat/>
    <w:uiPriority w:val="0"/>
  </w:style>
  <w:style w:type="character" w:customStyle="1" w:styleId="207">
    <w:name w:val="font12gray1"/>
    <w:qFormat/>
    <w:uiPriority w:val="0"/>
    <w:rPr>
      <w:rFonts w:ascii="仿宋_GB2312" w:eastAsia="微软雅黑"/>
      <w:b/>
      <w:spacing w:val="300"/>
      <w:kern w:val="2"/>
      <w:sz w:val="18"/>
      <w:szCs w:val="18"/>
      <w:lang w:val="en-US" w:eastAsia="zh-CN" w:bidi="ar-SA"/>
    </w:rPr>
  </w:style>
  <w:style w:type="character" w:customStyle="1" w:styleId="208">
    <w:name w:val="正文文本缩进 Char"/>
    <w:link w:val="21"/>
    <w:qFormat/>
    <w:uiPriority w:val="99"/>
    <w:rPr>
      <w:rFonts w:ascii="宋体" w:hAnsi="宋体"/>
      <w:kern w:val="2"/>
      <w:sz w:val="24"/>
      <w:szCs w:val="24"/>
    </w:rPr>
  </w:style>
  <w:style w:type="character" w:customStyle="1" w:styleId="209">
    <w:name w:val="apple-converted-space"/>
    <w:qFormat/>
    <w:uiPriority w:val="0"/>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书表格字体格式 Char"/>
    <w:qFormat/>
    <w:uiPriority w:val="0"/>
    <w:rPr>
      <w:kern w:val="2"/>
      <w:sz w:val="21"/>
      <w:szCs w:val="24"/>
      <w:lang w:bidi="ar-SA"/>
    </w:rPr>
  </w:style>
  <w:style w:type="character" w:customStyle="1" w:styleId="212">
    <w:name w:val="正文1 Char1"/>
    <w:qFormat/>
    <w:uiPriority w:val="0"/>
    <w:rPr>
      <w:rFonts w:ascii="仿宋_GB2312" w:hAnsi="Courier New" w:eastAsia="仿宋_GB2312"/>
      <w:kern w:val="28"/>
      <w:sz w:val="24"/>
      <w:szCs w:val="24"/>
      <w:lang w:val="en-US" w:eastAsia="zh-CN"/>
    </w:rPr>
  </w:style>
  <w:style w:type="character" w:customStyle="1" w:styleId="213">
    <w:name w:val="h Char Char1"/>
    <w:qFormat/>
    <w:uiPriority w:val="0"/>
    <w:rPr>
      <w:rFonts w:eastAsia="宋体"/>
      <w:kern w:val="2"/>
      <w:sz w:val="18"/>
      <w:szCs w:val="18"/>
      <w:lang w:val="en-US" w:eastAsia="zh-CN" w:bidi="ar-SA"/>
    </w:rPr>
  </w:style>
  <w:style w:type="character" w:customStyle="1" w:styleId="214">
    <w:name w:val="表格 Char Char"/>
    <w:qFormat/>
    <w:uiPriority w:val="0"/>
    <w:rPr>
      <w:rFonts w:ascii="宋体" w:hAnsi="宋体" w:eastAsia="宋体"/>
      <w:lang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Char Char91"/>
    <w:qFormat/>
    <w:uiPriority w:val="0"/>
    <w:rPr>
      <w:rFonts w:eastAsia="宋体"/>
      <w:kern w:val="2"/>
      <w:sz w:val="18"/>
      <w:szCs w:val="18"/>
      <w:lang w:val="en-US" w:eastAsia="zh-CN" w:bidi="ar-SA"/>
    </w:rPr>
  </w:style>
  <w:style w:type="character" w:customStyle="1" w:styleId="218">
    <w:name w:val="Char Char4"/>
    <w:qFormat/>
    <w:uiPriority w:val="0"/>
    <w:rPr>
      <w:rFonts w:eastAsia="宋体"/>
      <w:b/>
      <w:sz w:val="24"/>
      <w:lang w:val="en-GB" w:eastAsia="zh-CN" w:bidi="ar-SA"/>
    </w:rPr>
  </w:style>
  <w:style w:type="character" w:customStyle="1" w:styleId="219">
    <w:name w:val="页脚 Char"/>
    <w:qFormat/>
    <w:uiPriority w:val="99"/>
    <w:rPr>
      <w:rFonts w:eastAsia="仿宋_GB2312"/>
      <w:kern w:val="2"/>
      <w:sz w:val="18"/>
      <w:lang w:val="en-US" w:eastAsia="zh-CN"/>
    </w:rPr>
  </w:style>
  <w:style w:type="character" w:customStyle="1" w:styleId="220">
    <w:name w:val="样式7 Char"/>
    <w:qFormat/>
    <w:uiPriority w:val="0"/>
    <w:rPr>
      <w:rFonts w:ascii="仿宋_GB2312" w:hAnsi="仿宋" w:eastAsia="仿宋_GB2312"/>
      <w:b/>
      <w:kern w:val="2"/>
      <w:sz w:val="24"/>
      <w:szCs w:val="24"/>
    </w:rPr>
  </w:style>
  <w:style w:type="character" w:customStyle="1" w:styleId="221">
    <w:name w:val="批注主题 Char1"/>
    <w:link w:val="48"/>
    <w:qFormat/>
    <w:uiPriority w:val="6"/>
    <w:rPr>
      <w:rFonts w:ascii="Times New Roman" w:hAnsi="Times New Roman" w:eastAsia="宋体" w:cs="Times New Roman"/>
      <w:b/>
      <w:bCs/>
      <w:snapToGrid w:val="0"/>
      <w:kern w:val="2"/>
      <w:sz w:val="21"/>
      <w:szCs w:val="24"/>
    </w:rPr>
  </w:style>
  <w:style w:type="character" w:customStyle="1" w:styleId="222">
    <w:name w:val="Char Char81"/>
    <w:qFormat/>
    <w:uiPriority w:val="0"/>
    <w:rPr>
      <w:rFonts w:eastAsia="宋体"/>
      <w:b/>
      <w:sz w:val="24"/>
      <w:lang w:val="en-GB" w:eastAsia="zh-CN"/>
    </w:rPr>
  </w:style>
  <w:style w:type="character" w:customStyle="1" w:styleId="223">
    <w:name w:val="批注主题 Char"/>
    <w:qFormat/>
    <w:uiPriority w:val="99"/>
    <w:rPr>
      <w:rFonts w:eastAsia="宋体"/>
      <w:b/>
      <w:bCs/>
      <w:kern w:val="2"/>
      <w:sz w:val="21"/>
      <w:szCs w:val="24"/>
      <w:lang w:val="en-US" w:eastAsia="zh-CN" w:bidi="ar-SA"/>
    </w:rPr>
  </w:style>
  <w:style w:type="character" w:customStyle="1" w:styleId="224">
    <w:name w:val="纯文本 Char1"/>
    <w:link w:val="225"/>
    <w:qFormat/>
    <w:uiPriority w:val="0"/>
    <w:rPr>
      <w:rFonts w:ascii="宋体" w:hAnsi="宋体" w:cs="Courier New"/>
      <w:color w:val="000000"/>
      <w:kern w:val="1"/>
      <w:sz w:val="21"/>
    </w:rPr>
  </w:style>
  <w:style w:type="paragraph" w:customStyle="1" w:styleId="225">
    <w:name w:val="纯文本1"/>
    <w:basedOn w:val="1"/>
    <w:link w:val="224"/>
    <w:qFormat/>
    <w:uiPriority w:val="0"/>
    <w:pPr>
      <w:adjustRightInd/>
    </w:pPr>
    <w:rPr>
      <w:rFonts w:ascii="宋体" w:hAnsi="宋体"/>
      <w:color w:val="000000"/>
      <w:kern w:val="1"/>
      <w:szCs w:val="20"/>
    </w:rPr>
  </w:style>
  <w:style w:type="character" w:customStyle="1" w:styleId="226">
    <w:name w:val="Char Char2"/>
    <w:qFormat/>
    <w:uiPriority w:val="6"/>
    <w:rPr>
      <w:rFonts w:eastAsia="宋体"/>
      <w:b/>
      <w:bCs/>
      <w:kern w:val="2"/>
      <w:sz w:val="21"/>
      <w:szCs w:val="24"/>
      <w:lang w:val="en-US" w:eastAsia="zh-CN" w:bidi="ar-SA"/>
    </w:rPr>
  </w:style>
  <w:style w:type="character" w:customStyle="1" w:styleId="227">
    <w:name w:val="正文文本缩进 2 Char"/>
    <w:link w:val="31"/>
    <w:qFormat/>
    <w:uiPriority w:val="0"/>
    <w:rPr>
      <w:rFonts w:ascii="宋体"/>
      <w:sz w:val="28"/>
    </w:rPr>
  </w:style>
  <w:style w:type="character" w:customStyle="1" w:styleId="228">
    <w:name w:val="标题 3 Char2"/>
    <w:qFormat/>
    <w:uiPriority w:val="0"/>
    <w:rPr>
      <w:rFonts w:eastAsia="宋体"/>
      <w:b/>
      <w:bCs/>
      <w:kern w:val="2"/>
      <w:sz w:val="32"/>
      <w:szCs w:val="32"/>
      <w:lang w:val="en-US" w:eastAsia="zh-CN" w:bidi="ar-SA"/>
    </w:rPr>
  </w:style>
  <w:style w:type="character" w:customStyle="1" w:styleId="229">
    <w:name w:val="样式5 Char"/>
    <w:qFormat/>
    <w:uiPriority w:val="0"/>
    <w:rPr>
      <w:rFonts w:ascii="仿宋_GB2312" w:hAnsi="仿宋" w:eastAsia="仿宋_GB2312"/>
      <w:kern w:val="2"/>
      <w:sz w:val="24"/>
      <w:szCs w:val="24"/>
    </w:rPr>
  </w:style>
  <w:style w:type="character" w:customStyle="1" w:styleId="230">
    <w:name w:val="Char Char11"/>
    <w:qFormat/>
    <w:uiPriority w:val="0"/>
    <w:rPr>
      <w:rFonts w:ascii="宋体" w:hAnsi="宋体" w:eastAsia="宋体"/>
      <w:b/>
      <w:kern w:val="2"/>
      <w:sz w:val="24"/>
      <w:szCs w:val="24"/>
      <w:lang w:val="en-US" w:eastAsia="zh-CN" w:bidi="ar-SA"/>
    </w:rPr>
  </w:style>
  <w:style w:type="character" w:customStyle="1" w:styleId="231">
    <w:name w:val="Char Char7"/>
    <w:qFormat/>
    <w:uiPriority w:val="6"/>
    <w:rPr>
      <w:rFonts w:eastAsia="宋体"/>
      <w:kern w:val="2"/>
      <w:sz w:val="21"/>
      <w:szCs w:val="24"/>
      <w:lang w:val="en-US" w:eastAsia="zh-CN" w:bidi="ar-SA"/>
    </w:rPr>
  </w:style>
  <w:style w:type="character" w:customStyle="1" w:styleId="232">
    <w:name w:val="Body Text(ch) Char Char"/>
    <w:qFormat/>
    <w:uiPriority w:val="0"/>
    <w:rPr>
      <w:rFonts w:ascii="宋体"/>
      <w:kern w:val="2"/>
      <w:sz w:val="24"/>
      <w:szCs w:val="21"/>
      <w:lang w:val="zh-CN"/>
    </w:rPr>
  </w:style>
  <w:style w:type="character" w:customStyle="1" w:styleId="233">
    <w:name w:val="Footer Char_f5b9630e-b41e-4b5d-8a12-31c7e071b29f"/>
    <w:qFormat/>
    <w:uiPriority w:val="0"/>
    <w:rPr>
      <w:rFonts w:eastAsia="宋体"/>
      <w:kern w:val="2"/>
      <w:sz w:val="18"/>
      <w:lang w:val="en-US" w:eastAsia="zh-CN" w:bidi="ar-SA"/>
    </w:rPr>
  </w:style>
  <w:style w:type="character" w:customStyle="1" w:styleId="234">
    <w:name w:val="标书正文格式 Char"/>
    <w:qFormat/>
    <w:uiPriority w:val="0"/>
    <w:rPr>
      <w:rFonts w:eastAsia="楷体_GB2312"/>
      <w:kern w:val="2"/>
      <w:sz w:val="24"/>
      <w:szCs w:val="24"/>
      <w:lang w:bidi="ar-SA"/>
    </w:rPr>
  </w:style>
  <w:style w:type="character" w:customStyle="1" w:styleId="235">
    <w:name w:val="message1"/>
    <w:qFormat/>
    <w:uiPriority w:val="0"/>
    <w:rPr>
      <w:rFonts w:hint="default" w:ascii="Tahoma" w:hAnsi="Tahoma" w:cs="Tahoma"/>
      <w:sz w:val="18"/>
      <w:szCs w:val="18"/>
    </w:rPr>
  </w:style>
  <w:style w:type="character" w:customStyle="1" w:styleId="236">
    <w:name w:val="myp11"/>
    <w:qFormat/>
    <w:uiPriority w:val="0"/>
    <w:rPr>
      <w:rFonts w:ascii="仿宋_GB2312" w:eastAsia="微软雅黑"/>
      <w:b/>
      <w:kern w:val="2"/>
      <w:sz w:val="32"/>
      <w:szCs w:val="32"/>
      <w:lang w:val="en-US" w:eastAsia="zh-CN" w:bidi="ar-SA"/>
    </w:rPr>
  </w:style>
  <w:style w:type="character" w:customStyle="1" w:styleId="237">
    <w:name w:val="pt141"/>
    <w:qFormat/>
    <w:uiPriority w:val="0"/>
    <w:rPr>
      <w:color w:val="330066"/>
      <w:sz w:val="22"/>
      <w:szCs w:val="22"/>
    </w:rPr>
  </w:style>
  <w:style w:type="character" w:customStyle="1" w:styleId="238">
    <w:name w:val="Char Char101"/>
    <w:qFormat/>
    <w:uiPriority w:val="6"/>
    <w:rPr>
      <w:rFonts w:ascii="宋体" w:hAnsi="宋体"/>
      <w:kern w:val="2"/>
      <w:sz w:val="21"/>
      <w:szCs w:val="24"/>
      <w:lang w:val="en-US" w:eastAsia="zh-CN"/>
    </w:rPr>
  </w:style>
  <w:style w:type="character" w:customStyle="1" w:styleId="239">
    <w:name w:val="txt"/>
    <w:qFormat/>
    <w:uiPriority w:val="0"/>
    <w:rPr>
      <w:rFonts w:ascii="仿宋_GB2312" w:eastAsia="微软雅黑"/>
      <w:b/>
      <w:kern w:val="2"/>
      <w:sz w:val="32"/>
      <w:szCs w:val="32"/>
      <w:lang w:val="en-US" w:eastAsia="zh-CN" w:bidi="ar-SA"/>
    </w:rPr>
  </w:style>
  <w:style w:type="character" w:customStyle="1" w:styleId="240">
    <w:name w:val="正文文本 2 Char1"/>
    <w:link w:val="44"/>
    <w:qFormat/>
    <w:uiPriority w:val="6"/>
    <w:rPr>
      <w:rFonts w:ascii="Arial" w:hAnsi="Arial" w:eastAsia="黑体" w:cs="Arial"/>
      <w:snapToGrid w:val="0"/>
      <w:kern w:val="2"/>
      <w:sz w:val="21"/>
      <w:szCs w:val="24"/>
    </w:rPr>
  </w:style>
  <w:style w:type="character" w:customStyle="1" w:styleId="241">
    <w:name w:val="solutionfonts"/>
    <w:qFormat/>
    <w:uiPriority w:val="0"/>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标题 2 Char Char"/>
    <w:qFormat/>
    <w:uiPriority w:val="0"/>
    <w:rPr>
      <w:rFonts w:ascii="楷体_GB2312" w:hAnsi="Arial" w:eastAsia="楷体_GB2312"/>
      <w:b/>
      <w:bCs/>
      <w:kern w:val="2"/>
      <w:sz w:val="24"/>
      <w:szCs w:val="32"/>
      <w:lang w:val="en-US" w:eastAsia="zh-CN" w:bidi="ar-SA"/>
    </w:rPr>
  </w:style>
  <w:style w:type="character" w:customStyle="1" w:styleId="244">
    <w:name w:val="正文文本 Char"/>
    <w:qFormat/>
    <w:uiPriority w:val="0"/>
    <w:rPr>
      <w:rFonts w:eastAsia="宋体"/>
      <w:kern w:val="2"/>
      <w:sz w:val="24"/>
      <w:szCs w:val="24"/>
      <w:lang w:val="en-US" w:eastAsia="zh-CN" w:bidi="ar-SA"/>
    </w:rPr>
  </w:style>
  <w:style w:type="character" w:customStyle="1" w:styleId="245">
    <w:name w:val="Char Char10"/>
    <w:qFormat/>
    <w:uiPriority w:val="6"/>
    <w:rPr>
      <w:rFonts w:ascii="宋体" w:hAnsi="宋体"/>
      <w:kern w:val="2"/>
      <w:sz w:val="21"/>
      <w:szCs w:val="24"/>
      <w:lang w:val="en-US" w:eastAsia="zh-CN"/>
    </w:rPr>
  </w:style>
  <w:style w:type="character" w:customStyle="1" w:styleId="246">
    <w:name w:val="blue1"/>
    <w:basedOn w:val="51"/>
    <w:qFormat/>
    <w:uiPriority w:val="0"/>
  </w:style>
  <w:style w:type="character" w:customStyle="1" w:styleId="247">
    <w:name w:val="large1"/>
    <w:qFormat/>
    <w:uiPriority w:val="0"/>
    <w:rPr>
      <w:rFonts w:hint="eastAsia" w:ascii="宋体" w:hAnsi="宋体" w:eastAsia="宋体"/>
      <w:sz w:val="21"/>
      <w:szCs w:val="21"/>
    </w:rPr>
  </w:style>
  <w:style w:type="character" w:customStyle="1" w:styleId="248">
    <w:name w:val="tw4winPopup"/>
    <w:qFormat/>
    <w:uiPriority w:val="0"/>
    <w:rPr>
      <w:rFonts w:ascii="Courier New" w:hAnsi="Courier New" w:cs="Courier New"/>
      <w:color w:val="008000"/>
      <w:lang w:val="en-US" w:eastAsia="zh-CN"/>
    </w:rPr>
  </w:style>
  <w:style w:type="character" w:customStyle="1" w:styleId="249">
    <w:name w:val="tw4winExternal"/>
    <w:qFormat/>
    <w:uiPriority w:val="0"/>
    <w:rPr>
      <w:rFonts w:ascii="Courier New" w:hAnsi="Courier New" w:cs="Courier New"/>
      <w:color w:val="808080"/>
      <w:lang w:val="en-US" w:eastAsia="zh-CN"/>
    </w:rPr>
  </w:style>
  <w:style w:type="character" w:customStyle="1" w:styleId="250">
    <w:name w:val="表格名称{858D7CFB-ED40-4347-BF05-701D383B685F}"/>
    <w:link w:val="251"/>
    <w:qFormat/>
    <w:uiPriority w:val="0"/>
    <w:rPr>
      <w:sz w:val="32"/>
    </w:rPr>
  </w:style>
  <w:style w:type="paragraph" w:customStyle="1" w:styleId="251">
    <w:name w:val="表格名称"/>
    <w:basedOn w:val="2"/>
    <w:link w:val="250"/>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2">
    <w:name w:val="Char Char3"/>
    <w:qFormat/>
    <w:uiPriority w:val="0"/>
    <w:rPr>
      <w:rFonts w:ascii="Times New Roman" w:hAnsi="Times New Roman" w:eastAsia="宋体" w:cs="Times New Roman"/>
      <w:b/>
      <w:kern w:val="2"/>
      <w:sz w:val="32"/>
      <w:szCs w:val="24"/>
      <w:lang w:val="en-US" w:eastAsia="zh-CN" w:bidi="ar-SA"/>
    </w:rPr>
  </w:style>
  <w:style w:type="character" w:customStyle="1" w:styleId="253">
    <w:name w:val="Char Char35"/>
    <w:qFormat/>
    <w:uiPriority w:val="6"/>
    <w:rPr>
      <w:rFonts w:ascii="Arial" w:hAnsi="Arial" w:eastAsia="黑体"/>
      <w:b/>
      <w:kern w:val="1"/>
      <w:sz w:val="28"/>
      <w:szCs w:val="28"/>
      <w:lang w:val="zh-CN"/>
    </w:rPr>
  </w:style>
  <w:style w:type="character" w:customStyle="1" w:styleId="254">
    <w:name w:val="h3 Char1"/>
    <w:qFormat/>
    <w:uiPriority w:val="0"/>
    <w:rPr>
      <w:rFonts w:eastAsia="宋体"/>
      <w:b/>
      <w:bCs/>
      <w:kern w:val="2"/>
      <w:sz w:val="32"/>
      <w:szCs w:val="32"/>
      <w:lang w:bidi="ar-SA"/>
    </w:rPr>
  </w:style>
  <w:style w:type="character" w:customStyle="1" w:styleId="255">
    <w:name w:val="正文说明 Char"/>
    <w:link w:val="256"/>
    <w:qFormat/>
    <w:uiPriority w:val="0"/>
    <w:rPr>
      <w:sz w:val="24"/>
      <w:szCs w:val="24"/>
    </w:rPr>
  </w:style>
  <w:style w:type="paragraph" w:customStyle="1" w:styleId="256">
    <w:name w:val="正文说明"/>
    <w:basedOn w:val="1"/>
    <w:link w:val="255"/>
    <w:qFormat/>
    <w:uiPriority w:val="0"/>
    <w:pPr>
      <w:adjustRightInd/>
      <w:spacing w:line="360" w:lineRule="auto"/>
    </w:pPr>
    <w:rPr>
      <w:kern w:val="0"/>
      <w:sz w:val="24"/>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页眉 Char1"/>
    <w:qFormat/>
    <w:uiPriority w:val="0"/>
    <w:rPr>
      <w:rFonts w:eastAsia="宋体"/>
      <w:kern w:val="2"/>
      <w:sz w:val="18"/>
      <w:szCs w:val="18"/>
      <w:lang w:val="en-US" w:eastAsia="zh-CN" w:bidi="ar-SA"/>
    </w:rPr>
  </w:style>
  <w:style w:type="character" w:customStyle="1" w:styleId="259">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60">
    <w:name w:val="Char Char"/>
    <w:qFormat/>
    <w:uiPriority w:val="0"/>
    <w:rPr>
      <w:rFonts w:ascii="宋体" w:hAnsi="Courier New" w:eastAsia="宋体"/>
      <w:kern w:val="2"/>
      <w:sz w:val="21"/>
      <w:lang w:val="en-US" w:eastAsia="zh-CN" w:bidi="ar-SA"/>
    </w:rPr>
  </w:style>
  <w:style w:type="character" w:customStyle="1" w:styleId="261">
    <w:name w:val="javascript"/>
    <w:qFormat/>
    <w:uiPriority w:val="0"/>
  </w:style>
  <w:style w:type="character" w:customStyle="1" w:styleId="262">
    <w:name w:val="冯广丽 Char"/>
    <w:link w:val="263"/>
    <w:qFormat/>
    <w:uiPriority w:val="0"/>
    <w:rPr>
      <w:rFonts w:ascii="宋体" w:hAnsi="宋体"/>
      <w:kern w:val="2"/>
      <w:sz w:val="24"/>
      <w:szCs w:val="22"/>
    </w:rPr>
  </w:style>
  <w:style w:type="paragraph" w:customStyle="1" w:styleId="263">
    <w:name w:val="冯广丽"/>
    <w:basedOn w:val="1"/>
    <w:link w:val="262"/>
    <w:qFormat/>
    <w:uiPriority w:val="0"/>
    <w:pPr>
      <w:adjustRightInd/>
      <w:spacing w:line="360" w:lineRule="auto"/>
      <w:ind w:firstLine="480" w:firstLineChars="200"/>
    </w:pPr>
    <w:rPr>
      <w:rFonts w:ascii="宋体" w:hAnsi="宋体"/>
      <w:sz w:val="24"/>
      <w:szCs w:val="22"/>
    </w:rPr>
  </w:style>
  <w:style w:type="character" w:customStyle="1" w:styleId="264">
    <w:name w:val="Char Char6"/>
    <w:qFormat/>
    <w:uiPriority w:val="0"/>
    <w:rPr>
      <w:rFonts w:eastAsia="宋体"/>
      <w:kern w:val="2"/>
      <w:sz w:val="21"/>
      <w:szCs w:val="24"/>
      <w:lang w:val="en-US" w:eastAsia="zh-CN" w:bidi="ar-SA"/>
    </w:rPr>
  </w:style>
  <w:style w:type="character" w:customStyle="1" w:styleId="265">
    <w:name w:val="Comment Text Char"/>
    <w:qFormat/>
    <w:uiPriority w:val="0"/>
    <w:rPr>
      <w:rFonts w:ascii="宋体" w:hAnsi="宋体" w:eastAsia="宋体"/>
      <w:kern w:val="2"/>
      <w:sz w:val="24"/>
      <w:lang w:val="en-US" w:eastAsia="zh-CN" w:bidi="ar-SA"/>
    </w:rPr>
  </w:style>
  <w:style w:type="character" w:customStyle="1" w:styleId="266">
    <w:name w:val="Char Char8"/>
    <w:qFormat/>
    <w:uiPriority w:val="0"/>
    <w:rPr>
      <w:rFonts w:eastAsia="宋体"/>
      <w:b/>
      <w:sz w:val="24"/>
      <w:lang w:val="en-GB" w:eastAsia="zh-CN"/>
    </w:rPr>
  </w:style>
  <w:style w:type="character" w:customStyle="1" w:styleId="267">
    <w:name w:val="正文（缩进2汉字） Char"/>
    <w:link w:val="268"/>
    <w:qFormat/>
    <w:uiPriority w:val="0"/>
    <w:rPr>
      <w:rFonts w:ascii="宋体"/>
    </w:rPr>
  </w:style>
  <w:style w:type="paragraph" w:customStyle="1" w:styleId="268">
    <w:name w:val="正文（缩进2汉字）"/>
    <w:basedOn w:val="1"/>
    <w:link w:val="2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69">
    <w:name w:val="gf正文1 Char"/>
    <w:qFormat/>
    <w:uiPriority w:val="0"/>
    <w:rPr>
      <w:rFonts w:ascii="宋体" w:hAnsi="宋体" w:eastAsia="宋体" w:cs="宋体"/>
      <w:kern w:val="2"/>
      <w:sz w:val="24"/>
      <w:szCs w:val="24"/>
      <w:lang w:val="en-US" w:eastAsia="zh-CN" w:bidi="ar-SA"/>
    </w:rPr>
  </w:style>
  <w:style w:type="character" w:customStyle="1" w:styleId="270">
    <w:name w:val="正文文本 3 Char"/>
    <w:link w:val="19"/>
    <w:qFormat/>
    <w:uiPriority w:val="0"/>
    <w:rPr>
      <w:kern w:val="2"/>
      <w:sz w:val="21"/>
    </w:rPr>
  </w:style>
  <w:style w:type="character" w:customStyle="1" w:styleId="271">
    <w:name w:val="Footer-Even Char1"/>
    <w:qFormat/>
    <w:uiPriority w:val="0"/>
    <w:rPr>
      <w:rFonts w:eastAsia="宋体"/>
      <w:kern w:val="2"/>
      <w:sz w:val="18"/>
      <w:szCs w:val="18"/>
      <w:lang w:val="en-US" w:eastAsia="zh-CN" w:bidi="ar-SA"/>
    </w:rPr>
  </w:style>
  <w:style w:type="character" w:customStyle="1" w:styleId="272">
    <w:name w:val="big1"/>
    <w:qFormat/>
    <w:uiPriority w:val="0"/>
    <w:rPr>
      <w:rFonts w:hint="eastAsia" w:ascii="宋体" w:hAnsi="宋体" w:eastAsia="宋体"/>
      <w:color w:val="333333"/>
      <w:sz w:val="22"/>
      <w:szCs w:val="22"/>
    </w:rPr>
  </w:style>
  <w:style w:type="character" w:customStyle="1" w:styleId="273">
    <w:name w:val="正文 项目2 Char"/>
    <w:basedOn w:val="171"/>
    <w:qFormat/>
    <w:uiPriority w:val="0"/>
    <w:rPr>
      <w:rFonts w:ascii="仿宋_GB2312" w:hAnsi="仿宋_GB2312" w:eastAsia="仿宋_GB2312"/>
      <w:kern w:val="2"/>
      <w:sz w:val="24"/>
      <w:lang w:bidi="ar-SA"/>
    </w:rPr>
  </w:style>
  <w:style w:type="character" w:customStyle="1" w:styleId="274">
    <w:name w:val="冯 Char"/>
    <w:link w:val="275"/>
    <w:qFormat/>
    <w:uiPriority w:val="0"/>
    <w:rPr>
      <w:rFonts w:ascii="宋体" w:hAnsi="宋体"/>
      <w:color w:val="000000"/>
      <w:sz w:val="24"/>
      <w:szCs w:val="24"/>
    </w:rPr>
  </w:style>
  <w:style w:type="paragraph" w:customStyle="1" w:styleId="275">
    <w:name w:val="冯"/>
    <w:basedOn w:val="1"/>
    <w:link w:val="274"/>
    <w:qFormat/>
    <w:uiPriority w:val="0"/>
    <w:pPr>
      <w:widowControl/>
      <w:adjustRightInd/>
      <w:spacing w:line="360" w:lineRule="auto"/>
      <w:ind w:firstLine="480" w:firstLineChars="200"/>
    </w:pPr>
    <w:rPr>
      <w:rFonts w:ascii="宋体" w:hAnsi="宋体"/>
      <w:color w:val="000000"/>
      <w:kern w:val="0"/>
      <w:sz w:val="24"/>
    </w:rPr>
  </w:style>
  <w:style w:type="character" w:customStyle="1" w:styleId="276">
    <w:name w:val="称呼 Char"/>
    <w:link w:val="18"/>
    <w:qFormat/>
    <w:uiPriority w:val="0"/>
    <w:rPr>
      <w:rFonts w:ascii="仿宋_GB2312" w:eastAsia="仿宋_GB2312"/>
      <w:kern w:val="2"/>
      <w:sz w:val="28"/>
    </w:rPr>
  </w:style>
  <w:style w:type="character" w:customStyle="1" w:styleId="277">
    <w:name w:val="页脚 Char1"/>
    <w:qFormat/>
    <w:uiPriority w:val="0"/>
    <w:rPr>
      <w:rFonts w:eastAsia="宋体"/>
      <w:kern w:val="2"/>
      <w:sz w:val="18"/>
      <w:szCs w:val="18"/>
      <w:lang w:val="en-US" w:eastAsia="zh-CN" w:bidi="ar-SA"/>
    </w:rPr>
  </w:style>
  <w:style w:type="character" w:customStyle="1" w:styleId="278">
    <w:name w:val="Char Char23"/>
    <w:qFormat/>
    <w:uiPriority w:val="6"/>
    <w:rPr>
      <w:color w:val="0000FF"/>
      <w:sz w:val="21"/>
    </w:rPr>
  </w:style>
  <w:style w:type="character" w:customStyle="1" w:styleId="279">
    <w:name w:val="Item List Char"/>
    <w:link w:val="280"/>
    <w:qFormat/>
    <w:uiPriority w:val="0"/>
    <w:rPr>
      <w:rFonts w:ascii="Arial"/>
      <w:bCs/>
      <w:sz w:val="21"/>
      <w:szCs w:val="21"/>
      <w:lang w:val="en-US" w:eastAsia="zh-CN" w:bidi="ar-SA"/>
    </w:rPr>
  </w:style>
  <w:style w:type="paragraph" w:customStyle="1" w:styleId="280">
    <w:name w:val="Item List"/>
    <w:link w:val="2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1">
    <w:name w:val="Char Char25"/>
    <w:qFormat/>
    <w:uiPriority w:val="6"/>
    <w:rPr>
      <w:rFonts w:ascii="宋体" w:hAnsi="宋体"/>
      <w:kern w:val="1"/>
      <w:sz w:val="24"/>
      <w:lang w:val="zh-CN"/>
    </w:rPr>
  </w:style>
  <w:style w:type="character" w:customStyle="1" w:styleId="28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3">
    <w:name w:val="Ò³Ã¼ Char Char"/>
    <w:qFormat/>
    <w:uiPriority w:val="0"/>
    <w:rPr>
      <w:rFonts w:eastAsia="宋体"/>
      <w:kern w:val="2"/>
      <w:sz w:val="18"/>
      <w:lang w:val="en-US" w:eastAsia="zh-CN" w:bidi="ar-SA"/>
    </w:rPr>
  </w:style>
  <w:style w:type="character" w:customStyle="1" w:styleId="284">
    <w:name w:val="签名 Char"/>
    <w:link w:val="35"/>
    <w:qFormat/>
    <w:uiPriority w:val="0"/>
    <w:rPr>
      <w:rFonts w:eastAsia="仿宋_GB2312"/>
      <w:sz w:val="24"/>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Heading 2 Hidden Char"/>
    <w:qFormat/>
    <w:uiPriority w:val="0"/>
    <w:rPr>
      <w:rFonts w:ascii="仿宋_GB2312" w:eastAsia="仿宋_GB2312"/>
      <w:b/>
      <w:bCs/>
      <w:kern w:val="2"/>
      <w:sz w:val="24"/>
      <w:szCs w:val="24"/>
      <w:lang w:val="zh-CN" w:eastAsia="zh-CN" w:bidi="ar-SA"/>
    </w:rPr>
  </w:style>
  <w:style w:type="character" w:customStyle="1" w:styleId="288">
    <w:name w:val="批注文字 Char2"/>
    <w:link w:val="17"/>
    <w:qFormat/>
    <w:uiPriority w:val="99"/>
    <w:rPr>
      <w:kern w:val="2"/>
      <w:sz w:val="21"/>
      <w:szCs w:val="24"/>
    </w:rPr>
  </w:style>
  <w:style w:type="character" w:customStyle="1" w:styleId="289">
    <w:name w:val="PI Char"/>
    <w:qFormat/>
    <w:uiPriority w:val="0"/>
    <w:rPr>
      <w:rFonts w:ascii="宋体" w:hAnsi="宋体" w:eastAsia="宋体"/>
      <w:kern w:val="2"/>
      <w:sz w:val="24"/>
      <w:szCs w:val="24"/>
      <w:lang w:val="en-US" w:eastAsia="zh-CN" w:bidi="ar-SA"/>
    </w:rPr>
  </w:style>
  <w:style w:type="character" w:customStyle="1" w:styleId="290">
    <w:name w:val="content"/>
    <w:qFormat/>
    <w:uiPriority w:val="0"/>
  </w:style>
  <w:style w:type="character" w:customStyle="1" w:styleId="291">
    <w:name w:val="HTML 预设格式 Char"/>
    <w:link w:val="45"/>
    <w:qFormat/>
    <w:uiPriority w:val="0"/>
    <w:rPr>
      <w:rFonts w:ascii="黑体" w:hAnsi="Courier New" w:eastAsia="黑体"/>
    </w:rPr>
  </w:style>
  <w:style w:type="character" w:customStyle="1" w:styleId="292">
    <w:name w:val="普通文字 Char Char1"/>
    <w:qFormat/>
    <w:uiPriority w:val="0"/>
    <w:rPr>
      <w:rFonts w:ascii="宋体" w:hAnsi="Courier New"/>
      <w:kern w:val="2"/>
      <w:sz w:val="21"/>
    </w:rPr>
  </w:style>
  <w:style w:type="character" w:customStyle="1" w:styleId="293">
    <w:name w:val="Char Char24"/>
    <w:qFormat/>
    <w:uiPriority w:val="6"/>
    <w:rPr>
      <w:kern w:val="1"/>
      <w:sz w:val="21"/>
    </w:rPr>
  </w:style>
  <w:style w:type="character" w:customStyle="1" w:styleId="294">
    <w:name w:val="正文非缩进 Char"/>
    <w:qFormat/>
    <w:uiPriority w:val="0"/>
    <w:rPr>
      <w:rFonts w:ascii="宋体" w:eastAsia="宋体"/>
      <w:snapToGrid w:val="0"/>
      <w:color w:val="000000"/>
      <w:kern w:val="28"/>
      <w:sz w:val="28"/>
      <w:lang w:val="en-US" w:eastAsia="zh-CN" w:bidi="ar-SA"/>
    </w:rPr>
  </w:style>
  <w:style w:type="character" w:customStyle="1" w:styleId="295">
    <w:name w:val="Char Char34"/>
    <w:qFormat/>
    <w:uiPriority w:val="6"/>
    <w:rPr>
      <w:b/>
      <w:kern w:val="1"/>
      <w:sz w:val="28"/>
      <w:szCs w:val="28"/>
    </w:rPr>
  </w:style>
  <w:style w:type="character" w:customStyle="1" w:styleId="296">
    <w:name w:val="Table Text Char1"/>
    <w:qFormat/>
    <w:uiPriority w:val="0"/>
    <w:rPr>
      <w:rFonts w:eastAsia="宋体"/>
      <w:sz w:val="24"/>
      <w:szCs w:val="24"/>
      <w:lang w:val="en-US" w:eastAsia="zh-CN" w:bidi="ar-SA"/>
    </w:rPr>
  </w:style>
  <w:style w:type="character" w:customStyle="1" w:styleId="297">
    <w:name w:val="标题 1 Char Char"/>
    <w:qFormat/>
    <w:uiPriority w:val="0"/>
    <w:rPr>
      <w:rFonts w:hint="eastAsia" w:ascii="宋体" w:hAnsi="宋体" w:eastAsia="宋体"/>
      <w:b/>
      <w:spacing w:val="-2"/>
      <w:sz w:val="24"/>
      <w:lang w:val="en-US" w:eastAsia="zh-CN" w:bidi="ar-SA"/>
    </w:rPr>
  </w:style>
  <w:style w:type="character" w:customStyle="1" w:styleId="298">
    <w:name w:val="Char Char121"/>
    <w:qFormat/>
    <w:uiPriority w:val="6"/>
    <w:rPr>
      <w:rFonts w:ascii="仿宋_GB2312" w:eastAsia="仿宋_GB2312"/>
      <w:b/>
      <w:bCs/>
      <w:kern w:val="2"/>
      <w:sz w:val="24"/>
      <w:szCs w:val="24"/>
      <w:lang w:val="zh-CN" w:eastAsia="zh-CN" w:bidi="ar-SA"/>
    </w:rPr>
  </w:style>
  <w:style w:type="character" w:customStyle="1" w:styleId="299">
    <w:name w:val="hui3"/>
    <w:qFormat/>
    <w:uiPriority w:val="0"/>
    <w:rPr>
      <w:color w:val="333333"/>
    </w:rPr>
  </w:style>
  <w:style w:type="character" w:customStyle="1" w:styleId="300">
    <w:name w:val="Char Char27"/>
    <w:qFormat/>
    <w:uiPriority w:val="6"/>
    <w:rPr>
      <w:rFonts w:ascii="宋体" w:hAnsi="宋体" w:eastAsia="宋体"/>
      <w:color w:val="000000"/>
      <w:kern w:val="1"/>
      <w:sz w:val="28"/>
      <w:lang w:val="en-US" w:eastAsia="zh-CN" w:bidi="ar-SA"/>
    </w:rPr>
  </w:style>
  <w:style w:type="character" w:customStyle="1" w:styleId="301">
    <w:name w:val="标题 3 Char1"/>
    <w:qFormat/>
    <w:uiPriority w:val="6"/>
    <w:rPr>
      <w:rFonts w:hint="eastAsia" w:ascii="华文中宋" w:hAnsi="华文中宋" w:eastAsia="华文中宋"/>
      <w:b/>
      <w:bCs/>
      <w:kern w:val="2"/>
      <w:sz w:val="32"/>
      <w:szCs w:val="32"/>
      <w:lang w:val="en-US" w:eastAsia="zh-CN" w:bidi="ar-SA"/>
    </w:rPr>
  </w:style>
  <w:style w:type="character" w:customStyle="1" w:styleId="302">
    <w:name w:val="Char Char13"/>
    <w:qFormat/>
    <w:uiPriority w:val="6"/>
    <w:rPr>
      <w:rFonts w:ascii="宋体" w:hAnsi="宋体"/>
      <w:kern w:val="1"/>
      <w:sz w:val="21"/>
      <w:szCs w:val="24"/>
    </w:rPr>
  </w:style>
  <w:style w:type="character" w:customStyle="1" w:styleId="303">
    <w:name w:val="纯文本 Char Char Char"/>
    <w:qFormat/>
    <w:uiPriority w:val="0"/>
    <w:rPr>
      <w:rFonts w:ascii="宋体" w:hAnsi="Courier New" w:eastAsia="宋体"/>
      <w:kern w:val="2"/>
      <w:sz w:val="21"/>
      <w:lang w:val="en-US" w:eastAsia="zh-CN" w:bidi="ar-SA"/>
    </w:rPr>
  </w:style>
  <w:style w:type="character" w:customStyle="1" w:styleId="304">
    <w:name w:val="Char Char20"/>
    <w:qFormat/>
    <w:uiPriority w:val="6"/>
    <w:rPr>
      <w:kern w:val="1"/>
      <w:sz w:val="24"/>
    </w:rPr>
  </w:style>
  <w:style w:type="character" w:customStyle="1" w:styleId="305">
    <w:name w:val="hei16b1"/>
    <w:qFormat/>
    <w:uiPriority w:val="0"/>
    <w:rPr>
      <w:rFonts w:hint="default" w:ascii="Arial" w:hAnsi="Arial" w:cs="Arial"/>
      <w:b/>
      <w:bCs/>
      <w:color w:val="000000"/>
      <w:sz w:val="24"/>
      <w:szCs w:val="24"/>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Char Char36"/>
    <w:qFormat/>
    <w:uiPriority w:val="6"/>
    <w:rPr>
      <w:rFonts w:ascii="仿宋_GB2312" w:hAnsi="仿宋_GB2312" w:eastAsia="仿宋_GB2312" w:cs="Arial"/>
      <w:b/>
      <w:kern w:val="1"/>
      <w:sz w:val="32"/>
      <w:szCs w:val="32"/>
      <w:lang w:val="zh-CN" w:eastAsia="zh-CN" w:bidi="ar-SA"/>
    </w:rPr>
  </w:style>
  <w:style w:type="character" w:customStyle="1" w:styleId="308">
    <w:name w:val="Char Char32"/>
    <w:qFormat/>
    <w:uiPriority w:val="6"/>
    <w:rPr>
      <w:b/>
      <w:kern w:val="1"/>
      <w:sz w:val="24"/>
      <w:szCs w:val="24"/>
    </w:rPr>
  </w:style>
  <w:style w:type="character" w:customStyle="1" w:styleId="309">
    <w:name w:val="Char Char15"/>
    <w:qFormat/>
    <w:uiPriority w:val="6"/>
    <w:rPr>
      <w:rFonts w:ascii="宋体" w:hAnsi="宋体"/>
      <w:kern w:val="1"/>
      <w:sz w:val="21"/>
    </w:rPr>
  </w:style>
  <w:style w:type="character" w:customStyle="1" w:styleId="310">
    <w:name w:val="Char Char21"/>
    <w:qFormat/>
    <w:uiPriority w:val="6"/>
    <w:rPr>
      <w:rFonts w:ascii="宋体" w:hAnsi="宋体"/>
      <w:kern w:val="1"/>
      <w:sz w:val="24"/>
      <w:szCs w:val="21"/>
      <w:lang w:val="zh-CN"/>
    </w:rPr>
  </w:style>
  <w:style w:type="character" w:customStyle="1" w:styleId="311">
    <w:name w:val="Char Char22"/>
    <w:qFormat/>
    <w:uiPriority w:val="6"/>
    <w:rPr>
      <w:rFonts w:ascii="宋体" w:hAnsi="宋体"/>
      <w:kern w:val="1"/>
      <w:sz w:val="24"/>
      <w:szCs w:val="24"/>
    </w:rPr>
  </w:style>
  <w:style w:type="character" w:customStyle="1" w:styleId="312">
    <w:name w:val="question-title2"/>
    <w:basedOn w:val="51"/>
    <w:qFormat/>
    <w:uiPriority w:val="6"/>
  </w:style>
  <w:style w:type="character" w:customStyle="1" w:styleId="313">
    <w:name w:val="param-name"/>
    <w:basedOn w:val="51"/>
    <w:qFormat/>
    <w:uiPriority w:val="99"/>
  </w:style>
  <w:style w:type="character" w:customStyle="1" w:styleId="314">
    <w:name w:val="脚注文本 Char1"/>
    <w:qFormat/>
    <w:uiPriority w:val="99"/>
    <w:rPr>
      <w:rFonts w:ascii="Times New Roman" w:hAnsi="Times New Roman" w:eastAsia="宋体" w:cs="Times New Roman"/>
      <w:sz w:val="18"/>
      <w:szCs w:val="18"/>
    </w:rPr>
  </w:style>
  <w:style w:type="character" w:customStyle="1" w:styleId="315">
    <w:name w:val="正文文本缩进 Char1"/>
    <w:qFormat/>
    <w:uiPriority w:val="0"/>
    <w:rPr>
      <w:rFonts w:ascii="Times New Roman" w:hAnsi="Times New Roman" w:eastAsia="宋体" w:cs="Times New Roman"/>
      <w:szCs w:val="24"/>
    </w:rPr>
  </w:style>
  <w:style w:type="character" w:customStyle="1" w:styleId="316">
    <w:name w:val="正文文本缩进 2 Char1"/>
    <w:qFormat/>
    <w:uiPriority w:val="0"/>
    <w:rPr>
      <w:rFonts w:ascii="Times New Roman" w:hAnsi="Times New Roman" w:eastAsia="宋体" w:cs="Times New Roman"/>
      <w:szCs w:val="24"/>
    </w:rPr>
  </w:style>
  <w:style w:type="character" w:customStyle="1" w:styleId="317">
    <w:name w:val="正文文本 3 Char1"/>
    <w:qFormat/>
    <w:uiPriority w:val="0"/>
    <w:rPr>
      <w:rFonts w:ascii="Times New Roman" w:hAnsi="Times New Roman" w:eastAsia="宋体" w:cs="Times New Roman"/>
      <w:sz w:val="16"/>
      <w:szCs w:val="16"/>
    </w:rPr>
  </w:style>
  <w:style w:type="character" w:customStyle="1" w:styleId="318">
    <w:name w:val="签名 Char1"/>
    <w:qFormat/>
    <w:uiPriority w:val="99"/>
    <w:rPr>
      <w:rFonts w:ascii="Times New Roman" w:hAnsi="Times New Roman" w:eastAsia="宋体" w:cs="Times New Roman"/>
      <w:szCs w:val="24"/>
    </w:rPr>
  </w:style>
  <w:style w:type="character" w:customStyle="1" w:styleId="319">
    <w:name w:val="正文首行缩进 2 Char1"/>
    <w:basedOn w:val="315"/>
    <w:qFormat/>
    <w:uiPriority w:val="99"/>
    <w:rPr>
      <w:rFonts w:ascii="Times New Roman" w:hAnsi="Times New Roman" w:eastAsia="宋体" w:cs="Times New Roman"/>
      <w:szCs w:val="24"/>
    </w:rPr>
  </w:style>
  <w:style w:type="character" w:customStyle="1" w:styleId="320">
    <w:name w:val="纯文本 Char2"/>
    <w:qFormat/>
    <w:uiPriority w:val="99"/>
    <w:rPr>
      <w:rFonts w:ascii="宋体" w:hAnsi="Courier New" w:eastAsia="宋体" w:cs="Courier New"/>
    </w:rPr>
  </w:style>
  <w:style w:type="character" w:customStyle="1" w:styleId="321">
    <w:name w:val="批注框文本 Char1"/>
    <w:qFormat/>
    <w:uiPriority w:val="99"/>
    <w:rPr>
      <w:rFonts w:ascii="Times New Roman" w:hAnsi="Times New Roman" w:eastAsia="宋体" w:cs="Times New Roman"/>
      <w:sz w:val="18"/>
      <w:szCs w:val="18"/>
    </w:rPr>
  </w:style>
  <w:style w:type="character" w:customStyle="1" w:styleId="322">
    <w:name w:val="正文文本缩进 3 Char1"/>
    <w:qFormat/>
    <w:uiPriority w:val="0"/>
    <w:rPr>
      <w:rFonts w:ascii="Times New Roman" w:hAnsi="Times New Roman" w:eastAsia="宋体" w:cs="Times New Roman"/>
      <w:sz w:val="16"/>
      <w:szCs w:val="16"/>
    </w:rPr>
  </w:style>
  <w:style w:type="character" w:customStyle="1" w:styleId="323">
    <w:name w:val="正文首行缩进 Char1"/>
    <w:qFormat/>
    <w:uiPriority w:val="99"/>
    <w:rPr>
      <w:rFonts w:ascii="宋体" w:hAnsi="Times New Roman" w:eastAsia="宋体" w:cs="Times New Roman"/>
      <w:snapToGrid w:val="0"/>
      <w:kern w:val="2"/>
      <w:sz w:val="24"/>
      <w:szCs w:val="21"/>
      <w:lang w:val="zh-CN"/>
    </w:rPr>
  </w:style>
  <w:style w:type="character" w:customStyle="1" w:styleId="324">
    <w:name w:val="副标题 Char1"/>
    <w:qFormat/>
    <w:uiPriority w:val="11"/>
    <w:rPr>
      <w:rFonts w:ascii="Cambria" w:hAnsi="Cambria" w:eastAsia="宋体" w:cs="Times New Roman"/>
      <w:b/>
      <w:bCs/>
      <w:kern w:val="28"/>
      <w:sz w:val="32"/>
      <w:szCs w:val="32"/>
    </w:rPr>
  </w:style>
  <w:style w:type="character" w:customStyle="1" w:styleId="325">
    <w:name w:val="font71"/>
    <w:qFormat/>
    <w:uiPriority w:val="0"/>
    <w:rPr>
      <w:rFonts w:hint="eastAsia" w:ascii="宋体" w:hAnsi="宋体" w:eastAsia="宋体" w:cs="宋体"/>
      <w:b/>
      <w:color w:val="000000"/>
      <w:sz w:val="20"/>
      <w:szCs w:val="20"/>
      <w:u w:val="none"/>
    </w:rPr>
  </w:style>
  <w:style w:type="character" w:customStyle="1" w:styleId="326">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7">
    <w:name w:val="font131"/>
    <w:qFormat/>
    <w:uiPriority w:val="0"/>
    <w:rPr>
      <w:rFonts w:hint="eastAsia" w:ascii="宋体" w:hAnsi="宋体" w:eastAsia="宋体" w:cs="宋体"/>
      <w:b/>
      <w:snapToGrid w:val="0"/>
      <w:color w:val="000000"/>
      <w:kern w:val="0"/>
      <w:sz w:val="20"/>
      <w:szCs w:val="20"/>
      <w:u w:val="none"/>
    </w:rPr>
  </w:style>
  <w:style w:type="character" w:customStyle="1" w:styleId="328">
    <w:name w:val="font41"/>
    <w:qFormat/>
    <w:uiPriority w:val="0"/>
    <w:rPr>
      <w:rFonts w:hint="eastAsia" w:ascii="宋体" w:hAnsi="宋体" w:eastAsia="宋体" w:cs="宋体"/>
      <w:snapToGrid w:val="0"/>
      <w:color w:val="000000"/>
      <w:kern w:val="0"/>
      <w:sz w:val="19"/>
      <w:szCs w:val="19"/>
      <w:u w:val="none"/>
    </w:rPr>
  </w:style>
  <w:style w:type="character" w:customStyle="1" w:styleId="329">
    <w:name w:val="font161"/>
    <w:qFormat/>
    <w:uiPriority w:val="0"/>
    <w:rPr>
      <w:rFonts w:hint="eastAsia" w:ascii="宋体" w:hAnsi="宋体" w:eastAsia="宋体" w:cs="宋体"/>
      <w:snapToGrid w:val="0"/>
      <w:color w:val="000000"/>
      <w:kern w:val="0"/>
      <w:sz w:val="19"/>
      <w:szCs w:val="19"/>
      <w:u w:val="none"/>
    </w:rPr>
  </w:style>
  <w:style w:type="character" w:customStyle="1" w:styleId="330">
    <w:name w:val="font31"/>
    <w:qFormat/>
    <w:uiPriority w:val="0"/>
    <w:rPr>
      <w:rFonts w:hint="eastAsia" w:ascii="宋体" w:hAnsi="宋体" w:eastAsia="宋体" w:cs="宋体"/>
      <w:b/>
      <w:snapToGrid w:val="0"/>
      <w:color w:val="000000"/>
      <w:kern w:val="0"/>
      <w:sz w:val="20"/>
      <w:szCs w:val="20"/>
      <w:u w:val="none"/>
    </w:rPr>
  </w:style>
  <w:style w:type="character" w:customStyle="1" w:styleId="331">
    <w:name w:val="font11"/>
    <w:qFormat/>
    <w:uiPriority w:val="0"/>
    <w:rPr>
      <w:rFonts w:ascii="Arial" w:hAnsi="Arial" w:cs="Arial"/>
      <w:color w:val="000000"/>
      <w:sz w:val="20"/>
      <w:szCs w:val="20"/>
      <w:u w:val="none"/>
    </w:rPr>
  </w:style>
  <w:style w:type="character" w:customStyle="1" w:styleId="332">
    <w:name w:val="content1"/>
    <w:qFormat/>
    <w:uiPriority w:val="0"/>
    <w:rPr>
      <w:color w:val="0066FF"/>
      <w:sz w:val="21"/>
      <w:szCs w:val="21"/>
    </w:rPr>
  </w:style>
  <w:style w:type="character" w:customStyle="1" w:styleId="333">
    <w:name w:val="font81"/>
    <w:qFormat/>
    <w:uiPriority w:val="0"/>
    <w:rPr>
      <w:rFonts w:hint="eastAsia" w:ascii="宋体" w:hAnsi="宋体" w:eastAsia="宋体" w:cs="宋体"/>
      <w:b/>
      <w:snapToGrid w:val="0"/>
      <w:color w:val="000000"/>
      <w:kern w:val="0"/>
      <w:sz w:val="20"/>
      <w:szCs w:val="20"/>
      <w:u w:val="none"/>
    </w:rPr>
  </w:style>
  <w:style w:type="character" w:customStyle="1" w:styleId="334">
    <w:name w:val="font61"/>
    <w:qFormat/>
    <w:uiPriority w:val="0"/>
    <w:rPr>
      <w:rFonts w:hint="eastAsia" w:ascii="宋体" w:hAnsi="宋体" w:eastAsia="宋体" w:cs="宋体"/>
      <w:snapToGrid w:val="0"/>
      <w:color w:val="000000"/>
      <w:kern w:val="0"/>
      <w:sz w:val="20"/>
      <w:szCs w:val="20"/>
      <w:u w:val="none"/>
    </w:rPr>
  </w:style>
  <w:style w:type="character" w:customStyle="1" w:styleId="335">
    <w:name w:val="Char Char341"/>
    <w:qFormat/>
    <w:uiPriority w:val="0"/>
    <w:rPr>
      <w:rFonts w:eastAsia="宋体"/>
      <w:kern w:val="2"/>
      <w:sz w:val="21"/>
      <w:szCs w:val="24"/>
      <w:lang w:val="en-US" w:eastAsia="zh-CN" w:bidi="ar-SA"/>
    </w:rPr>
  </w:style>
  <w:style w:type="character" w:customStyle="1" w:styleId="336">
    <w:name w:val="font01"/>
    <w:qFormat/>
    <w:uiPriority w:val="0"/>
    <w:rPr>
      <w:rFonts w:hint="eastAsia" w:ascii="宋体" w:hAnsi="宋体" w:eastAsia="宋体" w:cs="宋体"/>
      <w:snapToGrid w:val="0"/>
      <w:color w:val="000000"/>
      <w:kern w:val="0"/>
      <w:sz w:val="20"/>
      <w:szCs w:val="20"/>
      <w:u w:val="none"/>
    </w:rPr>
  </w:style>
  <w:style w:type="character" w:customStyle="1" w:styleId="337">
    <w:name w:val="c11"/>
    <w:qFormat/>
    <w:uiPriority w:val="0"/>
    <w:rPr>
      <w:rFonts w:hint="default" w:ascii="Arial" w:hAnsi="Arial" w:cs="Arial"/>
      <w:color w:val="333333"/>
      <w:sz w:val="22"/>
      <w:szCs w:val="22"/>
    </w:rPr>
  </w:style>
  <w:style w:type="character" w:customStyle="1" w:styleId="338">
    <w:name w:val="编号，小四 Char"/>
    <w:link w:val="339"/>
    <w:qFormat/>
    <w:uiPriority w:val="0"/>
    <w:rPr>
      <w:rFonts w:ascii="Arial" w:hAnsi="Arial"/>
      <w:kern w:val="2"/>
      <w:sz w:val="24"/>
    </w:rPr>
  </w:style>
  <w:style w:type="paragraph" w:customStyle="1" w:styleId="339">
    <w:name w:val="编号，小四"/>
    <w:basedOn w:val="1"/>
    <w:link w:val="338"/>
    <w:qFormat/>
    <w:uiPriority w:val="0"/>
    <w:pPr>
      <w:adjustRightInd/>
      <w:spacing w:line="360" w:lineRule="auto"/>
      <w:ind w:left="420"/>
    </w:pPr>
    <w:rPr>
      <w:rFonts w:ascii="Arial" w:hAnsi="Arial"/>
      <w:sz w:val="24"/>
      <w:szCs w:val="20"/>
    </w:rPr>
  </w:style>
  <w:style w:type="character" w:customStyle="1" w:styleId="340">
    <w:name w:val="题注 Char"/>
    <w:link w:val="14"/>
    <w:qFormat/>
    <w:uiPriority w:val="0"/>
    <w:rPr>
      <w:b/>
      <w:kern w:val="2"/>
      <w:sz w:val="28"/>
    </w:rPr>
  </w:style>
  <w:style w:type="character" w:customStyle="1" w:styleId="341">
    <w:name w:val="内容文本 Char"/>
    <w:link w:val="342"/>
    <w:qFormat/>
    <w:uiPriority w:val="0"/>
    <w:rPr>
      <w:rFonts w:ascii="宋体" w:hAnsi="宋体"/>
      <w:sz w:val="24"/>
      <w:szCs w:val="24"/>
      <w:lang w:eastAsia="en-US" w:bidi="en-US"/>
    </w:rPr>
  </w:style>
  <w:style w:type="paragraph" w:customStyle="1" w:styleId="342">
    <w:name w:val="内容文本"/>
    <w:basedOn w:val="343"/>
    <w:link w:val="341"/>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3">
    <w:name w:val="列表段落1"/>
    <w:basedOn w:val="1"/>
    <w:qFormat/>
    <w:uiPriority w:val="34"/>
    <w:pPr>
      <w:ind w:firstLine="420" w:firstLineChars="200"/>
    </w:pPr>
  </w:style>
  <w:style w:type="character" w:customStyle="1" w:styleId="344">
    <w:name w:val="*正文 Char"/>
    <w:link w:val="345"/>
    <w:qFormat/>
    <w:uiPriority w:val="0"/>
    <w:rPr>
      <w:rFonts w:ascii="宋体" w:hAnsi="宋体"/>
      <w:kern w:val="2"/>
      <w:sz w:val="24"/>
      <w:szCs w:val="24"/>
    </w:rPr>
  </w:style>
  <w:style w:type="paragraph" w:customStyle="1" w:styleId="345">
    <w:name w:val="*正文"/>
    <w:basedOn w:val="1"/>
    <w:link w:val="344"/>
    <w:qFormat/>
    <w:uiPriority w:val="0"/>
    <w:pPr>
      <w:adjustRightInd/>
      <w:spacing w:line="360" w:lineRule="auto"/>
    </w:pPr>
    <w:rPr>
      <w:rFonts w:ascii="宋体" w:hAnsi="宋体"/>
      <w:sz w:val="24"/>
    </w:rPr>
  </w:style>
  <w:style w:type="character" w:customStyle="1" w:styleId="346">
    <w:name w:val="样式 首行缩进:  0 字符 Char"/>
    <w:link w:val="347"/>
    <w:qFormat/>
    <w:uiPriority w:val="0"/>
    <w:rPr>
      <w:rFonts w:ascii="Arial" w:hAnsi="Arial" w:cs="宋体"/>
      <w:kern w:val="2"/>
      <w:sz w:val="24"/>
    </w:rPr>
  </w:style>
  <w:style w:type="paragraph" w:customStyle="1" w:styleId="347">
    <w:name w:val="样式 首行缩进:  0 字符"/>
    <w:basedOn w:val="1"/>
    <w:link w:val="346"/>
    <w:qFormat/>
    <w:uiPriority w:val="0"/>
    <w:pPr>
      <w:adjustRightInd/>
      <w:spacing w:line="360" w:lineRule="auto"/>
      <w:ind w:firstLine="200" w:firstLineChars="200"/>
    </w:pPr>
    <w:rPr>
      <w:rFonts w:ascii="Arial" w:hAnsi="Arial"/>
      <w:sz w:val="24"/>
      <w:szCs w:val="20"/>
    </w:rPr>
  </w:style>
  <w:style w:type="character" w:customStyle="1" w:styleId="348">
    <w:name w:val="text1"/>
    <w:qFormat/>
    <w:uiPriority w:val="0"/>
    <w:rPr>
      <w:sz w:val="21"/>
      <w:szCs w:val="21"/>
    </w:rPr>
  </w:style>
  <w:style w:type="character" w:customStyle="1" w:styleId="349">
    <w:name w:val="未处理的提及1"/>
    <w:qFormat/>
    <w:uiPriority w:val="99"/>
    <w:rPr>
      <w:color w:val="605E5C"/>
      <w:shd w:val="clear" w:color="auto" w:fill="E1DFDD"/>
    </w:rPr>
  </w:style>
  <w:style w:type="character" w:customStyle="1" w:styleId="350">
    <w:name w:val="纯文本 字符"/>
    <w:qFormat/>
    <w:uiPriority w:val="99"/>
    <w:rPr>
      <w:rFonts w:ascii="宋体" w:hAnsi="Courier New" w:eastAsia="黑体" w:cs="Arial"/>
      <w:kern w:val="2"/>
      <w:sz w:val="21"/>
      <w:szCs w:val="21"/>
    </w:rPr>
  </w:style>
  <w:style w:type="character" w:customStyle="1" w:styleId="351">
    <w:name w:val="批注文字 字符"/>
    <w:qFormat/>
    <w:uiPriority w:val="0"/>
    <w:rPr>
      <w:szCs w:val="24"/>
    </w:rPr>
  </w:style>
  <w:style w:type="character" w:customStyle="1" w:styleId="352">
    <w:name w:val="纯文本 Char"/>
    <w:qFormat/>
    <w:uiPriority w:val="0"/>
    <w:rPr>
      <w:rFonts w:ascii="宋体" w:hAnsi="Courier New" w:eastAsia="黑体" w:cs="Arial"/>
      <w:snapToGrid w:val="0"/>
      <w:szCs w:val="21"/>
    </w:rPr>
  </w:style>
  <w:style w:type="character" w:customStyle="1" w:styleId="353">
    <w:name w:val="批注文字 Char"/>
    <w:qFormat/>
    <w:uiPriority w:val="99"/>
    <w:rPr>
      <w:szCs w:val="24"/>
    </w:rPr>
  </w:style>
  <w:style w:type="character" w:customStyle="1" w:styleId="354">
    <w:name w:val="正文缩进 Char2"/>
    <w:qFormat/>
    <w:uiPriority w:val="0"/>
    <w:rPr>
      <w:rFonts w:ascii="宋体" w:eastAsia="宋体"/>
      <w:snapToGrid w:val="0"/>
      <w:color w:val="000000"/>
      <w:kern w:val="28"/>
      <w:sz w:val="28"/>
      <w:lang w:val="en-US" w:eastAsia="zh-CN" w:bidi="ar-SA"/>
    </w:rPr>
  </w:style>
  <w:style w:type="paragraph" w:customStyle="1" w:styleId="3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6">
    <w:name w:val="表格标题2"/>
    <w:basedOn w:val="357"/>
    <w:qFormat/>
    <w:uiPriority w:val="0"/>
    <w:rPr>
      <w:b/>
    </w:rPr>
  </w:style>
  <w:style w:type="paragraph" w:customStyle="1" w:styleId="357">
    <w:name w:val="表格内文"/>
    <w:basedOn w:val="1"/>
    <w:qFormat/>
    <w:uiPriority w:val="0"/>
    <w:pPr>
      <w:adjustRightInd/>
      <w:spacing w:line="360" w:lineRule="auto"/>
    </w:pPr>
    <w:rPr>
      <w:rFonts w:ascii="宋体" w:hAnsi="宋体" w:cs="宋体"/>
      <w:color w:val="000000"/>
      <w:szCs w:val="20"/>
    </w:rPr>
  </w:style>
  <w:style w:type="paragraph" w:customStyle="1" w:styleId="35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59">
    <w:name w:val="Char Char11 Char Char Char1"/>
    <w:basedOn w:val="1"/>
    <w:qFormat/>
    <w:uiPriority w:val="6"/>
    <w:pPr>
      <w:spacing w:line="360" w:lineRule="auto"/>
    </w:pPr>
    <w:rPr>
      <w:szCs w:val="20"/>
    </w:rPr>
  </w:style>
  <w:style w:type="paragraph" w:customStyle="1" w:styleId="36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361">
    <w:name w:val="目录 61"/>
    <w:basedOn w:val="1"/>
    <w:next w:val="1"/>
    <w:qFormat/>
    <w:uiPriority w:val="0"/>
    <w:pPr>
      <w:ind w:left="2100" w:leftChars="1000"/>
    </w:pPr>
  </w:style>
  <w:style w:type="paragraph" w:customStyle="1" w:styleId="362">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363">
    <w:name w:val="目录 41"/>
    <w:basedOn w:val="1"/>
    <w:next w:val="1"/>
    <w:qFormat/>
    <w:uiPriority w:val="0"/>
    <w:pPr>
      <w:ind w:left="1260" w:leftChars="600"/>
    </w:pPr>
  </w:style>
  <w:style w:type="paragraph" w:customStyle="1" w:styleId="364">
    <w:name w:val="目录 91"/>
    <w:basedOn w:val="1"/>
    <w:next w:val="1"/>
    <w:qFormat/>
    <w:uiPriority w:val="0"/>
    <w:pPr>
      <w:ind w:left="3360" w:leftChars="1600"/>
    </w:pPr>
  </w:style>
  <w:style w:type="paragraph" w:customStyle="1" w:styleId="365">
    <w:name w:val="Char Char112"/>
    <w:basedOn w:val="1"/>
    <w:qFormat/>
    <w:uiPriority w:val="6"/>
    <w:pPr>
      <w:widowControl/>
      <w:spacing w:after="160" w:line="240" w:lineRule="exact"/>
      <w:jc w:val="left"/>
    </w:pPr>
    <w:rPr>
      <w:rFonts w:eastAsia="仿宋_GB2312"/>
      <w:sz w:val="28"/>
    </w:rPr>
  </w:style>
  <w:style w:type="paragraph" w:customStyle="1" w:styleId="366">
    <w:name w:val="列出段落2"/>
    <w:basedOn w:val="1"/>
    <w:qFormat/>
    <w:uiPriority w:val="0"/>
    <w:pPr>
      <w:adjustRightInd/>
      <w:ind w:firstLine="420" w:firstLineChars="200"/>
    </w:pPr>
    <w:rPr>
      <w:rFonts w:ascii="宋体" w:hAnsi="宋体"/>
      <w:sz w:val="24"/>
    </w:rPr>
  </w:style>
  <w:style w:type="paragraph" w:customStyle="1" w:styleId="367">
    <w:name w:val="目录 21"/>
    <w:basedOn w:val="1"/>
    <w:next w:val="1"/>
    <w:qFormat/>
    <w:uiPriority w:val="0"/>
    <w:pPr>
      <w:ind w:left="420" w:leftChars="200"/>
    </w:pPr>
  </w:style>
  <w:style w:type="paragraph" w:customStyle="1" w:styleId="368">
    <w:name w:val="数字标题1"/>
    <w:basedOn w:val="3"/>
    <w:next w:val="1"/>
    <w:qFormat/>
    <w:uiPriority w:val="0"/>
    <w:pPr>
      <w:tabs>
        <w:tab w:val="left" w:pos="480"/>
      </w:tabs>
      <w:ind w:left="480" w:hanging="480"/>
    </w:pPr>
  </w:style>
  <w:style w:type="paragraph" w:customStyle="1" w:styleId="369">
    <w:name w:val="四级条标题"/>
    <w:basedOn w:val="370"/>
    <w:next w:val="374"/>
    <w:qFormat/>
    <w:uiPriority w:val="0"/>
    <w:pPr>
      <w:tabs>
        <w:tab w:val="left" w:pos="360"/>
        <w:tab w:val="left" w:pos="1260"/>
        <w:tab w:val="left" w:pos="1680"/>
        <w:tab w:val="left" w:pos="2100"/>
        <w:tab w:val="left" w:pos="2520"/>
        <w:tab w:val="left" w:pos="2940"/>
      </w:tabs>
      <w:outlineLvl w:val="5"/>
    </w:pPr>
  </w:style>
  <w:style w:type="paragraph" w:customStyle="1" w:styleId="370">
    <w:name w:val="三级条标题"/>
    <w:basedOn w:val="371"/>
    <w:next w:val="374"/>
    <w:qFormat/>
    <w:uiPriority w:val="0"/>
    <w:pPr>
      <w:tabs>
        <w:tab w:val="left" w:pos="360"/>
        <w:tab w:val="left" w:pos="1260"/>
        <w:tab w:val="left" w:pos="1680"/>
        <w:tab w:val="left" w:pos="2100"/>
        <w:tab w:val="left" w:pos="2520"/>
      </w:tabs>
      <w:outlineLvl w:val="4"/>
    </w:pPr>
  </w:style>
  <w:style w:type="paragraph" w:customStyle="1" w:styleId="371">
    <w:name w:val="二级条标题"/>
    <w:basedOn w:val="372"/>
    <w:next w:val="374"/>
    <w:qFormat/>
    <w:uiPriority w:val="0"/>
    <w:pPr>
      <w:tabs>
        <w:tab w:val="left" w:pos="360"/>
        <w:tab w:val="left" w:pos="1260"/>
        <w:tab w:val="left" w:pos="1680"/>
        <w:tab w:val="left" w:pos="2100"/>
      </w:tabs>
      <w:outlineLvl w:val="3"/>
    </w:pPr>
  </w:style>
  <w:style w:type="paragraph" w:customStyle="1" w:styleId="372">
    <w:name w:val="一级条标题"/>
    <w:basedOn w:val="373"/>
    <w:next w:val="374"/>
    <w:qFormat/>
    <w:uiPriority w:val="0"/>
    <w:pPr>
      <w:tabs>
        <w:tab w:val="left" w:pos="360"/>
        <w:tab w:val="left" w:pos="1260"/>
        <w:tab w:val="left" w:pos="1680"/>
      </w:tabs>
      <w:ind w:left="1680" w:hanging="420"/>
      <w:outlineLvl w:val="2"/>
    </w:pPr>
  </w:style>
  <w:style w:type="paragraph" w:customStyle="1" w:styleId="373">
    <w:name w:val="章标题"/>
    <w:next w:val="374"/>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6">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7">
    <w:name w:val="目录 71"/>
    <w:basedOn w:val="1"/>
    <w:next w:val="1"/>
    <w:qFormat/>
    <w:uiPriority w:val="0"/>
    <w:pPr>
      <w:ind w:left="2520" w:leftChars="1200"/>
    </w:pPr>
  </w:style>
  <w:style w:type="paragraph" w:customStyle="1" w:styleId="378">
    <w:name w:val="单元格左对齐"/>
    <w:basedOn w:val="1"/>
    <w:qFormat/>
    <w:uiPriority w:val="0"/>
    <w:pPr>
      <w:adjustRightInd/>
      <w:spacing w:line="360" w:lineRule="auto"/>
    </w:pPr>
    <w:rPr>
      <w:sz w:val="24"/>
    </w:rPr>
  </w:style>
  <w:style w:type="paragraph" w:customStyle="1" w:styleId="379">
    <w:name w:val="数字标题5"/>
    <w:basedOn w:val="6"/>
    <w:next w:val="1"/>
    <w:qFormat/>
    <w:uiPriority w:val="0"/>
    <w:pPr>
      <w:tabs>
        <w:tab w:val="left" w:pos="480"/>
        <w:tab w:val="left" w:pos="1080"/>
      </w:tabs>
      <w:ind w:left="480" w:hanging="480"/>
    </w:pPr>
  </w:style>
  <w:style w:type="paragraph" w:customStyle="1" w:styleId="380">
    <w:name w:val="目录 51"/>
    <w:basedOn w:val="1"/>
    <w:next w:val="1"/>
    <w:qFormat/>
    <w:uiPriority w:val="0"/>
    <w:pPr>
      <w:ind w:left="1680" w:leftChars="800"/>
    </w:pPr>
  </w:style>
  <w:style w:type="paragraph" w:customStyle="1" w:styleId="38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4">
    <w:name w:val="Char11"/>
    <w:basedOn w:val="1"/>
    <w:qFormat/>
    <w:uiPriority w:val="0"/>
    <w:pPr>
      <w:tabs>
        <w:tab w:val="left" w:pos="432"/>
      </w:tabs>
      <w:adjustRightInd/>
      <w:spacing w:beforeLines="50" w:afterLines="50"/>
      <w:ind w:left="432" w:hanging="432" w:firstLineChars="200"/>
    </w:pPr>
    <w:rPr>
      <w:sz w:val="24"/>
    </w:rPr>
  </w:style>
  <w:style w:type="paragraph" w:customStyle="1" w:styleId="38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86">
    <w:name w:val="样式 标题 4PIM 4H4h4bulletblbbH41H42H43H44H45H46H47H48...1"/>
    <w:basedOn w:val="5"/>
    <w:qFormat/>
    <w:uiPriority w:val="0"/>
    <w:pPr>
      <w:widowControl/>
      <w:jc w:val="left"/>
    </w:pPr>
    <w:rPr>
      <w:rFonts w:cs="宋体"/>
      <w:sz w:val="24"/>
      <w:szCs w:val="20"/>
    </w:rPr>
  </w:style>
  <w:style w:type="paragraph" w:customStyle="1" w:styleId="3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8">
    <w:name w:val="目录 31"/>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89">
    <w:name w:val="目录 11"/>
    <w:basedOn w:val="1"/>
    <w:next w:val="1"/>
    <w:qFormat/>
    <w:uiPriority w:val="0"/>
  </w:style>
  <w:style w:type="paragraph" w:customStyle="1" w:styleId="39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39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94">
    <w:name w:val="样式6"/>
    <w:basedOn w:val="28"/>
    <w:qFormat/>
    <w:uiPriority w:val="0"/>
    <w:pPr>
      <w:spacing w:line="460" w:lineRule="exact"/>
      <w:outlineLvl w:val="2"/>
    </w:pPr>
    <w:rPr>
      <w:rFonts w:ascii="仿宋_GB2312" w:hAnsi="宋体" w:eastAsia="仿宋_GB2312"/>
      <w:b/>
      <w:bCs/>
      <w:sz w:val="24"/>
      <w:szCs w:val="24"/>
    </w:rPr>
  </w:style>
  <w:style w:type="paragraph" w:customStyle="1" w:styleId="3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6">
    <w:name w:val="目录 81"/>
    <w:basedOn w:val="1"/>
    <w:next w:val="1"/>
    <w:qFormat/>
    <w:uiPriority w:val="0"/>
    <w:pPr>
      <w:ind w:left="2940" w:leftChars="1400"/>
    </w:p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9">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3">
    <w:name w:val="List Paragraph1"/>
    <w:basedOn w:val="1"/>
    <w:qFormat/>
    <w:uiPriority w:val="99"/>
    <w:pPr>
      <w:adjustRightInd/>
      <w:ind w:firstLine="420" w:firstLineChars="200"/>
    </w:pPr>
    <w:rPr>
      <w:rFonts w:ascii="Calibri" w:hAnsi="Calibri"/>
      <w:szCs w:val="22"/>
    </w:rPr>
  </w:style>
  <w:style w:type="paragraph" w:customStyle="1" w:styleId="4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6">
    <w:name w:val="标题五"/>
    <w:basedOn w:val="1"/>
    <w:qFormat/>
    <w:uiPriority w:val="0"/>
    <w:pPr>
      <w:adjustRightInd/>
      <w:spacing w:beforeLines="50" w:line="360" w:lineRule="auto"/>
    </w:pPr>
    <w:rPr>
      <w:b/>
      <w:sz w:val="24"/>
    </w:rPr>
  </w:style>
  <w:style w:type="paragraph" w:customStyle="1" w:styleId="407">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0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1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7">
    <w:name w:val="五级条标题"/>
    <w:basedOn w:val="369"/>
    <w:next w:val="374"/>
    <w:qFormat/>
    <w:uiPriority w:val="0"/>
    <w:pPr>
      <w:tabs>
        <w:tab w:val="clear" w:pos="2940"/>
      </w:tabs>
      <w:outlineLvl w:val="6"/>
    </w:pPr>
  </w:style>
  <w:style w:type="paragraph" w:customStyle="1" w:styleId="418">
    <w:name w:val="列表内容"/>
    <w:basedOn w:val="1"/>
    <w:next w:val="1"/>
    <w:qFormat/>
    <w:uiPriority w:val="0"/>
    <w:pPr>
      <w:widowControl/>
      <w:tabs>
        <w:tab w:val="left" w:pos="840"/>
      </w:tabs>
      <w:ind w:left="840" w:hanging="420"/>
      <w:jc w:val="left"/>
    </w:pPr>
    <w:rPr>
      <w:kern w:val="0"/>
      <w:sz w:val="18"/>
    </w:rPr>
  </w:style>
  <w:style w:type="paragraph" w:customStyle="1" w:styleId="419">
    <w:name w:val="正文文字缩进2字"/>
    <w:basedOn w:val="20"/>
    <w:qFormat/>
    <w:uiPriority w:val="0"/>
    <w:pPr>
      <w:autoSpaceDE/>
      <w:autoSpaceDN/>
      <w:adjustRightInd/>
      <w:spacing w:before="60" w:after="60"/>
      <w:ind w:firstLine="200" w:firstLineChars="200"/>
    </w:pPr>
    <w:rPr>
      <w:rFonts w:ascii="Times New Roman"/>
      <w:szCs w:val="20"/>
      <w:lang w:val="en-US"/>
    </w:rPr>
  </w:style>
  <w:style w:type="paragraph" w:customStyle="1" w:styleId="420">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1">
    <w:name w:val="Char19"/>
    <w:basedOn w:val="1"/>
    <w:qFormat/>
    <w:uiPriority w:val="0"/>
    <w:pPr>
      <w:adjustRightInd/>
    </w:pPr>
    <w:rPr>
      <w:szCs w:val="20"/>
    </w:rPr>
  </w:style>
  <w:style w:type="paragraph" w:customStyle="1" w:styleId="422">
    <w:name w:val="正文缩进一"/>
    <w:basedOn w:val="1"/>
    <w:next w:val="1"/>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4">
    <w:name w:val="样式 列表编号 + 段后: 0.5 行"/>
    <w:basedOn w:val="12"/>
    <w:qFormat/>
    <w:uiPriority w:val="2"/>
    <w:pPr>
      <w:tabs>
        <w:tab w:val="clear" w:pos="390"/>
        <w:tab w:val="clear" w:pos="454"/>
      </w:tabs>
      <w:ind w:left="840" w:hanging="420"/>
      <w:contextualSpacing/>
    </w:pPr>
    <w:rPr>
      <w:rFonts w:cs="宋体"/>
    </w:rPr>
  </w:style>
  <w:style w:type="paragraph" w:customStyle="1" w:styleId="425">
    <w:name w:val="文本正文 Char"/>
    <w:basedOn w:val="1"/>
    <w:qFormat/>
    <w:uiPriority w:val="0"/>
    <w:pPr>
      <w:spacing w:line="360" w:lineRule="auto"/>
      <w:ind w:firstLine="200" w:firstLineChars="200"/>
    </w:pPr>
    <w:rPr>
      <w:kern w:val="0"/>
      <w:sz w:val="24"/>
      <w:szCs w:val="20"/>
    </w:rPr>
  </w:style>
  <w:style w:type="paragraph" w:customStyle="1" w:styleId="4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8">
    <w:name w:val="列出段落11"/>
    <w:basedOn w:val="1"/>
    <w:qFormat/>
    <w:uiPriority w:val="34"/>
    <w:pPr>
      <w:adjustRightInd/>
      <w:ind w:firstLine="420" w:firstLineChars="200"/>
    </w:pPr>
    <w:rPr>
      <w:rFonts w:ascii="Calibri" w:hAnsi="Calibri"/>
      <w:szCs w:val="22"/>
    </w:rPr>
  </w:style>
  <w:style w:type="paragraph" w:customStyle="1" w:styleId="429">
    <w:name w:val="Char Char11 Char Char Char Char Char Char Char Char Char"/>
    <w:basedOn w:val="1"/>
    <w:qFormat/>
    <w:uiPriority w:val="0"/>
    <w:pPr>
      <w:spacing w:line="360" w:lineRule="auto"/>
    </w:pPr>
    <w:rPr>
      <w:szCs w:val="20"/>
    </w:rPr>
  </w:style>
  <w:style w:type="paragraph" w:customStyle="1" w:styleId="43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3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Char Char Char1 Char"/>
    <w:basedOn w:val="1"/>
    <w:qFormat/>
    <w:uiPriority w:val="0"/>
    <w:rPr>
      <w:szCs w:val="20"/>
    </w:rPr>
  </w:style>
  <w:style w:type="paragraph" w:customStyle="1" w:styleId="43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36">
    <w:name w:val="Char Char Char Char Char Char Char Char Char Char1"/>
    <w:basedOn w:val="1"/>
    <w:qFormat/>
    <w:uiPriority w:val="0"/>
    <w:rPr>
      <w:rFonts w:ascii="仿宋_GB2312" w:eastAsia="仿宋_GB2312"/>
      <w:b/>
      <w:sz w:val="32"/>
      <w:szCs w:val="32"/>
    </w:rPr>
  </w:style>
  <w:style w:type="paragraph" w:customStyle="1" w:styleId="43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9">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42">
    <w:name w:val="EB_表格"/>
    <w:basedOn w:val="1"/>
    <w:qFormat/>
    <w:uiPriority w:val="0"/>
    <w:pPr>
      <w:adjustRightInd/>
      <w:spacing w:line="300" w:lineRule="auto"/>
      <w:jc w:val="center"/>
    </w:pPr>
  </w:style>
  <w:style w:type="paragraph" w:customStyle="1" w:styleId="44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5">
    <w:name w:val="Char Char Char Char Char Char Char Char Char Char Char Char1 Char"/>
    <w:basedOn w:val="1"/>
    <w:qFormat/>
    <w:uiPriority w:val="0"/>
    <w:rPr>
      <w:rFonts w:ascii="Tahoma" w:hAnsi="Tahoma" w:cs="仿宋_GB2312"/>
      <w:sz w:val="24"/>
      <w:szCs w:val="20"/>
    </w:rPr>
  </w:style>
  <w:style w:type="paragraph" w:customStyle="1" w:styleId="446">
    <w:name w:val="Thf"/>
    <w:basedOn w:val="447"/>
    <w:qFormat/>
    <w:uiPriority w:val="0"/>
    <w:pPr>
      <w:ind w:left="0"/>
    </w:pPr>
  </w:style>
  <w:style w:type="paragraph" w:customStyle="1" w:styleId="4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49">
    <w:name w:val="Char Char1 Char Char Char Char Char Char"/>
    <w:basedOn w:val="1"/>
    <w:qFormat/>
    <w:uiPriority w:val="0"/>
    <w:rPr>
      <w:rFonts w:ascii="仿宋_GB2312" w:eastAsia="仿宋_GB2312"/>
      <w:b/>
      <w:sz w:val="32"/>
      <w:szCs w:val="20"/>
    </w:rPr>
  </w:style>
  <w:style w:type="paragraph" w:customStyle="1" w:styleId="450">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451">
    <w:name w:val="正文首行缩进1"/>
    <w:basedOn w:val="2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2">
    <w:name w:val="CSS1级正文 Char"/>
    <w:basedOn w:val="20"/>
    <w:qFormat/>
    <w:uiPriority w:val="0"/>
    <w:pPr>
      <w:autoSpaceDE/>
      <w:autoSpaceDN/>
      <w:snapToGrid w:val="0"/>
      <w:ind w:firstLine="480" w:firstLineChars="200"/>
    </w:pPr>
    <w:rPr>
      <w:rFonts w:ascii="Times New Roman"/>
      <w:szCs w:val="24"/>
      <w:lang w:val="en-US"/>
    </w:rPr>
  </w:style>
  <w:style w:type="paragraph" w:customStyle="1" w:styleId="453">
    <w:name w:val="Char Char Char Char Char Char Char Char Char Char"/>
    <w:basedOn w:val="1"/>
    <w:qFormat/>
    <w:uiPriority w:val="0"/>
    <w:rPr>
      <w:rFonts w:ascii="仿宋_GB2312" w:eastAsia="仿宋_GB2312"/>
      <w:b/>
      <w:sz w:val="32"/>
      <w:szCs w:val="32"/>
    </w:rPr>
  </w:style>
  <w:style w:type="paragraph" w:customStyle="1" w:styleId="454">
    <w:name w:val="封面"/>
    <w:basedOn w:val="1"/>
    <w:qFormat/>
    <w:uiPriority w:val="0"/>
    <w:pPr>
      <w:spacing w:line="360" w:lineRule="atLeast"/>
      <w:jc w:val="right"/>
      <w:textAlignment w:val="baseline"/>
    </w:pPr>
    <w:rPr>
      <w:rFonts w:ascii="Symbol" w:hAnsi="Symbol"/>
      <w:kern w:val="0"/>
      <w:szCs w:val="20"/>
    </w:rPr>
  </w:style>
  <w:style w:type="paragraph" w:customStyle="1" w:styleId="45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6">
    <w:name w:val="标题4_自定义"/>
    <w:basedOn w:val="5"/>
    <w:qFormat/>
    <w:uiPriority w:val="0"/>
    <w:pPr>
      <w:adjustRightInd/>
      <w:spacing w:before="0" w:after="0" w:line="360" w:lineRule="auto"/>
      <w:ind w:left="0" w:firstLine="0"/>
    </w:pPr>
    <w:rPr>
      <w:rFonts w:ascii="Verdana" w:eastAsia="Verdana"/>
      <w:sz w:val="21"/>
      <w:lang w:val="en-US"/>
    </w:rPr>
  </w:style>
  <w:style w:type="paragraph" w:customStyle="1" w:styleId="45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8">
    <w:name w:val="标书标题4"/>
    <w:basedOn w:val="5"/>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59">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6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64">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465">
    <w:name w:val="trademark"/>
    <w:qFormat/>
    <w:uiPriority w:val="0"/>
    <w:pPr>
      <w:spacing w:after="60"/>
    </w:pPr>
    <w:rPr>
      <w:rFonts w:ascii="Futura Bk" w:hAnsi="Futura Bk" w:eastAsia="宋体" w:cs="Times New Roman"/>
      <w:sz w:val="15"/>
      <w:lang w:val="en-US" w:eastAsia="en-US" w:bidi="ar-SA"/>
    </w:rPr>
  </w:style>
  <w:style w:type="paragraph" w:customStyle="1" w:styleId="466">
    <w:name w:val="Char31"/>
    <w:basedOn w:val="1"/>
    <w:qFormat/>
    <w:uiPriority w:val="0"/>
    <w:pPr>
      <w:adjustRightInd/>
    </w:pPr>
    <w:rPr>
      <w:rFonts w:ascii="仿宋_GB2312" w:eastAsia="仿宋_GB2312"/>
      <w:b/>
      <w:sz w:val="32"/>
      <w:szCs w:val="32"/>
    </w:rPr>
  </w:style>
  <w:style w:type="paragraph" w:customStyle="1" w:styleId="467">
    <w:name w:val="Char Char Char Char Char Char Char Char Char Char Char1 Char"/>
    <w:basedOn w:val="1"/>
    <w:qFormat/>
    <w:uiPriority w:val="0"/>
    <w:pPr>
      <w:adjustRightInd/>
    </w:pPr>
    <w:rPr>
      <w:rFonts w:ascii="Tahoma" w:hAnsi="Tahoma"/>
      <w:sz w:val="24"/>
    </w:rPr>
  </w:style>
  <w:style w:type="paragraph" w:customStyle="1" w:styleId="46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469">
    <w:name w:val="正文表标题"/>
    <w:next w:val="3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7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4">
    <w:name w:val="Char1 Char Char Char"/>
    <w:basedOn w:val="1"/>
    <w:qFormat/>
    <w:uiPriority w:val="0"/>
    <w:rPr>
      <w:rFonts w:ascii="Tahoma" w:hAnsi="Tahoma"/>
      <w:sz w:val="24"/>
      <w:szCs w:val="20"/>
    </w:rPr>
  </w:style>
  <w:style w:type="paragraph" w:customStyle="1" w:styleId="475">
    <w:name w:val="MM Topic 3"/>
    <w:basedOn w:val="4"/>
    <w:qFormat/>
    <w:uiPriority w:val="0"/>
    <w:pPr>
      <w:numPr>
        <w:ilvl w:val="0"/>
        <w:numId w:val="0"/>
      </w:numPr>
      <w:tabs>
        <w:tab w:val="left" w:pos="840"/>
        <w:tab w:val="left" w:pos="1680"/>
      </w:tabs>
      <w:adjustRightInd/>
      <w:ind w:left="1680" w:hanging="420"/>
    </w:p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9">
    <w:name w:val="a1"/>
    <w:basedOn w:val="1"/>
    <w:qFormat/>
    <w:uiPriority w:val="0"/>
    <w:pPr>
      <w:widowControl/>
      <w:spacing w:line="300" w:lineRule="atLeast"/>
      <w:jc w:val="left"/>
    </w:pPr>
    <w:rPr>
      <w:rFonts w:ascii="宋体" w:hAnsi="宋体"/>
      <w:kern w:val="0"/>
      <w:sz w:val="18"/>
      <w:szCs w:val="20"/>
    </w:rPr>
  </w:style>
  <w:style w:type="paragraph" w:customStyle="1" w:styleId="48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81">
    <w:name w:val="Char Char110"/>
    <w:basedOn w:val="1"/>
    <w:qFormat/>
    <w:uiPriority w:val="0"/>
    <w:pPr>
      <w:spacing w:line="360" w:lineRule="auto"/>
    </w:pPr>
    <w:rPr>
      <w:rFonts w:ascii="Tahoma" w:hAnsi="Tahoma"/>
      <w:sz w:val="24"/>
      <w:szCs w:val="20"/>
    </w:rPr>
  </w:style>
  <w:style w:type="paragraph" w:customStyle="1" w:styleId="48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3">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5">
    <w:name w:val="正文文字表格居中"/>
    <w:basedOn w:val="1"/>
    <w:next w:val="44"/>
    <w:qFormat/>
    <w:uiPriority w:val="0"/>
    <w:pPr>
      <w:snapToGrid w:val="0"/>
      <w:spacing w:line="360" w:lineRule="auto"/>
    </w:pPr>
    <w:rPr>
      <w:rFonts w:ascii="宋体"/>
      <w:b/>
      <w:sz w:val="24"/>
      <w:szCs w:val="20"/>
    </w:rPr>
  </w:style>
  <w:style w:type="paragraph" w:customStyle="1" w:styleId="486">
    <w:name w:val="修订1"/>
    <w:qFormat/>
    <w:uiPriority w:val="3"/>
    <w:rPr>
      <w:rFonts w:ascii="Times New Roman" w:hAnsi="Times New Roman" w:eastAsia="宋体" w:cs="Times New Roman"/>
      <w:color w:val="000000"/>
      <w:kern w:val="1"/>
      <w:sz w:val="21"/>
      <w:lang w:val="en-US" w:eastAsia="zh-CN" w:bidi="ar-SA"/>
    </w:rPr>
  </w:style>
  <w:style w:type="paragraph" w:customStyle="1" w:styleId="48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8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0">
    <w:name w:val="正文 项目2"/>
    <w:basedOn w:val="491"/>
    <w:qFormat/>
    <w:uiPriority w:val="0"/>
    <w:pPr>
      <w:tabs>
        <w:tab w:val="left" w:pos="840"/>
      </w:tabs>
      <w:spacing w:after="0"/>
      <w:ind w:left="900"/>
    </w:pPr>
  </w:style>
  <w:style w:type="paragraph" w:customStyle="1" w:styleId="49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2">
    <w:name w:val="左对齐表格文字"/>
    <w:basedOn w:val="1"/>
    <w:qFormat/>
    <w:uiPriority w:val="0"/>
    <w:pPr>
      <w:adjustRightInd/>
      <w:ind w:firstLine="200" w:firstLineChars="200"/>
      <w:jc w:val="right"/>
    </w:pPr>
  </w:style>
  <w:style w:type="paragraph" w:customStyle="1" w:styleId="4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4">
    <w:name w:val="4"/>
    <w:basedOn w:val="1"/>
    <w:next w:val="31"/>
    <w:qFormat/>
    <w:uiPriority w:val="0"/>
    <w:pPr>
      <w:spacing w:after="120" w:line="480" w:lineRule="auto"/>
      <w:ind w:left="420" w:leftChars="200"/>
    </w:pPr>
    <w:rPr>
      <w:sz w:val="24"/>
      <w:szCs w:val="20"/>
    </w:rPr>
  </w:style>
  <w:style w:type="paragraph" w:customStyle="1" w:styleId="495">
    <w:name w:val="0"/>
    <w:basedOn w:val="1"/>
    <w:qFormat/>
    <w:uiPriority w:val="0"/>
    <w:pPr>
      <w:widowControl/>
    </w:pPr>
    <w:rPr>
      <w:kern w:val="0"/>
      <w:sz w:val="24"/>
      <w:szCs w:val="20"/>
    </w:rPr>
  </w:style>
  <w:style w:type="paragraph" w:customStyle="1" w:styleId="496">
    <w:name w:val="封面公司名"/>
    <w:qFormat/>
    <w:uiPriority w:val="0"/>
    <w:pPr>
      <w:jc w:val="center"/>
    </w:pPr>
    <w:rPr>
      <w:rFonts w:ascii="Arial" w:hAnsi="Arial" w:eastAsia="楷体_GB2312" w:cs="宋体"/>
      <w:bCs/>
      <w:kern w:val="2"/>
      <w:sz w:val="28"/>
      <w:lang w:val="en-US" w:eastAsia="zh-CN" w:bidi="ar-SA"/>
    </w:rPr>
  </w:style>
  <w:style w:type="paragraph" w:customStyle="1" w:styleId="497">
    <w:name w:val="MM Empty"/>
    <w:basedOn w:val="1"/>
    <w:qFormat/>
    <w:uiPriority w:val="0"/>
    <w:pPr>
      <w:adjustRightInd/>
    </w:pPr>
  </w:style>
  <w:style w:type="paragraph" w:customStyle="1" w:styleId="498">
    <w:name w:val="Char Char Char Char Char Char Char"/>
    <w:basedOn w:val="1"/>
    <w:qFormat/>
    <w:uiPriority w:val="0"/>
    <w:rPr>
      <w:rFonts w:ascii="仿宋_GB2312" w:eastAsia="仿宋_GB2312"/>
      <w:b/>
      <w:sz w:val="32"/>
      <w:szCs w:val="32"/>
    </w:rPr>
  </w:style>
  <w:style w:type="paragraph" w:customStyle="1" w:styleId="499">
    <w:name w:val="默认段落字体 Para Char"/>
    <w:basedOn w:val="1"/>
    <w:qFormat/>
    <w:uiPriority w:val="0"/>
    <w:rPr>
      <w:rFonts w:ascii="Tahoma" w:hAnsi="Tahoma"/>
      <w:sz w:val="24"/>
      <w:szCs w:val="20"/>
    </w:rPr>
  </w:style>
  <w:style w:type="paragraph" w:customStyle="1" w:styleId="50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0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2">
    <w:name w:val="Char2 Char Char"/>
    <w:basedOn w:val="1"/>
    <w:qFormat/>
    <w:uiPriority w:val="0"/>
    <w:pPr>
      <w:adjustRightInd/>
    </w:pPr>
    <w:rPr>
      <w:rFonts w:ascii="Tahoma" w:hAnsi="Tahoma"/>
      <w:sz w:val="24"/>
      <w:szCs w:val="20"/>
    </w:rPr>
  </w:style>
  <w:style w:type="paragraph" w:customStyle="1" w:styleId="503">
    <w:name w:val="Char Char1 Char"/>
    <w:basedOn w:val="1"/>
    <w:qFormat/>
    <w:uiPriority w:val="0"/>
    <w:rPr>
      <w:rFonts w:ascii="仿宋_GB2312" w:eastAsia="仿宋_GB2312"/>
      <w:b/>
      <w:sz w:val="32"/>
      <w:szCs w:val="32"/>
    </w:rPr>
  </w:style>
  <w:style w:type="paragraph" w:customStyle="1" w:styleId="504">
    <w:name w:val="Table Text"/>
    <w:basedOn w:val="1"/>
    <w:qFormat/>
    <w:uiPriority w:val="0"/>
    <w:pPr>
      <w:widowControl/>
      <w:spacing w:before="60" w:after="60"/>
      <w:jc w:val="left"/>
    </w:pPr>
    <w:rPr>
      <w:kern w:val="0"/>
      <w:sz w:val="24"/>
    </w:rPr>
  </w:style>
  <w:style w:type="paragraph" w:customStyle="1" w:styleId="505">
    <w:name w:val="Body Text 2*"/>
    <w:basedOn w:val="1"/>
    <w:qFormat/>
    <w:uiPriority w:val="6"/>
    <w:pPr>
      <w:widowControl/>
      <w:adjustRightInd/>
      <w:ind w:left="720" w:hanging="720"/>
    </w:pPr>
    <w:rPr>
      <w:color w:val="000000"/>
      <w:kern w:val="0"/>
      <w:sz w:val="24"/>
      <w:szCs w:val="20"/>
      <w:lang w:val="en-GB"/>
    </w:rPr>
  </w:style>
  <w:style w:type="paragraph" w:customStyle="1" w:styleId="50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07">
    <w:name w:val="Char1 Char Char Char1"/>
    <w:basedOn w:val="1"/>
    <w:qFormat/>
    <w:uiPriority w:val="0"/>
    <w:pPr>
      <w:adjustRightInd/>
      <w:ind w:firstLine="200" w:firstLineChars="200"/>
    </w:pPr>
    <w:rPr>
      <w:rFonts w:ascii="Tahoma" w:hAnsi="Tahoma"/>
      <w:sz w:val="24"/>
      <w:szCs w:val="20"/>
    </w:rPr>
  </w:style>
  <w:style w:type="paragraph" w:customStyle="1" w:styleId="508">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9">
    <w:name w:val="样式1 + (中宋体"/>
    <w:basedOn w:val="38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11">
    <w:name w:val="Char Char Char Char Char Char Char Char"/>
    <w:basedOn w:val="1"/>
    <w:qFormat/>
    <w:uiPriority w:val="0"/>
    <w:pPr>
      <w:tabs>
        <w:tab w:val="left" w:pos="360"/>
      </w:tabs>
    </w:pPr>
    <w:rPr>
      <w:sz w:val="24"/>
      <w:szCs w:val="20"/>
    </w:rPr>
  </w:style>
  <w:style w:type="paragraph" w:customStyle="1" w:styleId="512">
    <w:name w:val="默认段落字体 Para Char Char Char Char"/>
    <w:basedOn w:val="1"/>
    <w:qFormat/>
    <w:uiPriority w:val="0"/>
    <w:pPr>
      <w:spacing w:line="360" w:lineRule="auto"/>
    </w:pPr>
    <w:rPr>
      <w:szCs w:val="20"/>
    </w:rPr>
  </w:style>
  <w:style w:type="paragraph" w:customStyle="1" w:styleId="51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4">
    <w:name w:val="Char Char Char1 Char1"/>
    <w:basedOn w:val="1"/>
    <w:qFormat/>
    <w:uiPriority w:val="0"/>
    <w:rPr>
      <w:szCs w:val="20"/>
    </w:rPr>
  </w:style>
  <w:style w:type="paragraph" w:customStyle="1" w:styleId="515">
    <w:name w:val="数字标题6"/>
    <w:basedOn w:val="7"/>
    <w:next w:val="1"/>
    <w:qFormat/>
    <w:uiPriority w:val="0"/>
    <w:pPr>
      <w:tabs>
        <w:tab w:val="left" w:pos="480"/>
        <w:tab w:val="left" w:pos="1080"/>
      </w:tabs>
      <w:ind w:left="480" w:hanging="480"/>
    </w:pPr>
    <w:rPr>
      <w:rFonts w:ascii="Times New Roman" w:hAnsi="Times New Roman" w:eastAsia="宋体"/>
      <w:i/>
    </w:rPr>
  </w:style>
  <w:style w:type="paragraph" w:customStyle="1" w:styleId="51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1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19">
    <w:name w:val="Char1 Char Char Char4"/>
    <w:basedOn w:val="1"/>
    <w:qFormat/>
    <w:uiPriority w:val="0"/>
    <w:pPr>
      <w:adjustRightInd/>
      <w:ind w:firstLine="200" w:firstLineChars="200"/>
    </w:pPr>
    <w:rPr>
      <w:rFonts w:ascii="Tahoma" w:hAnsi="Tahoma"/>
      <w:sz w:val="24"/>
      <w:szCs w:val="20"/>
    </w:rPr>
  </w:style>
  <w:style w:type="paragraph" w:customStyle="1" w:styleId="52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21">
    <w:name w:val="正文－恩普"/>
    <w:basedOn w:val="13"/>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3">
    <w:name w:val="Char Char11 Char Char Char"/>
    <w:basedOn w:val="1"/>
    <w:qFormat/>
    <w:uiPriority w:val="0"/>
    <w:pPr>
      <w:spacing w:line="360" w:lineRule="auto"/>
    </w:pPr>
    <w:rPr>
      <w:szCs w:val="20"/>
    </w:rPr>
  </w:style>
  <w:style w:type="paragraph" w:customStyle="1" w:styleId="524">
    <w:name w:val="标书标题2"/>
    <w:basedOn w:val="2"/>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样式 样式2 + 左侧:  1 字符 右侧:  1 字符"/>
    <w:basedOn w:val="52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0">
    <w:name w:val="正文21"/>
    <w:basedOn w:val="1"/>
    <w:qFormat/>
    <w:uiPriority w:val="0"/>
    <w:pPr>
      <w:adjustRightInd/>
      <w:spacing w:before="156" w:line="360" w:lineRule="auto"/>
      <w:ind w:firstLine="510" w:firstLineChars="200"/>
    </w:pPr>
    <w:rPr>
      <w:sz w:val="24"/>
      <w:szCs w:val="20"/>
    </w:rPr>
  </w:style>
  <w:style w:type="paragraph" w:customStyle="1" w:styleId="531">
    <w:name w:val="正文文字缩进项目"/>
    <w:basedOn w:val="21"/>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2">
    <w:name w:val="MM Topic 2"/>
    <w:basedOn w:val="2"/>
    <w:qFormat/>
    <w:uiPriority w:val="0"/>
    <w:pPr>
      <w:tabs>
        <w:tab w:val="left" w:pos="1260"/>
      </w:tabs>
      <w:ind w:left="1260" w:hanging="420"/>
    </w:pPr>
    <w:rPr>
      <w:rFonts w:ascii="Arial" w:hAnsi="Arial" w:eastAsia="黑体"/>
      <w:lang w:val="en-US"/>
    </w:rPr>
  </w:style>
  <w:style w:type="paragraph" w:customStyle="1" w:styleId="533">
    <w:name w:val="Char2 Char Char Char1"/>
    <w:basedOn w:val="1"/>
    <w:qFormat/>
    <w:uiPriority w:val="0"/>
    <w:rPr>
      <w:rFonts w:ascii="仿宋_GB2312" w:eastAsia="仿宋_GB2312"/>
      <w:b/>
      <w:sz w:val="32"/>
      <w:szCs w:val="32"/>
    </w:rPr>
  </w:style>
  <w:style w:type="paragraph" w:customStyle="1" w:styleId="534">
    <w:name w:val="样式3"/>
    <w:basedOn w:val="527"/>
    <w:qFormat/>
    <w:uiPriority w:val="0"/>
    <w:pPr>
      <w:spacing w:beforeLines="100"/>
      <w:jc w:val="left"/>
    </w:pPr>
  </w:style>
  <w:style w:type="paragraph" w:customStyle="1" w:styleId="5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7">
    <w:name w:val="Bulleting First Indent 1"/>
    <w:basedOn w:val="13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8">
    <w:name w:val="Plain Text1"/>
    <w:basedOn w:val="1"/>
    <w:qFormat/>
    <w:uiPriority w:val="0"/>
    <w:pPr>
      <w:adjustRightInd/>
    </w:pPr>
    <w:rPr>
      <w:rFonts w:ascii="宋体" w:hAnsi="Courier New"/>
    </w:rPr>
  </w:style>
  <w:style w:type="paragraph" w:customStyle="1" w:styleId="5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0">
    <w:name w:val="正文 首行缩进:  2 字符 Char"/>
    <w:basedOn w:val="1"/>
    <w:qFormat/>
    <w:uiPriority w:val="0"/>
    <w:pPr>
      <w:adjustRightInd/>
      <w:spacing w:line="360" w:lineRule="auto"/>
      <w:ind w:firstLine="480"/>
    </w:pPr>
    <w:rPr>
      <w:rFonts w:cs="宋体"/>
      <w:sz w:val="24"/>
      <w:szCs w:val="20"/>
    </w:rPr>
  </w:style>
  <w:style w:type="paragraph" w:customStyle="1" w:styleId="54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2">
    <w:name w:val="Char111"/>
    <w:basedOn w:val="1"/>
    <w:qFormat/>
    <w:uiPriority w:val="0"/>
    <w:rPr>
      <w:rFonts w:ascii="仿宋_GB2312" w:eastAsia="仿宋_GB2312"/>
      <w:b/>
      <w:sz w:val="32"/>
      <w:szCs w:val="32"/>
    </w:rPr>
  </w:style>
  <w:style w:type="paragraph" w:customStyle="1" w:styleId="543">
    <w:name w:val="表格文字"/>
    <w:basedOn w:val="1"/>
    <w:next w:val="13"/>
    <w:qFormat/>
    <w:uiPriority w:val="0"/>
    <w:pPr>
      <w:adjustRightInd/>
      <w:ind w:firstLine="200" w:firstLineChars="200"/>
    </w:pPr>
    <w:rPr>
      <w:rFonts w:ascii="Arial" w:hAnsi="Arial"/>
      <w:spacing w:val="-5"/>
      <w:kern w:val="0"/>
      <w:sz w:val="24"/>
      <w:szCs w:val="20"/>
    </w:rPr>
  </w:style>
  <w:style w:type="paragraph" w:customStyle="1" w:styleId="5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45">
    <w:name w:val="彩色列表 - 强调文字颜色 11"/>
    <w:basedOn w:val="1"/>
    <w:qFormat/>
    <w:uiPriority w:val="0"/>
    <w:pPr>
      <w:adjustRightInd/>
      <w:ind w:firstLine="420" w:firstLineChars="200"/>
    </w:pPr>
    <w:rPr>
      <w:rFonts w:ascii="Calibri" w:hAnsi="Calibri"/>
      <w:szCs w:val="22"/>
    </w:rPr>
  </w:style>
  <w:style w:type="paragraph" w:customStyle="1" w:styleId="54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7">
    <w:name w:val="P1"/>
    <w:basedOn w:val="1"/>
    <w:qFormat/>
    <w:uiPriority w:val="0"/>
    <w:pPr>
      <w:adjustRightInd/>
      <w:spacing w:line="288" w:lineRule="auto"/>
      <w:ind w:firstLine="425" w:firstLineChars="200"/>
    </w:pPr>
  </w:style>
  <w:style w:type="paragraph" w:customStyle="1" w:styleId="548">
    <w:name w:val="数字标题4"/>
    <w:basedOn w:val="5"/>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4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5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51">
    <w:name w:val="默认段落样式"/>
    <w:basedOn w:val="97"/>
    <w:qFormat/>
    <w:uiPriority w:val="0"/>
    <w:pPr>
      <w:spacing w:before="0"/>
      <w:ind w:firstLine="480"/>
      <w:outlineLvl w:val="2"/>
    </w:pPr>
    <w:rPr>
      <w:rFonts w:ascii="仿宋_GB2312" w:hAnsi="宋体" w:eastAsia="仿宋_GB2312"/>
      <w:color w:val="000000"/>
      <w:szCs w:val="24"/>
    </w:rPr>
  </w:style>
  <w:style w:type="paragraph" w:customStyle="1" w:styleId="5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3">
    <w:name w:val="Char Char1 Char Char1 Char Char1"/>
    <w:basedOn w:val="1"/>
    <w:qFormat/>
    <w:uiPriority w:val="0"/>
    <w:pPr>
      <w:tabs>
        <w:tab w:val="left" w:pos="840"/>
      </w:tabs>
      <w:ind w:left="840" w:hanging="420"/>
    </w:pPr>
    <w:rPr>
      <w:rFonts w:ascii="Tahoma" w:hAnsi="Tahoma"/>
      <w:sz w:val="24"/>
    </w:rPr>
  </w:style>
  <w:style w:type="paragraph" w:customStyle="1" w:styleId="55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7">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8">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9">
    <w:name w:val="加粗正文"/>
    <w:basedOn w:val="1"/>
    <w:qFormat/>
    <w:uiPriority w:val="0"/>
    <w:pPr>
      <w:adjustRightInd/>
      <w:spacing w:beforeLines="50" w:afterLines="50" w:line="360" w:lineRule="auto"/>
      <w:ind w:firstLine="422" w:firstLineChars="200"/>
    </w:pPr>
    <w:rPr>
      <w:b/>
      <w:bCs/>
      <w:szCs w:val="21"/>
    </w:rPr>
  </w:style>
  <w:style w:type="paragraph" w:customStyle="1" w:styleId="5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2">
    <w:name w:val="表格（小）"/>
    <w:basedOn w:val="1"/>
    <w:qFormat/>
    <w:uiPriority w:val="0"/>
    <w:pPr>
      <w:adjustRightInd/>
      <w:snapToGrid w:val="0"/>
      <w:spacing w:line="300" w:lineRule="auto"/>
    </w:pPr>
    <w:rPr>
      <w:rFonts w:eastAsia="仿宋"/>
      <w:szCs w:val="21"/>
    </w:rPr>
  </w:style>
  <w:style w:type="paragraph" w:customStyle="1" w:styleId="563">
    <w:name w:val="文档正文"/>
    <w:basedOn w:val="1"/>
    <w:qFormat/>
    <w:uiPriority w:val="0"/>
    <w:pPr>
      <w:spacing w:line="480" w:lineRule="atLeast"/>
      <w:ind w:firstLine="567"/>
      <w:textAlignment w:val="baseline"/>
    </w:pPr>
    <w:rPr>
      <w:kern w:val="0"/>
      <w:sz w:val="24"/>
      <w:szCs w:val="20"/>
    </w:rPr>
  </w:style>
  <w:style w:type="paragraph" w:customStyle="1" w:styleId="564">
    <w:name w:val="注释"/>
    <w:basedOn w:val="1"/>
    <w:qFormat/>
    <w:uiPriority w:val="0"/>
    <w:pPr>
      <w:adjustRightInd/>
      <w:spacing w:line="360" w:lineRule="auto"/>
      <w:ind w:firstLine="480"/>
    </w:pPr>
    <w:rPr>
      <w:sz w:val="24"/>
    </w:rPr>
  </w:style>
  <w:style w:type="paragraph" w:customStyle="1" w:styleId="565">
    <w:name w:val="body text bold"/>
    <w:basedOn w:val="20"/>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6">
    <w:name w:val="Char1 Char Char Char2"/>
    <w:basedOn w:val="1"/>
    <w:qFormat/>
    <w:uiPriority w:val="0"/>
    <w:pPr>
      <w:adjustRightInd/>
      <w:ind w:firstLine="200" w:firstLineChars="200"/>
    </w:pPr>
    <w:rPr>
      <w:rFonts w:ascii="Tahoma" w:hAnsi="Tahoma"/>
      <w:sz w:val="24"/>
      <w:szCs w:val="20"/>
    </w:rPr>
  </w:style>
  <w:style w:type="paragraph" w:customStyle="1" w:styleId="56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9">
    <w:name w:val="四号　首行缩进"/>
    <w:basedOn w:val="1"/>
    <w:qFormat/>
    <w:uiPriority w:val="0"/>
    <w:pPr>
      <w:adjustRightInd/>
      <w:spacing w:line="360" w:lineRule="auto"/>
    </w:pPr>
    <w:rPr>
      <w:rFonts w:ascii="宋体" w:hAnsi="宋体"/>
      <w:szCs w:val="20"/>
    </w:rPr>
  </w:style>
  <w:style w:type="paragraph" w:customStyle="1" w:styleId="570">
    <w:name w:val="Char21"/>
    <w:basedOn w:val="1"/>
    <w:qFormat/>
    <w:uiPriority w:val="0"/>
    <w:pPr>
      <w:adjustRightInd/>
      <w:ind w:firstLine="200" w:firstLineChars="200"/>
    </w:pPr>
    <w:rPr>
      <w:rFonts w:ascii="仿宋_GB2312" w:eastAsia="仿宋_GB2312"/>
      <w:b/>
      <w:sz w:val="32"/>
      <w:szCs w:val="32"/>
    </w:rPr>
  </w:style>
  <w:style w:type="paragraph" w:customStyle="1" w:styleId="571">
    <w:name w:val="列出段落5"/>
    <w:basedOn w:val="1"/>
    <w:qFormat/>
    <w:uiPriority w:val="0"/>
    <w:pPr>
      <w:spacing w:line="360" w:lineRule="auto"/>
      <w:ind w:firstLine="200" w:firstLineChars="200"/>
    </w:pPr>
    <w:rPr>
      <w:rFonts w:eastAsia="楷体_GB2312" w:cs="Lucida Sans"/>
      <w:sz w:val="24"/>
    </w:rPr>
  </w:style>
  <w:style w:type="paragraph" w:customStyle="1" w:styleId="5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4">
    <w:name w:val="Char Char Char Char Char Char Char1"/>
    <w:basedOn w:val="1"/>
    <w:qFormat/>
    <w:uiPriority w:val="0"/>
    <w:rPr>
      <w:rFonts w:ascii="仿宋_GB2312" w:eastAsia="仿宋_GB2312"/>
      <w:b/>
      <w:sz w:val="32"/>
      <w:szCs w:val="32"/>
    </w:rPr>
  </w:style>
  <w:style w:type="paragraph" w:customStyle="1" w:styleId="575">
    <w:name w:val="有符号正文"/>
    <w:basedOn w:val="1"/>
    <w:qFormat/>
    <w:uiPriority w:val="0"/>
    <w:pPr>
      <w:adjustRightInd/>
      <w:spacing w:line="400" w:lineRule="exact"/>
      <w:ind w:firstLine="200" w:firstLineChars="200"/>
    </w:pPr>
    <w:rPr>
      <w:rFonts w:ascii="Arial" w:hAnsi="Arial"/>
    </w:rPr>
  </w:style>
  <w:style w:type="paragraph" w:customStyle="1" w:styleId="57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578">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79">
    <w:name w:val="带编号样式"/>
    <w:basedOn w:val="425"/>
    <w:qFormat/>
    <w:uiPriority w:val="0"/>
    <w:pPr>
      <w:tabs>
        <w:tab w:val="left" w:pos="840"/>
      </w:tabs>
      <w:snapToGrid w:val="0"/>
      <w:ind w:left="840" w:firstLine="0" w:firstLineChars="0"/>
    </w:pPr>
    <w:rPr>
      <w:rFonts w:ascii="仿宋_GB2312" w:eastAsia="仿宋_GB2312"/>
      <w:color w:val="000000"/>
    </w:rPr>
  </w:style>
  <w:style w:type="paragraph" w:customStyle="1" w:styleId="580">
    <w:name w:val="彩色列表 - 强调文字颜色 12"/>
    <w:basedOn w:val="1"/>
    <w:qFormat/>
    <w:uiPriority w:val="0"/>
    <w:pPr>
      <w:adjustRightInd/>
      <w:ind w:firstLine="420" w:firstLineChars="200"/>
    </w:pPr>
    <w:rPr>
      <w:rFonts w:ascii="Calibri" w:hAnsi="Calibri"/>
      <w:szCs w:val="22"/>
    </w:rPr>
  </w:style>
  <w:style w:type="paragraph" w:customStyle="1" w:styleId="58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6">
    <w:name w:val="WW-正文文字缩进 2"/>
    <w:basedOn w:val="1"/>
    <w:qFormat/>
    <w:uiPriority w:val="0"/>
    <w:pPr>
      <w:suppressAutoHyphens/>
      <w:adjustRightInd/>
      <w:ind w:firstLine="420"/>
    </w:pPr>
    <w:rPr>
      <w:kern w:val="1"/>
      <w:szCs w:val="20"/>
    </w:rPr>
  </w:style>
  <w:style w:type="paragraph" w:customStyle="1" w:styleId="5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88">
    <w:name w:val="标准有序列表（L1）"/>
    <w:basedOn w:val="1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9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2">
    <w:name w:val="正文（标题三）"/>
    <w:basedOn w:val="1"/>
    <w:qFormat/>
    <w:uiPriority w:val="0"/>
    <w:pPr>
      <w:spacing w:line="360" w:lineRule="auto"/>
      <w:ind w:firstLine="200" w:firstLineChars="200"/>
    </w:pPr>
    <w:rPr>
      <w:sz w:val="24"/>
    </w:rPr>
  </w:style>
  <w:style w:type="paragraph" w:customStyle="1" w:styleId="59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5">
    <w:name w:val="数字标题3"/>
    <w:basedOn w:val="4"/>
    <w:next w:val="1"/>
    <w:qFormat/>
    <w:uiPriority w:val="0"/>
    <w:pPr>
      <w:numPr>
        <w:ilvl w:val="0"/>
        <w:numId w:val="0"/>
      </w:numPr>
      <w:spacing w:line="240" w:lineRule="auto"/>
    </w:pPr>
    <w:rPr>
      <w:sz w:val="28"/>
      <w:szCs w:val="28"/>
    </w:rPr>
  </w:style>
  <w:style w:type="paragraph" w:customStyle="1" w:styleId="5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98">
    <w:name w:val="标书表格字体格式"/>
    <w:next w:val="585"/>
    <w:qFormat/>
    <w:uiPriority w:val="0"/>
    <w:rPr>
      <w:rFonts w:ascii="Times New Roman" w:hAnsi="Times New Roman" w:eastAsia="宋体" w:cs="Times New Roman"/>
      <w:kern w:val="2"/>
      <w:sz w:val="21"/>
      <w:szCs w:val="24"/>
      <w:lang w:val="en-US" w:eastAsia="zh-CN" w:bidi="ar-SA"/>
    </w:rPr>
  </w:style>
  <w:style w:type="paragraph" w:customStyle="1" w:styleId="599">
    <w:name w:val="bullet"/>
    <w:basedOn w:val="1"/>
    <w:qFormat/>
    <w:uiPriority w:val="0"/>
    <w:pPr>
      <w:tabs>
        <w:tab w:val="left" w:pos="840"/>
      </w:tabs>
      <w:adjustRightInd/>
      <w:ind w:left="840" w:hanging="420"/>
    </w:pPr>
  </w:style>
  <w:style w:type="paragraph" w:customStyle="1" w:styleId="60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列出段落1"/>
    <w:basedOn w:val="1"/>
    <w:qFormat/>
    <w:uiPriority w:val="34"/>
    <w:pPr>
      <w:widowControl/>
      <w:ind w:firstLine="420" w:firstLineChars="200"/>
      <w:jc w:val="left"/>
    </w:pPr>
    <w:rPr>
      <w:rFonts w:ascii="宋体" w:hAnsi="宋体" w:cs="宋体"/>
      <w:kern w:val="0"/>
      <w:sz w:val="24"/>
    </w:rPr>
  </w:style>
  <w:style w:type="paragraph" w:customStyle="1" w:styleId="60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4">
    <w:name w:val="Char Char Char Char Char Char Char Char1"/>
    <w:basedOn w:val="1"/>
    <w:qFormat/>
    <w:uiPriority w:val="0"/>
    <w:pPr>
      <w:tabs>
        <w:tab w:val="left" w:pos="360"/>
      </w:tabs>
    </w:pPr>
    <w:rPr>
      <w:sz w:val="24"/>
      <w:szCs w:val="20"/>
    </w:rPr>
  </w:style>
  <w:style w:type="paragraph" w:customStyle="1" w:styleId="60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6">
    <w:name w:val="Char Char1 Char Char Char Char Char Char1"/>
    <w:basedOn w:val="1"/>
    <w:qFormat/>
    <w:uiPriority w:val="0"/>
    <w:rPr>
      <w:rFonts w:ascii="仿宋_GB2312" w:eastAsia="仿宋_GB2312"/>
      <w:b/>
      <w:sz w:val="32"/>
      <w:szCs w:val="20"/>
    </w:rPr>
  </w:style>
  <w:style w:type="paragraph" w:customStyle="1" w:styleId="6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2">
    <w:name w:val="Char Char111"/>
    <w:basedOn w:val="1"/>
    <w:qFormat/>
    <w:uiPriority w:val="0"/>
    <w:pPr>
      <w:spacing w:line="360" w:lineRule="auto"/>
    </w:pPr>
    <w:rPr>
      <w:szCs w:val="20"/>
    </w:rPr>
  </w:style>
  <w:style w:type="paragraph" w:customStyle="1" w:styleId="6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18">
    <w:name w:val="Char2 Char Char Char"/>
    <w:basedOn w:val="1"/>
    <w:qFormat/>
    <w:uiPriority w:val="0"/>
    <w:rPr>
      <w:rFonts w:ascii="仿宋_GB2312" w:eastAsia="仿宋_GB2312"/>
      <w:b/>
      <w:sz w:val="32"/>
      <w:szCs w:val="32"/>
    </w:rPr>
  </w:style>
  <w:style w:type="paragraph" w:customStyle="1" w:styleId="61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0">
    <w:name w:val="图中文字"/>
    <w:basedOn w:val="1"/>
    <w:qFormat/>
    <w:uiPriority w:val="0"/>
    <w:pPr>
      <w:snapToGrid w:val="0"/>
      <w:spacing w:line="0" w:lineRule="atLeast"/>
      <w:ind w:firstLine="200" w:firstLineChars="200"/>
      <w:jc w:val="center"/>
    </w:pPr>
    <w:rPr>
      <w:sz w:val="24"/>
      <w:szCs w:val="20"/>
    </w:rPr>
  </w:style>
  <w:style w:type="paragraph" w:customStyle="1" w:styleId="6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2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3">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25">
    <w:name w:val="正文（首行缩进2字符）"/>
    <w:basedOn w:val="1"/>
    <w:qFormat/>
    <w:uiPriority w:val="0"/>
    <w:pPr>
      <w:adjustRightInd/>
      <w:spacing w:line="360" w:lineRule="auto"/>
      <w:ind w:firstLine="480" w:firstLineChars="200"/>
    </w:pPr>
    <w:rPr>
      <w:sz w:val="24"/>
      <w:szCs w:val="20"/>
    </w:rPr>
  </w:style>
  <w:style w:type="paragraph" w:customStyle="1" w:styleId="626">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8">
    <w:name w:val="修订2"/>
    <w:qFormat/>
    <w:uiPriority w:val="0"/>
    <w:rPr>
      <w:rFonts w:ascii="Times New Roman" w:hAnsi="Times New Roman" w:eastAsia="宋体" w:cs="Times New Roman"/>
      <w:kern w:val="2"/>
      <w:sz w:val="21"/>
      <w:lang w:val="en-US" w:eastAsia="zh-CN" w:bidi="ar-SA"/>
    </w:rPr>
  </w:style>
  <w:style w:type="paragraph" w:customStyle="1" w:styleId="629">
    <w:name w:val="样式 正文文本缩进 + 段前: 2 字符"/>
    <w:basedOn w:val="1"/>
    <w:qFormat/>
    <w:uiPriority w:val="0"/>
    <w:pPr>
      <w:adjustRightInd/>
      <w:ind w:left="420" w:leftChars="200"/>
      <w:jc w:val="left"/>
    </w:pPr>
    <w:rPr>
      <w:sz w:val="28"/>
      <w:szCs w:val="20"/>
      <w:lang w:eastAsia="zh-TW"/>
    </w:rPr>
  </w:style>
  <w:style w:type="paragraph" w:customStyle="1" w:styleId="6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3">
    <w:name w:val="Char Char11 Char Char Char Char Char Char Char Char Char1"/>
    <w:basedOn w:val="1"/>
    <w:qFormat/>
    <w:uiPriority w:val="6"/>
    <w:pPr>
      <w:spacing w:line="360" w:lineRule="auto"/>
    </w:pPr>
    <w:rPr>
      <w:szCs w:val="20"/>
    </w:rPr>
  </w:style>
  <w:style w:type="paragraph" w:customStyle="1" w:styleId="63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5">
    <w:name w:val="Char2 Char Char1"/>
    <w:basedOn w:val="1"/>
    <w:qFormat/>
    <w:uiPriority w:val="0"/>
    <w:pPr>
      <w:adjustRightInd/>
    </w:pPr>
    <w:rPr>
      <w:rFonts w:ascii="Tahoma" w:hAnsi="Tahoma"/>
      <w:sz w:val="24"/>
      <w:szCs w:val="20"/>
    </w:rPr>
  </w:style>
  <w:style w:type="paragraph" w:customStyle="1" w:styleId="636">
    <w:name w:val="正文文字 2"/>
    <w:basedOn w:val="478"/>
    <w:next w:val="478"/>
    <w:qFormat/>
    <w:uiPriority w:val="0"/>
    <w:rPr>
      <w:rFonts w:ascii="宋体" w:eastAsia="宋体" w:cs="Times New Roman"/>
      <w:color w:val="auto"/>
    </w:rPr>
  </w:style>
  <w:style w:type="paragraph" w:customStyle="1" w:styleId="637">
    <w:name w:val="Char1 Char Char Char3"/>
    <w:basedOn w:val="1"/>
    <w:qFormat/>
    <w:uiPriority w:val="0"/>
    <w:pPr>
      <w:adjustRightInd/>
      <w:ind w:firstLine="200" w:firstLineChars="200"/>
    </w:pPr>
    <w:rPr>
      <w:rFonts w:ascii="Tahoma" w:hAnsi="Tahoma"/>
      <w:sz w:val="24"/>
      <w:szCs w:val="20"/>
    </w:rPr>
  </w:style>
  <w:style w:type="paragraph" w:customStyle="1" w:styleId="638">
    <w:name w:val="样式7"/>
    <w:basedOn w:val="463"/>
    <w:next w:val="1"/>
    <w:qFormat/>
    <w:uiPriority w:val="0"/>
    <w:pPr>
      <w:spacing w:afterLines="50"/>
      <w:jc w:val="left"/>
      <w:outlineLvl w:val="3"/>
    </w:pPr>
    <w:rPr>
      <w:sz w:val="24"/>
      <w:szCs w:val="24"/>
    </w:rPr>
  </w:style>
  <w:style w:type="paragraph" w:customStyle="1" w:styleId="639">
    <w:name w:val="默认段落字体 Para Char Char Char Char Char Char Char"/>
    <w:basedOn w:val="1"/>
    <w:qFormat/>
    <w:uiPriority w:val="0"/>
    <w:rPr>
      <w:rFonts w:eastAsia="仿宋_GB2312"/>
      <w:sz w:val="28"/>
      <w:szCs w:val="20"/>
    </w:rPr>
  </w:style>
  <w:style w:type="paragraph" w:customStyle="1" w:styleId="640">
    <w:name w:val="Picture"/>
    <w:basedOn w:val="1"/>
    <w:next w:val="1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首行缩进"/>
    <w:basedOn w:val="1"/>
    <w:qFormat/>
    <w:uiPriority w:val="0"/>
    <w:pPr>
      <w:spacing w:line="360" w:lineRule="auto"/>
      <w:ind w:firstLine="480" w:firstLineChars="200"/>
    </w:pPr>
    <w:rPr>
      <w:rFonts w:ascii="宋体"/>
      <w:sz w:val="24"/>
      <w:szCs w:val="20"/>
    </w:rPr>
  </w:style>
  <w:style w:type="paragraph" w:customStyle="1" w:styleId="642">
    <w:name w:val="Char2"/>
    <w:basedOn w:val="1"/>
    <w:qFormat/>
    <w:uiPriority w:val="0"/>
    <w:rPr>
      <w:rFonts w:ascii="仿宋_GB2312" w:eastAsia="仿宋_GB2312"/>
      <w:b/>
      <w:sz w:val="32"/>
      <w:szCs w:val="32"/>
    </w:rPr>
  </w:style>
  <w:style w:type="paragraph" w:customStyle="1" w:styleId="64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6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52">
    <w:name w:val="p0"/>
    <w:basedOn w:val="1"/>
    <w:qFormat/>
    <w:uiPriority w:val="0"/>
    <w:pPr>
      <w:widowControl/>
      <w:adjustRightInd/>
    </w:pPr>
    <w:rPr>
      <w:kern w:val="0"/>
      <w:szCs w:val="21"/>
    </w:rPr>
  </w:style>
  <w:style w:type="paragraph" w:customStyle="1" w:styleId="65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4">
    <w:name w:val="单元格居中"/>
    <w:basedOn w:val="1"/>
    <w:qFormat/>
    <w:uiPriority w:val="0"/>
    <w:pPr>
      <w:adjustRightInd/>
      <w:spacing w:line="360" w:lineRule="auto"/>
      <w:jc w:val="center"/>
    </w:pPr>
    <w:rPr>
      <w:sz w:val="24"/>
    </w:rPr>
  </w:style>
  <w:style w:type="paragraph" w:customStyle="1" w:styleId="655">
    <w:name w:val="CM14"/>
    <w:basedOn w:val="478"/>
    <w:next w:val="478"/>
    <w:qFormat/>
    <w:uiPriority w:val="0"/>
    <w:pPr>
      <w:spacing w:after="68"/>
    </w:pPr>
    <w:rPr>
      <w:rFonts w:ascii="FHLHE E+ Futura Bk" w:eastAsia="FHLHE E+ Futura Bk" w:cs="Times New Roman"/>
      <w:color w:val="auto"/>
    </w:rPr>
  </w:style>
  <w:style w:type="paragraph" w:customStyle="1" w:styleId="656">
    <w:name w:val="Char Char Char"/>
    <w:basedOn w:val="1"/>
    <w:qFormat/>
    <w:uiPriority w:val="0"/>
    <w:rPr>
      <w:rFonts w:ascii="Tahoma" w:hAnsi="Tahoma"/>
      <w:sz w:val="24"/>
      <w:szCs w:val="20"/>
    </w:rPr>
  </w:style>
  <w:style w:type="paragraph" w:customStyle="1" w:styleId="6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58">
    <w:name w:val="_Style 3"/>
    <w:qFormat/>
    <w:uiPriority w:val="0"/>
    <w:rPr>
      <w:rFonts w:ascii="Times New Roman" w:hAnsi="Times New Roman" w:eastAsia="宋体" w:cs="Times New Roman"/>
      <w:sz w:val="22"/>
      <w:szCs w:val="22"/>
      <w:lang w:val="en-US" w:eastAsia="zh-CN" w:bidi="ar-SA"/>
    </w:rPr>
  </w:style>
  <w:style w:type="paragraph" w:customStyle="1" w:styleId="6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0">
    <w:name w:val="表格项目符号 2"/>
    <w:basedOn w:val="26"/>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1">
    <w:name w:val="Char Char Char Char Char Char Char Char Char Char Char Char1 Char1"/>
    <w:basedOn w:val="1"/>
    <w:qFormat/>
    <w:uiPriority w:val="0"/>
    <w:rPr>
      <w:rFonts w:ascii="Tahoma" w:hAnsi="Tahoma" w:cs="仿宋_GB2312"/>
      <w:sz w:val="24"/>
      <w:szCs w:val="20"/>
    </w:rPr>
  </w:style>
  <w:style w:type="paragraph" w:customStyle="1" w:styleId="66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4">
    <w:name w:val="GP正文(无首行缩进)"/>
    <w:basedOn w:val="1"/>
    <w:qFormat/>
    <w:uiPriority w:val="0"/>
    <w:pPr>
      <w:adjustRightInd/>
      <w:spacing w:line="360" w:lineRule="auto"/>
      <w:ind w:firstLine="480" w:firstLineChars="200"/>
      <w:jc w:val="left"/>
    </w:pPr>
    <w:rPr>
      <w:rFonts w:ascii="Arial" w:hAnsi="宋体" w:cs="宋体"/>
      <w:sz w:val="24"/>
      <w:szCs w:val="20"/>
    </w:rPr>
  </w:style>
  <w:style w:type="paragraph" w:customStyle="1" w:styleId="665">
    <w:name w:val="Char Char1 Char Char Char1"/>
    <w:basedOn w:val="1"/>
    <w:qFormat/>
    <w:uiPriority w:val="0"/>
    <w:rPr>
      <w:rFonts w:ascii="仿宋_GB2312" w:eastAsia="仿宋_GB2312"/>
      <w:b/>
      <w:sz w:val="32"/>
      <w:szCs w:val="20"/>
    </w:rPr>
  </w:style>
  <w:style w:type="paragraph" w:customStyle="1" w:styleId="666">
    <w:name w:val="标准小四"/>
    <w:basedOn w:val="1"/>
    <w:qFormat/>
    <w:uiPriority w:val="0"/>
    <w:pPr>
      <w:spacing w:line="360" w:lineRule="auto"/>
      <w:ind w:firstLine="480" w:firstLineChars="200"/>
    </w:pPr>
    <w:rPr>
      <w:rFonts w:ascii="Arial" w:hAnsi="Arial"/>
      <w:sz w:val="24"/>
      <w:szCs w:val="21"/>
    </w:rPr>
  </w:style>
  <w:style w:type="paragraph" w:customStyle="1" w:styleId="667">
    <w:name w:val="表文字"/>
    <w:qFormat/>
    <w:uiPriority w:val="0"/>
    <w:rPr>
      <w:rFonts w:ascii="宋体" w:hAnsi="Times New Roman" w:eastAsia="宋体" w:cs="Times New Roman"/>
      <w:kern w:val="2"/>
      <w:lang w:val="en-US" w:eastAsia="zh-CN" w:bidi="ar-SA"/>
    </w:rPr>
  </w:style>
  <w:style w:type="paragraph" w:customStyle="1" w:styleId="6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6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7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6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7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8">
    <w:name w:val="MM Title"/>
    <w:basedOn w:val="47"/>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79">
    <w:name w:val="Char Char1 Char Char Char"/>
    <w:basedOn w:val="1"/>
    <w:qFormat/>
    <w:uiPriority w:val="0"/>
    <w:rPr>
      <w:rFonts w:ascii="仿宋_GB2312" w:eastAsia="仿宋_GB2312"/>
      <w:b/>
      <w:sz w:val="32"/>
      <w:szCs w:val="32"/>
    </w:rPr>
  </w:style>
  <w:style w:type="paragraph" w:customStyle="1" w:styleId="680">
    <w:name w:val="Char23"/>
    <w:basedOn w:val="1"/>
    <w:qFormat/>
    <w:uiPriority w:val="0"/>
    <w:rPr>
      <w:rFonts w:ascii="仿宋_GB2312" w:eastAsia="仿宋_GB2312"/>
      <w:b/>
      <w:sz w:val="32"/>
      <w:szCs w:val="32"/>
    </w:rPr>
  </w:style>
  <w:style w:type="paragraph" w:customStyle="1" w:styleId="681">
    <w:name w:val="GP正文(首行缩进)"/>
    <w:basedOn w:val="1"/>
    <w:qFormat/>
    <w:uiPriority w:val="0"/>
    <w:pPr>
      <w:adjustRightInd/>
      <w:spacing w:line="360" w:lineRule="auto"/>
      <w:ind w:firstLine="200" w:firstLineChars="200"/>
      <w:jc w:val="left"/>
    </w:pPr>
    <w:rPr>
      <w:sz w:val="24"/>
      <w:szCs w:val="21"/>
    </w:rPr>
  </w:style>
  <w:style w:type="paragraph" w:customStyle="1" w:styleId="68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8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4">
    <w:name w:val="正文1"/>
    <w:basedOn w:val="388"/>
    <w:qFormat/>
    <w:uiPriority w:val="0"/>
    <w:pPr>
      <w:ind w:left="0" w:leftChars="0" w:firstLine="480" w:firstLineChars="200"/>
    </w:pPr>
    <w:rPr>
      <w:rFonts w:ascii="仿宋_GB2312" w:hAnsi="Courier New" w:eastAsia="仿宋_GB2312"/>
      <w:kern w:val="28"/>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87">
    <w:name w:val="Char5"/>
    <w:basedOn w:val="1"/>
    <w:qFormat/>
    <w:uiPriority w:val="0"/>
    <w:rPr>
      <w:rFonts w:ascii="仿宋_GB2312" w:eastAsia="仿宋_GB2312"/>
      <w:b/>
      <w:sz w:val="32"/>
      <w:szCs w:val="32"/>
    </w:rPr>
  </w:style>
  <w:style w:type="paragraph" w:customStyle="1" w:styleId="68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Char Char Char Char11"/>
    <w:basedOn w:val="1"/>
    <w:qFormat/>
    <w:uiPriority w:val="0"/>
    <w:rPr>
      <w:rFonts w:ascii="Tahoma" w:hAnsi="Tahoma"/>
      <w:sz w:val="24"/>
      <w:szCs w:val="20"/>
    </w:rPr>
  </w:style>
  <w:style w:type="paragraph" w:customStyle="1" w:styleId="690">
    <w:name w:val="MM Topic 5"/>
    <w:basedOn w:val="6"/>
    <w:qFormat/>
    <w:uiPriority w:val="0"/>
    <w:pPr>
      <w:tabs>
        <w:tab w:val="left" w:pos="2520"/>
      </w:tabs>
      <w:adjustRightInd/>
      <w:ind w:left="2520" w:hanging="420"/>
    </w:pPr>
  </w:style>
  <w:style w:type="paragraph" w:customStyle="1" w:styleId="69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2">
    <w:name w:val="表格"/>
    <w:basedOn w:val="1"/>
    <w:qFormat/>
    <w:uiPriority w:val="0"/>
    <w:pPr>
      <w:snapToGrid w:val="0"/>
      <w:ind w:firstLine="42" w:firstLineChars="21"/>
    </w:pPr>
    <w:rPr>
      <w:rFonts w:ascii="宋体" w:hAnsi="宋体"/>
      <w:kern w:val="0"/>
      <w:sz w:val="20"/>
      <w:szCs w:val="20"/>
    </w:rPr>
  </w:style>
  <w:style w:type="paragraph" w:customStyle="1" w:styleId="693">
    <w:name w:val="Char Char1"/>
    <w:basedOn w:val="1"/>
    <w:qFormat/>
    <w:uiPriority w:val="0"/>
    <w:pPr>
      <w:widowControl/>
      <w:spacing w:after="160" w:line="240" w:lineRule="exact"/>
      <w:jc w:val="left"/>
    </w:pPr>
    <w:rPr>
      <w:rFonts w:eastAsia="仿宋_GB2312"/>
      <w:sz w:val="28"/>
    </w:rPr>
  </w:style>
  <w:style w:type="paragraph" w:customStyle="1" w:styleId="694">
    <w:name w:val="MM Topic 1"/>
    <w:basedOn w:val="3"/>
    <w:qFormat/>
    <w:uiPriority w:val="0"/>
    <w:pPr>
      <w:tabs>
        <w:tab w:val="left" w:pos="840"/>
      </w:tabs>
      <w:adjustRightInd/>
      <w:ind w:left="840" w:hanging="420"/>
    </w:pPr>
  </w:style>
  <w:style w:type="paragraph" w:customStyle="1" w:styleId="695">
    <w:name w:val="Char1 Char Char Char5"/>
    <w:basedOn w:val="1"/>
    <w:qFormat/>
    <w:uiPriority w:val="0"/>
    <w:pPr>
      <w:adjustRightInd/>
      <w:ind w:firstLine="200" w:firstLineChars="200"/>
    </w:pPr>
    <w:rPr>
      <w:rFonts w:ascii="Tahoma" w:hAnsi="Tahoma"/>
      <w:sz w:val="24"/>
      <w:szCs w:val="20"/>
    </w:rPr>
  </w:style>
  <w:style w:type="paragraph" w:customStyle="1" w:styleId="696">
    <w:name w:val="Char3 Char Char Char1"/>
    <w:basedOn w:val="1"/>
    <w:qFormat/>
    <w:uiPriority w:val="6"/>
    <w:pPr>
      <w:widowControl/>
      <w:adjustRightInd/>
      <w:spacing w:after="160" w:line="240" w:lineRule="exact"/>
      <w:jc w:val="left"/>
    </w:pPr>
    <w:rPr>
      <w:szCs w:val="20"/>
    </w:rPr>
  </w:style>
  <w:style w:type="paragraph" w:customStyle="1" w:styleId="697">
    <w:name w:val="_Style 12"/>
    <w:basedOn w:val="16"/>
    <w:qFormat/>
    <w:uiPriority w:val="0"/>
    <w:pPr>
      <w:snapToGrid w:val="0"/>
      <w:spacing w:line="360" w:lineRule="auto"/>
    </w:pPr>
  </w:style>
  <w:style w:type="paragraph" w:customStyle="1" w:styleId="69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99">
    <w:name w:val="样式 正文文本缩进 2 + 仿宋_GB2312 黑色 行距: 1.5 倍行距"/>
    <w:basedOn w:val="31"/>
    <w:qFormat/>
    <w:uiPriority w:val="0"/>
    <w:pPr>
      <w:adjustRightInd/>
      <w:ind w:firstLine="560" w:firstLineChars="200"/>
      <w:textAlignment w:val="auto"/>
    </w:pPr>
    <w:rPr>
      <w:rFonts w:hAnsi="宋体" w:cs="宋体"/>
      <w:color w:val="000000"/>
      <w:kern w:val="2"/>
      <w:sz w:val="24"/>
    </w:rPr>
  </w:style>
  <w:style w:type="paragraph" w:customStyle="1" w:styleId="700">
    <w:name w:val="样式 左侧:  0.85 厘米"/>
    <w:basedOn w:val="1"/>
    <w:qFormat/>
    <w:uiPriority w:val="2"/>
    <w:pPr>
      <w:adjustRightInd/>
      <w:spacing w:line="360" w:lineRule="auto"/>
    </w:pPr>
    <w:rPr>
      <w:rFonts w:cs="宋体"/>
      <w:sz w:val="24"/>
      <w:szCs w:val="20"/>
    </w:rPr>
  </w:style>
  <w:style w:type="paragraph" w:customStyle="1" w:styleId="701">
    <w:name w:val="Bulleted List"/>
    <w:basedOn w:val="1"/>
    <w:qFormat/>
    <w:uiPriority w:val="0"/>
    <w:pPr>
      <w:tabs>
        <w:tab w:val="left" w:pos="1260"/>
      </w:tabs>
      <w:adjustRightInd/>
      <w:ind w:left="1260" w:hanging="420"/>
    </w:pPr>
  </w:style>
  <w:style w:type="paragraph" w:customStyle="1" w:styleId="702">
    <w:name w:val="Normal0"/>
    <w:qFormat/>
    <w:uiPriority w:val="0"/>
    <w:rPr>
      <w:rFonts w:ascii="Times New Roman" w:hAnsi="Times New Roman" w:eastAsia="宋体" w:cs="Times New Roman"/>
      <w:lang w:val="en-US" w:eastAsia="en-US" w:bidi="ar-SA"/>
    </w:rPr>
  </w:style>
  <w:style w:type="paragraph" w:customStyle="1" w:styleId="70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7">
    <w:name w:val="MM Topic 4"/>
    <w:basedOn w:val="5"/>
    <w:qFormat/>
    <w:uiPriority w:val="0"/>
    <w:pPr>
      <w:tabs>
        <w:tab w:val="left" w:pos="2100"/>
      </w:tabs>
      <w:adjustRightInd/>
      <w:ind w:left="2100" w:hanging="420"/>
    </w:pPr>
    <w:rPr>
      <w:lang w:val="en-US"/>
    </w:rPr>
  </w:style>
  <w:style w:type="paragraph" w:customStyle="1" w:styleId="70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0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4">
    <w:name w:val="Char3"/>
    <w:basedOn w:val="1"/>
    <w:qFormat/>
    <w:uiPriority w:val="0"/>
    <w:pPr>
      <w:adjustRightInd/>
      <w:ind w:firstLine="200" w:firstLineChars="200"/>
    </w:pPr>
    <w:rPr>
      <w:rFonts w:ascii="Tahoma" w:hAnsi="Tahoma"/>
      <w:sz w:val="24"/>
      <w:szCs w:val="20"/>
    </w:rPr>
  </w:style>
  <w:style w:type="paragraph" w:customStyle="1" w:styleId="71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6">
    <w:name w:val="Char3 Char Char Char"/>
    <w:basedOn w:val="1"/>
    <w:qFormat/>
    <w:uiPriority w:val="0"/>
    <w:pPr>
      <w:widowControl/>
      <w:adjustRightInd/>
      <w:spacing w:after="160" w:line="240" w:lineRule="exact"/>
      <w:jc w:val="left"/>
    </w:pPr>
    <w:rPr>
      <w:szCs w:val="20"/>
    </w:rPr>
  </w:style>
  <w:style w:type="paragraph" w:customStyle="1" w:styleId="71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9">
    <w:name w:val="文章标题"/>
    <w:next w:val="49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索引 11"/>
    <w:basedOn w:val="1"/>
    <w:next w:val="1"/>
    <w:qFormat/>
    <w:uiPriority w:val="0"/>
    <w:pPr>
      <w:adjustRightInd/>
      <w:spacing w:line="360" w:lineRule="auto"/>
    </w:pPr>
    <w:rPr>
      <w:rFonts w:ascii="仿宋_GB2312" w:eastAsia="仿宋_GB2312"/>
      <w:sz w:val="24"/>
      <w:szCs w:val="20"/>
    </w:rPr>
  </w:style>
  <w:style w:type="character" w:customStyle="1" w:styleId="722">
    <w:name w:val="页眉 Char2"/>
    <w:qFormat/>
    <w:uiPriority w:val="99"/>
    <w:rPr>
      <w:kern w:val="2"/>
      <w:sz w:val="18"/>
      <w:szCs w:val="18"/>
    </w:rPr>
  </w:style>
  <w:style w:type="character" w:customStyle="1" w:styleId="723">
    <w:name w:val="页脚 Char2"/>
    <w:qFormat/>
    <w:uiPriority w:val="99"/>
    <w:rPr>
      <w:kern w:val="2"/>
      <w:sz w:val="18"/>
      <w:szCs w:val="18"/>
    </w:rPr>
  </w:style>
  <w:style w:type="paragraph" w:customStyle="1" w:styleId="724">
    <w:name w:val="纯文本_0_0"/>
    <w:basedOn w:val="1"/>
    <w:link w:val="725"/>
    <w:qFormat/>
    <w:uiPriority w:val="0"/>
    <w:pPr>
      <w:adjustRightInd/>
    </w:pPr>
    <w:rPr>
      <w:rFonts w:ascii="宋体" w:hAnsi="Courier New"/>
      <w:szCs w:val="21"/>
    </w:rPr>
  </w:style>
  <w:style w:type="character" w:customStyle="1" w:styleId="725">
    <w:name w:val="纯文本 Char_0"/>
    <w:link w:val="724"/>
    <w:qFormat/>
    <w:uiPriority w:val="0"/>
    <w:rPr>
      <w:rFonts w:ascii="宋体" w:hAnsi="Courier New"/>
      <w:kern w:val="2"/>
      <w:sz w:val="21"/>
      <w:szCs w:val="21"/>
      <w:lang w:val="en-US" w:eastAsia="zh-CN"/>
    </w:rPr>
  </w:style>
  <w:style w:type="paragraph" w:customStyle="1" w:styleId="726">
    <w:name w:val="样式9"/>
    <w:basedOn w:val="34"/>
    <w:link w:val="728"/>
    <w:qFormat/>
    <w:uiPriority w:val="0"/>
    <w:pPr>
      <w:pBdr>
        <w:bottom w:val="none" w:color="auto" w:sz="0" w:space="0"/>
      </w:pBdr>
    </w:pPr>
  </w:style>
  <w:style w:type="paragraph" w:customStyle="1" w:styleId="727">
    <w:name w:val="样式10"/>
    <w:basedOn w:val="34"/>
    <w:link w:val="730"/>
    <w:qFormat/>
    <w:uiPriority w:val="0"/>
    <w:pPr>
      <w:pBdr>
        <w:bottom w:val="none" w:color="auto" w:sz="0" w:space="0"/>
      </w:pBdr>
    </w:pPr>
  </w:style>
  <w:style w:type="character" w:customStyle="1" w:styleId="728">
    <w:name w:val="样式9 Char"/>
    <w:basedOn w:val="165"/>
    <w:link w:val="726"/>
    <w:qFormat/>
    <w:uiPriority w:val="0"/>
    <w:rPr>
      <w:rFonts w:ascii="仿宋" w:hAnsi="仿宋" w:eastAsia="仿宋"/>
      <w:snapToGrid w:val="0"/>
      <w:kern w:val="2"/>
      <w:sz w:val="18"/>
      <w:szCs w:val="18"/>
      <w:u w:val="single"/>
      <w:lang w:val="en-GB"/>
    </w:rPr>
  </w:style>
  <w:style w:type="paragraph" w:customStyle="1" w:styleId="729">
    <w:name w:val="样式11"/>
    <w:basedOn w:val="34"/>
    <w:link w:val="731"/>
    <w:qFormat/>
    <w:uiPriority w:val="0"/>
    <w:pPr>
      <w:pBdr>
        <w:bottom w:val="none" w:color="auto" w:sz="0" w:space="0"/>
      </w:pBdr>
    </w:pPr>
  </w:style>
  <w:style w:type="character" w:customStyle="1" w:styleId="730">
    <w:name w:val="样式10 Char"/>
    <w:basedOn w:val="165"/>
    <w:link w:val="727"/>
    <w:qFormat/>
    <w:uiPriority w:val="0"/>
    <w:rPr>
      <w:rFonts w:ascii="仿宋" w:hAnsi="仿宋" w:eastAsia="仿宋"/>
      <w:snapToGrid w:val="0"/>
      <w:kern w:val="2"/>
      <w:sz w:val="18"/>
      <w:szCs w:val="18"/>
      <w:u w:val="single"/>
      <w:lang w:val="en-GB"/>
    </w:rPr>
  </w:style>
  <w:style w:type="character" w:customStyle="1" w:styleId="731">
    <w:name w:val="样式11 Char"/>
    <w:basedOn w:val="165"/>
    <w:link w:val="729"/>
    <w:qFormat/>
    <w:uiPriority w:val="0"/>
    <w:rPr>
      <w:rFonts w:ascii="仿宋" w:hAnsi="仿宋" w:eastAsia="仿宋"/>
      <w:snapToGrid w:val="0"/>
      <w:kern w:val="2"/>
      <w:sz w:val="18"/>
      <w:szCs w:val="18"/>
      <w:u w:val="single"/>
      <w:lang w:val="en-GB"/>
    </w:rPr>
  </w:style>
  <w:style w:type="paragraph" w:customStyle="1" w:styleId="732">
    <w:name w:val="列出段落6"/>
    <w:basedOn w:val="1"/>
    <w:qFormat/>
    <w:uiPriority w:val="34"/>
    <w:pPr>
      <w:ind w:firstLine="420" w:firstLineChars="200"/>
    </w:pPr>
    <w:rPr>
      <w:rFonts w:ascii="Calibri" w:hAnsi="Calibri"/>
    </w:rPr>
  </w:style>
  <w:style w:type="paragraph" w:customStyle="1" w:styleId="733">
    <w:name w:val="列出段落7"/>
    <w:basedOn w:val="1"/>
    <w:qFormat/>
    <w:uiPriority w:val="34"/>
    <w:pPr>
      <w:adjustRightInd/>
      <w:ind w:firstLine="420" w:firstLineChars="200"/>
    </w:pPr>
    <w:rPr>
      <w:rFonts w:ascii="Calibri" w:hAnsi="Calibri"/>
      <w:szCs w:val="22"/>
    </w:rPr>
  </w:style>
  <w:style w:type="paragraph" w:customStyle="1" w:styleId="734">
    <w:name w:val="[Normal]"/>
    <w:qFormat/>
    <w:uiPriority w:val="0"/>
    <w:rPr>
      <w:rFonts w:ascii="宋体" w:hAnsi="宋体" w:eastAsia="宋体" w:cs="Times New Roman"/>
      <w:sz w:val="24"/>
      <w:szCs w:val="22"/>
      <w:lang w:val="zh-CN" w:eastAsia="zh-CN" w:bidi="ar-SA"/>
    </w:rPr>
  </w:style>
  <w:style w:type="paragraph" w:customStyle="1" w:styleId="735">
    <w:name w:val="Table Paragraph"/>
    <w:basedOn w:val="1"/>
    <w:qFormat/>
    <w:uiPriority w:val="1"/>
    <w:pPr>
      <w:autoSpaceDE w:val="0"/>
      <w:autoSpaceDN w:val="0"/>
      <w:adjustRightInd/>
      <w:jc w:val="left"/>
    </w:pPr>
    <w:rPr>
      <w:rFonts w:ascii="宋体" w:hAnsi="宋体" w:cs="宋体"/>
      <w:kern w:val="0"/>
      <w:sz w:val="22"/>
      <w:szCs w:val="22"/>
      <w:lang w:val="zh-CN" w:bidi="zh-CN"/>
    </w:rPr>
  </w:style>
  <w:style w:type="table" w:customStyle="1" w:styleId="736">
    <w:name w:val="Table Normal"/>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7">
    <w:name w:val="font91"/>
    <w:basedOn w:val="51"/>
    <w:qFormat/>
    <w:uiPriority w:val="0"/>
    <w:rPr>
      <w:rFonts w:hint="eastAsia" w:ascii="宋体" w:hAnsi="宋体" w:eastAsia="宋体" w:cs="宋体"/>
      <w:color w:val="000000"/>
      <w:sz w:val="18"/>
      <w:szCs w:val="18"/>
      <w:u w:val="none"/>
    </w:rPr>
  </w:style>
  <w:style w:type="paragraph" w:customStyle="1" w:styleId="738">
    <w:name w:val="无间隔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9">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0">
    <w:name w:val="xl6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1">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7">
    <w:name w:val="xl7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8">
    <w:name w:val="xl7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9">
    <w:name w:val="xl7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0">
    <w:name w:val="xl73"/>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4"/>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4">
    <w:name w:val="xl77"/>
    <w:basedOn w:val="1"/>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9"/>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7">
    <w:name w:val="xl8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1"/>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59">
    <w:name w:val="xl8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0">
    <w:name w:val="xl83"/>
    <w:basedOn w:val="1"/>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1">
    <w:name w:val="xl84"/>
    <w:basedOn w:val="1"/>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5"/>
    <w:basedOn w:val="1"/>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4">
    <w:name w:val="正文首行缩进 21"/>
    <w:basedOn w:val="1"/>
    <w:qFormat/>
    <w:uiPriority w:val="0"/>
    <w:pPr>
      <w:adjustRightInd/>
      <w:spacing w:after="120"/>
      <w:ind w:left="420" w:leftChars="200" w:firstLine="420"/>
    </w:pPr>
    <w:rPr>
      <w:rFonts w:cs="宋体"/>
      <w:color w:val="000000"/>
      <w:szCs w:val="21"/>
    </w:rPr>
  </w:style>
  <w:style w:type="paragraph" w:customStyle="1" w:styleId="765">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6">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7">
    <w:name w:val="author-p-144115210953314684"/>
    <w:basedOn w:val="51"/>
    <w:qFormat/>
    <w:uiPriority w:val="0"/>
  </w:style>
  <w:style w:type="character" w:customStyle="1" w:styleId="768">
    <w:name w:val="fontstyle01"/>
    <w:basedOn w:val="51"/>
    <w:qFormat/>
    <w:uiPriority w:val="0"/>
    <w:rPr>
      <w:rFonts w:hint="eastAsia" w:ascii="黑体" w:hAnsi="黑体" w:eastAsia="黑体"/>
      <w:color w:val="000000"/>
      <w:sz w:val="52"/>
      <w:szCs w:val="52"/>
    </w:rPr>
  </w:style>
  <w:style w:type="paragraph" w:customStyle="1" w:styleId="76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0">
    <w:name w:val="正文文本缩进 Char3"/>
    <w:qFormat/>
    <w:uiPriority w:val="0"/>
    <w:rPr>
      <w:rFonts w:ascii="宋体" w:hAnsi="宋体"/>
      <w:kern w:val="2"/>
      <w:sz w:val="24"/>
      <w:szCs w:val="24"/>
    </w:rPr>
  </w:style>
  <w:style w:type="character" w:customStyle="1" w:styleId="771">
    <w:name w:val="font51"/>
    <w:basedOn w:val="51"/>
    <w:qFormat/>
    <w:uiPriority w:val="0"/>
    <w:rPr>
      <w:rFonts w:ascii="宋体" w:hAnsi="宋体" w:eastAsia="宋体" w:cs="宋体"/>
      <w:color w:val="000000"/>
      <w:sz w:val="14"/>
      <w:szCs w:val="14"/>
      <w:u w:val="none"/>
    </w:rPr>
  </w:style>
  <w:style w:type="character" w:customStyle="1" w:styleId="772">
    <w:name w:val="font112"/>
    <w:basedOn w:val="51"/>
    <w:qFormat/>
    <w:uiPriority w:val="0"/>
    <w:rPr>
      <w:rFonts w:ascii="Calibri" w:hAnsi="Calibri" w:cs="Calibri"/>
      <w:color w:val="000000"/>
      <w:sz w:val="14"/>
      <w:szCs w:val="14"/>
      <w:u w:val="none"/>
    </w:rPr>
  </w:style>
  <w:style w:type="character" w:customStyle="1" w:styleId="773">
    <w:name w:val="bookmark-item"/>
    <w:basedOn w:val="51"/>
    <w:qFormat/>
    <w:uiPriority w:val="0"/>
  </w:style>
  <w:style w:type="character" w:customStyle="1" w:styleId="774">
    <w:name w:val="font141"/>
    <w:basedOn w:val="51"/>
    <w:qFormat/>
    <w:uiPriority w:val="0"/>
    <w:rPr>
      <w:rFonts w:hint="default" w:ascii="Arial" w:hAnsi="Arial" w:cs="Arial"/>
      <w:b/>
      <w:color w:val="000000"/>
      <w:sz w:val="20"/>
      <w:szCs w:val="20"/>
      <w:u w:val="none"/>
    </w:rPr>
  </w:style>
  <w:style w:type="paragraph" w:customStyle="1" w:styleId="775">
    <w:name w:val="样式12"/>
    <w:basedOn w:val="1"/>
    <w:link w:val="777"/>
    <w:qFormat/>
    <w:uiPriority w:val="0"/>
  </w:style>
  <w:style w:type="paragraph" w:customStyle="1" w:styleId="776">
    <w:name w:val="样式13"/>
    <w:basedOn w:val="34"/>
    <w:link w:val="779"/>
    <w:qFormat/>
    <w:uiPriority w:val="0"/>
    <w:pPr>
      <w:pBdr>
        <w:bottom w:val="none" w:color="auto" w:sz="0" w:space="0"/>
      </w:pBdr>
    </w:pPr>
  </w:style>
  <w:style w:type="character" w:customStyle="1" w:styleId="777">
    <w:name w:val="样式12 Char"/>
    <w:basedOn w:val="51"/>
    <w:link w:val="775"/>
    <w:qFormat/>
    <w:uiPriority w:val="0"/>
    <w:rPr>
      <w:kern w:val="2"/>
      <w:sz w:val="21"/>
      <w:szCs w:val="24"/>
    </w:rPr>
  </w:style>
  <w:style w:type="paragraph" w:customStyle="1" w:styleId="778">
    <w:name w:val="样式14"/>
    <w:basedOn w:val="34"/>
    <w:link w:val="780"/>
    <w:qFormat/>
    <w:uiPriority w:val="0"/>
    <w:pPr>
      <w:pBdr>
        <w:bottom w:val="none" w:color="auto" w:sz="0" w:space="0"/>
      </w:pBdr>
      <w:tabs>
        <w:tab w:val="center" w:pos="4535"/>
        <w:tab w:val="right" w:pos="9070"/>
        <w:tab w:val="clear" w:pos="4153"/>
        <w:tab w:val="clear" w:pos="8306"/>
      </w:tabs>
    </w:pPr>
  </w:style>
  <w:style w:type="character" w:customStyle="1" w:styleId="779">
    <w:name w:val="样式13 Char"/>
    <w:basedOn w:val="165"/>
    <w:link w:val="776"/>
    <w:qFormat/>
    <w:uiPriority w:val="0"/>
  </w:style>
  <w:style w:type="character" w:customStyle="1" w:styleId="780">
    <w:name w:val="样式14 Char"/>
    <w:basedOn w:val="165"/>
    <w:link w:val="778"/>
    <w:qFormat/>
    <w:uiPriority w:val="0"/>
  </w:style>
  <w:style w:type="paragraph" w:customStyle="1" w:styleId="781">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782">
    <w:name w:val="正文51"/>
    <w:qFormat/>
    <w:uiPriority w:val="0"/>
    <w:pPr>
      <w:jc w:val="both"/>
    </w:pPr>
    <w:rPr>
      <w:rFonts w:ascii="Times New Roman" w:hAnsi="Times New Roman" w:eastAsia="宋体" w:cs="Times New Roman"/>
      <w:kern w:val="2"/>
      <w:sz w:val="21"/>
      <w:szCs w:val="21"/>
      <w:lang w:val="en-US" w:eastAsia="zh-CN" w:bidi="ar-SA"/>
    </w:rPr>
  </w:style>
  <w:style w:type="paragraph" w:customStyle="1" w:styleId="783">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E554C-C2F7-4B6D-B799-59C52878574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109</Pages>
  <Words>28549</Words>
  <Characters>30343</Characters>
  <Lines>287</Lines>
  <Paragraphs>80</Paragraphs>
  <TotalTime>51</TotalTime>
  <ScaleCrop>false</ScaleCrop>
  <LinksUpToDate>false</LinksUpToDate>
  <CharactersWithSpaces>30611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2022-11-04T10:38:00Z</dcterms:created>
  <dc:creator>杨</dc:creator>
  <cp:lastModifiedBy>A小把胡子A 13335718896</cp:lastModifiedBy>
  <cp:lastPrinted>2022-06-24T09:48:00Z</cp:lastPrinted>
  <dcterms:modified xsi:type="dcterms:W3CDTF">2025-07-14T02:58:50Z</dcterms:modified>
  <dc:title>公开招标文件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15BD603D59B748CD9F14E783357F4C53_13</vt:lpwstr>
  </property>
  <property fmtid="{D5CDD505-2E9C-101B-9397-08002B2CF9AE}" pid="4" name="woTemplateTypoMode">
    <vt:lpwstr>web</vt:lpwstr>
  </property>
  <property fmtid="{D5CDD505-2E9C-101B-9397-08002B2CF9AE}" pid="5" name="woTemplate">
    <vt:i4>1</vt:i4>
  </property>
  <property fmtid="{D5CDD505-2E9C-101B-9397-08002B2CF9AE}" pid="6" name="KSOTemplateDocerSaveRecord">
    <vt:lpwstr>eyJoZGlkIjoiMjk4MGQwMTNjMDNjODU5ODE3OGY4YzE5OTczYmY3ZGIiLCJ1c2VySWQiOiI5OTI5OTgxOTgifQ==</vt:lpwstr>
  </property>
</Properties>
</file>