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734AA">
      <w:pPr>
        <w:spacing w:line="360" w:lineRule="auto"/>
        <w:jc w:val="center"/>
        <w:rPr>
          <w:rFonts w:hint="eastAsia" w:ascii="仿宋" w:hAnsi="仿宋" w:eastAsia="仿宋"/>
          <w:b/>
          <w:color w:val="auto"/>
          <w:sz w:val="24"/>
          <w:highlight w:val="none"/>
          <w:lang w:val="en-US" w:eastAsia="zh-CN"/>
        </w:rPr>
      </w:pPr>
    </w:p>
    <w:p w14:paraId="6E20A48E">
      <w:pPr>
        <w:spacing w:line="360" w:lineRule="auto"/>
        <w:jc w:val="center"/>
        <w:rPr>
          <w:rFonts w:ascii="仿宋" w:hAnsi="仿宋" w:eastAsia="仿宋"/>
          <w:b/>
          <w:color w:val="auto"/>
          <w:sz w:val="24"/>
          <w:highlight w:val="none"/>
        </w:rPr>
      </w:pPr>
    </w:p>
    <w:p w14:paraId="29EABEFA">
      <w:pPr>
        <w:adjustRightInd/>
        <w:spacing w:line="360" w:lineRule="auto"/>
        <w:jc w:val="center"/>
        <w:rPr>
          <w:rFonts w:hint="eastAsia" w:ascii="仿宋" w:hAnsi="仿宋" w:eastAsia="仿宋"/>
          <w:b/>
          <w:color w:val="auto"/>
          <w:sz w:val="44"/>
          <w:szCs w:val="44"/>
          <w:highlight w:val="none"/>
          <w:lang w:eastAsia="zh-CN"/>
        </w:rPr>
      </w:pPr>
      <w:r>
        <w:rPr>
          <w:rFonts w:hint="eastAsia" w:ascii="仿宋" w:hAnsi="仿宋" w:eastAsia="仿宋"/>
          <w:b/>
          <w:color w:val="auto"/>
          <w:sz w:val="44"/>
          <w:szCs w:val="44"/>
          <w:highlight w:val="none"/>
          <w:lang w:eastAsia="zh-CN"/>
        </w:rPr>
        <w:t>杭州市滨江区2025-2026年居家养老综合服务封闭式框架协议采购项目</w:t>
      </w:r>
    </w:p>
    <w:p w14:paraId="4C14584F">
      <w:pPr>
        <w:adjustRightInd/>
        <w:spacing w:line="360" w:lineRule="auto"/>
        <w:jc w:val="center"/>
        <w:rPr>
          <w:rFonts w:ascii="仿宋" w:hAnsi="仿宋" w:eastAsia="仿宋"/>
          <w:b/>
          <w:color w:val="auto"/>
          <w:sz w:val="72"/>
          <w:szCs w:val="72"/>
          <w:highlight w:val="none"/>
        </w:rPr>
      </w:pPr>
      <w:bookmarkStart w:id="422" w:name="_GoBack"/>
      <w:bookmarkEnd w:id="422"/>
    </w:p>
    <w:p w14:paraId="58854901">
      <w:pPr>
        <w:adjustRightInd/>
        <w:spacing w:line="360" w:lineRule="auto"/>
        <w:jc w:val="center"/>
        <w:rPr>
          <w:rFonts w:ascii="仿宋" w:hAnsi="仿宋" w:eastAsia="仿宋"/>
          <w:b/>
          <w:color w:val="auto"/>
          <w:sz w:val="72"/>
          <w:szCs w:val="72"/>
          <w:highlight w:val="none"/>
        </w:rPr>
      </w:pPr>
      <w:r>
        <w:rPr>
          <w:rFonts w:hint="eastAsia" w:ascii="仿宋" w:hAnsi="仿宋" w:eastAsia="仿宋"/>
          <w:b/>
          <w:color w:val="auto"/>
          <w:sz w:val="72"/>
          <w:szCs w:val="72"/>
          <w:highlight w:val="none"/>
        </w:rPr>
        <w:t>征集文件</w:t>
      </w:r>
    </w:p>
    <w:p w14:paraId="7D88CA82">
      <w:pPr>
        <w:adjustRightInd/>
        <w:spacing w:line="360" w:lineRule="auto"/>
        <w:jc w:val="center"/>
        <w:rPr>
          <w:rFonts w:ascii="仿宋" w:hAnsi="仿宋" w:eastAsia="仿宋"/>
          <w:b/>
          <w:color w:val="auto"/>
          <w:sz w:val="44"/>
          <w:szCs w:val="44"/>
          <w:highlight w:val="none"/>
        </w:rPr>
      </w:pPr>
      <w:r>
        <w:rPr>
          <w:rFonts w:hint="eastAsia" w:ascii="仿宋" w:hAnsi="仿宋" w:eastAsia="仿宋"/>
          <w:b/>
          <w:color w:val="auto"/>
          <w:sz w:val="44"/>
          <w:szCs w:val="44"/>
          <w:highlight w:val="none"/>
        </w:rPr>
        <w:t>(电子招投标)</w:t>
      </w:r>
    </w:p>
    <w:p w14:paraId="17EED59C">
      <w:pPr>
        <w:spacing w:line="360" w:lineRule="auto"/>
        <w:jc w:val="center"/>
        <w:rPr>
          <w:rFonts w:ascii="仿宋" w:hAnsi="仿宋" w:eastAsia="仿宋"/>
          <w:b/>
          <w:color w:val="auto"/>
          <w:sz w:val="24"/>
          <w:highlight w:val="none"/>
        </w:rPr>
      </w:pPr>
    </w:p>
    <w:p w14:paraId="778002F8">
      <w:pPr>
        <w:snapToGrid w:val="0"/>
        <w:spacing w:line="360" w:lineRule="auto"/>
        <w:jc w:val="center"/>
        <w:rPr>
          <w:rFonts w:hint="eastAsia" w:ascii="仿宋" w:hAnsi="仿宋" w:eastAsia="仿宋"/>
          <w:color w:val="auto"/>
          <w:sz w:val="30"/>
          <w:szCs w:val="30"/>
          <w:highlight w:val="none"/>
          <w:lang w:eastAsia="zh-CN"/>
        </w:rPr>
      </w:pPr>
      <w:r>
        <w:rPr>
          <w:rFonts w:hint="eastAsia" w:ascii="仿宋" w:hAnsi="仿宋" w:eastAsia="仿宋"/>
          <w:color w:val="auto"/>
          <w:sz w:val="30"/>
          <w:szCs w:val="30"/>
          <w:highlight w:val="none"/>
        </w:rPr>
        <w:t>编号:</w:t>
      </w:r>
      <w:r>
        <w:rPr>
          <w:rFonts w:hint="eastAsia" w:ascii="仿宋" w:hAnsi="仿宋" w:eastAsia="仿宋"/>
          <w:color w:val="auto"/>
          <w:sz w:val="30"/>
          <w:szCs w:val="30"/>
          <w:highlight w:val="none"/>
          <w:lang w:eastAsia="zh-CN"/>
        </w:rPr>
        <w:t>ZY-BJMZ2025FG-01-1</w:t>
      </w:r>
    </w:p>
    <w:p w14:paraId="5FD8709D">
      <w:pPr>
        <w:rPr>
          <w:color w:val="auto"/>
          <w:highlight w:val="none"/>
        </w:rPr>
      </w:pPr>
    </w:p>
    <w:p w14:paraId="62557857">
      <w:pPr>
        <w:rPr>
          <w:color w:val="auto"/>
          <w:highlight w:val="none"/>
        </w:rPr>
      </w:pPr>
    </w:p>
    <w:p w14:paraId="7319633A">
      <w:pPr>
        <w:rPr>
          <w:color w:val="auto"/>
          <w:highlight w:val="none"/>
        </w:rPr>
      </w:pPr>
    </w:p>
    <w:p w14:paraId="1F0EB2B8">
      <w:pPr>
        <w:adjustRightInd/>
        <w:spacing w:line="360" w:lineRule="auto"/>
        <w:jc w:val="center"/>
        <w:rPr>
          <w:rFonts w:ascii="仿宋" w:hAnsi="仿宋" w:eastAsia="仿宋"/>
          <w:bCs/>
          <w:color w:val="auto"/>
          <w:sz w:val="32"/>
          <w:szCs w:val="32"/>
          <w:highlight w:val="none"/>
        </w:rPr>
      </w:pPr>
    </w:p>
    <w:p w14:paraId="65AEA70D">
      <w:pPr>
        <w:pStyle w:val="2"/>
        <w:rPr>
          <w:rFonts w:ascii="仿宋" w:hAnsi="仿宋" w:eastAsia="仿宋"/>
          <w:bCs/>
          <w:color w:val="auto"/>
          <w:sz w:val="32"/>
          <w:szCs w:val="32"/>
          <w:highlight w:val="none"/>
        </w:rPr>
      </w:pPr>
    </w:p>
    <w:p w14:paraId="0103A976">
      <w:pPr>
        <w:rPr>
          <w:rFonts w:ascii="仿宋" w:hAnsi="仿宋" w:eastAsia="仿宋"/>
          <w:bCs/>
          <w:color w:val="auto"/>
          <w:sz w:val="32"/>
          <w:szCs w:val="32"/>
          <w:highlight w:val="none"/>
        </w:rPr>
      </w:pPr>
    </w:p>
    <w:p w14:paraId="252113CA">
      <w:pPr>
        <w:pStyle w:val="2"/>
        <w:rPr>
          <w:color w:val="auto"/>
          <w:highlight w:val="none"/>
        </w:rPr>
      </w:pPr>
    </w:p>
    <w:p w14:paraId="49392BA0">
      <w:pPr>
        <w:adjustRightInd/>
        <w:spacing w:line="360" w:lineRule="auto"/>
        <w:jc w:val="center"/>
        <w:rPr>
          <w:rFonts w:ascii="仿宋" w:hAnsi="仿宋" w:eastAsia="仿宋"/>
          <w:bCs/>
          <w:color w:val="auto"/>
          <w:sz w:val="32"/>
          <w:szCs w:val="32"/>
          <w:highlight w:val="none"/>
        </w:rPr>
      </w:pPr>
    </w:p>
    <w:p w14:paraId="77DE4566">
      <w:pPr>
        <w:adjustRightInd/>
        <w:spacing w:line="360" w:lineRule="auto"/>
        <w:jc w:val="center"/>
        <w:rPr>
          <w:rFonts w:ascii="仿宋" w:hAnsi="仿宋" w:eastAsia="仿宋"/>
          <w:bCs/>
          <w:color w:val="auto"/>
          <w:sz w:val="32"/>
          <w:szCs w:val="32"/>
          <w:highlight w:val="none"/>
        </w:rPr>
      </w:pPr>
    </w:p>
    <w:p w14:paraId="4F98618C">
      <w:pPr>
        <w:adjustRightInd/>
        <w:spacing w:line="360" w:lineRule="auto"/>
        <w:jc w:val="center"/>
        <w:rPr>
          <w:rFonts w:hint="eastAsia" w:ascii="仿宋" w:hAnsi="仿宋" w:eastAsia="仿宋"/>
          <w:bCs/>
          <w:color w:val="auto"/>
          <w:sz w:val="32"/>
          <w:szCs w:val="32"/>
          <w:highlight w:val="none"/>
          <w:lang w:eastAsia="zh-CN"/>
        </w:rPr>
      </w:pPr>
      <w:r>
        <w:rPr>
          <w:rFonts w:hint="eastAsia" w:ascii="仿宋" w:hAnsi="仿宋" w:eastAsia="仿宋"/>
          <w:bCs/>
          <w:color w:val="auto"/>
          <w:sz w:val="32"/>
          <w:szCs w:val="32"/>
          <w:highlight w:val="none"/>
          <w:lang w:eastAsia="zh-CN"/>
        </w:rPr>
        <w:t>杭州市滨江区民政局</w:t>
      </w:r>
    </w:p>
    <w:p w14:paraId="7429327D">
      <w:pPr>
        <w:spacing w:line="360" w:lineRule="auto"/>
        <w:jc w:val="center"/>
        <w:rPr>
          <w:rFonts w:hint="eastAsia" w:ascii="仿宋" w:hAnsi="仿宋" w:eastAsia="仿宋"/>
          <w:bCs/>
          <w:color w:val="auto"/>
          <w:sz w:val="32"/>
          <w:szCs w:val="32"/>
          <w:highlight w:val="none"/>
          <w:lang w:eastAsia="zh-CN"/>
        </w:rPr>
      </w:pPr>
      <w:r>
        <w:rPr>
          <w:rFonts w:hint="eastAsia" w:ascii="仿宋" w:hAnsi="仿宋" w:eastAsia="仿宋"/>
          <w:bCs/>
          <w:color w:val="auto"/>
          <w:sz w:val="32"/>
          <w:szCs w:val="32"/>
          <w:highlight w:val="none"/>
          <w:lang w:eastAsia="zh-CN"/>
        </w:rPr>
        <w:t>浙江中跃科技咨询有限公司</w:t>
      </w:r>
    </w:p>
    <w:p w14:paraId="14F3A83A">
      <w:pPr>
        <w:snapToGrid w:val="0"/>
        <w:spacing w:line="360" w:lineRule="auto"/>
        <w:jc w:val="center"/>
        <w:rPr>
          <w:rFonts w:ascii="仿宋" w:hAnsi="仿宋" w:eastAsia="仿宋"/>
          <w:color w:val="auto"/>
          <w:sz w:val="30"/>
          <w:szCs w:val="30"/>
          <w:highlight w:val="none"/>
        </w:rPr>
      </w:pPr>
      <w:r>
        <w:rPr>
          <w:rFonts w:hint="eastAsia" w:ascii="仿宋" w:hAnsi="仿宋" w:eastAsia="仿宋"/>
          <w:color w:val="auto"/>
          <w:sz w:val="30"/>
          <w:szCs w:val="30"/>
          <w:highlight w:val="none"/>
        </w:rPr>
        <w:t>二</w:t>
      </w:r>
      <w:r>
        <w:rPr>
          <w:rFonts w:hint="eastAsia" w:ascii="仿宋" w:hAnsi="仿宋" w:eastAsia="仿宋" w:cs="宋体"/>
          <w:color w:val="auto"/>
          <w:sz w:val="30"/>
          <w:szCs w:val="30"/>
          <w:highlight w:val="none"/>
        </w:rPr>
        <w:t>〇</w:t>
      </w:r>
      <w:r>
        <w:rPr>
          <w:rFonts w:hint="eastAsia" w:ascii="仿宋" w:hAnsi="仿宋" w:eastAsia="仿宋"/>
          <w:color w:val="auto"/>
          <w:sz w:val="30"/>
          <w:szCs w:val="30"/>
          <w:highlight w:val="none"/>
        </w:rPr>
        <w:t>二五年</w:t>
      </w:r>
      <w:r>
        <w:rPr>
          <w:rFonts w:hint="eastAsia" w:ascii="仿宋" w:hAnsi="仿宋" w:eastAsia="仿宋"/>
          <w:color w:val="auto"/>
          <w:sz w:val="30"/>
          <w:szCs w:val="30"/>
          <w:highlight w:val="none"/>
          <w:lang w:val="en-US" w:eastAsia="zh-CN"/>
        </w:rPr>
        <w:t>七</w:t>
      </w:r>
      <w:r>
        <w:rPr>
          <w:rFonts w:hint="eastAsia" w:ascii="仿宋" w:hAnsi="仿宋" w:eastAsia="仿宋"/>
          <w:color w:val="auto"/>
          <w:sz w:val="30"/>
          <w:szCs w:val="30"/>
          <w:highlight w:val="none"/>
        </w:rPr>
        <w:t>月</w:t>
      </w:r>
      <w:r>
        <w:rPr>
          <w:rFonts w:hint="eastAsia" w:ascii="仿宋" w:hAnsi="仿宋" w:eastAsia="仿宋"/>
          <w:color w:val="auto"/>
          <w:sz w:val="30"/>
          <w:szCs w:val="30"/>
          <w:highlight w:val="none"/>
          <w:lang w:val="en-US" w:eastAsia="zh-CN"/>
        </w:rPr>
        <w:t>十五</w:t>
      </w:r>
      <w:r>
        <w:rPr>
          <w:rFonts w:hint="eastAsia" w:ascii="仿宋" w:hAnsi="仿宋" w:eastAsia="仿宋"/>
          <w:color w:val="auto"/>
          <w:sz w:val="30"/>
          <w:szCs w:val="30"/>
          <w:highlight w:val="none"/>
        </w:rPr>
        <w:t>日</w:t>
      </w:r>
    </w:p>
    <w:p w14:paraId="52EB671A">
      <w:pPr>
        <w:spacing w:line="360" w:lineRule="auto"/>
        <w:jc w:val="center"/>
        <w:rPr>
          <w:rFonts w:ascii="仿宋" w:hAnsi="仿宋" w:eastAsia="仿宋"/>
          <w:b/>
          <w:color w:val="auto"/>
          <w:sz w:val="48"/>
          <w:szCs w:val="48"/>
          <w:highlight w:val="none"/>
        </w:rPr>
      </w:pPr>
      <w:r>
        <w:rPr>
          <w:rFonts w:hint="eastAsia" w:ascii="仿宋" w:hAnsi="仿宋" w:eastAsia="仿宋"/>
          <w:color w:val="auto"/>
          <w:sz w:val="24"/>
          <w:highlight w:val="none"/>
        </w:rPr>
        <w:br w:type="page"/>
      </w:r>
      <w:bookmarkStart w:id="0" w:name="_Hlt67893495"/>
      <w:bookmarkEnd w:id="0"/>
      <w:r>
        <w:rPr>
          <w:rFonts w:hint="eastAsia" w:ascii="仿宋" w:hAnsi="仿宋" w:eastAsia="仿宋"/>
          <w:b/>
          <w:color w:val="auto"/>
          <w:sz w:val="48"/>
          <w:szCs w:val="48"/>
          <w:highlight w:val="none"/>
        </w:rPr>
        <w:t>目 录</w:t>
      </w:r>
    </w:p>
    <w:p w14:paraId="1AB67103">
      <w:pPr>
        <w:spacing w:line="360" w:lineRule="auto"/>
        <w:rPr>
          <w:rFonts w:ascii="仿宋" w:hAnsi="仿宋" w:eastAsia="仿宋"/>
          <w:color w:val="auto"/>
          <w:sz w:val="32"/>
          <w:szCs w:val="32"/>
          <w:highlight w:val="none"/>
        </w:rPr>
      </w:pPr>
    </w:p>
    <w:p w14:paraId="7FB3C2D7">
      <w:pPr>
        <w:spacing w:line="360" w:lineRule="auto"/>
        <w:rPr>
          <w:rFonts w:ascii="仿宋" w:hAnsi="仿宋" w:eastAsia="仿宋"/>
          <w:color w:val="auto"/>
          <w:sz w:val="32"/>
          <w:szCs w:val="32"/>
          <w:highlight w:val="none"/>
        </w:rPr>
      </w:pPr>
    </w:p>
    <w:p w14:paraId="1D20B357">
      <w:pPr>
        <w:spacing w:line="360" w:lineRule="auto"/>
        <w:ind w:firstLine="1683" w:firstLineChars="526"/>
        <w:rPr>
          <w:rFonts w:hint="eastAsia" w:ascii="仿宋" w:hAnsi="仿宋" w:eastAsia="仿宋"/>
          <w:color w:val="auto"/>
          <w:sz w:val="32"/>
          <w:szCs w:val="32"/>
          <w:highlight w:val="none"/>
          <w:lang w:val="en-US" w:eastAsia="zh-CN"/>
        </w:rPr>
      </w:pPr>
      <w:bookmarkStart w:id="1" w:name="_Hlt91233176"/>
      <w:bookmarkEnd w:id="1"/>
      <w:bookmarkStart w:id="2" w:name="_Toc91899869"/>
      <w:r>
        <w:rPr>
          <w:rFonts w:hint="eastAsia" w:ascii="仿宋" w:hAnsi="仿宋" w:eastAsia="仿宋"/>
          <w:color w:val="auto"/>
          <w:sz w:val="32"/>
          <w:szCs w:val="32"/>
          <w:highlight w:val="none"/>
          <w:lang w:val="en-US" w:eastAsia="zh-CN"/>
        </w:rPr>
        <w:t>第一部分   征集公告</w:t>
      </w:r>
    </w:p>
    <w:p w14:paraId="6FA91DDF">
      <w:pPr>
        <w:spacing w:line="360" w:lineRule="auto"/>
        <w:ind w:firstLine="1683" w:firstLineChars="526"/>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第二部分   供应商须知</w:t>
      </w:r>
    </w:p>
    <w:p w14:paraId="253FE0AD">
      <w:pPr>
        <w:spacing w:line="360" w:lineRule="auto"/>
        <w:ind w:firstLine="1683" w:firstLineChars="526"/>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第三部分   采购需求</w:t>
      </w:r>
    </w:p>
    <w:p w14:paraId="34FD6BC5">
      <w:pPr>
        <w:spacing w:line="360" w:lineRule="auto"/>
        <w:ind w:firstLine="1683" w:firstLineChars="526"/>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第四部分   评标方法</w:t>
      </w:r>
    </w:p>
    <w:p w14:paraId="5A4DB888">
      <w:pPr>
        <w:spacing w:line="360" w:lineRule="auto"/>
        <w:ind w:firstLine="1683" w:firstLineChars="526"/>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第五部分   拟签订的框架协议文本和采购合同文本</w:t>
      </w:r>
    </w:p>
    <w:p w14:paraId="0B2C52DB">
      <w:pPr>
        <w:spacing w:line="360" w:lineRule="auto"/>
        <w:ind w:firstLine="1683" w:firstLineChars="526"/>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lang w:val="en-US" w:eastAsia="zh-CN"/>
        </w:rPr>
        <w:t>第六部分   应提交的有关格式范例</w:t>
      </w:r>
    </w:p>
    <w:p w14:paraId="3AB38CEF">
      <w:pPr>
        <w:spacing w:line="360" w:lineRule="auto"/>
        <w:ind w:firstLine="549" w:firstLineChars="229"/>
        <w:rPr>
          <w:rFonts w:ascii="仿宋" w:hAnsi="仿宋" w:eastAsia="仿宋"/>
          <w:color w:val="auto"/>
          <w:sz w:val="24"/>
          <w:highlight w:val="none"/>
        </w:rPr>
      </w:pPr>
    </w:p>
    <w:p w14:paraId="66E610E0">
      <w:pPr>
        <w:spacing w:line="360" w:lineRule="auto"/>
        <w:ind w:firstLine="549" w:firstLineChars="229"/>
        <w:rPr>
          <w:rFonts w:ascii="仿宋" w:hAnsi="仿宋" w:eastAsia="仿宋"/>
          <w:color w:val="auto"/>
          <w:sz w:val="24"/>
          <w:highlight w:val="none"/>
        </w:rPr>
      </w:pPr>
    </w:p>
    <w:p w14:paraId="21AB114E">
      <w:pPr>
        <w:spacing w:line="360" w:lineRule="auto"/>
        <w:ind w:firstLine="549" w:firstLineChars="229"/>
        <w:rPr>
          <w:rFonts w:ascii="仿宋" w:hAnsi="仿宋" w:eastAsia="仿宋"/>
          <w:color w:val="auto"/>
          <w:sz w:val="24"/>
          <w:highlight w:val="none"/>
        </w:rPr>
      </w:pPr>
    </w:p>
    <w:p w14:paraId="0445C1A5">
      <w:pPr>
        <w:spacing w:line="360" w:lineRule="auto"/>
        <w:ind w:firstLine="549" w:firstLineChars="229"/>
        <w:rPr>
          <w:rFonts w:ascii="仿宋" w:hAnsi="仿宋" w:eastAsia="仿宋"/>
          <w:color w:val="auto"/>
          <w:sz w:val="24"/>
          <w:highlight w:val="none"/>
        </w:rPr>
      </w:pPr>
    </w:p>
    <w:p w14:paraId="5476C85C">
      <w:pPr>
        <w:spacing w:line="360" w:lineRule="auto"/>
        <w:ind w:firstLine="549" w:firstLineChars="229"/>
        <w:rPr>
          <w:rFonts w:ascii="仿宋" w:hAnsi="仿宋" w:eastAsia="仿宋"/>
          <w:color w:val="auto"/>
          <w:sz w:val="24"/>
          <w:highlight w:val="none"/>
        </w:rPr>
      </w:pPr>
    </w:p>
    <w:p w14:paraId="0EB07EEA">
      <w:pPr>
        <w:spacing w:line="360" w:lineRule="auto"/>
        <w:ind w:firstLine="549" w:firstLineChars="229"/>
        <w:rPr>
          <w:rFonts w:ascii="仿宋" w:hAnsi="仿宋" w:eastAsia="仿宋"/>
          <w:color w:val="auto"/>
          <w:sz w:val="24"/>
          <w:highlight w:val="none"/>
        </w:rPr>
      </w:pPr>
    </w:p>
    <w:p w14:paraId="5F3756B7">
      <w:pPr>
        <w:spacing w:line="360" w:lineRule="auto"/>
        <w:ind w:firstLine="549" w:firstLineChars="229"/>
        <w:rPr>
          <w:rFonts w:ascii="仿宋" w:hAnsi="仿宋" w:eastAsia="仿宋"/>
          <w:color w:val="auto"/>
          <w:sz w:val="24"/>
          <w:highlight w:val="none"/>
        </w:rPr>
      </w:pPr>
    </w:p>
    <w:p w14:paraId="1C042D53">
      <w:pPr>
        <w:spacing w:line="360" w:lineRule="auto"/>
        <w:ind w:firstLine="549" w:firstLineChars="229"/>
        <w:rPr>
          <w:rFonts w:ascii="仿宋" w:hAnsi="仿宋" w:eastAsia="仿宋"/>
          <w:color w:val="auto"/>
          <w:sz w:val="24"/>
          <w:highlight w:val="none"/>
        </w:rPr>
      </w:pPr>
    </w:p>
    <w:p w14:paraId="5CCA7183">
      <w:pPr>
        <w:spacing w:line="360" w:lineRule="auto"/>
        <w:ind w:firstLine="549" w:firstLineChars="229"/>
        <w:rPr>
          <w:rFonts w:ascii="仿宋" w:hAnsi="仿宋" w:eastAsia="仿宋"/>
          <w:color w:val="auto"/>
          <w:sz w:val="24"/>
          <w:highlight w:val="none"/>
        </w:rPr>
      </w:pPr>
    </w:p>
    <w:p w14:paraId="57A2D5C2">
      <w:pPr>
        <w:spacing w:line="360" w:lineRule="auto"/>
        <w:ind w:firstLine="549" w:firstLineChars="229"/>
        <w:rPr>
          <w:rFonts w:ascii="仿宋" w:hAnsi="仿宋" w:eastAsia="仿宋"/>
          <w:color w:val="auto"/>
          <w:sz w:val="24"/>
          <w:highlight w:val="none"/>
        </w:rPr>
      </w:pPr>
    </w:p>
    <w:p w14:paraId="76C3700A">
      <w:pPr>
        <w:spacing w:line="360" w:lineRule="auto"/>
        <w:ind w:firstLine="549" w:firstLineChars="229"/>
        <w:rPr>
          <w:rFonts w:ascii="仿宋" w:hAnsi="仿宋" w:eastAsia="仿宋"/>
          <w:color w:val="auto"/>
          <w:sz w:val="24"/>
          <w:highlight w:val="none"/>
        </w:rPr>
      </w:pPr>
    </w:p>
    <w:p w14:paraId="39F4C265">
      <w:pPr>
        <w:spacing w:line="360" w:lineRule="auto"/>
        <w:ind w:firstLine="549" w:firstLineChars="229"/>
        <w:rPr>
          <w:rFonts w:ascii="仿宋" w:hAnsi="仿宋" w:eastAsia="仿宋"/>
          <w:color w:val="auto"/>
          <w:sz w:val="24"/>
          <w:highlight w:val="none"/>
        </w:rPr>
      </w:pPr>
    </w:p>
    <w:p w14:paraId="5C8E3436">
      <w:pPr>
        <w:spacing w:line="360" w:lineRule="auto"/>
        <w:ind w:firstLine="549" w:firstLineChars="229"/>
        <w:rPr>
          <w:rFonts w:ascii="仿宋" w:hAnsi="仿宋" w:eastAsia="仿宋"/>
          <w:color w:val="auto"/>
          <w:sz w:val="24"/>
          <w:highlight w:val="none"/>
        </w:rPr>
      </w:pPr>
    </w:p>
    <w:p w14:paraId="14EAC401">
      <w:pPr>
        <w:spacing w:line="360" w:lineRule="auto"/>
        <w:rPr>
          <w:rFonts w:ascii="仿宋" w:hAnsi="仿宋" w:eastAsia="仿宋"/>
          <w:color w:val="auto"/>
          <w:sz w:val="24"/>
          <w:highlight w:val="none"/>
        </w:rPr>
      </w:pPr>
    </w:p>
    <w:p w14:paraId="39D48A88">
      <w:pPr>
        <w:adjustRightInd/>
        <w:spacing w:line="360" w:lineRule="auto"/>
        <w:jc w:val="center"/>
        <w:outlineLvl w:val="0"/>
        <w:rPr>
          <w:rFonts w:ascii="仿宋" w:hAnsi="仿宋" w:eastAsia="仿宋"/>
          <w:color w:val="auto"/>
          <w:sz w:val="24"/>
          <w:highlight w:val="none"/>
        </w:rPr>
      </w:pPr>
      <w:bookmarkStart w:id="3" w:name="第一部分"/>
      <w:r>
        <w:rPr>
          <w:rFonts w:hint="eastAsia" w:ascii="仿宋" w:hAnsi="仿宋" w:eastAsia="仿宋"/>
          <w:b/>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仿宋" w:hAnsi="仿宋" w:eastAsia="仿宋"/>
          <w:b/>
          <w:color w:val="auto"/>
          <w:sz w:val="36"/>
          <w:szCs w:val="20"/>
          <w:highlight w:val="none"/>
        </w:rPr>
        <w:t>第一部分</w:t>
      </w:r>
      <w:r>
        <w:rPr>
          <w:rFonts w:hint="eastAsia" w:ascii="仿宋" w:hAnsi="仿宋" w:eastAsia="仿宋"/>
          <w:b/>
          <w:color w:val="auto"/>
          <w:sz w:val="36"/>
          <w:szCs w:val="20"/>
          <w:highlight w:val="none"/>
          <w:lang w:val="en-US" w:eastAsia="zh-CN"/>
        </w:rPr>
        <w:t xml:space="preserve"> </w:t>
      </w:r>
      <w:r>
        <w:rPr>
          <w:rFonts w:hint="eastAsia" w:ascii="仿宋" w:hAnsi="仿宋" w:eastAsia="仿宋"/>
          <w:b/>
          <w:color w:val="auto"/>
          <w:sz w:val="36"/>
          <w:szCs w:val="20"/>
          <w:highlight w:val="none"/>
        </w:rPr>
        <w:t>征集公告</w:t>
      </w:r>
    </w:p>
    <w:p w14:paraId="0D978F49">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各潜在供应商：</w:t>
      </w:r>
    </w:p>
    <w:p w14:paraId="4A3518D2">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lang w:eastAsia="zh-CN"/>
        </w:rPr>
        <w:t>杭州市滨江区民政局</w:t>
      </w:r>
      <w:r>
        <w:rPr>
          <w:rFonts w:hint="eastAsia" w:ascii="仿宋" w:hAnsi="仿宋" w:eastAsia="仿宋"/>
          <w:b w:val="0"/>
          <w:bCs/>
          <w:color w:val="auto"/>
          <w:sz w:val="24"/>
          <w:szCs w:val="24"/>
          <w:highlight w:val="none"/>
        </w:rPr>
        <w:t>作为征集人，就“</w:t>
      </w:r>
      <w:r>
        <w:rPr>
          <w:rFonts w:hint="eastAsia" w:ascii="仿宋" w:hAnsi="仿宋" w:eastAsia="仿宋"/>
          <w:b w:val="0"/>
          <w:bCs/>
          <w:color w:val="auto"/>
          <w:sz w:val="24"/>
          <w:szCs w:val="24"/>
          <w:highlight w:val="none"/>
          <w:lang w:eastAsia="zh-CN"/>
        </w:rPr>
        <w:t>杭州市滨江区2025-2026年居家养老综合服务封闭式框架协议采购项目</w:t>
      </w:r>
      <w:r>
        <w:rPr>
          <w:rFonts w:hint="eastAsia" w:ascii="仿宋" w:hAnsi="仿宋" w:eastAsia="仿宋"/>
          <w:b w:val="0"/>
          <w:bCs/>
          <w:color w:val="auto"/>
          <w:sz w:val="24"/>
          <w:szCs w:val="24"/>
          <w:highlight w:val="none"/>
        </w:rPr>
        <w:t>”邀请各潜在供应商参与本次公开征集的政府采购活动，现将有关事项公告如下：</w:t>
      </w:r>
    </w:p>
    <w:p w14:paraId="542062A8">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一、项目概况</w:t>
      </w:r>
    </w:p>
    <w:p w14:paraId="7FC7D721">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rPr>
        <w:t>1.项目名称：</w:t>
      </w:r>
      <w:r>
        <w:rPr>
          <w:rFonts w:hint="eastAsia" w:ascii="仿宋" w:hAnsi="仿宋" w:eastAsia="仿宋"/>
          <w:b w:val="0"/>
          <w:bCs/>
          <w:color w:val="auto"/>
          <w:sz w:val="24"/>
          <w:szCs w:val="24"/>
          <w:highlight w:val="none"/>
          <w:lang w:eastAsia="zh-CN"/>
        </w:rPr>
        <w:t>杭州市滨江区2025-2026年居家养老综合服务封闭式框架协议采购项目</w:t>
      </w:r>
    </w:p>
    <w:p w14:paraId="068B7CDD">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lang w:eastAsia="zh-CN"/>
        </w:rPr>
      </w:pPr>
      <w:r>
        <w:rPr>
          <w:rFonts w:hint="eastAsia" w:ascii="仿宋" w:hAnsi="仿宋" w:eastAsia="仿宋"/>
          <w:b w:val="0"/>
          <w:bCs/>
          <w:color w:val="auto"/>
          <w:sz w:val="24"/>
          <w:szCs w:val="24"/>
          <w:highlight w:val="none"/>
        </w:rPr>
        <w:t>2.项目编号：</w:t>
      </w:r>
      <w:r>
        <w:rPr>
          <w:rFonts w:hint="eastAsia" w:ascii="仿宋" w:hAnsi="仿宋" w:eastAsia="仿宋"/>
          <w:b w:val="0"/>
          <w:bCs/>
          <w:color w:val="auto"/>
          <w:sz w:val="24"/>
          <w:szCs w:val="24"/>
          <w:highlight w:val="none"/>
          <w:lang w:eastAsia="zh-CN"/>
        </w:rPr>
        <w:t>ZY-BJMZ2025FG-01-1</w:t>
      </w:r>
    </w:p>
    <w:p w14:paraId="1143842E">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rPr>
        <w:t>3.入围数量：</w:t>
      </w:r>
    </w:p>
    <w:tbl>
      <w:tblPr>
        <w:tblStyle w:val="736"/>
        <w:tblW w:w="9766" w:type="dxa"/>
        <w:tblInd w:w="-34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16"/>
        <w:gridCol w:w="4000"/>
        <w:gridCol w:w="4750"/>
      </w:tblGrid>
      <w:tr w14:paraId="72B42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16" w:type="dxa"/>
            <w:vAlign w:val="center"/>
          </w:tcPr>
          <w:p w14:paraId="66A2556F">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bCs w:val="0"/>
                <w:color w:val="auto"/>
                <w:sz w:val="24"/>
                <w:szCs w:val="24"/>
                <w:highlight w:val="none"/>
                <w:lang w:val="en-US" w:eastAsia="zh-CN"/>
              </w:rPr>
            </w:pPr>
            <w:r>
              <w:rPr>
                <w:rFonts w:hint="eastAsia" w:ascii="仿宋" w:hAnsi="仿宋" w:eastAsia="仿宋"/>
                <w:b/>
                <w:bCs w:val="0"/>
                <w:color w:val="auto"/>
                <w:sz w:val="24"/>
                <w:szCs w:val="24"/>
                <w:highlight w:val="none"/>
                <w:lang w:val="en-US" w:eastAsia="zh-CN"/>
              </w:rPr>
              <w:t>标项</w:t>
            </w:r>
          </w:p>
        </w:tc>
        <w:tc>
          <w:tcPr>
            <w:tcW w:w="4000" w:type="dxa"/>
            <w:vAlign w:val="center"/>
          </w:tcPr>
          <w:p w14:paraId="4946EE27">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bCs w:val="0"/>
                <w:color w:val="auto"/>
                <w:sz w:val="24"/>
                <w:szCs w:val="24"/>
                <w:highlight w:val="none"/>
                <w:lang w:val="en-US" w:eastAsia="en-US"/>
              </w:rPr>
            </w:pPr>
            <w:r>
              <w:rPr>
                <w:rFonts w:hint="eastAsia" w:ascii="仿宋" w:hAnsi="仿宋" w:eastAsia="仿宋"/>
                <w:b/>
                <w:bCs w:val="0"/>
                <w:color w:val="auto"/>
                <w:sz w:val="24"/>
                <w:szCs w:val="24"/>
                <w:highlight w:val="none"/>
                <w:lang w:val="en-US" w:eastAsia="en-US"/>
              </w:rPr>
              <w:t>项目</w:t>
            </w:r>
          </w:p>
        </w:tc>
        <w:tc>
          <w:tcPr>
            <w:tcW w:w="4750" w:type="dxa"/>
            <w:vAlign w:val="center"/>
          </w:tcPr>
          <w:p w14:paraId="0D55998F">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bCs w:val="0"/>
                <w:color w:val="auto"/>
                <w:sz w:val="24"/>
                <w:szCs w:val="24"/>
                <w:highlight w:val="none"/>
                <w:lang w:val="en-US" w:eastAsia="en-US"/>
              </w:rPr>
            </w:pPr>
            <w:r>
              <w:rPr>
                <w:rFonts w:hint="eastAsia" w:ascii="仿宋" w:hAnsi="仿宋" w:eastAsia="仿宋"/>
                <w:b/>
                <w:bCs w:val="0"/>
                <w:color w:val="auto"/>
                <w:sz w:val="24"/>
                <w:szCs w:val="24"/>
                <w:highlight w:val="none"/>
                <w:lang w:val="en-US" w:eastAsia="en-US"/>
              </w:rPr>
              <w:t>入围供应商数量</w:t>
            </w:r>
          </w:p>
        </w:tc>
      </w:tr>
      <w:tr w14:paraId="60DD1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trPr>
        <w:tc>
          <w:tcPr>
            <w:tcW w:w="1016" w:type="dxa"/>
            <w:vAlign w:val="center"/>
          </w:tcPr>
          <w:p w14:paraId="60A2BCD4">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一</w:t>
            </w:r>
          </w:p>
        </w:tc>
        <w:tc>
          <w:tcPr>
            <w:tcW w:w="4000" w:type="dxa"/>
            <w:vAlign w:val="center"/>
          </w:tcPr>
          <w:p w14:paraId="5AAE23AA">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auto"/>
                <w:sz w:val="24"/>
                <w:szCs w:val="24"/>
                <w:highlight w:val="none"/>
                <w:lang w:val="en-US" w:eastAsia="en-US"/>
              </w:rPr>
            </w:pPr>
            <w:r>
              <w:rPr>
                <w:rFonts w:hint="eastAsia" w:ascii="仿宋" w:hAnsi="仿宋" w:eastAsia="仿宋"/>
                <w:b w:val="0"/>
                <w:bCs/>
                <w:color w:val="auto"/>
                <w:sz w:val="24"/>
                <w:szCs w:val="24"/>
                <w:highlight w:val="none"/>
                <w:lang w:val="en-US" w:eastAsia="zh-CN"/>
              </w:rPr>
              <w:t>区域化居家养老服务</w:t>
            </w:r>
          </w:p>
        </w:tc>
        <w:tc>
          <w:tcPr>
            <w:tcW w:w="4750" w:type="dxa"/>
            <w:vAlign w:val="center"/>
          </w:tcPr>
          <w:p w14:paraId="66B049A8">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auto"/>
                <w:sz w:val="24"/>
                <w:szCs w:val="24"/>
                <w:highlight w:val="none"/>
                <w:lang w:val="en-US" w:eastAsia="en-US"/>
              </w:rPr>
            </w:pPr>
            <w:r>
              <w:rPr>
                <w:rFonts w:hint="eastAsia" w:ascii="仿宋" w:hAnsi="仿宋" w:eastAsia="仿宋"/>
                <w:b w:val="0"/>
                <w:bCs/>
                <w:color w:val="auto"/>
                <w:sz w:val="24"/>
                <w:szCs w:val="24"/>
                <w:highlight w:val="none"/>
                <w:lang w:val="en-US" w:eastAsia="en-US"/>
              </w:rPr>
              <w:t>入围供应商数量上限为</w:t>
            </w:r>
            <w:r>
              <w:rPr>
                <w:rFonts w:hint="eastAsia" w:ascii="仿宋" w:hAnsi="仿宋" w:eastAsia="仿宋"/>
                <w:b w:val="0"/>
                <w:bCs/>
                <w:color w:val="auto"/>
                <w:sz w:val="24"/>
                <w:szCs w:val="24"/>
                <w:highlight w:val="none"/>
                <w:lang w:val="en-US" w:eastAsia="zh-CN"/>
              </w:rPr>
              <w:t>6</w:t>
            </w:r>
            <w:r>
              <w:rPr>
                <w:rFonts w:hint="eastAsia" w:ascii="仿宋" w:hAnsi="仿宋" w:eastAsia="仿宋"/>
                <w:b w:val="0"/>
                <w:bCs/>
                <w:color w:val="auto"/>
                <w:sz w:val="24"/>
                <w:szCs w:val="24"/>
                <w:highlight w:val="none"/>
                <w:lang w:val="en-US" w:eastAsia="en-US"/>
              </w:rPr>
              <w:t>家</w:t>
            </w:r>
          </w:p>
        </w:tc>
      </w:tr>
      <w:tr w14:paraId="53BE9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1016" w:type="dxa"/>
            <w:vAlign w:val="center"/>
          </w:tcPr>
          <w:p w14:paraId="62CD1C95">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二</w:t>
            </w:r>
          </w:p>
        </w:tc>
        <w:tc>
          <w:tcPr>
            <w:tcW w:w="4000" w:type="dxa"/>
            <w:vAlign w:val="center"/>
          </w:tcPr>
          <w:p w14:paraId="49412765">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auto"/>
                <w:sz w:val="24"/>
                <w:szCs w:val="24"/>
                <w:highlight w:val="none"/>
                <w:lang w:val="en-US" w:eastAsia="en-US"/>
              </w:rPr>
            </w:pPr>
            <w:r>
              <w:rPr>
                <w:rFonts w:hint="eastAsia" w:ascii="仿宋" w:hAnsi="仿宋" w:eastAsia="仿宋"/>
                <w:b w:val="0"/>
                <w:bCs/>
                <w:color w:val="auto"/>
                <w:sz w:val="24"/>
                <w:szCs w:val="24"/>
                <w:highlight w:val="none"/>
                <w:lang w:val="en-US" w:eastAsia="zh-CN"/>
              </w:rPr>
              <w:t>居家养老上门服务</w:t>
            </w:r>
          </w:p>
        </w:tc>
        <w:tc>
          <w:tcPr>
            <w:tcW w:w="4750" w:type="dxa"/>
            <w:vAlign w:val="center"/>
          </w:tcPr>
          <w:p w14:paraId="71182E29">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hint="eastAsia" w:ascii="仿宋" w:hAnsi="仿宋" w:eastAsia="仿宋"/>
                <w:b w:val="0"/>
                <w:bCs/>
                <w:color w:val="auto"/>
                <w:sz w:val="24"/>
                <w:szCs w:val="24"/>
                <w:highlight w:val="none"/>
                <w:lang w:val="en-US" w:eastAsia="en-US"/>
              </w:rPr>
            </w:pPr>
            <w:r>
              <w:rPr>
                <w:rFonts w:hint="eastAsia" w:ascii="仿宋" w:hAnsi="仿宋" w:eastAsia="仿宋"/>
                <w:b w:val="0"/>
                <w:bCs/>
                <w:color w:val="auto"/>
                <w:sz w:val="24"/>
                <w:szCs w:val="24"/>
                <w:highlight w:val="none"/>
                <w:lang w:val="en-US" w:eastAsia="en-US"/>
              </w:rPr>
              <w:t>入围供应商数量上限为</w:t>
            </w:r>
            <w:r>
              <w:rPr>
                <w:rFonts w:hint="eastAsia" w:ascii="仿宋" w:hAnsi="仿宋" w:eastAsia="仿宋"/>
                <w:b w:val="0"/>
                <w:bCs/>
                <w:color w:val="auto"/>
                <w:sz w:val="24"/>
                <w:szCs w:val="24"/>
                <w:highlight w:val="none"/>
                <w:lang w:val="en-US" w:eastAsia="zh-CN"/>
              </w:rPr>
              <w:t>6</w:t>
            </w:r>
            <w:r>
              <w:rPr>
                <w:rFonts w:hint="eastAsia" w:ascii="仿宋" w:hAnsi="仿宋" w:eastAsia="仿宋"/>
                <w:b w:val="0"/>
                <w:bCs/>
                <w:color w:val="auto"/>
                <w:sz w:val="24"/>
                <w:szCs w:val="24"/>
                <w:highlight w:val="none"/>
                <w:lang w:val="en-US" w:eastAsia="en-US"/>
              </w:rPr>
              <w:t>家</w:t>
            </w:r>
          </w:p>
        </w:tc>
      </w:tr>
    </w:tbl>
    <w:p w14:paraId="4F482FF7">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rPr>
        <w:t>4.适用采购人或者服务对象范围：</w:t>
      </w:r>
      <w:r>
        <w:rPr>
          <w:rFonts w:hint="eastAsia" w:ascii="仿宋" w:hAnsi="仿宋" w:eastAsia="仿宋"/>
          <w:b w:val="0"/>
          <w:bCs/>
          <w:color w:val="auto"/>
          <w:sz w:val="24"/>
          <w:szCs w:val="24"/>
          <w:highlight w:val="none"/>
          <w:lang w:eastAsia="zh-CN"/>
        </w:rPr>
        <w:t>杭州市滨江区民政局</w:t>
      </w:r>
      <w:r>
        <w:rPr>
          <w:rFonts w:hint="eastAsia" w:ascii="仿宋" w:hAnsi="仿宋" w:eastAsia="仿宋"/>
          <w:b w:val="0"/>
          <w:bCs/>
          <w:color w:val="auto"/>
          <w:sz w:val="24"/>
          <w:szCs w:val="24"/>
          <w:highlight w:val="none"/>
        </w:rPr>
        <w:t>。</w:t>
      </w:r>
    </w:p>
    <w:p w14:paraId="35BA61DF">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rPr>
        <w:t>5.采购需求：本次采购项目为</w:t>
      </w:r>
      <w:r>
        <w:rPr>
          <w:rFonts w:hint="eastAsia" w:ascii="仿宋" w:hAnsi="仿宋" w:eastAsia="仿宋"/>
          <w:b w:val="0"/>
          <w:bCs/>
          <w:color w:val="auto"/>
          <w:sz w:val="24"/>
          <w:szCs w:val="24"/>
          <w:highlight w:val="none"/>
          <w:lang w:eastAsia="zh-CN"/>
        </w:rPr>
        <w:t>州市滨江区2025-2026年居家养老综合服务封闭式框架协议采购项目</w:t>
      </w:r>
      <w:r>
        <w:rPr>
          <w:rFonts w:hint="eastAsia" w:ascii="仿宋" w:hAnsi="仿宋" w:eastAsia="仿宋"/>
          <w:b w:val="0"/>
          <w:bCs/>
          <w:color w:val="auto"/>
          <w:sz w:val="24"/>
          <w:szCs w:val="24"/>
          <w:highlight w:val="none"/>
        </w:rPr>
        <w:t>，具体要求以征集文件第三部分采购需求为准，供应商可点击本公告下方“浏览采购文件 ”查看采购需求。</w:t>
      </w:r>
    </w:p>
    <w:p w14:paraId="19EA94FF">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rPr>
      </w:pPr>
      <w:r>
        <w:rPr>
          <w:rFonts w:hint="eastAsia" w:ascii="仿宋" w:hAnsi="仿宋" w:eastAsia="仿宋"/>
          <w:b w:val="0"/>
          <w:bCs/>
          <w:color w:val="auto"/>
          <w:sz w:val="24"/>
          <w:szCs w:val="24"/>
          <w:highlight w:val="none"/>
        </w:rPr>
        <w:t>6</w:t>
      </w:r>
      <w:r>
        <w:rPr>
          <w:rFonts w:hint="eastAsia" w:ascii="仿宋" w:hAnsi="仿宋" w:eastAsia="仿宋"/>
          <w:b w:val="0"/>
          <w:bCs/>
          <w:color w:val="auto"/>
          <w:sz w:val="24"/>
          <w:szCs w:val="24"/>
          <w:highlight w:val="none"/>
          <w:lang w:eastAsia="zh-CN"/>
        </w:rPr>
        <w:t>.</w:t>
      </w:r>
      <w:r>
        <w:rPr>
          <w:rFonts w:hint="eastAsia" w:ascii="仿宋" w:hAnsi="仿宋" w:eastAsia="仿宋"/>
          <w:b w:val="0"/>
          <w:bCs/>
          <w:color w:val="auto"/>
          <w:sz w:val="24"/>
          <w:szCs w:val="24"/>
          <w:highlight w:val="none"/>
        </w:rPr>
        <w:t>本项目（</w:t>
      </w:r>
      <w:r>
        <w:rPr>
          <w:rFonts w:hint="eastAsia" w:ascii="仿宋" w:hAnsi="仿宋" w:eastAsia="仿宋"/>
          <w:b w:val="0"/>
          <w:bCs/>
          <w:color w:val="auto"/>
          <w:sz w:val="24"/>
          <w:szCs w:val="24"/>
          <w:highlight w:val="none"/>
          <w:lang w:val="en-US" w:eastAsia="zh-CN"/>
        </w:rPr>
        <w:t>不</w:t>
      </w:r>
      <w:r>
        <w:rPr>
          <w:rFonts w:hint="eastAsia" w:ascii="仿宋" w:hAnsi="仿宋" w:eastAsia="仿宋"/>
          <w:b w:val="0"/>
          <w:bCs/>
          <w:color w:val="auto"/>
          <w:sz w:val="24"/>
          <w:szCs w:val="24"/>
          <w:highlight w:val="none"/>
        </w:rPr>
        <w:t>接受）联合体参加。</w:t>
      </w:r>
    </w:p>
    <w:p w14:paraId="65AAE75C">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bCs w:val="0"/>
          <w:color w:val="auto"/>
          <w:sz w:val="24"/>
          <w:szCs w:val="24"/>
          <w:highlight w:val="none"/>
        </w:rPr>
      </w:pPr>
      <w:r>
        <w:rPr>
          <w:rFonts w:hint="eastAsia" w:ascii="仿宋" w:hAnsi="仿宋" w:eastAsia="仿宋"/>
          <w:b/>
          <w:bCs w:val="0"/>
          <w:color w:val="auto"/>
          <w:sz w:val="24"/>
          <w:szCs w:val="24"/>
          <w:highlight w:val="none"/>
        </w:rPr>
        <w:t>二、供应商的资格条件</w:t>
      </w:r>
    </w:p>
    <w:p w14:paraId="4A9C7B31">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1.满足《中华人民共和国政府采购法》第二十二条规定；未被“信用中国 ” （</w:t>
      </w:r>
      <w:r>
        <w:rPr>
          <w:rFonts w:hint="eastAsia" w:ascii="仿宋" w:hAnsi="仿宋" w:eastAsia="仿宋"/>
          <w:b w:val="0"/>
          <w:bCs/>
          <w:color w:val="auto"/>
          <w:sz w:val="24"/>
          <w:szCs w:val="24"/>
          <w:highlight w:val="none"/>
          <w:lang w:val="en-US" w:eastAsia="zh-CN"/>
        </w:rPr>
        <w:fldChar w:fldCharType="begin"/>
      </w:r>
      <w:r>
        <w:rPr>
          <w:rFonts w:hint="eastAsia" w:ascii="仿宋" w:hAnsi="仿宋" w:eastAsia="仿宋"/>
          <w:b w:val="0"/>
          <w:bCs/>
          <w:color w:val="auto"/>
          <w:sz w:val="24"/>
          <w:szCs w:val="24"/>
          <w:highlight w:val="none"/>
          <w:lang w:val="en-US" w:eastAsia="zh-CN"/>
        </w:rPr>
        <w:instrText xml:space="preserve"> HYPERLINK "https://www.creditchina.gov.cn" </w:instrText>
      </w:r>
      <w:r>
        <w:rPr>
          <w:rFonts w:hint="eastAsia" w:ascii="仿宋" w:hAnsi="仿宋" w:eastAsia="仿宋"/>
          <w:b w:val="0"/>
          <w:bCs/>
          <w:color w:val="auto"/>
          <w:sz w:val="24"/>
          <w:szCs w:val="24"/>
          <w:highlight w:val="none"/>
          <w:lang w:val="en-US" w:eastAsia="zh-CN"/>
        </w:rPr>
        <w:fldChar w:fldCharType="separate"/>
      </w:r>
      <w:r>
        <w:rPr>
          <w:rFonts w:hint="eastAsia" w:ascii="仿宋" w:hAnsi="仿宋" w:eastAsia="仿宋"/>
          <w:b w:val="0"/>
          <w:bCs/>
          <w:color w:val="auto"/>
          <w:sz w:val="24"/>
          <w:szCs w:val="24"/>
          <w:highlight w:val="none"/>
          <w:lang w:val="en-US" w:eastAsia="zh-CN"/>
        </w:rPr>
        <w:t>www.creditchina.gov.cn</w:t>
      </w:r>
      <w:r>
        <w:rPr>
          <w:rFonts w:hint="eastAsia" w:ascii="仿宋" w:hAnsi="仿宋" w:eastAsia="仿宋"/>
          <w:b w:val="0"/>
          <w:bCs/>
          <w:color w:val="auto"/>
          <w:sz w:val="24"/>
          <w:szCs w:val="24"/>
          <w:highlight w:val="none"/>
          <w:lang w:val="en-US" w:eastAsia="zh-CN"/>
        </w:rPr>
        <w:fldChar w:fldCharType="end"/>
      </w:r>
      <w:r>
        <w:rPr>
          <w:rFonts w:hint="eastAsia" w:ascii="仿宋" w:hAnsi="仿宋" w:eastAsia="仿宋"/>
          <w:b w:val="0"/>
          <w:bCs/>
          <w:color w:val="auto"/>
          <w:sz w:val="24"/>
          <w:szCs w:val="24"/>
          <w:highlight w:val="none"/>
          <w:lang w:val="en-US" w:eastAsia="zh-CN"/>
        </w:rPr>
        <w:t>)、中国政府采购网（</w:t>
      </w:r>
      <w:r>
        <w:rPr>
          <w:rFonts w:hint="eastAsia" w:ascii="仿宋" w:hAnsi="仿宋" w:eastAsia="仿宋"/>
          <w:b w:val="0"/>
          <w:bCs/>
          <w:color w:val="auto"/>
          <w:sz w:val="24"/>
          <w:szCs w:val="24"/>
          <w:highlight w:val="none"/>
          <w:lang w:val="en-US" w:eastAsia="zh-CN"/>
        </w:rPr>
        <w:fldChar w:fldCharType="begin"/>
      </w:r>
      <w:r>
        <w:rPr>
          <w:rFonts w:hint="eastAsia" w:ascii="仿宋" w:hAnsi="仿宋" w:eastAsia="仿宋"/>
          <w:b w:val="0"/>
          <w:bCs/>
          <w:color w:val="auto"/>
          <w:sz w:val="24"/>
          <w:szCs w:val="24"/>
          <w:highlight w:val="none"/>
          <w:lang w:val="en-US" w:eastAsia="zh-CN"/>
        </w:rPr>
        <w:instrText xml:space="preserve"> HYPERLINK "https://www.ccgp.gov.cn" </w:instrText>
      </w:r>
      <w:r>
        <w:rPr>
          <w:rFonts w:hint="eastAsia" w:ascii="仿宋" w:hAnsi="仿宋" w:eastAsia="仿宋"/>
          <w:b w:val="0"/>
          <w:bCs/>
          <w:color w:val="auto"/>
          <w:sz w:val="24"/>
          <w:szCs w:val="24"/>
          <w:highlight w:val="none"/>
          <w:lang w:val="en-US" w:eastAsia="zh-CN"/>
        </w:rPr>
        <w:fldChar w:fldCharType="separate"/>
      </w:r>
      <w:r>
        <w:rPr>
          <w:rFonts w:hint="eastAsia" w:ascii="仿宋" w:hAnsi="仿宋" w:eastAsia="仿宋"/>
          <w:b w:val="0"/>
          <w:bCs/>
          <w:color w:val="auto"/>
          <w:sz w:val="24"/>
          <w:szCs w:val="24"/>
          <w:highlight w:val="none"/>
          <w:lang w:val="en-US" w:eastAsia="zh-CN"/>
        </w:rPr>
        <w:t>www.ccgp.gov.cn</w:t>
      </w:r>
      <w:r>
        <w:rPr>
          <w:rFonts w:hint="eastAsia" w:ascii="仿宋" w:hAnsi="仿宋" w:eastAsia="仿宋"/>
          <w:b w:val="0"/>
          <w:bCs/>
          <w:color w:val="auto"/>
          <w:sz w:val="24"/>
          <w:szCs w:val="24"/>
          <w:highlight w:val="none"/>
          <w:lang w:val="en-US" w:eastAsia="zh-CN"/>
        </w:rPr>
        <w:fldChar w:fldCharType="end"/>
      </w:r>
      <w:r>
        <w:rPr>
          <w:rFonts w:hint="eastAsia" w:ascii="仿宋" w:hAnsi="仿宋" w:eastAsia="仿宋"/>
          <w:b w:val="0"/>
          <w:bCs/>
          <w:color w:val="auto"/>
          <w:sz w:val="24"/>
          <w:szCs w:val="24"/>
          <w:highlight w:val="none"/>
          <w:lang w:val="en-US" w:eastAsia="zh-CN"/>
        </w:rPr>
        <w:t>）列入失信被  执行人、重大税收违法案件当事人名单、政 府采购严重违法失信行为记录名单；</w:t>
      </w:r>
    </w:p>
    <w:p w14:paraId="1E458094">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2.落实政府采购政策需满足的资格要求：</w:t>
      </w:r>
      <w:r>
        <w:rPr>
          <w:rFonts w:hint="eastAsia" w:ascii="仿宋" w:hAnsi="仿宋" w:eastAsia="仿宋" w:cs="Arial"/>
          <w:snapToGrid w:val="0"/>
          <w:color w:val="auto"/>
          <w:kern w:val="28"/>
          <w:sz w:val="24"/>
          <w:szCs w:val="24"/>
          <w:highlight w:val="none"/>
          <w:lang w:val="en-US" w:eastAsia="zh-CN" w:bidi="ar-SA"/>
        </w:rPr>
        <w:t>无。</w:t>
      </w:r>
    </w:p>
    <w:p w14:paraId="22A4BE77">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b w:val="0"/>
          <w:bCs/>
          <w:color w:val="auto"/>
          <w:sz w:val="24"/>
          <w:szCs w:val="24"/>
          <w:highlight w:val="none"/>
          <w:lang w:val="en-US" w:eastAsia="zh-CN"/>
        </w:rPr>
      </w:pPr>
      <w:r>
        <w:rPr>
          <w:rFonts w:hint="eastAsia" w:ascii="仿宋" w:hAnsi="仿宋" w:eastAsia="仿宋"/>
          <w:b w:val="0"/>
          <w:bCs/>
          <w:color w:val="auto"/>
          <w:sz w:val="24"/>
          <w:szCs w:val="24"/>
          <w:highlight w:val="none"/>
          <w:lang w:val="en-US" w:eastAsia="zh-CN"/>
        </w:rPr>
        <w:t>3.本项目的特定资格要求：无。</w:t>
      </w:r>
    </w:p>
    <w:p w14:paraId="5848D661">
      <w:pPr>
        <w:pStyle w:val="28"/>
        <w:keepNext w:val="0"/>
        <w:keepLines w:val="0"/>
        <w:pageBreakBefore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Times New Roman"/>
          <w:b w:val="0"/>
          <w:bCs/>
          <w:snapToGrid w:val="0"/>
          <w:color w:val="auto"/>
          <w:kern w:val="2"/>
          <w:sz w:val="24"/>
          <w:szCs w:val="24"/>
          <w:highlight w:val="none"/>
          <w:lang w:val="en-US" w:eastAsia="zh-CN" w:bidi="ar-SA"/>
        </w:rPr>
      </w:pPr>
      <w:r>
        <w:rPr>
          <w:rFonts w:hint="eastAsia" w:ascii="仿宋" w:hAnsi="仿宋" w:eastAsia="仿宋"/>
          <w:b w:val="0"/>
          <w:bCs/>
          <w:color w:val="auto"/>
          <w:sz w:val="24"/>
          <w:szCs w:val="24"/>
          <w:highlight w:val="none"/>
          <w:lang w:val="en-US" w:eastAsia="zh-CN"/>
        </w:rPr>
        <w:t>4.单位负责人为同一人或者存在直接控股、管理关系的不同供应商，不得 参加同一合同项下的政府采购活动；为采购项目提供整体设计、规范编制或者项  目管理、监理、检测等服务后不得再参加该采购项目的其他采购活动</w:t>
      </w:r>
      <w:r>
        <w:rPr>
          <w:rFonts w:hint="eastAsia" w:ascii="仿宋" w:hAnsi="仿宋" w:eastAsia="仿宋" w:cs="Times New Roman"/>
          <w:b w:val="0"/>
          <w:bCs/>
          <w:snapToGrid w:val="0"/>
          <w:color w:val="auto"/>
          <w:kern w:val="2"/>
          <w:sz w:val="24"/>
          <w:szCs w:val="24"/>
          <w:highlight w:val="none"/>
          <w:lang w:val="en-US" w:eastAsia="zh-CN" w:bidi="ar-SA"/>
        </w:rPr>
        <w:t>。</w:t>
      </w:r>
    </w:p>
    <w:p w14:paraId="090C0D79">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bCs w:val="0"/>
          <w:color w:val="auto"/>
          <w:sz w:val="24"/>
          <w:szCs w:val="24"/>
          <w:highlight w:val="none"/>
        </w:rPr>
      </w:pPr>
      <w:r>
        <w:rPr>
          <w:rFonts w:hint="eastAsia" w:ascii="仿宋" w:hAnsi="仿宋" w:eastAsia="仿宋"/>
          <w:b/>
          <w:bCs w:val="0"/>
          <w:color w:val="auto"/>
          <w:sz w:val="24"/>
          <w:szCs w:val="24"/>
          <w:highlight w:val="none"/>
        </w:rPr>
        <w:t>三、框架协议的期限</w:t>
      </w:r>
    </w:p>
    <w:p w14:paraId="2B9BCC9A">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Times New Roman"/>
          <w:b w:val="0"/>
          <w:bCs/>
          <w:snapToGrid w:val="0"/>
          <w:color w:val="auto"/>
          <w:kern w:val="2"/>
          <w:sz w:val="24"/>
          <w:szCs w:val="24"/>
          <w:highlight w:val="none"/>
          <w:lang w:val="en-US" w:eastAsia="zh-CN" w:bidi="ar-SA"/>
        </w:rPr>
      </w:pPr>
      <w:r>
        <w:rPr>
          <w:rFonts w:hint="eastAsia" w:ascii="仿宋" w:hAnsi="仿宋" w:eastAsia="仿宋" w:cs="Times New Roman"/>
          <w:b w:val="0"/>
          <w:bCs/>
          <w:snapToGrid w:val="0"/>
          <w:color w:val="auto"/>
          <w:kern w:val="2"/>
          <w:sz w:val="24"/>
          <w:szCs w:val="24"/>
          <w:highlight w:val="none"/>
          <w:lang w:val="en-US" w:eastAsia="zh-CN" w:bidi="ar-SA"/>
        </w:rPr>
        <w:t>自框架协议生效之日起2年。</w:t>
      </w:r>
    </w:p>
    <w:p w14:paraId="6288BBA3">
      <w:pPr>
        <w:pStyle w:val="28"/>
        <w:keepNext w:val="0"/>
        <w:keepLines w:val="0"/>
        <w:pageBreakBefore w:val="0"/>
        <w:kinsoku/>
        <w:wordWrap/>
        <w:overflowPunct/>
        <w:topLinePunct w:val="0"/>
        <w:autoSpaceDE/>
        <w:autoSpaceDN/>
        <w:bidi w:val="0"/>
        <w:adjustRightInd w:val="0"/>
        <w:snapToGrid/>
        <w:spacing w:line="360" w:lineRule="auto"/>
        <w:textAlignment w:val="auto"/>
        <w:rPr>
          <w:rFonts w:hint="eastAsia" w:ascii="仿宋" w:hAnsi="仿宋" w:eastAsia="仿宋"/>
          <w:b/>
          <w:color w:val="auto"/>
          <w:sz w:val="24"/>
          <w:szCs w:val="24"/>
          <w:highlight w:val="none"/>
          <w:lang w:val="en-US" w:eastAsia="zh-CN"/>
        </w:rPr>
      </w:pPr>
      <w:r>
        <w:rPr>
          <w:rFonts w:hint="eastAsia" w:ascii="仿宋" w:hAnsi="仿宋" w:eastAsia="仿宋"/>
          <w:b/>
          <w:color w:val="auto"/>
          <w:sz w:val="24"/>
          <w:szCs w:val="24"/>
          <w:highlight w:val="none"/>
          <w:lang w:val="en-US" w:eastAsia="zh-CN"/>
        </w:rPr>
        <w:t>四、获取征集文件的时间、地点和方式</w:t>
      </w:r>
    </w:p>
    <w:p w14:paraId="39A3BB41">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Times New Roman"/>
          <w:b w:val="0"/>
          <w:bCs/>
          <w:snapToGrid w:val="0"/>
          <w:color w:val="auto"/>
          <w:kern w:val="2"/>
          <w:sz w:val="24"/>
          <w:szCs w:val="24"/>
          <w:highlight w:val="none"/>
          <w:lang w:val="en-US" w:eastAsia="zh-CN" w:bidi="ar-SA"/>
        </w:rPr>
      </w:pPr>
      <w:r>
        <w:rPr>
          <w:rFonts w:hint="eastAsia" w:ascii="仿宋" w:hAnsi="仿宋" w:eastAsia="仿宋" w:cs="Times New Roman"/>
          <w:b w:val="0"/>
          <w:bCs/>
          <w:snapToGrid w:val="0"/>
          <w:color w:val="auto"/>
          <w:kern w:val="2"/>
          <w:sz w:val="24"/>
          <w:szCs w:val="24"/>
          <w:highlight w:val="none"/>
          <w:lang w:val="en-US" w:eastAsia="zh-CN" w:bidi="ar-SA"/>
        </w:rPr>
        <w:t>时间：/至 2025 年08</w:t>
      </w:r>
      <w:r>
        <w:rPr>
          <w:rFonts w:hint="eastAsia" w:ascii="仿宋" w:hAnsi="仿宋" w:eastAsia="仿宋" w:cs="Arial"/>
          <w:snapToGrid w:val="0"/>
          <w:color w:val="auto"/>
          <w:kern w:val="28"/>
          <w:sz w:val="24"/>
          <w:szCs w:val="24"/>
          <w:highlight w:val="none"/>
          <w:lang w:val="en-US" w:eastAsia="zh-CN" w:bidi="ar-SA"/>
        </w:rPr>
        <w:t>月04日</w:t>
      </w:r>
      <w:r>
        <w:rPr>
          <w:rFonts w:hint="eastAsia" w:ascii="仿宋" w:hAnsi="仿宋" w:eastAsia="仿宋" w:cs="Times New Roman"/>
          <w:b w:val="0"/>
          <w:bCs/>
          <w:snapToGrid w:val="0"/>
          <w:color w:val="auto"/>
          <w:kern w:val="2"/>
          <w:sz w:val="24"/>
          <w:szCs w:val="24"/>
          <w:highlight w:val="none"/>
          <w:lang w:val="en-US" w:eastAsia="zh-CN" w:bidi="ar-SA"/>
        </w:rPr>
        <w:t>，每天上午 00:00 至 12:00，下午 12:00 至 23:59 （北京时间，法定节假日除外）</w:t>
      </w:r>
    </w:p>
    <w:p w14:paraId="755E318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Times New Roman"/>
          <w:b w:val="0"/>
          <w:bCs/>
          <w:snapToGrid w:val="0"/>
          <w:color w:val="auto"/>
          <w:kern w:val="2"/>
          <w:sz w:val="24"/>
          <w:szCs w:val="24"/>
          <w:highlight w:val="none"/>
          <w:lang w:val="en-US" w:eastAsia="zh-CN" w:bidi="ar-SA"/>
        </w:rPr>
      </w:pPr>
      <w:r>
        <w:rPr>
          <w:rFonts w:hint="eastAsia" w:ascii="仿宋" w:hAnsi="仿宋" w:eastAsia="仿宋" w:cs="Times New Roman"/>
          <w:b w:val="0"/>
          <w:bCs/>
          <w:snapToGrid w:val="0"/>
          <w:color w:val="auto"/>
          <w:kern w:val="2"/>
          <w:sz w:val="24"/>
          <w:szCs w:val="24"/>
          <w:highlight w:val="none"/>
          <w:lang w:val="en-US" w:eastAsia="zh-CN" w:bidi="ar-SA"/>
        </w:rPr>
        <w:t>地点：政采云平台（</w:t>
      </w:r>
      <w:r>
        <w:rPr>
          <w:rFonts w:hint="eastAsia" w:ascii="仿宋" w:hAnsi="仿宋" w:eastAsia="仿宋" w:cs="Times New Roman"/>
          <w:b w:val="0"/>
          <w:bCs/>
          <w:snapToGrid w:val="0"/>
          <w:color w:val="auto"/>
          <w:kern w:val="2"/>
          <w:sz w:val="24"/>
          <w:szCs w:val="24"/>
          <w:highlight w:val="none"/>
          <w:lang w:val="en-US" w:eastAsia="zh-CN" w:bidi="ar-SA"/>
        </w:rPr>
        <w:fldChar w:fldCharType="begin"/>
      </w:r>
      <w:r>
        <w:rPr>
          <w:rFonts w:hint="eastAsia" w:ascii="仿宋" w:hAnsi="仿宋" w:eastAsia="仿宋" w:cs="Times New Roman"/>
          <w:b w:val="0"/>
          <w:bCs/>
          <w:snapToGrid w:val="0"/>
          <w:color w:val="auto"/>
          <w:kern w:val="2"/>
          <w:sz w:val="24"/>
          <w:szCs w:val="24"/>
          <w:highlight w:val="none"/>
          <w:lang w:val="en-US" w:eastAsia="zh-CN" w:bidi="ar-SA"/>
        </w:rPr>
        <w:instrText xml:space="preserve"> HYPERLINK "https://www.zcygov.cn/" </w:instrText>
      </w:r>
      <w:r>
        <w:rPr>
          <w:rFonts w:hint="eastAsia" w:ascii="仿宋" w:hAnsi="仿宋" w:eastAsia="仿宋" w:cs="Times New Roman"/>
          <w:b w:val="0"/>
          <w:bCs/>
          <w:snapToGrid w:val="0"/>
          <w:color w:val="auto"/>
          <w:kern w:val="2"/>
          <w:sz w:val="24"/>
          <w:szCs w:val="24"/>
          <w:highlight w:val="none"/>
          <w:lang w:val="en-US" w:eastAsia="zh-CN" w:bidi="ar-SA"/>
        </w:rPr>
        <w:fldChar w:fldCharType="separate"/>
      </w:r>
      <w:r>
        <w:rPr>
          <w:rFonts w:hint="eastAsia" w:ascii="仿宋" w:hAnsi="仿宋" w:eastAsia="仿宋" w:cs="Times New Roman"/>
          <w:b w:val="0"/>
          <w:bCs/>
          <w:snapToGrid w:val="0"/>
          <w:color w:val="auto"/>
          <w:kern w:val="2"/>
          <w:sz w:val="24"/>
          <w:szCs w:val="24"/>
          <w:highlight w:val="none"/>
          <w:lang w:val="en-US" w:eastAsia="zh-CN" w:bidi="ar-SA"/>
        </w:rPr>
        <w:t>https://www.zcygov.cn/</w:t>
      </w:r>
      <w:r>
        <w:rPr>
          <w:rFonts w:hint="eastAsia" w:ascii="仿宋" w:hAnsi="仿宋" w:eastAsia="仿宋" w:cs="Times New Roman"/>
          <w:b w:val="0"/>
          <w:bCs/>
          <w:snapToGrid w:val="0"/>
          <w:color w:val="auto"/>
          <w:kern w:val="2"/>
          <w:sz w:val="24"/>
          <w:szCs w:val="24"/>
          <w:highlight w:val="none"/>
          <w:lang w:val="en-US" w:eastAsia="zh-CN" w:bidi="ar-SA"/>
        </w:rPr>
        <w:fldChar w:fldCharType="end"/>
      </w:r>
      <w:r>
        <w:rPr>
          <w:rFonts w:hint="eastAsia" w:ascii="仿宋" w:hAnsi="仿宋" w:eastAsia="仿宋" w:cs="Times New Roman"/>
          <w:b w:val="0"/>
          <w:bCs/>
          <w:snapToGrid w:val="0"/>
          <w:color w:val="auto"/>
          <w:kern w:val="2"/>
          <w:sz w:val="24"/>
          <w:szCs w:val="24"/>
          <w:highlight w:val="none"/>
          <w:lang w:val="en-US" w:eastAsia="zh-CN" w:bidi="ar-SA"/>
        </w:rPr>
        <w:t>）</w:t>
      </w:r>
    </w:p>
    <w:p w14:paraId="713F3784">
      <w:pPr>
        <w:keepNext w:val="0"/>
        <w:keepLines w:val="0"/>
        <w:pageBreakBefore w:val="0"/>
        <w:kinsoku/>
        <w:wordWrap/>
        <w:overflowPunct/>
        <w:topLinePunct w:val="0"/>
        <w:autoSpaceDE/>
        <w:autoSpaceDN/>
        <w:bidi w:val="0"/>
        <w:adjustRightInd w:val="0"/>
        <w:spacing w:line="360" w:lineRule="auto"/>
        <w:ind w:firstLine="480" w:firstLineChars="200"/>
        <w:textAlignment w:val="auto"/>
        <w:rPr>
          <w:rFonts w:hint="eastAsia" w:ascii="仿宋" w:hAnsi="仿宋" w:eastAsia="仿宋" w:cs="Times New Roman"/>
          <w:b w:val="0"/>
          <w:bCs/>
          <w:snapToGrid w:val="0"/>
          <w:color w:val="auto"/>
          <w:kern w:val="2"/>
          <w:sz w:val="24"/>
          <w:szCs w:val="24"/>
          <w:highlight w:val="none"/>
          <w:lang w:val="en-US" w:eastAsia="zh-CN" w:bidi="ar-SA"/>
        </w:rPr>
      </w:pPr>
      <w:r>
        <w:rPr>
          <w:rFonts w:hint="eastAsia" w:ascii="仿宋" w:hAnsi="仿宋" w:eastAsia="仿宋" w:cs="Times New Roman"/>
          <w:b w:val="0"/>
          <w:bCs/>
          <w:snapToGrid w:val="0"/>
          <w:color w:val="auto"/>
          <w:kern w:val="2"/>
          <w:sz w:val="24"/>
          <w:szCs w:val="24"/>
          <w:highlight w:val="none"/>
          <w:lang w:val="en-US" w:eastAsia="zh-CN" w:bidi="ar-SA"/>
        </w:rPr>
        <w:t>方式：供应商登录政采云平台</w:t>
      </w:r>
      <w:r>
        <w:rPr>
          <w:rFonts w:hint="eastAsia" w:ascii="仿宋" w:hAnsi="仿宋" w:eastAsia="仿宋" w:cs="Times New Roman"/>
          <w:b w:val="0"/>
          <w:bCs/>
          <w:snapToGrid w:val="0"/>
          <w:color w:val="auto"/>
          <w:kern w:val="2"/>
          <w:sz w:val="24"/>
          <w:szCs w:val="24"/>
          <w:highlight w:val="none"/>
          <w:lang w:val="en-US" w:eastAsia="zh-CN" w:bidi="ar-SA"/>
        </w:rPr>
        <w:fldChar w:fldCharType="begin"/>
      </w:r>
      <w:r>
        <w:rPr>
          <w:rFonts w:hint="eastAsia" w:ascii="仿宋" w:hAnsi="仿宋" w:eastAsia="仿宋" w:cs="Times New Roman"/>
          <w:b w:val="0"/>
          <w:bCs/>
          <w:snapToGrid w:val="0"/>
          <w:color w:val="auto"/>
          <w:kern w:val="2"/>
          <w:sz w:val="24"/>
          <w:szCs w:val="24"/>
          <w:highlight w:val="none"/>
          <w:lang w:val="en-US" w:eastAsia="zh-CN" w:bidi="ar-SA"/>
        </w:rPr>
        <w:instrText xml:space="preserve"> HYPERLINK "https://www.zcygov.cn/" </w:instrText>
      </w:r>
      <w:r>
        <w:rPr>
          <w:rFonts w:hint="eastAsia" w:ascii="仿宋" w:hAnsi="仿宋" w:eastAsia="仿宋" w:cs="Times New Roman"/>
          <w:b w:val="0"/>
          <w:bCs/>
          <w:snapToGrid w:val="0"/>
          <w:color w:val="auto"/>
          <w:kern w:val="2"/>
          <w:sz w:val="24"/>
          <w:szCs w:val="24"/>
          <w:highlight w:val="none"/>
          <w:lang w:val="en-US" w:eastAsia="zh-CN" w:bidi="ar-SA"/>
        </w:rPr>
        <w:fldChar w:fldCharType="separate"/>
      </w:r>
      <w:r>
        <w:rPr>
          <w:rFonts w:hint="eastAsia" w:ascii="仿宋" w:hAnsi="仿宋" w:eastAsia="仿宋" w:cs="Times New Roman"/>
          <w:b w:val="0"/>
          <w:bCs/>
          <w:snapToGrid w:val="0"/>
          <w:color w:val="auto"/>
          <w:kern w:val="2"/>
          <w:sz w:val="24"/>
          <w:szCs w:val="24"/>
          <w:highlight w:val="none"/>
          <w:lang w:val="en-US" w:eastAsia="zh-CN" w:bidi="ar-SA"/>
        </w:rPr>
        <w:t>https://www.zcygov.cn/</w:t>
      </w:r>
      <w:r>
        <w:rPr>
          <w:rFonts w:hint="eastAsia" w:ascii="仿宋" w:hAnsi="仿宋" w:eastAsia="仿宋" w:cs="Times New Roman"/>
          <w:b w:val="0"/>
          <w:bCs/>
          <w:snapToGrid w:val="0"/>
          <w:color w:val="auto"/>
          <w:kern w:val="2"/>
          <w:sz w:val="24"/>
          <w:szCs w:val="24"/>
          <w:highlight w:val="none"/>
          <w:lang w:val="en-US" w:eastAsia="zh-CN" w:bidi="ar-SA"/>
        </w:rPr>
        <w:fldChar w:fldCharType="end"/>
      </w:r>
      <w:r>
        <w:rPr>
          <w:rFonts w:hint="eastAsia" w:ascii="仿宋" w:hAnsi="仿宋" w:eastAsia="仿宋" w:cs="Times New Roman"/>
          <w:b w:val="0"/>
          <w:bCs/>
          <w:snapToGrid w:val="0"/>
          <w:color w:val="auto"/>
          <w:kern w:val="2"/>
          <w:sz w:val="24"/>
          <w:szCs w:val="24"/>
          <w:highlight w:val="none"/>
          <w:lang w:val="en-US" w:eastAsia="zh-CN" w:bidi="ar-SA"/>
        </w:rPr>
        <w:t>在线申请获取采购文件（进 入“项目采购”应用，在获取采购文件菜单中选择项目，申请获取采购文件）</w:t>
      </w:r>
    </w:p>
    <w:p w14:paraId="0F22D1E7">
      <w:pPr>
        <w:pStyle w:val="13"/>
        <w:spacing w:line="360" w:lineRule="auto"/>
        <w:ind w:firstLine="0"/>
        <w:rPr>
          <w:rFonts w:ascii="仿宋" w:hAnsi="仿宋" w:eastAsia="仿宋"/>
          <w:b/>
          <w:color w:val="auto"/>
          <w:sz w:val="24"/>
          <w:szCs w:val="24"/>
          <w:highlight w:val="none"/>
        </w:rPr>
      </w:pPr>
      <w:r>
        <w:rPr>
          <w:rFonts w:hint="eastAsia" w:ascii="仿宋" w:hAnsi="仿宋" w:eastAsia="仿宋"/>
          <w:b/>
          <w:color w:val="auto"/>
          <w:sz w:val="24"/>
          <w:szCs w:val="24"/>
          <w:highlight w:val="none"/>
        </w:rPr>
        <w:t>五、响应文件的提交方式、提交截止时间和地点，开启方式、时间和地点</w:t>
      </w:r>
    </w:p>
    <w:p w14:paraId="5412572E">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响应文件提交截止时间：2025 年</w:t>
      </w:r>
      <w:r>
        <w:rPr>
          <w:rFonts w:hint="eastAsia" w:ascii="仿宋" w:hAnsi="仿宋" w:eastAsia="仿宋" w:cs="Arial"/>
          <w:color w:val="auto"/>
          <w:sz w:val="24"/>
          <w:szCs w:val="24"/>
          <w:highlight w:val="none"/>
          <w:lang w:val="en-US" w:eastAsia="zh-CN"/>
        </w:rPr>
        <w:t>08月04日9:00 :</w:t>
      </w:r>
      <w:r>
        <w:rPr>
          <w:rFonts w:hint="eastAsia" w:ascii="仿宋" w:hAnsi="仿宋" w:eastAsia="仿宋" w:cs="Arial"/>
          <w:color w:val="auto"/>
          <w:sz w:val="24"/>
          <w:szCs w:val="24"/>
          <w:highlight w:val="none"/>
        </w:rPr>
        <w:t>（北京时间）</w:t>
      </w:r>
    </w:p>
    <w:p w14:paraId="4F7498EB">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响应文件提交地点（网址）：政采云平台（</w:t>
      </w:r>
      <w:r>
        <w:rPr>
          <w:rFonts w:hint="eastAsia" w:ascii="仿宋" w:hAnsi="仿宋" w:eastAsia="仿宋" w:cs="Arial"/>
          <w:color w:val="auto"/>
          <w:sz w:val="24"/>
          <w:szCs w:val="24"/>
          <w:highlight w:val="none"/>
        </w:rPr>
        <w:fldChar w:fldCharType="begin"/>
      </w:r>
      <w:r>
        <w:rPr>
          <w:rFonts w:hint="eastAsia" w:ascii="仿宋" w:hAnsi="仿宋" w:eastAsia="仿宋" w:cs="Arial"/>
          <w:color w:val="auto"/>
          <w:sz w:val="24"/>
          <w:szCs w:val="24"/>
          <w:highlight w:val="none"/>
        </w:rPr>
        <w:instrText xml:space="preserve"> HYPERLINK "https://www.zcygov.cn/" </w:instrText>
      </w:r>
      <w:r>
        <w:rPr>
          <w:rFonts w:hint="eastAsia" w:ascii="仿宋" w:hAnsi="仿宋" w:eastAsia="仿宋" w:cs="Arial"/>
          <w:color w:val="auto"/>
          <w:sz w:val="24"/>
          <w:szCs w:val="24"/>
          <w:highlight w:val="none"/>
        </w:rPr>
        <w:fldChar w:fldCharType="separate"/>
      </w:r>
      <w:r>
        <w:rPr>
          <w:rFonts w:hint="eastAsia" w:ascii="仿宋" w:hAnsi="仿宋" w:eastAsia="仿宋" w:cs="Arial"/>
          <w:color w:val="auto"/>
          <w:sz w:val="24"/>
          <w:szCs w:val="24"/>
          <w:highlight w:val="none"/>
        </w:rPr>
        <w:t>https://www.zcygov.cn/</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w:t>
      </w:r>
    </w:p>
    <w:p w14:paraId="73F0AAC6">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Arial"/>
          <w:color w:val="auto"/>
          <w:sz w:val="24"/>
          <w:szCs w:val="24"/>
          <w:highlight w:val="none"/>
        </w:rPr>
      </w:pPr>
      <w:r>
        <w:rPr>
          <w:rFonts w:hint="eastAsia" w:ascii="仿宋" w:hAnsi="仿宋" w:eastAsia="仿宋" w:cs="Arial"/>
          <w:color w:val="auto"/>
          <w:sz w:val="24"/>
          <w:szCs w:val="24"/>
          <w:highlight w:val="none"/>
        </w:rPr>
        <w:t>响应文件开启时间：2025 年</w:t>
      </w:r>
      <w:r>
        <w:rPr>
          <w:rFonts w:hint="eastAsia" w:ascii="仿宋" w:hAnsi="仿宋" w:eastAsia="仿宋" w:cs="Arial"/>
          <w:color w:val="auto"/>
          <w:sz w:val="24"/>
          <w:szCs w:val="24"/>
          <w:highlight w:val="none"/>
          <w:lang w:val="en-US" w:eastAsia="zh-CN"/>
        </w:rPr>
        <w:t>08</w:t>
      </w:r>
      <w:r>
        <w:rPr>
          <w:rFonts w:hint="eastAsia" w:ascii="仿宋" w:hAnsi="仿宋" w:eastAsia="仿宋" w:cs="Arial"/>
          <w:color w:val="auto"/>
          <w:sz w:val="24"/>
          <w:szCs w:val="24"/>
          <w:highlight w:val="none"/>
        </w:rPr>
        <w:t>月</w:t>
      </w:r>
      <w:r>
        <w:rPr>
          <w:rFonts w:hint="eastAsia" w:ascii="仿宋" w:hAnsi="仿宋" w:eastAsia="仿宋" w:cs="Arial"/>
          <w:color w:val="auto"/>
          <w:sz w:val="24"/>
          <w:szCs w:val="24"/>
          <w:highlight w:val="none"/>
          <w:lang w:val="en-US" w:eastAsia="zh-CN"/>
        </w:rPr>
        <w:t>04</w:t>
      </w:r>
      <w:r>
        <w:rPr>
          <w:rFonts w:hint="eastAsia" w:ascii="仿宋" w:hAnsi="仿宋" w:eastAsia="仿宋" w:cs="Arial"/>
          <w:color w:val="auto"/>
          <w:sz w:val="24"/>
          <w:szCs w:val="24"/>
          <w:highlight w:val="none"/>
        </w:rPr>
        <w:t>日</w:t>
      </w:r>
      <w:r>
        <w:rPr>
          <w:rFonts w:hint="eastAsia" w:ascii="仿宋" w:hAnsi="仿宋" w:eastAsia="仿宋" w:cs="Arial"/>
          <w:color w:val="auto"/>
          <w:sz w:val="24"/>
          <w:szCs w:val="24"/>
          <w:highlight w:val="none"/>
          <w:lang w:val="en-US" w:eastAsia="zh-CN"/>
        </w:rPr>
        <w:t xml:space="preserve">9:00（北京时间） </w:t>
      </w:r>
      <w:r>
        <w:rPr>
          <w:rFonts w:hint="eastAsia" w:ascii="仿宋" w:hAnsi="仿宋" w:eastAsia="仿宋" w:cs="Arial"/>
          <w:color w:val="auto"/>
          <w:sz w:val="24"/>
          <w:szCs w:val="24"/>
          <w:highlight w:val="none"/>
        </w:rPr>
        <w:t>:</w:t>
      </w:r>
    </w:p>
    <w:p w14:paraId="416ADCF5">
      <w:pPr>
        <w:pStyle w:val="13"/>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 w:hAnsi="仿宋" w:eastAsia="仿宋" w:cs="Arial"/>
          <w:color w:val="auto"/>
          <w:sz w:val="24"/>
          <w:szCs w:val="24"/>
          <w:highlight w:val="none"/>
        </w:rPr>
      </w:pPr>
      <w:r>
        <w:rPr>
          <w:rFonts w:hint="eastAsia" w:ascii="仿宋" w:hAnsi="仿宋" w:eastAsia="仿宋" w:cs="Arial"/>
          <w:color w:val="auto"/>
          <w:sz w:val="24"/>
          <w:szCs w:val="24"/>
          <w:highlight w:val="none"/>
        </w:rPr>
        <w:t>响应文件开启地点：政采云平台（</w:t>
      </w:r>
      <w:r>
        <w:rPr>
          <w:rFonts w:hint="eastAsia" w:ascii="仿宋" w:hAnsi="仿宋" w:eastAsia="仿宋" w:cs="Arial"/>
          <w:color w:val="auto"/>
          <w:sz w:val="24"/>
          <w:szCs w:val="24"/>
          <w:highlight w:val="none"/>
        </w:rPr>
        <w:fldChar w:fldCharType="begin"/>
      </w:r>
      <w:r>
        <w:rPr>
          <w:rFonts w:hint="eastAsia" w:ascii="仿宋" w:hAnsi="仿宋" w:eastAsia="仿宋" w:cs="Arial"/>
          <w:color w:val="auto"/>
          <w:sz w:val="24"/>
          <w:szCs w:val="24"/>
          <w:highlight w:val="none"/>
        </w:rPr>
        <w:instrText xml:space="preserve"> HYPERLINK "https://www.zcygov.cn/" </w:instrText>
      </w:r>
      <w:r>
        <w:rPr>
          <w:rFonts w:hint="eastAsia" w:ascii="仿宋" w:hAnsi="仿宋" w:eastAsia="仿宋" w:cs="Arial"/>
          <w:color w:val="auto"/>
          <w:sz w:val="24"/>
          <w:szCs w:val="24"/>
          <w:highlight w:val="none"/>
        </w:rPr>
        <w:fldChar w:fldCharType="separate"/>
      </w:r>
      <w:r>
        <w:rPr>
          <w:rFonts w:hint="eastAsia" w:ascii="仿宋" w:hAnsi="仿宋" w:eastAsia="仿宋" w:cs="Arial"/>
          <w:color w:val="auto"/>
          <w:sz w:val="24"/>
          <w:szCs w:val="24"/>
          <w:highlight w:val="none"/>
        </w:rPr>
        <w:t>https://www.zcygov.cn/</w:t>
      </w:r>
      <w:r>
        <w:rPr>
          <w:rFonts w:hint="eastAsia" w:ascii="仿宋" w:hAnsi="仿宋" w:eastAsia="仿宋" w:cs="Arial"/>
          <w:color w:val="auto"/>
          <w:sz w:val="24"/>
          <w:szCs w:val="24"/>
          <w:highlight w:val="none"/>
        </w:rPr>
        <w:fldChar w:fldCharType="end"/>
      </w:r>
      <w:r>
        <w:rPr>
          <w:rFonts w:hint="eastAsia" w:ascii="仿宋" w:hAnsi="仿宋" w:eastAsia="仿宋" w:cs="Arial"/>
          <w:color w:val="auto"/>
          <w:sz w:val="24"/>
          <w:szCs w:val="24"/>
          <w:highlight w:val="none"/>
        </w:rPr>
        <w:t>）。</w:t>
      </w:r>
    </w:p>
    <w:p w14:paraId="0268BF57">
      <w:pPr>
        <w:pStyle w:val="13"/>
        <w:spacing w:line="360" w:lineRule="auto"/>
        <w:ind w:firstLine="0"/>
        <w:rPr>
          <w:rFonts w:ascii="仿宋" w:hAnsi="仿宋" w:eastAsia="仿宋"/>
          <w:b/>
          <w:color w:val="auto"/>
          <w:sz w:val="24"/>
          <w:szCs w:val="24"/>
          <w:highlight w:val="none"/>
        </w:rPr>
      </w:pPr>
      <w:r>
        <w:rPr>
          <w:rFonts w:hint="eastAsia" w:ascii="仿宋" w:hAnsi="仿宋" w:eastAsia="仿宋"/>
          <w:b/>
          <w:color w:val="auto"/>
          <w:sz w:val="24"/>
          <w:szCs w:val="24"/>
          <w:highlight w:val="none"/>
        </w:rPr>
        <w:t>六、公告期限</w:t>
      </w:r>
    </w:p>
    <w:p w14:paraId="69A88DBB">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本项目征集文件公告期限为本公告发布之日起 5 个工作日。</w:t>
      </w:r>
    </w:p>
    <w:p w14:paraId="490B3455">
      <w:pPr>
        <w:pStyle w:val="13"/>
        <w:spacing w:line="360" w:lineRule="auto"/>
        <w:ind w:firstLine="0"/>
        <w:rPr>
          <w:rFonts w:hint="eastAsia" w:ascii="仿宋" w:hAnsi="仿宋" w:eastAsia="仿宋"/>
          <w:b/>
          <w:color w:val="auto"/>
          <w:sz w:val="24"/>
          <w:szCs w:val="24"/>
          <w:highlight w:val="none"/>
        </w:rPr>
      </w:pPr>
      <w:r>
        <w:rPr>
          <w:rFonts w:hint="eastAsia" w:ascii="仿宋" w:hAnsi="仿宋" w:eastAsia="仿宋"/>
          <w:b/>
          <w:color w:val="auto"/>
          <w:sz w:val="24"/>
          <w:szCs w:val="24"/>
          <w:highlight w:val="none"/>
        </w:rPr>
        <w:t>七、省级以上财政部门规定的其他事项</w:t>
      </w:r>
    </w:p>
    <w:p w14:paraId="6E00DCCD">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（1）需要落实的政府采购政策：包括节约资源、保护环境、支持创新、促进中小企业发展等。详见征集文件的第二部分总则。</w:t>
      </w:r>
    </w:p>
    <w:p w14:paraId="5AAE2363">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olor w:val="auto"/>
          <w:sz w:val="24"/>
          <w:highlight w:val="none"/>
        </w:rPr>
      </w:pPr>
      <w:r>
        <w:rPr>
          <w:rFonts w:hint="eastAsia" w:ascii="仿宋" w:hAnsi="仿宋" w:eastAsia="仿宋"/>
          <w:color w:val="auto"/>
          <w:sz w:val="24"/>
          <w:highlight w:val="none"/>
        </w:rPr>
        <w:t>（2）电子招投标的说明：①电子招投标：本项目以数据电文形式，依托“政府采购云平台（</w:t>
      </w:r>
      <w:r>
        <w:rPr>
          <w:rFonts w:hint="eastAsia" w:ascii="仿宋" w:hAnsi="仿宋" w:eastAsia="仿宋"/>
          <w:color w:val="auto"/>
          <w:sz w:val="24"/>
          <w:highlight w:val="none"/>
        </w:rPr>
        <w:fldChar w:fldCharType="begin"/>
      </w:r>
      <w:r>
        <w:rPr>
          <w:rFonts w:hint="eastAsia" w:ascii="仿宋" w:hAnsi="仿宋" w:eastAsia="仿宋"/>
          <w:color w:val="auto"/>
          <w:sz w:val="24"/>
          <w:highlight w:val="none"/>
        </w:rPr>
        <w:instrText xml:space="preserve"> HYPERLINK "https://www.zcygov.cn" </w:instrText>
      </w:r>
      <w:r>
        <w:rPr>
          <w:rFonts w:hint="eastAsia" w:ascii="仿宋" w:hAnsi="仿宋" w:eastAsia="仿宋"/>
          <w:color w:val="auto"/>
          <w:sz w:val="24"/>
          <w:highlight w:val="none"/>
        </w:rPr>
        <w:fldChar w:fldCharType="separate"/>
      </w:r>
      <w:r>
        <w:rPr>
          <w:rFonts w:hint="eastAsia" w:ascii="仿宋" w:hAnsi="仿宋" w:eastAsia="仿宋"/>
          <w:color w:val="auto"/>
          <w:sz w:val="24"/>
          <w:highlight w:val="none"/>
        </w:rPr>
        <w:t>www.zcygov.cn</w:t>
      </w:r>
      <w:r>
        <w:rPr>
          <w:rFonts w:hint="eastAsia" w:ascii="仿宋" w:hAnsi="仿宋" w:eastAsia="仿宋"/>
          <w:color w:val="auto"/>
          <w:sz w:val="24"/>
          <w:highlight w:val="none"/>
        </w:rPr>
        <w:fldChar w:fldCharType="end"/>
      </w:r>
      <w:r>
        <w:rPr>
          <w:rFonts w:hint="eastAsia" w:ascii="仿宋" w:hAnsi="仿宋" w:eastAsia="仿宋"/>
          <w:color w:val="auto"/>
          <w:sz w:val="24"/>
          <w:highlight w:val="none"/>
        </w:rPr>
        <w:t>） ”进行招投标活动，不接受纸质响应文件；②投标准备：注册账号--点击“商家入驻 ”，进行政府采购供应商资料填写；申领CA数字证书---申领流程详见“浙江政府采购网-下载专区-电子交易客户端-CA 驱动和申领流程”；安装“政采云电子交易客户端”----前往“浙江政府采购网-下载专区-电子交易客户端”进行下载并安装；③征集文件的获取：使用账号登录或者使用CA登录政采云平台；进入“项目采购 ”应用，在获取征集文件菜单中选择项目</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获取征集文件；④响应文件的制作：在“政采云电子交易客户端”中完成“填 写基本信息”、“导入响应文件”、“标书关联”、“标书检查”、“ 电子签名”、 “生成电子标书”等操作；⑤征集人、采购代理机构将依托政采云平台完成本项目的电子交易活动，平台不接受未按上述方式获取征集文件的供应商进行投标活动；⑥对未按上述方式获取征集文件的供应商对该文件提出的质疑，征集人或采购代理机构将不予处理；⑦不提供征集文件纸质版；⑧响应文件的传输递交：供应商在投标截止时间前将加密的响应文件上传至政府采购云平台，还可以在投标截止时间前直接提交或者以邮政快递方式递交备份响应文件1份。备份响应文件的制作、存储、密封详见征集文件第二部分第15点—“备份响应文件”；⑨响应文件的解密：供应商按照平台提示和征集文件的规定在半小时内完成在线解密。通过“政府采购云平台 ”上传递交的响应文件无法按时解密，投标供应商递交了备份响应文件的，以备份响应文件为依据，否则视为响应文件撤回。通过“政府采购云平台”上传递交的响应文件已按时解密的，备份响应文件自动失效。供应商仅提交备份响应文件，没有在电子交易平台传输递交响应文件的，投标无效；⑩具体操作指南：详见政采云平台“服务中心-帮助文档-项目采购-操作流程-电 子招投标-政府采购项目电子交易管理操作指南-供应商”。</w:t>
      </w:r>
    </w:p>
    <w:p w14:paraId="7D457320">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3）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D817ACC">
      <w:pPr>
        <w:pStyle w:val="28"/>
        <w:keepNext w:val="0"/>
        <w:keepLines w:val="0"/>
        <w:pageBreakBefore w:val="0"/>
        <w:widowControl w:val="0"/>
        <w:kinsoku/>
        <w:overflowPunct/>
        <w:topLinePunct w:val="0"/>
        <w:autoSpaceDE/>
        <w:autoSpaceDN/>
        <w:bidi w:val="0"/>
        <w:adjustRightInd w:val="0"/>
        <w:snapToGrid/>
        <w:spacing w:line="360" w:lineRule="auto"/>
        <w:textAlignment w:val="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八、采购人及同级政府采购监督管理部门联系方式</w:t>
      </w:r>
    </w:p>
    <w:p w14:paraId="42D9EE90">
      <w:pPr>
        <w:keepNext w:val="0"/>
        <w:keepLines w:val="0"/>
        <w:pageBreakBefore w:val="0"/>
        <w:widowControl w:val="0"/>
        <w:kinsoku/>
        <w:overflowPunct/>
        <w:topLinePunct w:val="0"/>
        <w:autoSpaceDE/>
        <w:autoSpaceDN/>
        <w:bidi w:val="0"/>
        <w:adjustRightInd w:val="0"/>
        <w:snapToGrid/>
        <w:spacing w:line="360" w:lineRule="auto"/>
        <w:ind w:left="0" w:leftChars="0" w:firstLine="482" w:firstLineChars="200"/>
        <w:textAlignment w:val="auto"/>
        <w:rPr>
          <w:rFonts w:ascii="仿宋" w:hAnsi="仿宋" w:eastAsia="仿宋"/>
          <w:b/>
          <w:color w:val="auto"/>
          <w:sz w:val="24"/>
          <w:highlight w:val="none"/>
        </w:rPr>
      </w:pPr>
      <w:r>
        <w:rPr>
          <w:rFonts w:ascii="仿宋" w:hAnsi="仿宋" w:eastAsia="仿宋"/>
          <w:b/>
          <w:color w:val="auto"/>
          <w:sz w:val="24"/>
          <w:highlight w:val="none"/>
        </w:rPr>
        <w:t>1.征集人信息</w:t>
      </w:r>
    </w:p>
    <w:p w14:paraId="4BB7FDAD">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b/>
          <w:color w:val="auto"/>
          <w:sz w:val="24"/>
          <w:highlight w:val="none"/>
          <w:lang w:eastAsia="zh-CN"/>
        </w:rPr>
      </w:pPr>
      <w:r>
        <w:rPr>
          <w:rFonts w:ascii="仿宋" w:hAnsi="仿宋" w:eastAsia="仿宋" w:cs="仿宋_GB2312"/>
          <w:snapToGrid w:val="0"/>
          <w:color w:val="auto"/>
          <w:sz w:val="24"/>
          <w:highlight w:val="none"/>
        </w:rPr>
        <w:t>名    称：</w:t>
      </w:r>
      <w:r>
        <w:rPr>
          <w:rFonts w:hint="eastAsia" w:ascii="仿宋" w:hAnsi="仿宋" w:eastAsia="仿宋" w:cs="仿宋_GB2312"/>
          <w:snapToGrid w:val="0"/>
          <w:color w:val="auto"/>
          <w:sz w:val="24"/>
          <w:highlight w:val="none"/>
          <w:lang w:eastAsia="zh-CN"/>
        </w:rPr>
        <w:t>杭州市滨江区民政局</w:t>
      </w:r>
    </w:p>
    <w:p w14:paraId="3A2D6DDC">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auto"/>
          <w:sz w:val="24"/>
          <w:highlight w:val="none"/>
        </w:rPr>
      </w:pPr>
      <w:r>
        <w:rPr>
          <w:rFonts w:ascii="仿宋" w:hAnsi="仿宋" w:eastAsia="仿宋" w:cs="仿宋_GB2312"/>
          <w:snapToGrid w:val="0"/>
          <w:color w:val="auto"/>
          <w:sz w:val="24"/>
          <w:highlight w:val="none"/>
        </w:rPr>
        <w:t>地    址：杭州市滨江区</w:t>
      </w:r>
      <w:r>
        <w:rPr>
          <w:rFonts w:hint="eastAsia" w:ascii="仿宋" w:hAnsi="仿宋" w:eastAsia="仿宋" w:cs="仿宋_GB2312"/>
          <w:snapToGrid w:val="0"/>
          <w:color w:val="auto"/>
          <w:sz w:val="24"/>
          <w:highlight w:val="none"/>
        </w:rPr>
        <w:t>江南大道328号</w:t>
      </w:r>
    </w:p>
    <w:p w14:paraId="7ADEDD76">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default" w:ascii="仿宋" w:hAnsi="仿宋" w:eastAsia="仿宋" w:cs="仿宋_GB2312"/>
          <w:snapToGrid w:val="0"/>
          <w:color w:val="auto"/>
          <w:sz w:val="24"/>
          <w:highlight w:val="none"/>
          <w:u w:val="single"/>
          <w:lang w:val="en-US" w:eastAsia="zh-CN"/>
        </w:rPr>
      </w:pPr>
      <w:r>
        <w:rPr>
          <w:rFonts w:hint="eastAsia" w:ascii="仿宋" w:hAnsi="仿宋" w:eastAsia="仿宋" w:cs="仿宋_GB2312"/>
          <w:snapToGrid w:val="0"/>
          <w:color w:val="auto"/>
          <w:sz w:val="24"/>
          <w:highlight w:val="none"/>
        </w:rPr>
        <w:t>传</w:t>
      </w:r>
      <w:r>
        <w:rPr>
          <w:rFonts w:ascii="仿宋" w:hAnsi="仿宋" w:eastAsia="仿宋" w:cs="仿宋_GB2312"/>
          <w:snapToGrid w:val="0"/>
          <w:color w:val="auto"/>
          <w:sz w:val="24"/>
          <w:highlight w:val="none"/>
        </w:rPr>
        <w:t xml:space="preserve">    真：</w:t>
      </w:r>
      <w:r>
        <w:rPr>
          <w:rFonts w:hint="eastAsia" w:ascii="仿宋" w:hAnsi="仿宋" w:eastAsia="仿宋" w:cs="仿宋_GB2312"/>
          <w:snapToGrid w:val="0"/>
          <w:color w:val="auto"/>
          <w:sz w:val="24"/>
          <w:highlight w:val="none"/>
          <w:lang w:val="en-US" w:eastAsia="zh-CN"/>
        </w:rPr>
        <w:t>/</w:t>
      </w:r>
    </w:p>
    <w:p w14:paraId="754807F6">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auto"/>
          <w:sz w:val="24"/>
          <w:highlight w:val="none"/>
        </w:rPr>
      </w:pPr>
      <w:r>
        <w:rPr>
          <w:rFonts w:hint="eastAsia" w:ascii="仿宋" w:hAnsi="仿宋" w:eastAsia="仿宋" w:cs="仿宋_GB2312"/>
          <w:snapToGrid w:val="0"/>
          <w:color w:val="auto"/>
          <w:sz w:val="24"/>
          <w:highlight w:val="none"/>
        </w:rPr>
        <w:t>项目联系人（询问）：</w:t>
      </w:r>
      <w:r>
        <w:rPr>
          <w:rFonts w:hint="eastAsia" w:ascii="仿宋" w:hAnsi="仿宋" w:eastAsia="仿宋" w:cs="仿宋_GB2312"/>
          <w:snapToGrid w:val="0"/>
          <w:color w:val="auto"/>
          <w:sz w:val="24"/>
          <w:highlight w:val="none"/>
          <w:lang w:val="en-US" w:eastAsia="zh-CN"/>
        </w:rPr>
        <w:t>王女士</w:t>
      </w:r>
    </w:p>
    <w:p w14:paraId="28F423FA">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auto"/>
          <w:sz w:val="24"/>
          <w:highlight w:val="none"/>
        </w:rPr>
      </w:pPr>
      <w:r>
        <w:rPr>
          <w:rFonts w:ascii="仿宋" w:hAnsi="仿宋" w:eastAsia="仿宋" w:cs="仿宋_GB2312"/>
          <w:snapToGrid w:val="0"/>
          <w:color w:val="auto"/>
          <w:sz w:val="24"/>
          <w:highlight w:val="none"/>
        </w:rPr>
        <w:t>项目联系方式（询问）：</w:t>
      </w:r>
      <w:r>
        <w:rPr>
          <w:rFonts w:hint="eastAsia" w:ascii="仿宋" w:hAnsi="仿宋" w:eastAsia="仿宋" w:cs="仿宋_GB2312"/>
          <w:snapToGrid w:val="0"/>
          <w:color w:val="auto"/>
          <w:sz w:val="24"/>
          <w:highlight w:val="none"/>
          <w:lang w:val="en-US" w:eastAsia="zh-CN"/>
        </w:rPr>
        <w:t>0571-89521130</w:t>
      </w:r>
    </w:p>
    <w:p w14:paraId="765B7239">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auto"/>
          <w:sz w:val="24"/>
          <w:highlight w:val="none"/>
        </w:rPr>
      </w:pPr>
      <w:r>
        <w:rPr>
          <w:rFonts w:ascii="仿宋" w:hAnsi="仿宋" w:eastAsia="仿宋" w:cs="仿宋_GB2312"/>
          <w:snapToGrid w:val="0"/>
          <w:color w:val="auto"/>
          <w:sz w:val="24"/>
          <w:highlight w:val="none"/>
        </w:rPr>
        <w:t>质疑联系人：</w:t>
      </w:r>
      <w:r>
        <w:rPr>
          <w:rFonts w:hint="eastAsia" w:ascii="仿宋" w:hAnsi="仿宋" w:eastAsia="仿宋" w:cs="仿宋_GB2312"/>
          <w:snapToGrid w:val="0"/>
          <w:color w:val="auto"/>
          <w:sz w:val="24"/>
          <w:highlight w:val="none"/>
          <w:lang w:val="en-US" w:eastAsia="zh-CN"/>
        </w:rPr>
        <w:t>陶女士</w:t>
      </w:r>
    </w:p>
    <w:p w14:paraId="6D39AC55">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_GB2312"/>
          <w:snapToGrid w:val="0"/>
          <w:color w:val="auto"/>
          <w:sz w:val="24"/>
          <w:highlight w:val="none"/>
        </w:rPr>
      </w:pPr>
      <w:r>
        <w:rPr>
          <w:rFonts w:ascii="仿宋" w:hAnsi="仿宋" w:eastAsia="仿宋" w:cs="仿宋_GB2312"/>
          <w:snapToGrid w:val="0"/>
          <w:color w:val="auto"/>
          <w:sz w:val="24"/>
          <w:highlight w:val="none"/>
        </w:rPr>
        <w:t>质疑联系方式：</w:t>
      </w:r>
      <w:r>
        <w:rPr>
          <w:rFonts w:hint="eastAsia" w:ascii="仿宋" w:hAnsi="仿宋" w:eastAsia="仿宋" w:cs="仿宋_GB2312"/>
          <w:snapToGrid w:val="0"/>
          <w:color w:val="auto"/>
          <w:sz w:val="24"/>
          <w:highlight w:val="none"/>
          <w:lang w:val="zh-TW" w:eastAsia="zh-CN"/>
        </w:rPr>
        <w:t>0571-89521116</w:t>
      </w:r>
    </w:p>
    <w:p w14:paraId="6686C75B">
      <w:pPr>
        <w:keepNext w:val="0"/>
        <w:keepLines w:val="0"/>
        <w:pageBreakBefore w:val="0"/>
        <w:widowControl w:val="0"/>
        <w:kinsoku/>
        <w:overflowPunct/>
        <w:topLinePunct w:val="0"/>
        <w:autoSpaceDE/>
        <w:autoSpaceDN/>
        <w:bidi w:val="0"/>
        <w:adjustRightInd w:val="0"/>
        <w:snapToGrid/>
        <w:spacing w:line="360" w:lineRule="auto"/>
        <w:ind w:left="0" w:leftChars="0" w:firstLine="482" w:firstLineChars="200"/>
        <w:textAlignment w:val="auto"/>
        <w:rPr>
          <w:rFonts w:ascii="仿宋" w:hAnsi="仿宋" w:eastAsia="仿宋"/>
          <w:b/>
          <w:color w:val="auto"/>
          <w:sz w:val="24"/>
          <w:highlight w:val="none"/>
        </w:rPr>
      </w:pPr>
      <w:r>
        <w:rPr>
          <w:rFonts w:ascii="仿宋" w:hAnsi="仿宋" w:eastAsia="仿宋"/>
          <w:b/>
          <w:color w:val="auto"/>
          <w:sz w:val="24"/>
          <w:highlight w:val="none"/>
        </w:rPr>
        <w:t xml:space="preserve">2.采购代理机构信息            </w:t>
      </w:r>
    </w:p>
    <w:p w14:paraId="21FCF993">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浙江中跃科技咨询有限公司</w:t>
      </w:r>
    </w:p>
    <w:p w14:paraId="31D6A3B8">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lang w:eastAsia="zh-CN"/>
        </w:rPr>
        <w:t>杭州市萧山区金城路185号商会大厦B座27层03室</w:t>
      </w:r>
    </w:p>
    <w:p w14:paraId="712976A1">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s="仿宋"/>
          <w:color w:val="auto"/>
          <w:sz w:val="24"/>
          <w:highlight w:val="none"/>
        </w:rPr>
      </w:pPr>
      <w:r>
        <w:rPr>
          <w:rFonts w:hint="eastAsia" w:ascii="仿宋" w:hAnsi="仿宋" w:eastAsia="仿宋" w:cs="仿宋"/>
          <w:color w:val="auto"/>
          <w:sz w:val="24"/>
          <w:highlight w:val="none"/>
        </w:rPr>
        <w:t>传    真： /</w:t>
      </w:r>
    </w:p>
    <w:p w14:paraId="17CAB88C">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俞工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郭工</w:t>
      </w:r>
    </w:p>
    <w:p w14:paraId="154AF7AD">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val="en-US" w:eastAsia="zh-CN"/>
        </w:rPr>
        <w:t>18257176004、0571-82750185</w:t>
      </w:r>
    </w:p>
    <w:p w14:paraId="10C52D8F">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质疑联系人：</w:t>
      </w:r>
      <w:r>
        <w:rPr>
          <w:rFonts w:hint="eastAsia" w:ascii="仿宋" w:hAnsi="仿宋" w:eastAsia="仿宋" w:cs="仿宋"/>
          <w:color w:val="auto"/>
          <w:sz w:val="24"/>
          <w:highlight w:val="none"/>
          <w:lang w:eastAsia="zh-CN"/>
        </w:rPr>
        <w:t>徐先生</w:t>
      </w:r>
    </w:p>
    <w:p w14:paraId="349D6235">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13732262255</w:t>
      </w:r>
    </w:p>
    <w:p w14:paraId="573C6359">
      <w:pPr>
        <w:keepNext w:val="0"/>
        <w:keepLines w:val="0"/>
        <w:pageBreakBefore w:val="0"/>
        <w:widowControl w:val="0"/>
        <w:kinsoku/>
        <w:overflowPunct/>
        <w:topLinePunct w:val="0"/>
        <w:autoSpaceDE/>
        <w:autoSpaceDN/>
        <w:bidi w:val="0"/>
        <w:adjustRightInd w:val="0"/>
        <w:snapToGrid/>
        <w:spacing w:line="360" w:lineRule="auto"/>
        <w:ind w:left="0" w:leftChars="0" w:firstLine="482" w:firstLineChars="200"/>
        <w:textAlignment w:val="auto"/>
        <w:rPr>
          <w:rFonts w:ascii="仿宋" w:hAnsi="仿宋" w:eastAsia="仿宋"/>
          <w:b/>
          <w:color w:val="auto"/>
          <w:sz w:val="24"/>
          <w:highlight w:val="none"/>
        </w:rPr>
      </w:pPr>
      <w:r>
        <w:rPr>
          <w:rFonts w:ascii="仿宋" w:hAnsi="仿宋" w:eastAsia="仿宋"/>
          <w:b/>
          <w:color w:val="auto"/>
          <w:sz w:val="24"/>
          <w:highlight w:val="none"/>
        </w:rPr>
        <w:t xml:space="preserve">3.同级政府采购监督管理部门            </w:t>
      </w:r>
    </w:p>
    <w:p w14:paraId="1E3F075B">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名    称：</w:t>
      </w:r>
      <w:r>
        <w:rPr>
          <w:rFonts w:hint="eastAsia" w:ascii="仿宋" w:hAnsi="仿宋" w:eastAsia="仿宋"/>
          <w:color w:val="auto"/>
          <w:sz w:val="24"/>
          <w:highlight w:val="none"/>
          <w:lang w:eastAsia="zh-CN"/>
        </w:rPr>
        <w:t>杭州市财政局政府采购监管处/浙江省政府采购行政裁决服务中心（杭州）</w:t>
      </w:r>
    </w:p>
    <w:p w14:paraId="6691B8A1">
      <w:pPr>
        <w:keepNext w:val="0"/>
        <w:keepLines w:val="0"/>
        <w:pageBreakBefore w:val="0"/>
        <w:widowControl w:val="0"/>
        <w:kinsoku/>
        <w:wordWrap w:val="0"/>
        <w:overflowPunct/>
        <w:topLinePunct w:val="0"/>
        <w:autoSpaceDE/>
        <w:autoSpaceDN/>
        <w:bidi w:val="0"/>
        <w:adjustRightInd w:val="0"/>
        <w:snapToGrid/>
        <w:spacing w:line="360" w:lineRule="auto"/>
        <w:ind w:left="479" w:leftChars="228" w:firstLine="0" w:firstLineChars="0"/>
        <w:textAlignment w:val="auto"/>
        <w:rPr>
          <w:rFonts w:ascii="仿宋" w:hAnsi="仿宋" w:eastAsia="仿宋"/>
          <w:color w:val="auto"/>
          <w:sz w:val="24"/>
          <w:highlight w:val="none"/>
        </w:rPr>
      </w:pPr>
      <w:r>
        <w:rPr>
          <w:rFonts w:hint="eastAsia" w:ascii="仿宋" w:hAnsi="仿宋" w:eastAsia="仿宋"/>
          <w:color w:val="auto"/>
          <w:sz w:val="24"/>
          <w:highlight w:val="none"/>
        </w:rPr>
        <w:t>地    址：</w:t>
      </w:r>
      <w:r>
        <w:rPr>
          <w:rFonts w:hint="eastAsia" w:ascii="仿宋" w:hAnsi="仿宋" w:eastAsia="仿宋"/>
          <w:color w:val="auto"/>
          <w:sz w:val="24"/>
          <w:highlight w:val="none"/>
          <w:lang w:eastAsia="zh-CN"/>
        </w:rPr>
        <w:t>杭州市上城区清泰街549号城建综合大楼11楼（快递仅限ems或顺丰）</w:t>
      </w:r>
      <w:r>
        <w:rPr>
          <w:rFonts w:hint="eastAsia" w:ascii="仿宋" w:hAnsi="仿宋" w:eastAsia="仿宋"/>
          <w:color w:val="auto"/>
          <w:sz w:val="24"/>
          <w:highlight w:val="none"/>
        </w:rPr>
        <w:t>传    真：/</w:t>
      </w:r>
    </w:p>
    <w:p w14:paraId="23B90289">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hint="eastAsia" w:ascii="仿宋" w:hAnsi="仿宋" w:eastAsia="仿宋"/>
          <w:color w:val="auto"/>
          <w:sz w:val="24"/>
          <w:highlight w:val="none"/>
          <w:lang w:eastAsia="zh-CN"/>
        </w:rPr>
      </w:pPr>
      <w:r>
        <w:rPr>
          <w:rFonts w:hint="eastAsia" w:ascii="仿宋" w:hAnsi="仿宋" w:eastAsia="仿宋"/>
          <w:color w:val="auto"/>
          <w:sz w:val="24"/>
          <w:highlight w:val="none"/>
        </w:rPr>
        <w:t>联系人 ：</w:t>
      </w:r>
      <w:r>
        <w:rPr>
          <w:rFonts w:hint="eastAsia" w:ascii="仿宋" w:hAnsi="仿宋" w:eastAsia="仿宋"/>
          <w:color w:val="auto"/>
          <w:sz w:val="24"/>
          <w:highlight w:val="none"/>
          <w:lang w:eastAsia="zh-CN"/>
        </w:rPr>
        <w:t>朱女士、王女士</w:t>
      </w:r>
    </w:p>
    <w:p w14:paraId="15CC7524">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监督投诉电话：0571-8</w:t>
      </w:r>
      <w:r>
        <w:rPr>
          <w:rFonts w:hint="eastAsia" w:ascii="仿宋" w:hAnsi="仿宋" w:eastAsia="仿宋"/>
          <w:color w:val="auto"/>
          <w:sz w:val="24"/>
          <w:highlight w:val="none"/>
          <w:lang w:val="en-US" w:eastAsia="zh-CN"/>
        </w:rPr>
        <w:t>7227671,0571-87800218</w:t>
      </w:r>
      <w:r>
        <w:rPr>
          <w:rFonts w:hint="eastAsia" w:ascii="仿宋" w:hAnsi="仿宋" w:eastAsia="仿宋"/>
          <w:color w:val="auto"/>
          <w:sz w:val="24"/>
          <w:highlight w:val="none"/>
        </w:rPr>
        <w:t xml:space="preserve">  </w:t>
      </w:r>
      <w:r>
        <w:rPr>
          <w:rFonts w:hint="eastAsia" w:ascii="宋体" w:hAnsi="宋体" w:cs="宋体"/>
          <w:color w:val="auto"/>
          <w:sz w:val="24"/>
          <w:highlight w:val="none"/>
        </w:rPr>
        <w:t xml:space="preserve"> </w:t>
      </w:r>
    </w:p>
    <w:p w14:paraId="74EF0562">
      <w:pPr>
        <w:keepNext w:val="0"/>
        <w:keepLines w:val="0"/>
        <w:pageBreakBefore w:val="0"/>
        <w:widowControl w:val="0"/>
        <w:kinsoku/>
        <w:wordWrap w:val="0"/>
        <w:overflowPunct/>
        <w:topLinePunct w:val="0"/>
        <w:autoSpaceDE/>
        <w:autoSpaceDN/>
        <w:bidi w:val="0"/>
        <w:adjustRightInd w:val="0"/>
        <w:snapToGrid/>
        <w:spacing w:line="360" w:lineRule="auto"/>
        <w:ind w:left="0" w:leftChars="0" w:firstLine="480" w:firstLineChars="200"/>
        <w:textAlignment w:val="auto"/>
        <w:rPr>
          <w:rFonts w:ascii="仿宋" w:hAnsi="仿宋" w:eastAsia="仿宋"/>
          <w:color w:val="auto"/>
          <w:sz w:val="24"/>
          <w:highlight w:val="none"/>
        </w:rPr>
      </w:pPr>
      <w:r>
        <w:rPr>
          <w:rFonts w:hint="eastAsia" w:ascii="仿宋" w:hAnsi="仿宋" w:eastAsia="仿宋"/>
          <w:color w:val="auto"/>
          <w:sz w:val="24"/>
          <w:highlight w:val="none"/>
        </w:rPr>
        <w:t>若对项目采购电子交易系统操作有疑问，可登录政采云（</w:t>
      </w:r>
      <w:r>
        <w:rPr>
          <w:rFonts w:ascii="仿宋" w:hAnsi="仿宋" w:eastAsia="仿宋"/>
          <w:color w:val="auto"/>
          <w:sz w:val="24"/>
          <w:highlight w:val="none"/>
        </w:rPr>
        <w:t>https://www.zcygov.cn/），点击右侧咨询小采，获取采小蜜智能服务管家帮助，或拨打政</w:t>
      </w:r>
      <w:r>
        <w:rPr>
          <w:rFonts w:hint="eastAsia" w:ascii="仿宋" w:hAnsi="仿宋" w:eastAsia="仿宋"/>
          <w:color w:val="auto"/>
          <w:sz w:val="24"/>
          <w:highlight w:val="none"/>
        </w:rPr>
        <w:t>采云服务热线</w:t>
      </w:r>
      <w:r>
        <w:rPr>
          <w:rFonts w:ascii="仿宋" w:hAnsi="仿宋" w:eastAsia="仿宋"/>
          <w:color w:val="auto"/>
          <w:sz w:val="24"/>
          <w:highlight w:val="none"/>
        </w:rPr>
        <w:t>400-881-7190获取热线服务帮助。</w:t>
      </w:r>
    </w:p>
    <w:p w14:paraId="06BB8F9D">
      <w:pPr>
        <w:keepNext w:val="0"/>
        <w:keepLines w:val="0"/>
        <w:pageBreakBefore w:val="0"/>
        <w:widowControl w:val="0"/>
        <w:kinsoku/>
        <w:overflowPunct/>
        <w:topLinePunct w:val="0"/>
        <w:autoSpaceDE/>
        <w:autoSpaceDN/>
        <w:bidi w:val="0"/>
        <w:adjustRightInd w:val="0"/>
        <w:snapToGrid/>
        <w:spacing w:line="360" w:lineRule="auto"/>
        <w:ind w:left="0" w:leftChars="0" w:firstLine="480" w:firstLineChars="200"/>
        <w:textAlignment w:val="auto"/>
        <w:rPr>
          <w:rFonts w:ascii="仿宋" w:hAnsi="仿宋" w:eastAsia="仿宋"/>
          <w:color w:val="auto"/>
          <w:sz w:val="24"/>
          <w:highlight w:val="none"/>
        </w:rPr>
      </w:pPr>
      <w:r>
        <w:rPr>
          <w:rFonts w:ascii="仿宋" w:hAnsi="仿宋" w:eastAsia="仿宋"/>
          <w:color w:val="auto"/>
          <w:sz w:val="24"/>
          <w:highlight w:val="none"/>
        </w:rPr>
        <w:t>CA问题联系电话（人工）：</w:t>
      </w:r>
      <w:r>
        <w:rPr>
          <w:rFonts w:hint="eastAsia" w:ascii="仿宋" w:hAnsi="仿宋" w:eastAsia="仿宋"/>
          <w:color w:val="auto"/>
          <w:sz w:val="24"/>
          <w:highlight w:val="none"/>
        </w:rPr>
        <w:t>汇信</w:t>
      </w:r>
      <w:r>
        <w:rPr>
          <w:rFonts w:ascii="仿宋" w:hAnsi="仿宋" w:eastAsia="仿宋"/>
          <w:color w:val="auto"/>
          <w:sz w:val="24"/>
          <w:highlight w:val="none"/>
        </w:rPr>
        <w:t>CA 400-888-4636；天谷CA 400-087-8198。</w:t>
      </w:r>
    </w:p>
    <w:p w14:paraId="13863A41">
      <w:pPr>
        <w:spacing w:line="360" w:lineRule="auto"/>
        <w:ind w:firstLine="480" w:firstLineChars="200"/>
        <w:rPr>
          <w:rFonts w:ascii="仿宋_GB2312" w:hAnsi="仿宋" w:eastAsia="仿宋_GB2312"/>
          <w:color w:val="auto"/>
          <w:sz w:val="24"/>
          <w:highlight w:val="none"/>
        </w:rPr>
      </w:pPr>
    </w:p>
    <w:p w14:paraId="261ECB43">
      <w:pPr>
        <w:pStyle w:val="28"/>
        <w:spacing w:line="360" w:lineRule="auto"/>
        <w:ind w:firstLine="420"/>
        <w:jc w:val="center"/>
        <w:rPr>
          <w:rFonts w:ascii="仿宋" w:hAnsi="仿宋" w:eastAsia="仿宋" w:cs="仿宋_GB2312"/>
          <w:b/>
          <w:color w:val="auto"/>
          <w:sz w:val="36"/>
          <w:szCs w:val="20"/>
          <w:highlight w:val="none"/>
        </w:rPr>
      </w:pPr>
      <w:r>
        <w:rPr>
          <w:rFonts w:hint="eastAsia" w:ascii="仿宋" w:hAnsi="仿宋" w:eastAsia="仿宋"/>
          <w:color w:val="auto"/>
          <w:sz w:val="24"/>
          <w:szCs w:val="24"/>
          <w:highlight w:val="none"/>
        </w:rPr>
        <w:br w:type="page"/>
      </w:r>
      <w:r>
        <w:rPr>
          <w:rFonts w:hint="eastAsia" w:ascii="仿宋" w:hAnsi="仿宋" w:eastAsia="仿宋"/>
          <w:b/>
          <w:color w:val="auto"/>
          <w:sz w:val="36"/>
          <w:szCs w:val="20"/>
          <w:highlight w:val="none"/>
        </w:rPr>
        <w:t>第二部分</w:t>
      </w:r>
      <w:bookmarkEnd w:id="8"/>
      <w:r>
        <w:rPr>
          <w:rFonts w:hint="eastAsia" w:ascii="仿宋" w:hAnsi="仿宋" w:eastAsia="仿宋" w:cs="仿宋_GB2312"/>
          <w:b/>
          <w:color w:val="auto"/>
          <w:sz w:val="36"/>
          <w:szCs w:val="20"/>
          <w:highlight w:val="none"/>
        </w:rPr>
        <w:t>供应商须知</w:t>
      </w:r>
      <w:bookmarkEnd w:id="9"/>
    </w:p>
    <w:p w14:paraId="1E828F41">
      <w:pPr>
        <w:snapToGrid w:val="0"/>
        <w:spacing w:line="360" w:lineRule="auto"/>
        <w:jc w:val="center"/>
        <w:rPr>
          <w:rFonts w:ascii="仿宋" w:hAnsi="仿宋" w:eastAsia="仿宋"/>
          <w:b/>
          <w:color w:val="auto"/>
          <w:sz w:val="32"/>
          <w:szCs w:val="20"/>
          <w:highlight w:val="none"/>
        </w:rPr>
      </w:pPr>
      <w:r>
        <w:rPr>
          <w:rFonts w:hint="eastAsia" w:ascii="仿宋" w:hAnsi="仿宋" w:eastAsia="仿宋"/>
          <w:b/>
          <w:color w:val="auto"/>
          <w:sz w:val="32"/>
          <w:szCs w:val="20"/>
          <w:highlight w:val="none"/>
        </w:rPr>
        <w:t>前附表</w:t>
      </w:r>
    </w:p>
    <w:tbl>
      <w:tblPr>
        <w:tblStyle w:val="49"/>
        <w:tblW w:w="91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71"/>
        <w:gridCol w:w="1968"/>
        <w:gridCol w:w="6487"/>
      </w:tblGrid>
      <w:tr w14:paraId="341B1D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1" w:type="dxa"/>
            <w:tcBorders>
              <w:top w:val="single" w:color="auto" w:sz="4" w:space="0"/>
              <w:left w:val="single" w:color="auto" w:sz="4" w:space="0"/>
              <w:bottom w:val="single" w:color="auto" w:sz="4" w:space="0"/>
              <w:right w:val="single" w:color="auto" w:sz="4" w:space="0"/>
            </w:tcBorders>
          </w:tcPr>
          <w:p w14:paraId="7ACA8F7B">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序号</w:t>
            </w:r>
          </w:p>
        </w:tc>
        <w:tc>
          <w:tcPr>
            <w:tcW w:w="1968" w:type="dxa"/>
            <w:tcBorders>
              <w:top w:val="single" w:color="000000" w:sz="8" w:space="0"/>
              <w:left w:val="single" w:color="auto" w:sz="4" w:space="0"/>
              <w:bottom w:val="single" w:color="000000" w:sz="8" w:space="0"/>
              <w:right w:val="single" w:color="000000" w:sz="8" w:space="0"/>
            </w:tcBorders>
            <w:vAlign w:val="center"/>
          </w:tcPr>
          <w:p w14:paraId="7E9F8167">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事项</w:t>
            </w:r>
          </w:p>
        </w:tc>
        <w:tc>
          <w:tcPr>
            <w:tcW w:w="6487" w:type="dxa"/>
            <w:tcBorders>
              <w:top w:val="single" w:color="000000" w:sz="8" w:space="0"/>
              <w:left w:val="single" w:color="000000" w:sz="2" w:space="0"/>
              <w:bottom w:val="single" w:color="000000" w:sz="8" w:space="0"/>
              <w:right w:val="single" w:color="000000" w:sz="8" w:space="0"/>
            </w:tcBorders>
            <w:vAlign w:val="center"/>
          </w:tcPr>
          <w:p w14:paraId="61D041FC">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本项目的特别规定</w:t>
            </w:r>
          </w:p>
        </w:tc>
      </w:tr>
      <w:tr w14:paraId="0F999C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13"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7086261C">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1</w:t>
            </w:r>
          </w:p>
        </w:tc>
        <w:tc>
          <w:tcPr>
            <w:tcW w:w="1968" w:type="dxa"/>
            <w:tcBorders>
              <w:top w:val="single" w:color="000000" w:sz="8" w:space="0"/>
              <w:left w:val="single" w:color="auto" w:sz="4" w:space="0"/>
              <w:bottom w:val="single" w:color="000000" w:sz="8" w:space="0"/>
              <w:right w:val="single" w:color="000000" w:sz="8" w:space="0"/>
            </w:tcBorders>
            <w:vAlign w:val="center"/>
          </w:tcPr>
          <w:p w14:paraId="1832E08E">
            <w:pPr>
              <w:snapToGrid w:val="0"/>
              <w:spacing w:line="360" w:lineRule="auto"/>
              <w:jc w:val="center"/>
              <w:rPr>
                <w:rFonts w:hint="eastAsia" w:ascii="仿宋" w:hAnsi="仿宋" w:eastAsia="仿宋" w:cs="仿宋_GB2312"/>
                <w:b/>
                <w:color w:val="auto"/>
                <w:sz w:val="24"/>
                <w:highlight w:val="none"/>
              </w:rPr>
            </w:pPr>
            <w:r>
              <w:rPr>
                <w:rFonts w:hint="eastAsia" w:ascii="仿宋" w:hAnsi="仿宋" w:eastAsia="仿宋" w:cs="仿宋_GB2312"/>
                <w:b/>
                <w:color w:val="auto"/>
                <w:sz w:val="24"/>
                <w:highlight w:val="none"/>
              </w:rPr>
              <w:t>项目属性</w:t>
            </w:r>
          </w:p>
        </w:tc>
        <w:tc>
          <w:tcPr>
            <w:tcW w:w="6487" w:type="dxa"/>
            <w:tcBorders>
              <w:top w:val="single" w:color="000000" w:sz="8" w:space="0"/>
              <w:left w:val="single" w:color="000000" w:sz="2" w:space="0"/>
              <w:bottom w:val="single" w:color="000000" w:sz="8" w:space="0"/>
              <w:right w:val="single" w:color="000000" w:sz="8" w:space="0"/>
            </w:tcBorders>
            <w:vAlign w:val="center"/>
          </w:tcPr>
          <w:p w14:paraId="5492DDF8">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服务类</w:t>
            </w:r>
          </w:p>
        </w:tc>
      </w:tr>
      <w:tr w14:paraId="1D7333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8"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0D58CFCD">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2</w:t>
            </w:r>
          </w:p>
        </w:tc>
        <w:tc>
          <w:tcPr>
            <w:tcW w:w="1968" w:type="dxa"/>
            <w:tcBorders>
              <w:top w:val="single" w:color="000000" w:sz="8" w:space="0"/>
              <w:left w:val="single" w:color="auto" w:sz="4" w:space="0"/>
              <w:bottom w:val="single" w:color="000000" w:sz="8" w:space="0"/>
              <w:right w:val="single" w:color="000000" w:sz="8" w:space="0"/>
            </w:tcBorders>
            <w:vAlign w:val="center"/>
          </w:tcPr>
          <w:p w14:paraId="0BE95742">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采购方式</w:t>
            </w:r>
          </w:p>
        </w:tc>
        <w:tc>
          <w:tcPr>
            <w:tcW w:w="6487" w:type="dxa"/>
            <w:tcBorders>
              <w:top w:val="single" w:color="000000" w:sz="8" w:space="0"/>
              <w:left w:val="single" w:color="000000" w:sz="2" w:space="0"/>
              <w:bottom w:val="single" w:color="000000" w:sz="8" w:space="0"/>
              <w:right w:val="single" w:color="000000" w:sz="8" w:space="0"/>
            </w:tcBorders>
            <w:vAlign w:val="center"/>
          </w:tcPr>
          <w:p w14:paraId="56DEBCAA">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封闭式框架协议采购</w:t>
            </w:r>
          </w:p>
        </w:tc>
      </w:tr>
      <w:tr w14:paraId="22CA2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2942BF9A">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3</w:t>
            </w:r>
          </w:p>
        </w:tc>
        <w:tc>
          <w:tcPr>
            <w:tcW w:w="1968" w:type="dxa"/>
            <w:tcBorders>
              <w:top w:val="single" w:color="000000" w:sz="8" w:space="0"/>
              <w:left w:val="single" w:color="auto" w:sz="4" w:space="0"/>
              <w:bottom w:val="single" w:color="000000" w:sz="8" w:space="0"/>
              <w:right w:val="single" w:color="000000" w:sz="8" w:space="0"/>
            </w:tcBorders>
            <w:vAlign w:val="center"/>
          </w:tcPr>
          <w:p w14:paraId="503FDCD0">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▲报价要求</w:t>
            </w:r>
          </w:p>
        </w:tc>
        <w:tc>
          <w:tcPr>
            <w:tcW w:w="6487" w:type="dxa"/>
            <w:tcBorders>
              <w:top w:val="single" w:color="000000" w:sz="8" w:space="0"/>
              <w:left w:val="single" w:color="000000" w:sz="2" w:space="0"/>
              <w:bottom w:val="single" w:color="000000" w:sz="8" w:space="0"/>
              <w:right w:val="single" w:color="000000" w:sz="8" w:space="0"/>
            </w:tcBorders>
            <w:vAlign w:val="top"/>
          </w:tcPr>
          <w:p w14:paraId="1EF915C9">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服务单价：详见第三部分 采购需求</w:t>
            </w:r>
          </w:p>
          <w:p w14:paraId="47667DCA">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有关本项目实施所需的所有费用（含税费）均计入报价。 开标一览表（报价表）是报价的唯一载体。如供应商在政府采购云平台填写的报价与响应文件报价文件中开标一览表（报价表）不一致的，以报价文件中开标一览表（报价表）为准。响应文件中价格全部采用人民币报价。征集文件未列明，而供应商认为必需的费用也需列入报价。</w:t>
            </w:r>
          </w:p>
          <w:p w14:paraId="25DF8CB8">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▲提醒：本项目采用单价报价，报价为政府定价，供应商在响应文件及政采云系统统一填报，如未按要求填报，由评标委员会进行修正，供应商不接受修正的，做无效标处理。</w:t>
            </w:r>
          </w:p>
          <w:p w14:paraId="43FD649B">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投标报价出现下列情形的，投标无效：</w:t>
            </w:r>
          </w:p>
          <w:p w14:paraId="768587B1">
            <w:pPr>
              <w:snapToGrid w:val="0"/>
              <w:spacing w:line="360" w:lineRule="auto"/>
              <w:jc w:val="left"/>
              <w:rPr>
                <w:rFonts w:hint="eastAsia" w:ascii="仿宋" w:hAnsi="仿宋" w:eastAsia="仿宋" w:cs="仿宋_GB2312"/>
                <w:b/>
                <w:bCs w:val="0"/>
                <w:color w:val="auto"/>
                <w:sz w:val="24"/>
                <w:highlight w:val="none"/>
                <w:lang w:val="en-US" w:eastAsia="zh-CN"/>
              </w:rPr>
            </w:pPr>
            <w:r>
              <w:rPr>
                <w:rFonts w:hint="eastAsia" w:ascii="仿宋" w:hAnsi="仿宋" w:eastAsia="仿宋" w:cs="仿宋_GB2312"/>
                <w:b/>
                <w:bCs w:val="0"/>
                <w:color w:val="auto"/>
                <w:sz w:val="24"/>
                <w:highlight w:val="none"/>
                <w:lang w:val="en-US" w:eastAsia="zh-CN"/>
              </w:rPr>
              <w:t>（1）响应文件出现不是唯一的、有选择性投标报价的；</w:t>
            </w:r>
          </w:p>
          <w:p w14:paraId="5986C93E">
            <w:pPr>
              <w:snapToGrid w:val="0"/>
              <w:spacing w:line="360" w:lineRule="auto"/>
              <w:jc w:val="left"/>
              <w:rPr>
                <w:rFonts w:hint="eastAsia" w:ascii="仿宋" w:hAnsi="仿宋" w:eastAsia="仿宋" w:cs="仿宋_GB2312"/>
                <w:b/>
                <w:bCs w:val="0"/>
                <w:color w:val="auto"/>
                <w:sz w:val="24"/>
                <w:highlight w:val="none"/>
                <w:lang w:val="en-US" w:eastAsia="zh-CN"/>
              </w:rPr>
            </w:pPr>
            <w:r>
              <w:rPr>
                <w:rFonts w:hint="eastAsia" w:ascii="仿宋" w:hAnsi="仿宋" w:eastAsia="仿宋" w:cs="仿宋_GB2312"/>
                <w:b/>
                <w:bCs w:val="0"/>
                <w:color w:val="auto"/>
                <w:sz w:val="24"/>
                <w:highlight w:val="none"/>
                <w:lang w:val="en-US" w:eastAsia="zh-CN"/>
              </w:rPr>
              <w:t>（2）投标报价超过征集文件中规定的预算金额或者最高限制限价的;</w:t>
            </w:r>
          </w:p>
          <w:p w14:paraId="461CEC97">
            <w:pPr>
              <w:snapToGrid w:val="0"/>
              <w:spacing w:line="360" w:lineRule="auto"/>
              <w:jc w:val="left"/>
              <w:rPr>
                <w:rFonts w:hint="eastAsia" w:ascii="仿宋" w:hAnsi="仿宋" w:eastAsia="仿宋" w:cs="仿宋_GB2312"/>
                <w:b/>
                <w:bCs w:val="0"/>
                <w:color w:val="auto"/>
                <w:sz w:val="24"/>
                <w:highlight w:val="none"/>
                <w:lang w:val="en-US" w:eastAsia="zh-CN"/>
              </w:rPr>
            </w:pPr>
            <w:r>
              <w:rPr>
                <w:rFonts w:hint="eastAsia" w:ascii="仿宋" w:hAnsi="仿宋" w:eastAsia="仿宋" w:cs="仿宋_GB2312"/>
                <w:b/>
                <w:bCs w:val="0"/>
                <w:color w:val="auto"/>
                <w:sz w:val="24"/>
                <w:highlight w:val="none"/>
                <w:lang w:val="en-US" w:eastAsia="zh-CN"/>
              </w:rPr>
              <w:t>（3）报价明显低于其他通过符合性审查供应商的报价，有可能影响产品质量或者不能诚信履约的，未能按要求提供书面说明或者提交相关证明材料证明其报价合理性的;</w:t>
            </w:r>
          </w:p>
          <w:p w14:paraId="5443E653">
            <w:pPr>
              <w:snapToGrid w:val="0"/>
              <w:spacing w:line="360" w:lineRule="auto"/>
              <w:jc w:val="left"/>
              <w:rPr>
                <w:color w:val="auto"/>
                <w:highlight w:val="none"/>
                <w:lang w:val="en-US"/>
              </w:rPr>
            </w:pPr>
            <w:r>
              <w:rPr>
                <w:rFonts w:hint="eastAsia" w:ascii="仿宋" w:hAnsi="仿宋" w:eastAsia="仿宋" w:cs="仿宋_GB2312"/>
                <w:b/>
                <w:bCs w:val="0"/>
                <w:color w:val="auto"/>
                <w:sz w:val="24"/>
                <w:highlight w:val="none"/>
                <w:lang w:val="en-US" w:eastAsia="zh-CN"/>
              </w:rPr>
              <w:t>（4）供应商对根据修正原则修正后的报价不确认的。</w:t>
            </w:r>
          </w:p>
        </w:tc>
      </w:tr>
      <w:tr w14:paraId="42AEFB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97" w:hRule="atLeast"/>
          <w:tblHeader/>
        </w:trPr>
        <w:tc>
          <w:tcPr>
            <w:tcW w:w="671" w:type="dxa"/>
            <w:tcBorders>
              <w:top w:val="single" w:color="auto" w:sz="4" w:space="0"/>
              <w:left w:val="single" w:color="auto" w:sz="4" w:space="0"/>
              <w:right w:val="single" w:color="auto" w:sz="4" w:space="0"/>
            </w:tcBorders>
            <w:vAlign w:val="center"/>
          </w:tcPr>
          <w:p w14:paraId="0D913782">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4</w:t>
            </w:r>
          </w:p>
        </w:tc>
        <w:tc>
          <w:tcPr>
            <w:tcW w:w="1968" w:type="dxa"/>
            <w:tcBorders>
              <w:top w:val="single" w:color="000000" w:sz="8" w:space="0"/>
              <w:left w:val="single" w:color="auto" w:sz="4" w:space="0"/>
              <w:right w:val="single" w:color="000000" w:sz="8" w:space="0"/>
            </w:tcBorders>
            <w:vAlign w:val="center"/>
          </w:tcPr>
          <w:p w14:paraId="064E8AC6">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入围方式</w:t>
            </w:r>
          </w:p>
        </w:tc>
        <w:tc>
          <w:tcPr>
            <w:tcW w:w="6487" w:type="dxa"/>
            <w:tcBorders>
              <w:top w:val="single" w:color="000000" w:sz="8" w:space="0"/>
              <w:left w:val="single" w:color="000000" w:sz="2" w:space="0"/>
              <w:bottom w:val="single" w:color="000000" w:sz="8" w:space="0"/>
              <w:right w:val="single" w:color="000000" w:sz="8" w:space="0"/>
            </w:tcBorders>
            <w:vAlign w:val="top"/>
          </w:tcPr>
          <w:p w14:paraId="0930C10A">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1、根据中华人民共和国财政部令第110号《政府采购框架协议采购方式管理暂行办法》的规定，确定本项目第一阶段入围供应商的评审方法为</w:t>
            </w:r>
            <w:r>
              <w:rPr>
                <w:rFonts w:hint="eastAsia" w:ascii="仿宋" w:hAnsi="仿宋" w:eastAsia="仿宋" w:cs="仿宋_GB2312"/>
                <w:b/>
                <w:bCs w:val="0"/>
                <w:i w:val="0"/>
                <w:iCs w:val="0"/>
                <w:color w:val="auto"/>
                <w:sz w:val="24"/>
                <w:highlight w:val="none"/>
                <w:lang w:val="en-US" w:eastAsia="zh-CN"/>
              </w:rPr>
              <w:t>质量优先法</w:t>
            </w:r>
            <w:r>
              <w:rPr>
                <w:rFonts w:hint="eastAsia" w:ascii="仿宋" w:hAnsi="仿宋" w:eastAsia="仿宋" w:cs="仿宋_GB2312"/>
                <w:b w:val="0"/>
                <w:bCs/>
                <w:color w:val="auto"/>
                <w:sz w:val="24"/>
                <w:highlight w:val="none"/>
                <w:lang w:val="en-US" w:eastAsia="zh-CN"/>
              </w:rPr>
              <w:t>，确定第二阶段成交供应商的方式为直接选定。</w:t>
            </w:r>
          </w:p>
          <w:p w14:paraId="4975CAC3">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bCs w:val="0"/>
                <w:color w:val="auto"/>
                <w:sz w:val="24"/>
                <w:highlight w:val="none"/>
                <w:lang w:val="en-US" w:eastAsia="zh-CN"/>
              </w:rPr>
              <w:t>质量优先法</w:t>
            </w:r>
            <w:r>
              <w:rPr>
                <w:rFonts w:hint="eastAsia" w:ascii="仿宋" w:hAnsi="仿宋" w:eastAsia="仿宋" w:cs="仿宋_GB2312"/>
                <w:b w:val="0"/>
                <w:bCs/>
                <w:color w:val="auto"/>
                <w:sz w:val="24"/>
                <w:highlight w:val="none"/>
                <w:lang w:val="en-US" w:eastAsia="zh-CN"/>
              </w:rPr>
              <w:t>是指对满足采购需求且响应报价不超过服务单价的货物、服务进行质量综合评分，按照质量评分从高到低排序，根据征集文件规定的淘汰率或者入围供应商数量上限，确定入围供应商的评审方法。</w:t>
            </w:r>
          </w:p>
          <w:p w14:paraId="06905E28">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bCs w:val="0"/>
                <w:color w:val="auto"/>
                <w:sz w:val="24"/>
                <w:highlight w:val="none"/>
                <w:lang w:val="en-US" w:eastAsia="zh-CN"/>
              </w:rPr>
              <w:t>直接选定</w:t>
            </w:r>
            <w:r>
              <w:rPr>
                <w:rFonts w:hint="eastAsia" w:ascii="仿宋" w:hAnsi="仿宋" w:eastAsia="仿宋" w:cs="仿宋_GB2312"/>
                <w:b w:val="0"/>
                <w:bCs/>
                <w:color w:val="auto"/>
                <w:sz w:val="24"/>
                <w:highlight w:val="none"/>
                <w:lang w:val="en-US" w:eastAsia="zh-CN"/>
              </w:rPr>
              <w:t>是确定第二阶段成交供应商的主要方式，应当由征集人从第一阶段入围供应商中自由选择后直接选定。</w:t>
            </w:r>
          </w:p>
          <w:p w14:paraId="055BF03E">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2、评审委员会根据得分高到低排序，综合评分得分相同时，采取随机抽取方式确定。</w:t>
            </w:r>
          </w:p>
          <w:p w14:paraId="0CB5F762">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3、本项目淘汰率为进入排序单位数量的20%（淘汰率为进入排序单位数量的20%，向上取整数20%）。</w:t>
            </w:r>
          </w:p>
          <w:p w14:paraId="22B131C2">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例如：16*20%=3.2，淘汰4家；19*20%=3.8，淘汰4家，推荐上限为6家入围供应商，即：评审委员会根据综合得分高到低排序从后往前按比例（淘汰率）淘汰单位，淘汰后剩余单位多于6家的，按照排序先后选择6家单位；淘汰后剩余单位小于等于6家的，全部入围。</w:t>
            </w:r>
          </w:p>
          <w:p w14:paraId="2B2261EE">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4、入围数量：每标项入围数量不超过6家。</w:t>
            </w:r>
          </w:p>
          <w:p w14:paraId="3D9B6490">
            <w:pPr>
              <w:snapToGrid w:val="0"/>
              <w:spacing w:line="360" w:lineRule="auto"/>
              <w:jc w:val="left"/>
              <w:rPr>
                <w:rFonts w:ascii="仿宋" w:hAnsi="仿宋" w:eastAsia="仿宋"/>
                <w:color w:val="auto"/>
                <w:kern w:val="0"/>
                <w:sz w:val="24"/>
                <w:highlight w:val="none"/>
              </w:rPr>
            </w:pPr>
            <w:r>
              <w:rPr>
                <w:rFonts w:hint="eastAsia" w:ascii="仿宋" w:hAnsi="仿宋" w:eastAsia="仿宋" w:cs="仿宋_GB2312"/>
                <w:b w:val="0"/>
                <w:bCs/>
                <w:color w:val="auto"/>
                <w:sz w:val="24"/>
                <w:highlight w:val="none"/>
                <w:lang w:val="en-US" w:eastAsia="zh-CN"/>
              </w:rPr>
              <w:t>本项目关于“响应报价 ”的说明：对于未预留份额专门面向中小企业的政府采购服务项目，以及预留份额政府采购服务项目中的非预留部分标项，对小型和微型企业的投标报价给予 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即：满足中小企业扶持政策的小型、微型企业的响 应报价为扣除后价格；其它大型、中型企业的响应报价则为《开标一览表（报价表）》中填报的价格。</w:t>
            </w:r>
          </w:p>
        </w:tc>
      </w:tr>
      <w:tr w14:paraId="744D46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326FCDB3">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5</w:t>
            </w:r>
          </w:p>
        </w:tc>
        <w:tc>
          <w:tcPr>
            <w:tcW w:w="1968" w:type="dxa"/>
            <w:tcBorders>
              <w:top w:val="single" w:color="000000" w:sz="8" w:space="0"/>
              <w:left w:val="single" w:color="auto" w:sz="4" w:space="0"/>
              <w:bottom w:val="single" w:color="000000" w:sz="8" w:space="0"/>
              <w:right w:val="single" w:color="000000" w:sz="8" w:space="0"/>
            </w:tcBorders>
            <w:vAlign w:val="center"/>
          </w:tcPr>
          <w:p w14:paraId="4D934F29">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采购标的对应的</w:t>
            </w:r>
          </w:p>
          <w:p w14:paraId="38C3F6A4">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中小企业划分标</w:t>
            </w:r>
          </w:p>
          <w:p w14:paraId="491CB059">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准所属行业</w:t>
            </w:r>
          </w:p>
        </w:tc>
        <w:tc>
          <w:tcPr>
            <w:tcW w:w="6487" w:type="dxa"/>
            <w:tcBorders>
              <w:top w:val="single" w:color="000000" w:sz="8" w:space="0"/>
              <w:left w:val="single" w:color="000000" w:sz="2" w:space="0"/>
              <w:bottom w:val="single" w:color="000000" w:sz="8" w:space="0"/>
              <w:right w:val="single" w:color="000000" w:sz="8" w:space="0"/>
            </w:tcBorders>
            <w:vAlign w:val="top"/>
          </w:tcPr>
          <w:p w14:paraId="093FBD6C">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标项一采购标的：区域化居家养老服务；所属行业：其他未列明行业；</w:t>
            </w:r>
          </w:p>
          <w:p w14:paraId="7B69810F">
            <w:pPr>
              <w:snapToGrid w:val="0"/>
              <w:spacing w:line="360" w:lineRule="auto"/>
              <w:jc w:val="left"/>
              <w:rPr>
                <w:rFonts w:ascii="仿宋" w:hAnsi="仿宋" w:eastAsia="仿宋"/>
                <w:color w:val="auto"/>
                <w:sz w:val="24"/>
                <w:highlight w:val="none"/>
              </w:rPr>
            </w:pPr>
            <w:r>
              <w:rPr>
                <w:rFonts w:hint="eastAsia" w:ascii="仿宋" w:hAnsi="仿宋" w:eastAsia="仿宋" w:cs="仿宋_GB2312"/>
                <w:b w:val="0"/>
                <w:bCs/>
                <w:color w:val="auto"/>
                <w:sz w:val="24"/>
                <w:highlight w:val="none"/>
                <w:lang w:val="en-US" w:eastAsia="zh-CN"/>
              </w:rPr>
              <w:t>标项二采购标的：居家养老上门服务；所属行业：其他未列明行业。</w:t>
            </w:r>
          </w:p>
        </w:tc>
      </w:tr>
      <w:tr w14:paraId="4B60AE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09" w:hRule="atLeast"/>
          <w:tblHeader/>
        </w:trPr>
        <w:tc>
          <w:tcPr>
            <w:tcW w:w="671" w:type="dxa"/>
            <w:tcBorders>
              <w:top w:val="single" w:color="auto" w:sz="4" w:space="0"/>
              <w:left w:val="single" w:color="auto" w:sz="4" w:space="0"/>
              <w:right w:val="single" w:color="auto" w:sz="4" w:space="0"/>
            </w:tcBorders>
            <w:vAlign w:val="center"/>
          </w:tcPr>
          <w:p w14:paraId="1A52E246">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6</w:t>
            </w:r>
          </w:p>
        </w:tc>
        <w:tc>
          <w:tcPr>
            <w:tcW w:w="1968" w:type="dxa"/>
            <w:tcBorders>
              <w:top w:val="single" w:color="000000" w:sz="8" w:space="0"/>
              <w:left w:val="single" w:color="auto" w:sz="4" w:space="0"/>
              <w:right w:val="single" w:color="000000" w:sz="8" w:space="0"/>
            </w:tcBorders>
            <w:vAlign w:val="center"/>
          </w:tcPr>
          <w:p w14:paraId="3753C4D1">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是否允许采购进 口产品</w:t>
            </w:r>
          </w:p>
        </w:tc>
        <w:tc>
          <w:tcPr>
            <w:tcW w:w="6487" w:type="dxa"/>
            <w:tcBorders>
              <w:top w:val="single" w:color="000000" w:sz="8" w:space="0"/>
              <w:left w:val="single" w:color="000000" w:sz="2" w:space="0"/>
              <w:right w:val="single" w:color="000000" w:sz="8" w:space="0"/>
            </w:tcBorders>
            <w:vAlign w:val="top"/>
          </w:tcPr>
          <w:p w14:paraId="4C97286D">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drawing>
                <wp:inline distT="0" distB="0" distL="0" distR="0">
                  <wp:extent cx="122555" cy="117475"/>
                  <wp:effectExtent l="0" t="0" r="14605" b="4445"/>
                  <wp:docPr id="1" name="IM 4"/>
                  <wp:cNvGraphicFramePr/>
                  <a:graphic xmlns:a="http://schemas.openxmlformats.org/drawingml/2006/main">
                    <a:graphicData uri="http://schemas.openxmlformats.org/drawingml/2006/picture">
                      <pic:pic xmlns:pic="http://schemas.openxmlformats.org/drawingml/2006/picture">
                        <pic:nvPicPr>
                          <pic:cNvPr id="1" name="IM 4"/>
                          <pic:cNvPicPr/>
                        </pic:nvPicPr>
                        <pic:blipFill>
                          <a:blip r:embed="rId17"/>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auto"/>
                <w:sz w:val="24"/>
                <w:highlight w:val="none"/>
                <w:lang w:val="en-US" w:eastAsia="zh-CN"/>
              </w:rPr>
              <w:t>本项目不允许采购进口产品。</w:t>
            </w:r>
          </w:p>
          <w:p w14:paraId="1C65A556">
            <w:pPr>
              <w:snapToGrid w:val="0"/>
              <w:spacing w:line="360" w:lineRule="auto"/>
              <w:jc w:val="left"/>
              <w:rPr>
                <w:rFonts w:ascii="仿宋" w:hAnsi="仿宋" w:eastAsia="仿宋"/>
                <w:color w:val="auto"/>
                <w:sz w:val="24"/>
                <w:highlight w:val="none"/>
              </w:rPr>
            </w:pPr>
            <w:r>
              <w:rPr>
                <w:rFonts w:hint="eastAsia" w:ascii="仿宋" w:hAnsi="仿宋" w:eastAsia="仿宋" w:cs="仿宋_GB2312"/>
                <w:b w:val="0"/>
                <w:bCs/>
                <w:color w:val="auto"/>
                <w:sz w:val="24"/>
                <w:highlight w:val="none"/>
                <w:lang w:val="en-US" w:eastAsia="zh-CN"/>
              </w:rPr>
              <w:t>☐可以就</w:t>
            </w:r>
            <w:r>
              <w:rPr>
                <w:rFonts w:hint="eastAsia" w:ascii="仿宋" w:hAnsi="仿宋" w:eastAsia="仿宋" w:cs="仿宋_GB2312"/>
                <w:b w:val="0"/>
                <w:bCs/>
                <w:color w:val="auto"/>
                <w:sz w:val="24"/>
                <w:highlight w:val="none"/>
                <w:u w:val="single"/>
                <w:lang w:val="en-US" w:eastAsia="zh-CN"/>
              </w:rPr>
              <w:t xml:space="preserve">     </w:t>
            </w:r>
            <w:r>
              <w:rPr>
                <w:rFonts w:hint="eastAsia" w:ascii="仿宋" w:hAnsi="仿宋" w:eastAsia="仿宋" w:cs="仿宋_GB2312"/>
                <w:b w:val="0"/>
                <w:bCs/>
                <w:color w:val="auto"/>
                <w:sz w:val="24"/>
                <w:highlight w:val="none"/>
                <w:lang w:val="en-US" w:eastAsia="zh-CN"/>
              </w:rPr>
              <w:t>采购进口产品。</w:t>
            </w:r>
          </w:p>
        </w:tc>
      </w:tr>
      <w:tr w14:paraId="70661D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00B28557">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7</w:t>
            </w:r>
          </w:p>
        </w:tc>
        <w:tc>
          <w:tcPr>
            <w:tcW w:w="1968" w:type="dxa"/>
            <w:tcBorders>
              <w:top w:val="single" w:color="000000" w:sz="8" w:space="0"/>
              <w:left w:val="single" w:color="000000" w:sz="2" w:space="0"/>
              <w:bottom w:val="single" w:color="000000" w:sz="8" w:space="0"/>
              <w:right w:val="single" w:color="000000" w:sz="8" w:space="0"/>
            </w:tcBorders>
            <w:vAlign w:val="center"/>
          </w:tcPr>
          <w:p w14:paraId="24549B4B">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分包</w:t>
            </w:r>
          </w:p>
        </w:tc>
        <w:tc>
          <w:tcPr>
            <w:tcW w:w="6487" w:type="dxa"/>
            <w:tcBorders>
              <w:top w:val="single" w:color="000000" w:sz="8" w:space="0"/>
              <w:left w:val="single" w:color="000000" w:sz="2" w:space="0"/>
              <w:bottom w:val="single" w:color="000000" w:sz="8" w:space="0"/>
              <w:right w:val="single" w:color="000000" w:sz="8" w:space="0"/>
            </w:tcBorders>
            <w:vAlign w:val="top"/>
          </w:tcPr>
          <w:p w14:paraId="3B19A37D">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☐A同意将非主体、非关键性的</w:t>
            </w:r>
            <w:r>
              <w:rPr>
                <w:rFonts w:hint="eastAsia" w:ascii="仿宋" w:hAnsi="仿宋" w:eastAsia="仿宋" w:cs="仿宋_GB2312"/>
                <w:b w:val="0"/>
                <w:bCs/>
                <w:color w:val="auto"/>
                <w:sz w:val="24"/>
                <w:highlight w:val="none"/>
                <w:u w:val="single"/>
                <w:lang w:val="en-US" w:eastAsia="zh-CN"/>
              </w:rPr>
              <w:t xml:space="preserve">     </w:t>
            </w:r>
            <w:r>
              <w:rPr>
                <w:rFonts w:hint="eastAsia" w:ascii="仿宋" w:hAnsi="仿宋" w:eastAsia="仿宋" w:cs="仿宋_GB2312"/>
                <w:b w:val="0"/>
                <w:bCs/>
                <w:color w:val="auto"/>
                <w:sz w:val="24"/>
                <w:highlight w:val="none"/>
                <w:lang w:val="en-US" w:eastAsia="zh-CN"/>
              </w:rPr>
              <w:t>工作分包。</w:t>
            </w:r>
          </w:p>
          <w:p w14:paraId="03A38725">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☐B同意大型企业向小微企业、中型企业向小微企业、小 微企业向小微企业合理分包。</w:t>
            </w:r>
          </w:p>
          <w:p w14:paraId="23B5A143">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drawing>
                <wp:inline distT="0" distB="0" distL="0" distR="0">
                  <wp:extent cx="122555" cy="117475"/>
                  <wp:effectExtent l="0" t="0" r="14605" b="4445"/>
                  <wp:docPr id="2" name="IM 6"/>
                  <wp:cNvGraphicFramePr/>
                  <a:graphic xmlns:a="http://schemas.openxmlformats.org/drawingml/2006/main">
                    <a:graphicData uri="http://schemas.openxmlformats.org/drawingml/2006/picture">
                      <pic:pic xmlns:pic="http://schemas.openxmlformats.org/drawingml/2006/picture">
                        <pic:nvPicPr>
                          <pic:cNvPr id="2" name="IM 6"/>
                          <pic:cNvPicPr/>
                        </pic:nvPicPr>
                        <pic:blipFill>
                          <a:blip r:embed="rId18"/>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auto"/>
                <w:sz w:val="24"/>
                <w:highlight w:val="none"/>
                <w:lang w:val="en-US" w:eastAsia="zh-CN"/>
              </w:rPr>
              <w:t>C不同意分包。</w:t>
            </w:r>
          </w:p>
          <w:p w14:paraId="26B56970">
            <w:pPr>
              <w:snapToGrid w:val="0"/>
              <w:spacing w:line="360" w:lineRule="auto"/>
              <w:jc w:val="left"/>
              <w:rPr>
                <w:rFonts w:ascii="仿宋" w:hAnsi="仿宋" w:eastAsia="仿宋"/>
                <w:color w:val="auto"/>
                <w:sz w:val="24"/>
                <w:highlight w:val="none"/>
              </w:rPr>
            </w:pPr>
            <w:r>
              <w:rPr>
                <w:rFonts w:hint="eastAsia" w:ascii="仿宋" w:hAnsi="仿宋" w:eastAsia="仿宋" w:cs="仿宋_GB2312"/>
                <w:b w:val="0"/>
                <w:bCs/>
                <w:color w:val="auto"/>
                <w:sz w:val="24"/>
                <w:highlight w:val="none"/>
                <w:lang w:val="en-US" w:eastAsia="zh-CN"/>
              </w:rPr>
              <w:t>注：不得限制大中型企业向小微企业合理分包。</w:t>
            </w:r>
          </w:p>
        </w:tc>
      </w:tr>
      <w:tr w14:paraId="2145C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15047588">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8</w:t>
            </w:r>
          </w:p>
        </w:tc>
        <w:tc>
          <w:tcPr>
            <w:tcW w:w="1968" w:type="dxa"/>
            <w:tcBorders>
              <w:top w:val="single" w:color="000000" w:sz="8" w:space="0"/>
              <w:left w:val="single" w:color="000000" w:sz="2" w:space="0"/>
              <w:bottom w:val="single" w:color="000000" w:sz="8" w:space="0"/>
              <w:right w:val="single" w:color="000000" w:sz="8" w:space="0"/>
            </w:tcBorders>
            <w:vAlign w:val="center"/>
          </w:tcPr>
          <w:p w14:paraId="401AB295">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开标前答疑会或 现场考察</w:t>
            </w:r>
          </w:p>
        </w:tc>
        <w:tc>
          <w:tcPr>
            <w:tcW w:w="6487" w:type="dxa"/>
            <w:tcBorders>
              <w:top w:val="single" w:color="000000" w:sz="8" w:space="0"/>
              <w:left w:val="single" w:color="000000" w:sz="2" w:space="0"/>
              <w:bottom w:val="single" w:color="000000" w:sz="8" w:space="0"/>
              <w:right w:val="single" w:color="000000" w:sz="8" w:space="0"/>
            </w:tcBorders>
            <w:vAlign w:val="top"/>
          </w:tcPr>
          <w:p w14:paraId="0B590EAF">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drawing>
                <wp:inline distT="0" distB="0" distL="0" distR="0">
                  <wp:extent cx="122555" cy="117475"/>
                  <wp:effectExtent l="0" t="0" r="14605" b="4445"/>
                  <wp:docPr id="3" name="IM 8"/>
                  <wp:cNvGraphicFramePr/>
                  <a:graphic xmlns:a="http://schemas.openxmlformats.org/drawingml/2006/main">
                    <a:graphicData uri="http://schemas.openxmlformats.org/drawingml/2006/picture">
                      <pic:pic xmlns:pic="http://schemas.openxmlformats.org/drawingml/2006/picture">
                        <pic:nvPicPr>
                          <pic:cNvPr id="3" name="IM 8"/>
                          <pic:cNvPicPr/>
                        </pic:nvPicPr>
                        <pic:blipFill>
                          <a:blip r:embed="rId18"/>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auto"/>
                <w:sz w:val="24"/>
                <w:highlight w:val="none"/>
                <w:lang w:val="en-US" w:eastAsia="zh-CN"/>
              </w:rPr>
              <w:t>A不组织。</w:t>
            </w:r>
          </w:p>
          <w:p w14:paraId="461FB904">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☐B组织，时间：</w:t>
            </w:r>
            <w:r>
              <w:rPr>
                <w:rFonts w:hint="eastAsia" w:ascii="仿宋" w:hAnsi="仿宋" w:eastAsia="仿宋" w:cs="仿宋_GB2312"/>
                <w:b w:val="0"/>
                <w:bCs/>
                <w:color w:val="auto"/>
                <w:sz w:val="24"/>
                <w:highlight w:val="none"/>
                <w:u w:val="single"/>
                <w:lang w:val="en-US" w:eastAsia="zh-CN"/>
              </w:rPr>
              <w:t xml:space="preserve">       ,</w:t>
            </w:r>
            <w:r>
              <w:rPr>
                <w:rFonts w:hint="eastAsia" w:ascii="仿宋" w:hAnsi="仿宋" w:eastAsia="仿宋" w:cs="仿宋_GB2312"/>
                <w:b w:val="0"/>
                <w:bCs/>
                <w:color w:val="auto"/>
                <w:sz w:val="24"/>
                <w:highlight w:val="none"/>
                <w:lang w:val="en-US" w:eastAsia="zh-CN"/>
              </w:rPr>
              <w:t>地点：</w:t>
            </w:r>
            <w:r>
              <w:rPr>
                <w:rFonts w:hint="eastAsia" w:ascii="仿宋" w:hAnsi="仿宋" w:eastAsia="仿宋" w:cs="仿宋_GB2312"/>
                <w:b w:val="0"/>
                <w:bCs/>
                <w:color w:val="auto"/>
                <w:sz w:val="24"/>
                <w:highlight w:val="none"/>
                <w:u w:val="single"/>
                <w:lang w:val="en-US" w:eastAsia="zh-CN"/>
              </w:rPr>
              <w:t xml:space="preserve">       ,</w:t>
            </w:r>
            <w:r>
              <w:rPr>
                <w:rFonts w:hint="eastAsia" w:ascii="仿宋" w:hAnsi="仿宋" w:eastAsia="仿宋" w:cs="仿宋_GB2312"/>
                <w:b w:val="0"/>
                <w:bCs/>
                <w:color w:val="auto"/>
                <w:sz w:val="24"/>
                <w:highlight w:val="none"/>
                <w:lang w:val="en-US" w:eastAsia="zh-CN"/>
              </w:rPr>
              <w:t>联系人：</w:t>
            </w:r>
            <w:r>
              <w:rPr>
                <w:rFonts w:hint="eastAsia" w:ascii="仿宋" w:hAnsi="仿宋" w:eastAsia="仿宋" w:cs="仿宋_GB2312"/>
                <w:b w:val="0"/>
                <w:bCs/>
                <w:color w:val="auto"/>
                <w:sz w:val="24"/>
                <w:highlight w:val="none"/>
                <w:u w:val="single"/>
                <w:lang w:val="en-US" w:eastAsia="zh-CN"/>
              </w:rPr>
              <w:t xml:space="preserve">       ,</w:t>
            </w:r>
            <w:r>
              <w:rPr>
                <w:rFonts w:hint="eastAsia" w:ascii="仿宋" w:hAnsi="仿宋" w:eastAsia="仿宋" w:cs="仿宋_GB2312"/>
                <w:b w:val="0"/>
                <w:bCs/>
                <w:color w:val="auto"/>
                <w:sz w:val="24"/>
                <w:highlight w:val="none"/>
                <w:lang w:val="en-US" w:eastAsia="zh-CN"/>
              </w:rPr>
              <w:t>联系方式：</w:t>
            </w:r>
            <w:r>
              <w:rPr>
                <w:rFonts w:hint="eastAsia" w:ascii="仿宋" w:hAnsi="仿宋" w:eastAsia="仿宋" w:cs="仿宋_GB2312"/>
                <w:b w:val="0"/>
                <w:bCs/>
                <w:color w:val="auto"/>
                <w:sz w:val="24"/>
                <w:highlight w:val="none"/>
                <w:u w:val="single"/>
                <w:lang w:val="en-US" w:eastAsia="zh-CN"/>
              </w:rPr>
              <w:t xml:space="preserve">       。</w:t>
            </w:r>
          </w:p>
        </w:tc>
      </w:tr>
      <w:tr w14:paraId="0A8F39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99"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61C3DF0B">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9</w:t>
            </w:r>
          </w:p>
        </w:tc>
        <w:tc>
          <w:tcPr>
            <w:tcW w:w="1968" w:type="dxa"/>
            <w:tcBorders>
              <w:top w:val="single" w:color="000000" w:sz="8" w:space="0"/>
              <w:left w:val="single" w:color="000000" w:sz="2" w:space="0"/>
              <w:bottom w:val="single" w:color="000000" w:sz="8" w:space="0"/>
              <w:right w:val="single" w:color="000000" w:sz="8" w:space="0"/>
            </w:tcBorders>
            <w:vAlign w:val="center"/>
          </w:tcPr>
          <w:p w14:paraId="736370EC">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样品提供</w:t>
            </w:r>
          </w:p>
        </w:tc>
        <w:tc>
          <w:tcPr>
            <w:tcW w:w="6487" w:type="dxa"/>
            <w:tcBorders>
              <w:top w:val="single" w:color="000000" w:sz="8" w:space="0"/>
              <w:left w:val="single" w:color="000000" w:sz="2" w:space="0"/>
              <w:bottom w:val="single" w:color="000000" w:sz="8" w:space="0"/>
              <w:right w:val="single" w:color="000000" w:sz="8" w:space="0"/>
            </w:tcBorders>
            <w:vAlign w:val="top"/>
          </w:tcPr>
          <w:p w14:paraId="2E412C20">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drawing>
                <wp:inline distT="0" distB="0" distL="0" distR="0">
                  <wp:extent cx="122555" cy="117475"/>
                  <wp:effectExtent l="0" t="0" r="14605" b="4445"/>
                  <wp:docPr id="5" name="IM 10"/>
                  <wp:cNvGraphicFramePr/>
                  <a:graphic xmlns:a="http://schemas.openxmlformats.org/drawingml/2006/main">
                    <a:graphicData uri="http://schemas.openxmlformats.org/drawingml/2006/picture">
                      <pic:pic xmlns:pic="http://schemas.openxmlformats.org/drawingml/2006/picture">
                        <pic:nvPicPr>
                          <pic:cNvPr id="5" name="IM 10"/>
                          <pic:cNvPicPr/>
                        </pic:nvPicPr>
                        <pic:blipFill>
                          <a:blip r:embed="rId19"/>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auto"/>
                <w:sz w:val="24"/>
                <w:highlight w:val="none"/>
                <w:lang w:val="en-US" w:eastAsia="zh-CN"/>
              </w:rPr>
              <w:t>A不要求提供。</w:t>
            </w:r>
          </w:p>
          <w:p w14:paraId="620664AB">
            <w:pPr>
              <w:snapToGrid w:val="0"/>
              <w:spacing w:line="360" w:lineRule="auto"/>
              <w:jc w:val="left"/>
              <w:rPr>
                <w:rFonts w:hint="eastAsia" w:ascii="仿宋" w:hAnsi="仿宋" w:eastAsia="仿宋" w:cs="仿宋_GB2312"/>
                <w:b w:val="0"/>
                <w:bCs/>
                <w:color w:val="auto"/>
                <w:sz w:val="24"/>
                <w:highlight w:val="none"/>
                <w:lang w:val="en-US" w:eastAsia="zh-CN"/>
              </w:rPr>
            </w:pPr>
            <w:r>
              <w:rPr>
                <w:rFonts w:hint="eastAsia" w:ascii="仿宋" w:hAnsi="仿宋" w:eastAsia="仿宋" w:cs="仿宋_GB2312"/>
                <w:b w:val="0"/>
                <w:bCs/>
                <w:color w:val="auto"/>
                <w:sz w:val="24"/>
                <w:highlight w:val="none"/>
                <w:lang w:val="en-US" w:eastAsia="zh-CN"/>
              </w:rPr>
              <w:t>☐B要求提供。</w:t>
            </w:r>
          </w:p>
        </w:tc>
      </w:tr>
      <w:tr w14:paraId="1AC48C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9" w:hRule="atLeast"/>
          <w:tblHeader/>
        </w:trPr>
        <w:tc>
          <w:tcPr>
            <w:tcW w:w="671" w:type="dxa"/>
            <w:tcBorders>
              <w:top w:val="single" w:color="auto" w:sz="4" w:space="0"/>
              <w:left w:val="single" w:color="000000" w:sz="8" w:space="0"/>
              <w:bottom w:val="single" w:color="auto" w:sz="4" w:space="0"/>
              <w:right w:val="single" w:color="000000" w:sz="2" w:space="0"/>
            </w:tcBorders>
            <w:vAlign w:val="center"/>
          </w:tcPr>
          <w:p w14:paraId="15784B2B">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10</w:t>
            </w:r>
          </w:p>
        </w:tc>
        <w:tc>
          <w:tcPr>
            <w:tcW w:w="1968" w:type="dxa"/>
            <w:tcBorders>
              <w:top w:val="single" w:color="000000" w:sz="8" w:space="0"/>
              <w:left w:val="single" w:color="000000" w:sz="2" w:space="0"/>
              <w:bottom w:val="single" w:color="000000" w:sz="8" w:space="0"/>
              <w:right w:val="single" w:color="000000" w:sz="8" w:space="0"/>
            </w:tcBorders>
            <w:vAlign w:val="center"/>
          </w:tcPr>
          <w:p w14:paraId="6D473C2F">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方案讲解演示</w:t>
            </w:r>
          </w:p>
        </w:tc>
        <w:tc>
          <w:tcPr>
            <w:tcW w:w="6487" w:type="dxa"/>
            <w:tcBorders>
              <w:top w:val="single" w:color="000000" w:sz="8" w:space="0"/>
              <w:left w:val="single" w:color="000000" w:sz="2" w:space="0"/>
              <w:bottom w:val="single" w:color="000000" w:sz="8" w:space="0"/>
              <w:right w:val="single" w:color="000000" w:sz="8" w:space="0"/>
            </w:tcBorders>
            <w:vAlign w:val="top"/>
          </w:tcPr>
          <w:p w14:paraId="3B8274A5">
            <w:pPr>
              <w:pStyle w:val="504"/>
              <w:spacing w:before="117" w:line="223" w:lineRule="auto"/>
              <w:ind w:left="66"/>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drawing>
                <wp:inline distT="0" distB="0" distL="0" distR="0">
                  <wp:extent cx="122555" cy="117475"/>
                  <wp:effectExtent l="0" t="0" r="14605" b="4445"/>
                  <wp:docPr id="7" name="IM 12"/>
                  <wp:cNvGraphicFramePr/>
                  <a:graphic xmlns:a="http://schemas.openxmlformats.org/drawingml/2006/main">
                    <a:graphicData uri="http://schemas.openxmlformats.org/drawingml/2006/picture">
                      <pic:pic xmlns:pic="http://schemas.openxmlformats.org/drawingml/2006/picture">
                        <pic:nvPicPr>
                          <pic:cNvPr id="7" name="IM 12"/>
                          <pic:cNvPicPr/>
                        </pic:nvPicPr>
                        <pic:blipFill>
                          <a:blip r:embed="rId18"/>
                          <a:stretch>
                            <a:fillRect/>
                          </a:stretch>
                        </pic:blipFill>
                        <pic:spPr>
                          <a:xfrm>
                            <a:off x="0" y="0"/>
                            <a:ext cx="122986" cy="117805"/>
                          </a:xfrm>
                          <a:prstGeom prst="rect">
                            <a:avLst/>
                          </a:prstGeom>
                        </pic:spPr>
                      </pic:pic>
                    </a:graphicData>
                  </a:graphic>
                </wp:inline>
              </w:drawing>
            </w:r>
            <w:r>
              <w:rPr>
                <w:rFonts w:hint="eastAsia" w:ascii="仿宋" w:hAnsi="仿宋" w:eastAsia="仿宋" w:cs="仿宋_GB2312"/>
                <w:b w:val="0"/>
                <w:bCs/>
                <w:color w:val="auto"/>
                <w:kern w:val="2"/>
                <w:sz w:val="24"/>
                <w:szCs w:val="24"/>
                <w:highlight w:val="none"/>
                <w:lang w:val="en-US" w:eastAsia="zh-CN" w:bidi="ar-SA"/>
              </w:rPr>
              <w:t>A不组织。</w:t>
            </w:r>
          </w:p>
          <w:p w14:paraId="74D77C93">
            <w:pPr>
              <w:pStyle w:val="504"/>
              <w:spacing w:before="99" w:line="317" w:lineRule="exact"/>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☐B组织。</w:t>
            </w:r>
          </w:p>
          <w:p w14:paraId="724B1B3E">
            <w:pPr>
              <w:pStyle w:val="504"/>
              <w:spacing w:before="61" w:line="263" w:lineRule="auto"/>
              <w:ind w:left="54" w:right="50" w:firstLine="12"/>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（1）在评审时安排每个供应商进行</w:t>
            </w:r>
            <w:r>
              <w:rPr>
                <w:rFonts w:hint="eastAsia" w:ascii="仿宋" w:hAnsi="仿宋" w:eastAsia="仿宋" w:cs="仿宋_GB2312"/>
                <w:b w:val="0"/>
                <w:bCs/>
                <w:color w:val="auto"/>
                <w:kern w:val="2"/>
                <w:sz w:val="24"/>
                <w:szCs w:val="24"/>
                <w:highlight w:val="none"/>
                <w:u w:val="single"/>
                <w:lang w:val="en-US" w:eastAsia="zh-CN" w:bidi="ar-SA"/>
              </w:rPr>
              <w:t xml:space="preserve"> / </w:t>
            </w:r>
            <w:r>
              <w:rPr>
                <w:rFonts w:hint="eastAsia" w:ascii="仿宋" w:hAnsi="仿宋" w:eastAsia="仿宋" w:cs="仿宋_GB2312"/>
                <w:b w:val="0"/>
                <w:bCs/>
                <w:color w:val="auto"/>
                <w:kern w:val="2"/>
                <w:sz w:val="24"/>
                <w:szCs w:val="24"/>
                <w:highlight w:val="none"/>
                <w:lang w:val="en-US" w:eastAsia="zh-CN" w:bidi="ar-SA"/>
              </w:rPr>
              <w:t>讲解。每个供应商时间不超过</w:t>
            </w:r>
            <w:r>
              <w:rPr>
                <w:rFonts w:hint="eastAsia" w:ascii="仿宋" w:hAnsi="仿宋" w:eastAsia="仿宋" w:cs="仿宋_GB2312"/>
                <w:b w:val="0"/>
                <w:bCs/>
                <w:color w:val="auto"/>
                <w:kern w:val="2"/>
                <w:sz w:val="24"/>
                <w:szCs w:val="24"/>
                <w:highlight w:val="none"/>
                <w:u w:val="single"/>
                <w:lang w:val="en-US" w:eastAsia="zh-CN" w:bidi="ar-SA"/>
              </w:rPr>
              <w:t xml:space="preserve"> / </w:t>
            </w:r>
            <w:r>
              <w:rPr>
                <w:rFonts w:hint="eastAsia" w:ascii="仿宋" w:hAnsi="仿宋" w:eastAsia="仿宋" w:cs="仿宋_GB2312"/>
                <w:b w:val="0"/>
                <w:bCs/>
                <w:color w:val="auto"/>
                <w:kern w:val="2"/>
                <w:sz w:val="24"/>
                <w:szCs w:val="24"/>
                <w:highlight w:val="none"/>
                <w:lang w:val="en-US" w:eastAsia="zh-CN" w:bidi="ar-SA"/>
              </w:rPr>
              <w:t>分钟，讲解次序以响应文件解密时间先后次序为准，讲解人员要求为</w:t>
            </w:r>
            <w:r>
              <w:rPr>
                <w:rFonts w:hint="eastAsia" w:ascii="仿宋" w:hAnsi="仿宋" w:eastAsia="仿宋" w:cs="仿宋_GB2312"/>
                <w:b w:val="0"/>
                <w:bCs/>
                <w:color w:val="auto"/>
                <w:kern w:val="2"/>
                <w:sz w:val="24"/>
                <w:szCs w:val="24"/>
                <w:highlight w:val="none"/>
                <w:u w:val="single"/>
                <w:lang w:val="en-US" w:eastAsia="zh-CN" w:bidi="ar-SA"/>
              </w:rPr>
              <w:t xml:space="preserve"> / </w:t>
            </w:r>
            <w:r>
              <w:rPr>
                <w:rFonts w:hint="eastAsia" w:ascii="仿宋" w:hAnsi="仿宋" w:eastAsia="仿宋" w:cs="仿宋_GB2312"/>
                <w:b w:val="0"/>
                <w:bCs/>
                <w:color w:val="auto"/>
                <w:kern w:val="2"/>
                <w:sz w:val="24"/>
                <w:szCs w:val="24"/>
                <w:highlight w:val="none"/>
                <w:lang w:val="en-US" w:eastAsia="zh-CN" w:bidi="ar-SA"/>
              </w:rPr>
              <w:t>。讲解演示结束后按要求解答评审小组提问。</w:t>
            </w:r>
          </w:p>
          <w:p w14:paraId="08170EB3">
            <w:pPr>
              <w:pStyle w:val="504"/>
              <w:spacing w:before="73" w:line="220" w:lineRule="auto"/>
              <w:ind w:left="67"/>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（2）方案讲解演示按以下方式</w:t>
            </w:r>
            <w:r>
              <w:rPr>
                <w:rFonts w:hint="eastAsia" w:ascii="仿宋" w:hAnsi="仿宋" w:eastAsia="仿宋" w:cs="仿宋_GB2312"/>
                <w:b w:val="0"/>
                <w:bCs/>
                <w:color w:val="auto"/>
                <w:kern w:val="2"/>
                <w:sz w:val="24"/>
                <w:szCs w:val="24"/>
                <w:highlight w:val="none"/>
                <w:u w:val="single"/>
                <w:lang w:val="en-US" w:eastAsia="zh-CN" w:bidi="ar-SA"/>
              </w:rPr>
              <w:t xml:space="preserve"> / </w:t>
            </w:r>
            <w:r>
              <w:rPr>
                <w:rFonts w:hint="eastAsia" w:ascii="仿宋" w:hAnsi="仿宋" w:eastAsia="仿宋" w:cs="仿宋_GB2312"/>
                <w:b w:val="0"/>
                <w:bCs/>
                <w:color w:val="auto"/>
                <w:kern w:val="2"/>
                <w:sz w:val="24"/>
                <w:szCs w:val="24"/>
                <w:highlight w:val="none"/>
                <w:lang w:val="en-US" w:eastAsia="zh-CN" w:bidi="ar-SA"/>
              </w:rPr>
              <w:t>：</w:t>
            </w:r>
          </w:p>
          <w:p w14:paraId="4A6DFFFD">
            <w:pPr>
              <w:pStyle w:val="504"/>
              <w:spacing w:before="73" w:line="277" w:lineRule="auto"/>
              <w:ind w:left="56" w:right="53"/>
              <w:jc w:val="both"/>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方式一：政采云平台在线讲解演示。政采云平台在线讲解需供应商根据政采云平台操作要求做好准备工作，提前完善软硬件配置环境。</w:t>
            </w:r>
          </w:p>
          <w:p w14:paraId="2B8EDDA6">
            <w:pPr>
              <w:pStyle w:val="504"/>
              <w:spacing w:before="4" w:line="276" w:lineRule="auto"/>
              <w:ind w:left="54" w:right="53" w:firstLine="1"/>
              <w:jc w:val="both"/>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 xml:space="preserve">方式二：代理机构评审场所现场讲解演示。现场讲解地点为  </w:t>
            </w:r>
            <w:r>
              <w:rPr>
                <w:rFonts w:hint="eastAsia" w:ascii="仿宋" w:hAnsi="仿宋" w:eastAsia="仿宋" w:cs="仿宋_GB2312"/>
                <w:b w:val="0"/>
                <w:bCs/>
                <w:color w:val="auto"/>
                <w:kern w:val="2"/>
                <w:sz w:val="24"/>
                <w:szCs w:val="24"/>
                <w:highlight w:val="none"/>
                <w:u w:val="single"/>
                <w:lang w:val="en-US" w:eastAsia="zh-CN" w:bidi="ar-SA"/>
              </w:rPr>
              <w:t xml:space="preserve"> / </w:t>
            </w:r>
            <w:r>
              <w:rPr>
                <w:rFonts w:hint="eastAsia" w:ascii="仿宋" w:hAnsi="仿宋" w:eastAsia="仿宋" w:cs="仿宋_GB2312"/>
                <w:b w:val="0"/>
                <w:bCs/>
                <w:color w:val="auto"/>
                <w:kern w:val="2"/>
                <w:sz w:val="24"/>
                <w:szCs w:val="24"/>
                <w:highlight w:val="none"/>
                <w:lang w:val="en-US" w:eastAsia="zh-CN" w:bidi="ar-SA"/>
              </w:rPr>
              <w:t>，讲解演示所用电脑等设备由供应商自备。现场讲解演示人员进场时提供讲解人员名单（加盖公章）及身份证明，否则不得讲解演示。</w:t>
            </w:r>
          </w:p>
          <w:p w14:paraId="22A7E716">
            <w:pPr>
              <w:pStyle w:val="504"/>
              <w:spacing w:before="6" w:line="276" w:lineRule="auto"/>
              <w:ind w:left="56" w:right="50"/>
              <w:jc w:val="both"/>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方式三：采用视频录制方式，用 U 盘介质储存快递或邮寄至代理机构（公告中列明的地址），视频中演示人应出示身份证。未派遣响应文件中的项目组人员进行演示讲解或未提供身份证明的，评分项不得分。若因U 盘损坏或打不开则按视为未提交。</w:t>
            </w:r>
          </w:p>
          <w:p w14:paraId="72277790">
            <w:pPr>
              <w:pStyle w:val="504"/>
              <w:spacing w:before="79" w:line="279" w:lineRule="auto"/>
              <w:ind w:left="55" w:right="53" w:firstLine="1"/>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方式四：采用现场钉钉直播演示的。开启后，演示人请加钉钉号</w:t>
            </w:r>
            <w:r>
              <w:rPr>
                <w:rFonts w:hint="eastAsia" w:ascii="仿宋" w:hAnsi="仿宋" w:eastAsia="仿宋" w:cs="仿宋_GB2312"/>
                <w:b w:val="0"/>
                <w:bCs/>
                <w:color w:val="auto"/>
                <w:kern w:val="2"/>
                <w:sz w:val="24"/>
                <w:szCs w:val="24"/>
                <w:highlight w:val="none"/>
                <w:u w:val="single"/>
                <w:lang w:val="en-US" w:eastAsia="zh-CN" w:bidi="ar-SA"/>
              </w:rPr>
              <w:t xml:space="preserve"> / </w:t>
            </w:r>
            <w:r>
              <w:rPr>
                <w:rFonts w:hint="eastAsia" w:ascii="仿宋" w:hAnsi="仿宋" w:eastAsia="仿宋" w:cs="仿宋_GB2312"/>
                <w:b w:val="0"/>
                <w:bCs/>
                <w:color w:val="auto"/>
                <w:kern w:val="2"/>
                <w:sz w:val="24"/>
                <w:szCs w:val="24"/>
                <w:highlight w:val="none"/>
                <w:lang w:val="en-US" w:eastAsia="zh-CN" w:bidi="ar-SA"/>
              </w:rPr>
              <w:t>，请求发送后，代理工作人员将通过好友验证。直播演示前，首先演示人进行身份信息直播核对。未派遣符合要求的讲解演示人员进行直播演示讲解或未提供身份证明的，评分项不得分。</w:t>
            </w:r>
          </w:p>
          <w:p w14:paraId="656547A7">
            <w:pPr>
              <w:pStyle w:val="504"/>
              <w:spacing w:before="2" w:line="253" w:lineRule="auto"/>
              <w:ind w:left="55" w:leftChars="0"/>
              <w:jc w:val="both"/>
              <w:rPr>
                <w:rFonts w:hint="eastAsia" w:eastAsia="仿宋"/>
                <w:color w:val="auto"/>
                <w:highlight w:val="none"/>
                <w:lang w:eastAsia="zh-CN"/>
              </w:rPr>
            </w:pPr>
            <w:r>
              <w:rPr>
                <w:rFonts w:hint="eastAsia" w:ascii="仿宋" w:hAnsi="仿宋" w:eastAsia="仿宋" w:cs="仿宋_GB2312"/>
                <w:b w:val="0"/>
                <w:bCs/>
                <w:color w:val="auto"/>
                <w:kern w:val="2"/>
                <w:sz w:val="24"/>
                <w:szCs w:val="24"/>
                <w:highlight w:val="none"/>
                <w:lang w:val="en-US" w:eastAsia="zh-CN" w:bidi="ar-SA"/>
              </w:rPr>
              <w:t>注：因供应商自身原因导致无法演示或者演示效果不理想 的，责任自负。因平台原因导致本项目方案讲解演示环节 无法顺利开展，按照《浙江省政府采购项目电子交易管理 暂行办法》相关规定执行。</w:t>
            </w:r>
          </w:p>
        </w:tc>
      </w:tr>
      <w:tr w14:paraId="79DBA7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3" w:hRule="atLeast"/>
          <w:tblHeader/>
        </w:trPr>
        <w:tc>
          <w:tcPr>
            <w:tcW w:w="671" w:type="dxa"/>
            <w:vMerge w:val="restart"/>
            <w:tcBorders>
              <w:top w:val="single" w:color="auto" w:sz="4" w:space="0"/>
              <w:left w:val="single" w:color="auto" w:sz="4" w:space="0"/>
              <w:right w:val="single" w:color="auto" w:sz="4" w:space="0"/>
            </w:tcBorders>
            <w:vAlign w:val="center"/>
          </w:tcPr>
          <w:p w14:paraId="72C96D1C">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11</w:t>
            </w:r>
          </w:p>
        </w:tc>
        <w:tc>
          <w:tcPr>
            <w:tcW w:w="1968" w:type="dxa"/>
            <w:vMerge w:val="restart"/>
            <w:tcBorders>
              <w:top w:val="single" w:color="auto" w:sz="4" w:space="0"/>
              <w:left w:val="single" w:color="auto" w:sz="4" w:space="0"/>
              <w:right w:val="single" w:color="auto" w:sz="4" w:space="0"/>
            </w:tcBorders>
            <w:vAlign w:val="center"/>
          </w:tcPr>
          <w:p w14:paraId="23D1A409">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供应商应当提供</w:t>
            </w:r>
          </w:p>
          <w:p w14:paraId="1210D870">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的资格、资信证</w:t>
            </w:r>
          </w:p>
          <w:p w14:paraId="3B64F920">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明文件</w:t>
            </w:r>
          </w:p>
        </w:tc>
        <w:tc>
          <w:tcPr>
            <w:tcW w:w="6487" w:type="dxa"/>
            <w:tcBorders>
              <w:top w:val="single" w:color="000000" w:sz="8" w:space="0"/>
              <w:left w:val="single" w:color="auto" w:sz="4" w:space="0"/>
              <w:bottom w:val="single" w:color="000000" w:sz="8" w:space="0"/>
              <w:right w:val="single" w:color="000000" w:sz="8" w:space="0"/>
            </w:tcBorders>
            <w:vAlign w:val="top"/>
          </w:tcPr>
          <w:p w14:paraId="6C57F487">
            <w:pPr>
              <w:pStyle w:val="504"/>
              <w:spacing w:before="2" w:line="253" w:lineRule="auto"/>
              <w:ind w:left="55" w:leftChars="0"/>
              <w:jc w:val="both"/>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（1）资格证明文件：见征集文件第二部分 11.1。</w:t>
            </w:r>
          </w:p>
          <w:p w14:paraId="004F4724">
            <w:pPr>
              <w:pStyle w:val="504"/>
              <w:spacing w:before="2" w:line="253" w:lineRule="auto"/>
              <w:ind w:left="55" w:leftChars="0"/>
              <w:jc w:val="both"/>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供应商未提供有效的资格证明文件的，视为供应商不具备征集文件中规定的资格要求，响应无效。</w:t>
            </w:r>
          </w:p>
        </w:tc>
      </w:tr>
      <w:tr w14:paraId="39C569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71" w:type="dxa"/>
            <w:vMerge w:val="continue"/>
            <w:tcBorders>
              <w:left w:val="single" w:color="auto" w:sz="4" w:space="0"/>
              <w:bottom w:val="single" w:color="auto" w:sz="4" w:space="0"/>
              <w:right w:val="single" w:color="auto" w:sz="4" w:space="0"/>
            </w:tcBorders>
            <w:vAlign w:val="center"/>
          </w:tcPr>
          <w:p w14:paraId="3F26406A">
            <w:pPr>
              <w:snapToGrid w:val="0"/>
              <w:spacing w:line="360" w:lineRule="auto"/>
              <w:jc w:val="center"/>
              <w:rPr>
                <w:rFonts w:hint="eastAsia" w:ascii="仿宋" w:hAnsi="仿宋" w:eastAsia="仿宋" w:cs="仿宋_GB2312"/>
                <w:b/>
                <w:color w:val="auto"/>
                <w:sz w:val="24"/>
                <w:highlight w:val="none"/>
                <w:lang w:val="en-US" w:eastAsia="zh-CN"/>
              </w:rPr>
            </w:pPr>
          </w:p>
        </w:tc>
        <w:tc>
          <w:tcPr>
            <w:tcW w:w="1968" w:type="dxa"/>
            <w:vMerge w:val="continue"/>
            <w:tcBorders>
              <w:left w:val="single" w:color="auto" w:sz="4" w:space="0"/>
              <w:bottom w:val="single" w:color="auto" w:sz="4" w:space="0"/>
              <w:right w:val="single" w:color="auto" w:sz="4" w:space="0"/>
            </w:tcBorders>
            <w:vAlign w:val="center"/>
          </w:tcPr>
          <w:p w14:paraId="22326D08">
            <w:pPr>
              <w:snapToGrid w:val="0"/>
              <w:spacing w:line="360" w:lineRule="auto"/>
              <w:jc w:val="center"/>
              <w:rPr>
                <w:rFonts w:hint="eastAsia" w:ascii="仿宋" w:hAnsi="仿宋" w:eastAsia="仿宋" w:cs="仿宋_GB2312"/>
                <w:b/>
                <w:color w:val="auto"/>
                <w:sz w:val="24"/>
                <w:highlight w:val="none"/>
                <w:lang w:val="en-US" w:eastAsia="zh-CN"/>
              </w:rPr>
            </w:pPr>
          </w:p>
        </w:tc>
        <w:tc>
          <w:tcPr>
            <w:tcW w:w="6487" w:type="dxa"/>
            <w:tcBorders>
              <w:top w:val="single" w:color="000000" w:sz="8" w:space="0"/>
              <w:left w:val="single" w:color="auto" w:sz="4" w:space="0"/>
              <w:bottom w:val="single" w:color="000000" w:sz="8" w:space="0"/>
              <w:right w:val="single" w:color="000000" w:sz="8" w:space="0"/>
            </w:tcBorders>
            <w:vAlign w:val="top"/>
          </w:tcPr>
          <w:p w14:paraId="50745115">
            <w:pPr>
              <w:pStyle w:val="504"/>
              <w:spacing w:before="2" w:line="253" w:lineRule="auto"/>
              <w:ind w:left="55" w:leftChars="0"/>
              <w:jc w:val="both"/>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（2）资信证明文件：根据征集文件第四部分评标标准提供。</w:t>
            </w:r>
          </w:p>
        </w:tc>
      </w:tr>
      <w:tr w14:paraId="254500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tcBorders>
              <w:top w:val="single" w:color="auto" w:sz="4" w:space="0"/>
              <w:left w:val="single" w:color="auto" w:sz="4" w:space="0"/>
              <w:right w:val="single" w:color="auto" w:sz="4" w:space="0"/>
            </w:tcBorders>
            <w:vAlign w:val="center"/>
          </w:tcPr>
          <w:p w14:paraId="4A9CFF03">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12</w:t>
            </w:r>
          </w:p>
        </w:tc>
        <w:tc>
          <w:tcPr>
            <w:tcW w:w="1968" w:type="dxa"/>
            <w:tcBorders>
              <w:top w:val="single" w:color="auto" w:sz="4" w:space="0"/>
              <w:left w:val="single" w:color="auto" w:sz="4" w:space="0"/>
              <w:right w:val="single" w:color="auto" w:sz="4" w:space="0"/>
            </w:tcBorders>
            <w:vAlign w:val="center"/>
          </w:tcPr>
          <w:p w14:paraId="4BB3DB2F">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节能产品、环境</w:t>
            </w:r>
          </w:p>
          <w:p w14:paraId="05F8B338">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标志产品（本项 目不适用）</w:t>
            </w:r>
          </w:p>
        </w:tc>
        <w:tc>
          <w:tcPr>
            <w:tcW w:w="6487" w:type="dxa"/>
            <w:tcBorders>
              <w:top w:val="single" w:color="000000" w:sz="8" w:space="0"/>
              <w:left w:val="single" w:color="auto" w:sz="4" w:space="0"/>
              <w:bottom w:val="single" w:color="000000" w:sz="8" w:space="0"/>
              <w:right w:val="single" w:color="000000" w:sz="8" w:space="0"/>
            </w:tcBorders>
            <w:vAlign w:val="top"/>
          </w:tcPr>
          <w:p w14:paraId="23413CEE">
            <w:pPr>
              <w:pStyle w:val="504"/>
              <w:spacing w:before="116" w:line="284" w:lineRule="auto"/>
              <w:jc w:val="both"/>
              <w:rPr>
                <w:rFonts w:hint="eastAsia" w:ascii="仿宋" w:hAnsi="仿宋" w:eastAsia="仿宋"/>
                <w:snapToGrid w:val="0"/>
                <w:color w:val="auto"/>
                <w:kern w:val="28"/>
                <w:sz w:val="24"/>
                <w:highlight w:val="none"/>
              </w:rPr>
            </w:pPr>
            <w:r>
              <w:rPr>
                <w:rFonts w:hint="eastAsia" w:ascii="仿宋" w:hAnsi="仿宋" w:eastAsia="仿宋" w:cs="仿宋_GB2312"/>
                <w:b w:val="0"/>
                <w:bCs/>
                <w:color w:val="auto"/>
                <w:kern w:val="2"/>
                <w:sz w:val="24"/>
                <w:szCs w:val="24"/>
                <w:highlight w:val="none"/>
                <w:lang w:val="en-US" w:eastAsia="zh-CN" w:bidi="ar-SA"/>
              </w:rPr>
              <w:t>征集人拟采购的产品属于品目清单范围的，征集人及其委托的采购代理机构将依据国家确定的认证机构出具的、处于有效期之内的节能产品、环境标志产品认证证书，对获得证书的产品实施政府优先采购或强制采购。</w:t>
            </w:r>
          </w:p>
        </w:tc>
      </w:tr>
      <w:tr w14:paraId="1F63F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vMerge w:val="restart"/>
            <w:tcBorders>
              <w:top w:val="single" w:color="auto" w:sz="4" w:space="0"/>
              <w:left w:val="single" w:color="auto" w:sz="4" w:space="0"/>
              <w:right w:val="single" w:color="auto" w:sz="4" w:space="0"/>
            </w:tcBorders>
            <w:vAlign w:val="top"/>
          </w:tcPr>
          <w:p w14:paraId="6B5BD0CB">
            <w:pPr>
              <w:snapToGrid w:val="0"/>
              <w:spacing w:line="360" w:lineRule="auto"/>
              <w:jc w:val="center"/>
              <w:rPr>
                <w:rFonts w:hint="eastAsia" w:ascii="仿宋" w:hAnsi="仿宋" w:eastAsia="仿宋" w:cs="仿宋_GB2312"/>
                <w:b/>
                <w:color w:val="auto"/>
                <w:sz w:val="24"/>
                <w:highlight w:val="none"/>
                <w:lang w:val="en-US" w:eastAsia="zh-CN"/>
              </w:rPr>
            </w:pPr>
          </w:p>
          <w:p w14:paraId="1E7D1C41">
            <w:pPr>
              <w:snapToGrid w:val="0"/>
              <w:spacing w:line="360" w:lineRule="auto"/>
              <w:jc w:val="center"/>
              <w:rPr>
                <w:rFonts w:hint="eastAsia" w:ascii="仿宋" w:hAnsi="仿宋" w:eastAsia="仿宋" w:cs="仿宋_GB2312"/>
                <w:b/>
                <w:color w:val="auto"/>
                <w:sz w:val="24"/>
                <w:highlight w:val="none"/>
                <w:lang w:val="en-US" w:eastAsia="zh-CN"/>
              </w:rPr>
            </w:pPr>
          </w:p>
          <w:p w14:paraId="204B5806">
            <w:pPr>
              <w:snapToGrid w:val="0"/>
              <w:spacing w:line="360" w:lineRule="auto"/>
              <w:jc w:val="center"/>
              <w:rPr>
                <w:rFonts w:hint="eastAsia" w:ascii="仿宋" w:hAnsi="仿宋" w:eastAsia="仿宋" w:cs="仿宋_GB2312"/>
                <w:b/>
                <w:color w:val="auto"/>
                <w:sz w:val="24"/>
                <w:highlight w:val="none"/>
                <w:lang w:val="en-US" w:eastAsia="zh-CN"/>
              </w:rPr>
            </w:pPr>
          </w:p>
          <w:p w14:paraId="41E8B159">
            <w:pPr>
              <w:snapToGrid w:val="0"/>
              <w:spacing w:line="360" w:lineRule="auto"/>
              <w:jc w:val="center"/>
              <w:rPr>
                <w:rFonts w:hint="eastAsia" w:ascii="仿宋" w:hAnsi="仿宋" w:eastAsia="仿宋" w:cs="仿宋_GB2312"/>
                <w:b/>
                <w:color w:val="auto"/>
                <w:sz w:val="24"/>
                <w:highlight w:val="none"/>
                <w:lang w:val="en-US" w:eastAsia="zh-CN"/>
              </w:rPr>
            </w:pPr>
          </w:p>
          <w:p w14:paraId="6C8750FF">
            <w:pPr>
              <w:snapToGrid w:val="0"/>
              <w:spacing w:line="360" w:lineRule="auto"/>
              <w:jc w:val="center"/>
              <w:rPr>
                <w:rFonts w:hint="eastAsia" w:ascii="仿宋" w:hAnsi="仿宋" w:eastAsia="仿宋" w:cs="仿宋_GB2312"/>
                <w:b/>
                <w:color w:val="auto"/>
                <w:sz w:val="24"/>
                <w:highlight w:val="none"/>
                <w:lang w:val="en-US" w:eastAsia="zh-CN"/>
              </w:rPr>
            </w:pPr>
          </w:p>
          <w:p w14:paraId="01BBA74C">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13</w:t>
            </w:r>
          </w:p>
        </w:tc>
        <w:tc>
          <w:tcPr>
            <w:tcW w:w="1968" w:type="dxa"/>
            <w:vMerge w:val="restart"/>
            <w:tcBorders>
              <w:top w:val="single" w:color="auto" w:sz="4" w:space="0"/>
              <w:left w:val="single" w:color="auto" w:sz="4" w:space="0"/>
              <w:right w:val="single" w:color="auto" w:sz="4" w:space="0"/>
            </w:tcBorders>
            <w:vAlign w:val="top"/>
          </w:tcPr>
          <w:p w14:paraId="6949F28A">
            <w:pPr>
              <w:snapToGrid w:val="0"/>
              <w:spacing w:line="360" w:lineRule="auto"/>
              <w:jc w:val="center"/>
              <w:rPr>
                <w:rFonts w:hint="eastAsia" w:ascii="仿宋" w:hAnsi="仿宋" w:eastAsia="仿宋" w:cs="仿宋_GB2312"/>
                <w:b/>
                <w:color w:val="auto"/>
                <w:sz w:val="24"/>
                <w:highlight w:val="none"/>
                <w:lang w:val="en-US" w:eastAsia="zh-CN"/>
              </w:rPr>
            </w:pPr>
          </w:p>
          <w:p w14:paraId="54E7E1A0">
            <w:pPr>
              <w:snapToGrid w:val="0"/>
              <w:spacing w:line="360" w:lineRule="auto"/>
              <w:jc w:val="center"/>
              <w:rPr>
                <w:rFonts w:hint="eastAsia" w:ascii="仿宋" w:hAnsi="仿宋" w:eastAsia="仿宋" w:cs="仿宋_GB2312"/>
                <w:b/>
                <w:color w:val="auto"/>
                <w:sz w:val="24"/>
                <w:highlight w:val="none"/>
                <w:lang w:val="en-US" w:eastAsia="zh-CN"/>
              </w:rPr>
            </w:pPr>
          </w:p>
          <w:p w14:paraId="4458E7C8">
            <w:pPr>
              <w:snapToGrid w:val="0"/>
              <w:spacing w:line="360" w:lineRule="auto"/>
              <w:jc w:val="center"/>
              <w:rPr>
                <w:rFonts w:hint="eastAsia" w:ascii="仿宋" w:hAnsi="仿宋" w:eastAsia="仿宋" w:cs="仿宋_GB2312"/>
                <w:b/>
                <w:color w:val="auto"/>
                <w:sz w:val="24"/>
                <w:highlight w:val="none"/>
                <w:lang w:val="en-US" w:eastAsia="zh-CN"/>
              </w:rPr>
            </w:pPr>
          </w:p>
          <w:p w14:paraId="1F95C4D7">
            <w:pPr>
              <w:snapToGrid w:val="0"/>
              <w:spacing w:line="360" w:lineRule="auto"/>
              <w:jc w:val="center"/>
              <w:rPr>
                <w:rFonts w:hint="eastAsia" w:ascii="仿宋" w:hAnsi="仿宋" w:eastAsia="仿宋" w:cs="仿宋_GB2312"/>
                <w:b/>
                <w:color w:val="auto"/>
                <w:sz w:val="24"/>
                <w:highlight w:val="none"/>
                <w:lang w:val="en-US" w:eastAsia="zh-CN"/>
              </w:rPr>
            </w:pPr>
          </w:p>
          <w:p w14:paraId="3C9432EE">
            <w:pPr>
              <w:snapToGrid w:val="0"/>
              <w:spacing w:line="360" w:lineRule="auto"/>
              <w:jc w:val="center"/>
              <w:rPr>
                <w:rFonts w:hint="eastAsia" w:ascii="仿宋" w:hAnsi="仿宋" w:eastAsia="仿宋" w:cs="仿宋_GB2312"/>
                <w:b/>
                <w:color w:val="auto"/>
                <w:sz w:val="24"/>
                <w:highlight w:val="none"/>
                <w:lang w:val="en-US" w:eastAsia="zh-CN"/>
              </w:rPr>
            </w:pPr>
          </w:p>
          <w:p w14:paraId="7C63C1F4">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中小企业信用融 资</w:t>
            </w:r>
          </w:p>
        </w:tc>
        <w:tc>
          <w:tcPr>
            <w:tcW w:w="6487" w:type="dxa"/>
            <w:tcBorders>
              <w:top w:val="single" w:color="000000" w:sz="8" w:space="0"/>
              <w:left w:val="single" w:color="auto" w:sz="4" w:space="0"/>
              <w:bottom w:val="single" w:color="000000" w:sz="8" w:space="0"/>
              <w:right w:val="single" w:color="000000" w:sz="8" w:space="0"/>
            </w:tcBorders>
            <w:vAlign w:val="top"/>
          </w:tcPr>
          <w:p w14:paraId="30B252A7">
            <w:pPr>
              <w:pStyle w:val="504"/>
              <w:spacing w:before="116" w:line="284" w:lineRule="auto"/>
              <w:jc w:val="both"/>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14:paraId="58B7A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vMerge w:val="continue"/>
            <w:tcBorders>
              <w:left w:val="single" w:color="auto" w:sz="4" w:space="0"/>
              <w:bottom w:val="single" w:color="auto" w:sz="4" w:space="0"/>
              <w:right w:val="single" w:color="auto" w:sz="4" w:space="0"/>
            </w:tcBorders>
            <w:vAlign w:val="top"/>
          </w:tcPr>
          <w:p w14:paraId="0A1D8F89">
            <w:pPr>
              <w:rPr>
                <w:rFonts w:ascii="仿宋" w:hAnsi="仿宋" w:eastAsia="仿宋" w:cs="仿宋_GB2312"/>
                <w:b/>
                <w:color w:val="auto"/>
                <w:sz w:val="24"/>
                <w:highlight w:val="none"/>
              </w:rPr>
            </w:pPr>
          </w:p>
        </w:tc>
        <w:tc>
          <w:tcPr>
            <w:tcW w:w="1968" w:type="dxa"/>
            <w:vMerge w:val="continue"/>
            <w:tcBorders>
              <w:left w:val="single" w:color="auto" w:sz="4" w:space="0"/>
              <w:bottom w:val="single" w:color="auto" w:sz="4" w:space="0"/>
              <w:right w:val="single" w:color="auto" w:sz="4" w:space="0"/>
            </w:tcBorders>
            <w:vAlign w:val="top"/>
          </w:tcPr>
          <w:p w14:paraId="60D7015A">
            <w:pPr>
              <w:rPr>
                <w:rFonts w:ascii="仿宋" w:hAnsi="仿宋" w:eastAsia="仿宋" w:cs="仿宋_GB2312"/>
                <w:b/>
                <w:color w:val="auto"/>
                <w:sz w:val="24"/>
                <w:highlight w:val="none"/>
              </w:rPr>
            </w:pPr>
          </w:p>
        </w:tc>
        <w:tc>
          <w:tcPr>
            <w:tcW w:w="6487" w:type="dxa"/>
            <w:tcBorders>
              <w:top w:val="single" w:color="000000" w:sz="8" w:space="0"/>
              <w:left w:val="single" w:color="auto" w:sz="4" w:space="0"/>
              <w:bottom w:val="single" w:color="000000" w:sz="8" w:space="0"/>
              <w:right w:val="single" w:color="000000" w:sz="8" w:space="0"/>
            </w:tcBorders>
            <w:vAlign w:val="top"/>
          </w:tcPr>
          <w:p w14:paraId="6FDDF6F3">
            <w:pPr>
              <w:pStyle w:val="504"/>
              <w:spacing w:before="116" w:line="284" w:lineRule="auto"/>
              <w:jc w:val="both"/>
              <w:rPr>
                <w:rFonts w:hint="eastAsia" w:ascii="仿宋" w:hAnsi="仿宋" w:eastAsia="仿宋" w:cs="仿宋_GB2312"/>
                <w:b w:val="0"/>
                <w:bCs/>
                <w:color w:val="auto"/>
                <w:kern w:val="2"/>
                <w:sz w:val="24"/>
                <w:szCs w:val="24"/>
                <w:highlight w:val="none"/>
                <w:lang w:val="en-US" w:eastAsia="zh-CN" w:bidi="ar-SA"/>
              </w:rPr>
            </w:pPr>
            <w:r>
              <w:rPr>
                <w:rFonts w:hint="eastAsia" w:ascii="仿宋" w:hAnsi="仿宋" w:eastAsia="仿宋" w:cs="仿宋_GB2312"/>
                <w:b w:val="0"/>
                <w:bCs/>
                <w:color w:val="auto"/>
                <w:kern w:val="2"/>
                <w:sz w:val="24"/>
                <w:szCs w:val="24"/>
                <w:highlight w:val="none"/>
                <w:lang w:val="en-US" w:eastAsia="zh-CN" w:bidi="ar-SA"/>
              </w:rPr>
              <w:t>供应商入围后也可在“政采云 ”平台申请政采贷：操作路径：登录政采云平台-金融服务中心 -【融资服务】，可在热门申请中选择产品直接申请，也可点击云智贷匹配适合产品进行申请，或者在可申请项目中根据该项目进行申请。</w:t>
            </w:r>
          </w:p>
        </w:tc>
      </w:tr>
      <w:tr w14:paraId="364EE5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4C74DDC7">
            <w:pPr>
              <w:snapToGrid w:val="0"/>
              <w:spacing w:line="360" w:lineRule="auto"/>
              <w:jc w:val="center"/>
              <w:rPr>
                <w:rFonts w:hint="default"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14</w:t>
            </w:r>
          </w:p>
        </w:tc>
        <w:tc>
          <w:tcPr>
            <w:tcW w:w="1968" w:type="dxa"/>
            <w:tcBorders>
              <w:top w:val="single" w:color="auto" w:sz="4" w:space="0"/>
              <w:left w:val="single" w:color="auto" w:sz="4" w:space="0"/>
              <w:bottom w:val="single" w:color="auto" w:sz="4" w:space="0"/>
              <w:right w:val="single" w:color="auto" w:sz="4" w:space="0"/>
            </w:tcBorders>
            <w:vAlign w:val="center"/>
          </w:tcPr>
          <w:p w14:paraId="6286BB82">
            <w:pPr>
              <w:snapToGrid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备份响应文件送达地点和签收人员</w:t>
            </w:r>
          </w:p>
        </w:tc>
        <w:tc>
          <w:tcPr>
            <w:tcW w:w="6487" w:type="dxa"/>
            <w:tcBorders>
              <w:top w:val="single" w:color="000000" w:sz="8" w:space="0"/>
              <w:left w:val="single" w:color="auto" w:sz="4" w:space="0"/>
              <w:bottom w:val="single" w:color="000000" w:sz="8" w:space="0"/>
              <w:right w:val="single" w:color="000000" w:sz="8" w:space="0"/>
            </w:tcBorders>
            <w:vAlign w:val="center"/>
          </w:tcPr>
          <w:p w14:paraId="3BE66BFE">
            <w:pPr>
              <w:spacing w:line="360" w:lineRule="auto"/>
              <w:rPr>
                <w:rFonts w:ascii="仿宋" w:hAnsi="仿宋" w:eastAsia="仿宋"/>
                <w:snapToGrid w:val="0"/>
                <w:color w:val="auto"/>
                <w:kern w:val="28"/>
                <w:sz w:val="24"/>
                <w:highlight w:val="none"/>
              </w:rPr>
            </w:pPr>
            <w:r>
              <w:rPr>
                <w:rFonts w:hint="eastAsia" w:ascii="仿宋" w:hAnsi="仿宋" w:eastAsia="仿宋"/>
                <w:color w:val="auto"/>
                <w:kern w:val="28"/>
                <w:sz w:val="24"/>
                <w:highlight w:val="none"/>
              </w:rPr>
              <w:t>备份响应文件送达地点：</w:t>
            </w:r>
            <w:r>
              <w:rPr>
                <w:rFonts w:hint="eastAsia" w:ascii="仿宋" w:hAnsi="仿宋" w:eastAsia="仿宋" w:cs="仿宋"/>
                <w:color w:val="auto"/>
                <w:sz w:val="24"/>
                <w:highlight w:val="none"/>
                <w:lang w:eastAsia="zh-CN"/>
              </w:rPr>
              <w:t>杭州市萧山区金城路185号商会大厦B座27层03室</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俞工</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18257176004</w:t>
            </w:r>
            <w:r>
              <w:rPr>
                <w:rFonts w:hint="eastAsia" w:ascii="仿宋" w:hAnsi="仿宋" w:eastAsia="仿宋"/>
                <w:color w:val="auto"/>
                <w:kern w:val="28"/>
                <w:sz w:val="24"/>
                <w:highlight w:val="none"/>
              </w:rPr>
              <w:t>。</w:t>
            </w:r>
            <w:r>
              <w:rPr>
                <w:rFonts w:hint="eastAsia" w:ascii="仿宋" w:hAnsi="仿宋" w:eastAsia="仿宋" w:cs="仿宋_GB2312"/>
                <w:b/>
                <w:color w:val="auto"/>
                <w:sz w:val="24"/>
                <w:highlight w:val="none"/>
              </w:rPr>
              <w:t>征集人、采购代理机构不强制或变相强制供应商提交备份响应文件。</w:t>
            </w:r>
          </w:p>
        </w:tc>
      </w:tr>
      <w:tr w14:paraId="1F2554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8" w:hRule="atLeast"/>
          <w:tblHeader/>
        </w:trPr>
        <w:tc>
          <w:tcPr>
            <w:tcW w:w="671" w:type="dxa"/>
            <w:tcBorders>
              <w:top w:val="single" w:color="auto" w:sz="4" w:space="0"/>
              <w:left w:val="single" w:color="auto" w:sz="4" w:space="0"/>
              <w:bottom w:val="single" w:color="auto" w:sz="4" w:space="0"/>
              <w:right w:val="single" w:color="auto" w:sz="4" w:space="0"/>
            </w:tcBorders>
            <w:vAlign w:val="center"/>
          </w:tcPr>
          <w:p w14:paraId="416A7CE9">
            <w:pPr>
              <w:snapToGrid w:val="0"/>
              <w:spacing w:line="360" w:lineRule="auto"/>
              <w:jc w:val="center"/>
              <w:rPr>
                <w:rFonts w:hint="default"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15</w:t>
            </w:r>
          </w:p>
        </w:tc>
        <w:tc>
          <w:tcPr>
            <w:tcW w:w="1968" w:type="dxa"/>
            <w:tcBorders>
              <w:top w:val="single" w:color="auto" w:sz="4" w:space="0"/>
              <w:left w:val="single" w:color="auto" w:sz="4" w:space="0"/>
              <w:bottom w:val="single" w:color="auto" w:sz="4" w:space="0"/>
              <w:right w:val="single" w:color="auto" w:sz="4" w:space="0"/>
            </w:tcBorders>
            <w:vAlign w:val="center"/>
          </w:tcPr>
          <w:p w14:paraId="7EBCF540">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采购代理服务费</w:t>
            </w:r>
          </w:p>
        </w:tc>
        <w:tc>
          <w:tcPr>
            <w:tcW w:w="6487" w:type="dxa"/>
            <w:tcBorders>
              <w:top w:val="single" w:color="000000" w:sz="8" w:space="0"/>
              <w:left w:val="single" w:color="auto" w:sz="4" w:space="0"/>
              <w:bottom w:val="single" w:color="000000" w:sz="8" w:space="0"/>
              <w:right w:val="single" w:color="000000" w:sz="8" w:space="0"/>
            </w:tcBorders>
            <w:vAlign w:val="center"/>
          </w:tcPr>
          <w:p w14:paraId="3CE3B848">
            <w:pPr>
              <w:pStyle w:val="28"/>
              <w:spacing w:line="360" w:lineRule="auto"/>
              <w:ind w:hanging="4"/>
              <w:rPr>
                <w:rFonts w:hint="eastAsia" w:ascii="仿宋" w:hAnsi="仿宋" w:eastAsia="仿宋" w:cs="Times New Roman"/>
                <w:color w:val="auto"/>
                <w:kern w:val="28"/>
                <w:sz w:val="24"/>
                <w:highlight w:val="none"/>
              </w:rPr>
            </w:pPr>
            <w:r>
              <w:rPr>
                <w:rFonts w:hint="eastAsia" w:ascii="仿宋" w:hAnsi="仿宋" w:eastAsia="仿宋"/>
                <w:color w:val="auto"/>
                <w:kern w:val="28"/>
                <w:sz w:val="24"/>
                <w:highlight w:val="none"/>
              </w:rPr>
              <w:t>采购代理服务费：由每家入围供应商支付</w:t>
            </w:r>
            <w:r>
              <w:rPr>
                <w:rFonts w:hint="eastAsia" w:ascii="仿宋" w:hAnsi="仿宋" w:eastAsia="仿宋"/>
                <w:color w:val="auto"/>
                <w:kern w:val="28"/>
                <w:sz w:val="24"/>
                <w:highlight w:val="none"/>
                <w:lang w:val="en-US" w:eastAsia="zh-CN"/>
              </w:rPr>
              <w:t>5</w:t>
            </w:r>
            <w:r>
              <w:rPr>
                <w:rFonts w:hint="eastAsia" w:ascii="仿宋" w:hAnsi="仿宋" w:eastAsia="仿宋"/>
                <w:color w:val="auto"/>
                <w:kern w:val="28"/>
                <w:sz w:val="24"/>
                <w:highlight w:val="none"/>
              </w:rPr>
              <w:t>000元。</w:t>
            </w:r>
            <w:r>
              <w:rPr>
                <w:rFonts w:hint="eastAsia" w:ascii="仿宋" w:hAnsi="仿宋" w:eastAsia="仿宋" w:cs="Times New Roman"/>
                <w:b/>
                <w:bCs/>
                <w:color w:val="auto"/>
                <w:kern w:val="28"/>
                <w:sz w:val="24"/>
                <w:highlight w:val="none"/>
              </w:rPr>
              <w:t>采购代理费由中标人在中标公告发出后10日内向采购代理机构支付。</w:t>
            </w:r>
            <w:r>
              <w:rPr>
                <w:rFonts w:hint="eastAsia" w:ascii="仿宋" w:hAnsi="仿宋" w:eastAsia="仿宋" w:cs="Times New Roman"/>
                <w:color w:val="auto"/>
                <w:kern w:val="28"/>
                <w:sz w:val="24"/>
                <w:highlight w:val="none"/>
              </w:rPr>
              <w:t>汇入以下账户 ：</w:t>
            </w:r>
          </w:p>
          <w:p w14:paraId="25A9A17C">
            <w:pPr>
              <w:pStyle w:val="28"/>
              <w:spacing w:line="360" w:lineRule="auto"/>
              <w:ind w:hanging="4"/>
              <w:rPr>
                <w:rFonts w:hint="eastAsia" w:ascii="仿宋" w:hAnsi="仿宋" w:eastAsia="仿宋" w:cs="Times New Roman"/>
                <w:color w:val="auto"/>
                <w:kern w:val="28"/>
                <w:sz w:val="24"/>
                <w:highlight w:val="none"/>
              </w:rPr>
            </w:pPr>
            <w:r>
              <w:rPr>
                <w:rFonts w:hint="eastAsia" w:ascii="仿宋" w:hAnsi="仿宋" w:eastAsia="仿宋" w:cs="Times New Roman"/>
                <w:color w:val="auto"/>
                <w:kern w:val="28"/>
                <w:sz w:val="24"/>
                <w:highlight w:val="none"/>
              </w:rPr>
              <w:t>开户名称：浙江中跃科技咨询有限公司</w:t>
            </w:r>
          </w:p>
          <w:p w14:paraId="6BD920B1">
            <w:pPr>
              <w:pStyle w:val="28"/>
              <w:spacing w:line="360" w:lineRule="auto"/>
              <w:ind w:hanging="4"/>
              <w:rPr>
                <w:rFonts w:hint="eastAsia" w:ascii="仿宋" w:hAnsi="仿宋" w:eastAsia="仿宋" w:cs="Times New Roman"/>
                <w:color w:val="auto"/>
                <w:kern w:val="28"/>
                <w:sz w:val="24"/>
                <w:highlight w:val="none"/>
              </w:rPr>
            </w:pPr>
            <w:r>
              <w:rPr>
                <w:rFonts w:hint="eastAsia" w:ascii="仿宋" w:hAnsi="仿宋" w:eastAsia="仿宋" w:cs="Times New Roman"/>
                <w:color w:val="auto"/>
                <w:kern w:val="28"/>
                <w:sz w:val="24"/>
                <w:highlight w:val="none"/>
              </w:rPr>
              <w:t>开户银行：中国工商银行股份有限公司杭州金城路支行</w:t>
            </w:r>
          </w:p>
          <w:p w14:paraId="04450F1A">
            <w:pPr>
              <w:spacing w:line="360" w:lineRule="auto"/>
              <w:rPr>
                <w:rFonts w:hint="eastAsia" w:ascii="仿宋" w:hAnsi="仿宋" w:eastAsia="仿宋"/>
                <w:color w:val="auto"/>
                <w:kern w:val="28"/>
                <w:sz w:val="24"/>
                <w:highlight w:val="none"/>
              </w:rPr>
            </w:pPr>
            <w:r>
              <w:rPr>
                <w:rFonts w:hint="eastAsia" w:ascii="仿宋" w:hAnsi="仿宋" w:eastAsia="仿宋" w:cs="Times New Roman"/>
                <w:color w:val="auto"/>
                <w:kern w:val="28"/>
                <w:sz w:val="24"/>
                <w:highlight w:val="none"/>
              </w:rPr>
              <w:t>银行账户：1202225409100258921</w:t>
            </w:r>
          </w:p>
        </w:tc>
      </w:tr>
      <w:tr w14:paraId="1C71F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7" w:hRule="atLeast"/>
          <w:tblHeader/>
        </w:trPr>
        <w:tc>
          <w:tcPr>
            <w:tcW w:w="671" w:type="dxa"/>
            <w:vMerge w:val="restart"/>
            <w:tcBorders>
              <w:top w:val="single" w:color="auto" w:sz="4" w:space="0"/>
              <w:left w:val="single" w:color="auto" w:sz="4" w:space="0"/>
              <w:right w:val="single" w:color="auto" w:sz="4" w:space="0"/>
            </w:tcBorders>
            <w:vAlign w:val="center"/>
          </w:tcPr>
          <w:p w14:paraId="237B5FB6">
            <w:pPr>
              <w:snapToGrid w:val="0"/>
              <w:spacing w:line="360" w:lineRule="auto"/>
              <w:jc w:val="center"/>
              <w:rPr>
                <w:rFonts w:hint="eastAsia" w:ascii="仿宋" w:hAnsi="仿宋" w:eastAsia="仿宋" w:cs="仿宋_GB2312"/>
                <w:b/>
                <w:color w:val="auto"/>
                <w:sz w:val="24"/>
                <w:highlight w:val="none"/>
                <w:lang w:val="en-US" w:eastAsia="zh-CN"/>
              </w:rPr>
            </w:pPr>
          </w:p>
          <w:p w14:paraId="4122383B">
            <w:pPr>
              <w:snapToGrid w:val="0"/>
              <w:spacing w:line="360" w:lineRule="auto"/>
              <w:jc w:val="center"/>
              <w:rPr>
                <w:rFonts w:hint="eastAsia" w:ascii="仿宋" w:hAnsi="仿宋" w:eastAsia="仿宋" w:cs="仿宋_GB2312"/>
                <w:b/>
                <w:color w:val="auto"/>
                <w:sz w:val="24"/>
                <w:highlight w:val="none"/>
                <w:lang w:val="en-US" w:eastAsia="zh-CN"/>
              </w:rPr>
            </w:pPr>
          </w:p>
          <w:p w14:paraId="33D7B0F2">
            <w:pPr>
              <w:snapToGrid w:val="0"/>
              <w:spacing w:line="360" w:lineRule="auto"/>
              <w:jc w:val="center"/>
              <w:rPr>
                <w:rFonts w:hint="eastAsia" w:ascii="仿宋" w:hAnsi="仿宋" w:eastAsia="仿宋" w:cs="仿宋_GB2312"/>
                <w:b/>
                <w:color w:val="auto"/>
                <w:sz w:val="24"/>
                <w:highlight w:val="none"/>
                <w:lang w:val="en-US" w:eastAsia="zh-CN"/>
              </w:rPr>
            </w:pPr>
          </w:p>
          <w:p w14:paraId="063A739F">
            <w:pPr>
              <w:snapToGrid w:val="0"/>
              <w:spacing w:line="360" w:lineRule="auto"/>
              <w:jc w:val="center"/>
              <w:rPr>
                <w:rFonts w:hint="eastAsia" w:ascii="仿宋" w:hAnsi="仿宋" w:eastAsia="仿宋" w:cs="仿宋_GB2312"/>
                <w:b/>
                <w:color w:val="auto"/>
                <w:sz w:val="24"/>
                <w:highlight w:val="none"/>
                <w:lang w:val="en-US" w:eastAsia="zh-CN"/>
              </w:rPr>
            </w:pPr>
          </w:p>
          <w:p w14:paraId="3C35B082">
            <w:pPr>
              <w:snapToGrid w:val="0"/>
              <w:spacing w:line="360" w:lineRule="auto"/>
              <w:jc w:val="center"/>
              <w:rPr>
                <w:rFonts w:hint="eastAsia" w:ascii="仿宋" w:hAnsi="仿宋" w:eastAsia="仿宋" w:cs="仿宋_GB2312"/>
                <w:b/>
                <w:color w:val="auto"/>
                <w:sz w:val="24"/>
                <w:highlight w:val="none"/>
                <w:lang w:val="en-US" w:eastAsia="zh-CN"/>
              </w:rPr>
            </w:pPr>
          </w:p>
          <w:p w14:paraId="2A52A9A1">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16</w:t>
            </w:r>
          </w:p>
          <w:p w14:paraId="7571827D">
            <w:pPr>
              <w:snapToGrid w:val="0"/>
              <w:spacing w:line="360" w:lineRule="auto"/>
              <w:jc w:val="center"/>
              <w:rPr>
                <w:rFonts w:hint="eastAsia" w:ascii="仿宋" w:hAnsi="仿宋" w:eastAsia="仿宋" w:cs="仿宋_GB2312"/>
                <w:b/>
                <w:color w:val="auto"/>
                <w:sz w:val="24"/>
                <w:highlight w:val="none"/>
                <w:lang w:val="en-US" w:eastAsia="zh-CN"/>
              </w:rPr>
            </w:pPr>
          </w:p>
          <w:p w14:paraId="3C6B9105">
            <w:pPr>
              <w:snapToGrid w:val="0"/>
              <w:spacing w:line="360" w:lineRule="auto"/>
              <w:jc w:val="center"/>
              <w:rPr>
                <w:rFonts w:hint="eastAsia" w:ascii="仿宋" w:hAnsi="仿宋" w:eastAsia="仿宋" w:cs="仿宋_GB2312"/>
                <w:b/>
                <w:color w:val="auto"/>
                <w:sz w:val="24"/>
                <w:highlight w:val="none"/>
                <w:lang w:val="en-US" w:eastAsia="zh-CN"/>
              </w:rPr>
            </w:pPr>
          </w:p>
          <w:p w14:paraId="59E772F6">
            <w:pPr>
              <w:snapToGrid w:val="0"/>
              <w:spacing w:line="360" w:lineRule="auto"/>
              <w:jc w:val="center"/>
              <w:rPr>
                <w:rFonts w:hint="eastAsia" w:ascii="仿宋" w:hAnsi="仿宋" w:eastAsia="仿宋" w:cs="仿宋_GB2312"/>
                <w:b/>
                <w:color w:val="auto"/>
                <w:sz w:val="24"/>
                <w:highlight w:val="none"/>
                <w:lang w:val="en-US" w:eastAsia="zh-CN"/>
              </w:rPr>
            </w:pPr>
          </w:p>
          <w:p w14:paraId="320A6AB8">
            <w:pPr>
              <w:snapToGrid w:val="0"/>
              <w:spacing w:line="360" w:lineRule="auto"/>
              <w:jc w:val="center"/>
              <w:rPr>
                <w:rFonts w:hint="eastAsia" w:ascii="仿宋" w:hAnsi="仿宋" w:eastAsia="仿宋" w:cs="仿宋_GB2312"/>
                <w:b/>
                <w:color w:val="auto"/>
                <w:sz w:val="24"/>
                <w:highlight w:val="none"/>
                <w:lang w:val="en-US" w:eastAsia="zh-CN"/>
              </w:rPr>
            </w:pPr>
          </w:p>
          <w:p w14:paraId="54675073">
            <w:pPr>
              <w:snapToGrid w:val="0"/>
              <w:spacing w:line="360" w:lineRule="auto"/>
              <w:jc w:val="center"/>
              <w:rPr>
                <w:rFonts w:hint="eastAsia" w:ascii="仿宋" w:hAnsi="仿宋" w:eastAsia="仿宋" w:cs="仿宋_GB2312"/>
                <w:b/>
                <w:color w:val="auto"/>
                <w:sz w:val="24"/>
                <w:highlight w:val="none"/>
                <w:lang w:val="en-US" w:eastAsia="zh-CN"/>
              </w:rPr>
            </w:pPr>
          </w:p>
          <w:p w14:paraId="6DB8B43D">
            <w:pPr>
              <w:snapToGrid w:val="0"/>
              <w:spacing w:line="360" w:lineRule="auto"/>
              <w:jc w:val="center"/>
              <w:rPr>
                <w:rFonts w:hint="eastAsia" w:ascii="仿宋" w:hAnsi="仿宋" w:eastAsia="仿宋" w:cs="仿宋_GB2312"/>
                <w:b/>
                <w:color w:val="auto"/>
                <w:sz w:val="24"/>
                <w:highlight w:val="none"/>
                <w:lang w:val="en-US" w:eastAsia="zh-CN"/>
              </w:rPr>
            </w:pPr>
          </w:p>
          <w:p w14:paraId="6F4F67FF">
            <w:pPr>
              <w:snapToGrid w:val="0"/>
              <w:spacing w:line="360" w:lineRule="auto"/>
              <w:jc w:val="center"/>
              <w:rPr>
                <w:rFonts w:hint="eastAsia" w:ascii="仿宋" w:hAnsi="仿宋" w:eastAsia="仿宋" w:cs="仿宋_GB2312"/>
                <w:b/>
                <w:color w:val="auto"/>
                <w:sz w:val="24"/>
                <w:highlight w:val="none"/>
                <w:lang w:val="en-US" w:eastAsia="zh-CN"/>
              </w:rPr>
            </w:pPr>
          </w:p>
          <w:p w14:paraId="05AD1EA9">
            <w:pPr>
              <w:snapToGrid w:val="0"/>
              <w:spacing w:line="360" w:lineRule="auto"/>
              <w:jc w:val="center"/>
              <w:rPr>
                <w:rFonts w:hint="eastAsia" w:ascii="仿宋" w:hAnsi="仿宋" w:eastAsia="仿宋" w:cs="仿宋_GB2312"/>
                <w:b/>
                <w:color w:val="auto"/>
                <w:sz w:val="24"/>
                <w:highlight w:val="none"/>
                <w:lang w:val="en-US" w:eastAsia="zh-CN"/>
              </w:rPr>
            </w:pPr>
          </w:p>
          <w:p w14:paraId="4C737D50">
            <w:pPr>
              <w:snapToGrid w:val="0"/>
              <w:spacing w:line="360" w:lineRule="auto"/>
              <w:jc w:val="center"/>
              <w:rPr>
                <w:rFonts w:hint="eastAsia" w:ascii="仿宋" w:hAnsi="仿宋" w:eastAsia="仿宋" w:cs="仿宋_GB2312"/>
                <w:b/>
                <w:color w:val="auto"/>
                <w:sz w:val="24"/>
                <w:highlight w:val="none"/>
                <w:lang w:val="en-US" w:eastAsia="zh-CN"/>
              </w:rPr>
            </w:pPr>
          </w:p>
          <w:p w14:paraId="19080DE6">
            <w:pPr>
              <w:snapToGrid w:val="0"/>
              <w:spacing w:line="360" w:lineRule="auto"/>
              <w:jc w:val="center"/>
              <w:rPr>
                <w:rFonts w:hint="eastAsia" w:ascii="仿宋" w:hAnsi="仿宋" w:eastAsia="仿宋" w:cs="仿宋_GB2312"/>
                <w:b/>
                <w:color w:val="auto"/>
                <w:sz w:val="24"/>
                <w:highlight w:val="none"/>
                <w:lang w:val="en-US" w:eastAsia="zh-CN"/>
              </w:rPr>
            </w:pPr>
          </w:p>
          <w:p w14:paraId="4D73BDBE">
            <w:pPr>
              <w:snapToGrid w:val="0"/>
              <w:spacing w:line="360" w:lineRule="auto"/>
              <w:jc w:val="center"/>
              <w:rPr>
                <w:rFonts w:hint="eastAsia" w:ascii="仿宋" w:hAnsi="仿宋" w:eastAsia="仿宋" w:cs="仿宋_GB2312"/>
                <w:b/>
                <w:color w:val="auto"/>
                <w:sz w:val="24"/>
                <w:highlight w:val="none"/>
                <w:lang w:val="en-US" w:eastAsia="zh-CN"/>
              </w:rPr>
            </w:pPr>
          </w:p>
        </w:tc>
        <w:tc>
          <w:tcPr>
            <w:tcW w:w="1968" w:type="dxa"/>
            <w:vMerge w:val="restart"/>
            <w:tcBorders>
              <w:top w:val="single" w:color="auto" w:sz="4" w:space="0"/>
              <w:left w:val="single" w:color="auto" w:sz="4" w:space="0"/>
              <w:right w:val="single" w:color="auto" w:sz="4" w:space="0"/>
            </w:tcBorders>
            <w:vAlign w:val="center"/>
          </w:tcPr>
          <w:p w14:paraId="104B3E43">
            <w:pPr>
              <w:snapToGrid w:val="0"/>
              <w:spacing w:line="360" w:lineRule="auto"/>
              <w:jc w:val="center"/>
              <w:rPr>
                <w:rFonts w:hint="eastAsia" w:ascii="仿宋" w:hAnsi="仿宋" w:eastAsia="仿宋" w:cs="仿宋_GB2312"/>
                <w:b/>
                <w:color w:val="auto"/>
                <w:sz w:val="24"/>
                <w:highlight w:val="none"/>
                <w:lang w:val="en-US" w:eastAsia="zh-CN"/>
              </w:rPr>
            </w:pPr>
          </w:p>
          <w:p w14:paraId="03E64428">
            <w:pPr>
              <w:snapToGrid w:val="0"/>
              <w:spacing w:line="360" w:lineRule="auto"/>
              <w:jc w:val="center"/>
              <w:rPr>
                <w:rFonts w:hint="eastAsia" w:ascii="仿宋" w:hAnsi="仿宋" w:eastAsia="仿宋" w:cs="仿宋_GB2312"/>
                <w:b/>
                <w:color w:val="auto"/>
                <w:sz w:val="24"/>
                <w:highlight w:val="none"/>
                <w:lang w:val="en-US" w:eastAsia="zh-CN"/>
              </w:rPr>
            </w:pPr>
          </w:p>
          <w:p w14:paraId="41209DC2">
            <w:pPr>
              <w:snapToGrid w:val="0"/>
              <w:spacing w:line="360" w:lineRule="auto"/>
              <w:jc w:val="center"/>
              <w:rPr>
                <w:rFonts w:hint="eastAsia" w:ascii="仿宋" w:hAnsi="仿宋" w:eastAsia="仿宋" w:cs="仿宋_GB2312"/>
                <w:b/>
                <w:color w:val="auto"/>
                <w:sz w:val="24"/>
                <w:highlight w:val="none"/>
                <w:lang w:val="en-US" w:eastAsia="zh-CN"/>
              </w:rPr>
            </w:pPr>
          </w:p>
          <w:p w14:paraId="38E7DBCC">
            <w:pPr>
              <w:snapToGrid w:val="0"/>
              <w:spacing w:line="360" w:lineRule="auto"/>
              <w:jc w:val="center"/>
              <w:rPr>
                <w:rFonts w:hint="eastAsia" w:ascii="仿宋" w:hAnsi="仿宋" w:eastAsia="仿宋" w:cs="仿宋_GB2312"/>
                <w:b/>
                <w:color w:val="auto"/>
                <w:sz w:val="24"/>
                <w:highlight w:val="none"/>
                <w:lang w:val="en-US" w:eastAsia="zh-CN"/>
              </w:rPr>
            </w:pPr>
          </w:p>
          <w:p w14:paraId="0BDE9CCC">
            <w:pPr>
              <w:snapToGrid w:val="0"/>
              <w:spacing w:line="360" w:lineRule="auto"/>
              <w:jc w:val="center"/>
              <w:rPr>
                <w:rFonts w:hint="eastAsia" w:ascii="仿宋" w:hAnsi="仿宋" w:eastAsia="仿宋" w:cs="仿宋_GB2312"/>
                <w:b/>
                <w:color w:val="auto"/>
                <w:sz w:val="24"/>
                <w:highlight w:val="none"/>
                <w:lang w:val="en-US" w:eastAsia="zh-CN"/>
              </w:rPr>
            </w:pPr>
          </w:p>
          <w:p w14:paraId="26707A13">
            <w:pPr>
              <w:snapToGrid w:val="0"/>
              <w:spacing w:line="360" w:lineRule="auto"/>
              <w:jc w:val="center"/>
              <w:rPr>
                <w:rFonts w:hint="eastAsia" w:ascii="仿宋" w:hAnsi="仿宋" w:eastAsia="仿宋" w:cs="仿宋_GB2312"/>
                <w:b/>
                <w:color w:val="auto"/>
                <w:sz w:val="24"/>
                <w:highlight w:val="none"/>
                <w:lang w:val="en-US" w:eastAsia="zh-CN"/>
              </w:rPr>
            </w:pPr>
            <w:r>
              <w:rPr>
                <w:rFonts w:hint="eastAsia" w:ascii="仿宋" w:hAnsi="仿宋" w:eastAsia="仿宋" w:cs="仿宋_GB2312"/>
                <w:b/>
                <w:color w:val="auto"/>
                <w:sz w:val="24"/>
                <w:highlight w:val="none"/>
                <w:lang w:val="en-US" w:eastAsia="zh-CN"/>
              </w:rPr>
              <w:t>特别说明</w:t>
            </w:r>
          </w:p>
          <w:p w14:paraId="5FB0E5BE">
            <w:pPr>
              <w:snapToGrid w:val="0"/>
              <w:spacing w:line="360" w:lineRule="auto"/>
              <w:jc w:val="center"/>
              <w:rPr>
                <w:rFonts w:hint="eastAsia" w:ascii="仿宋" w:hAnsi="仿宋" w:eastAsia="仿宋" w:cs="仿宋_GB2312"/>
                <w:b/>
                <w:color w:val="auto"/>
                <w:sz w:val="24"/>
                <w:highlight w:val="none"/>
                <w:lang w:val="en-US" w:eastAsia="zh-CN"/>
              </w:rPr>
            </w:pPr>
          </w:p>
          <w:p w14:paraId="67D0D4DB">
            <w:pPr>
              <w:snapToGrid w:val="0"/>
              <w:spacing w:line="360" w:lineRule="auto"/>
              <w:jc w:val="center"/>
              <w:rPr>
                <w:rFonts w:hint="eastAsia" w:ascii="仿宋" w:hAnsi="仿宋" w:eastAsia="仿宋" w:cs="仿宋_GB2312"/>
                <w:b/>
                <w:color w:val="auto"/>
                <w:sz w:val="24"/>
                <w:highlight w:val="none"/>
                <w:lang w:val="en-US" w:eastAsia="zh-CN"/>
              </w:rPr>
            </w:pPr>
          </w:p>
          <w:p w14:paraId="5369871C">
            <w:pPr>
              <w:snapToGrid w:val="0"/>
              <w:spacing w:line="360" w:lineRule="auto"/>
              <w:jc w:val="center"/>
              <w:rPr>
                <w:rFonts w:hint="eastAsia" w:ascii="仿宋" w:hAnsi="仿宋" w:eastAsia="仿宋" w:cs="仿宋_GB2312"/>
                <w:b/>
                <w:color w:val="auto"/>
                <w:sz w:val="24"/>
                <w:highlight w:val="none"/>
                <w:lang w:val="en-US" w:eastAsia="zh-CN"/>
              </w:rPr>
            </w:pPr>
          </w:p>
          <w:p w14:paraId="2E898809">
            <w:pPr>
              <w:snapToGrid w:val="0"/>
              <w:spacing w:line="360" w:lineRule="auto"/>
              <w:jc w:val="center"/>
              <w:rPr>
                <w:rFonts w:hint="eastAsia" w:ascii="仿宋" w:hAnsi="仿宋" w:eastAsia="仿宋" w:cs="仿宋_GB2312"/>
                <w:b/>
                <w:color w:val="auto"/>
                <w:sz w:val="24"/>
                <w:highlight w:val="none"/>
                <w:lang w:val="en-US" w:eastAsia="zh-CN"/>
              </w:rPr>
            </w:pPr>
          </w:p>
          <w:p w14:paraId="011CEAEA">
            <w:pPr>
              <w:snapToGrid w:val="0"/>
              <w:spacing w:line="360" w:lineRule="auto"/>
              <w:jc w:val="center"/>
              <w:rPr>
                <w:rFonts w:hint="eastAsia" w:ascii="仿宋" w:hAnsi="仿宋" w:eastAsia="仿宋" w:cs="仿宋_GB2312"/>
                <w:b/>
                <w:color w:val="auto"/>
                <w:sz w:val="24"/>
                <w:highlight w:val="none"/>
                <w:lang w:val="en-US" w:eastAsia="zh-CN"/>
              </w:rPr>
            </w:pPr>
          </w:p>
          <w:p w14:paraId="0BF1E855">
            <w:pPr>
              <w:snapToGrid w:val="0"/>
              <w:spacing w:line="360" w:lineRule="auto"/>
              <w:jc w:val="center"/>
              <w:rPr>
                <w:rFonts w:hint="eastAsia" w:ascii="仿宋" w:hAnsi="仿宋" w:eastAsia="仿宋" w:cs="仿宋_GB2312"/>
                <w:b/>
                <w:color w:val="auto"/>
                <w:sz w:val="24"/>
                <w:highlight w:val="none"/>
                <w:lang w:val="en-US" w:eastAsia="zh-CN"/>
              </w:rPr>
            </w:pPr>
          </w:p>
          <w:p w14:paraId="643428CB">
            <w:pPr>
              <w:snapToGrid w:val="0"/>
              <w:spacing w:line="360" w:lineRule="auto"/>
              <w:jc w:val="center"/>
              <w:rPr>
                <w:rFonts w:hint="eastAsia" w:ascii="仿宋" w:hAnsi="仿宋" w:eastAsia="仿宋" w:cs="仿宋_GB2312"/>
                <w:b/>
                <w:color w:val="auto"/>
                <w:sz w:val="24"/>
                <w:highlight w:val="none"/>
                <w:lang w:val="en-US" w:eastAsia="zh-CN"/>
              </w:rPr>
            </w:pPr>
          </w:p>
          <w:p w14:paraId="650DB1F6">
            <w:pPr>
              <w:snapToGrid w:val="0"/>
              <w:spacing w:line="360" w:lineRule="auto"/>
              <w:jc w:val="center"/>
              <w:rPr>
                <w:rFonts w:hint="eastAsia" w:ascii="仿宋" w:hAnsi="仿宋" w:eastAsia="仿宋" w:cs="仿宋_GB2312"/>
                <w:b/>
                <w:color w:val="auto"/>
                <w:sz w:val="24"/>
                <w:highlight w:val="none"/>
                <w:lang w:val="en-US" w:eastAsia="zh-CN"/>
              </w:rPr>
            </w:pPr>
          </w:p>
          <w:p w14:paraId="2AF910E6">
            <w:pPr>
              <w:snapToGrid w:val="0"/>
              <w:spacing w:line="360" w:lineRule="auto"/>
              <w:jc w:val="center"/>
              <w:rPr>
                <w:rFonts w:hint="eastAsia" w:ascii="仿宋" w:hAnsi="仿宋" w:eastAsia="仿宋" w:cs="仿宋_GB2312"/>
                <w:b/>
                <w:color w:val="auto"/>
                <w:sz w:val="24"/>
                <w:highlight w:val="none"/>
                <w:lang w:val="en-US" w:eastAsia="zh-CN"/>
              </w:rPr>
            </w:pPr>
          </w:p>
          <w:p w14:paraId="6A3A6F58">
            <w:pPr>
              <w:snapToGrid w:val="0"/>
              <w:spacing w:line="360" w:lineRule="auto"/>
              <w:jc w:val="center"/>
              <w:rPr>
                <w:rFonts w:hint="eastAsia" w:ascii="仿宋" w:hAnsi="仿宋" w:eastAsia="仿宋" w:cs="仿宋_GB2312"/>
                <w:b/>
                <w:color w:val="auto"/>
                <w:sz w:val="24"/>
                <w:highlight w:val="none"/>
                <w:lang w:val="en-US" w:eastAsia="zh-CN"/>
              </w:rPr>
            </w:pPr>
          </w:p>
          <w:p w14:paraId="4A55B2C2">
            <w:pPr>
              <w:snapToGrid w:val="0"/>
              <w:spacing w:line="360" w:lineRule="auto"/>
              <w:jc w:val="center"/>
              <w:rPr>
                <w:rFonts w:hint="eastAsia" w:ascii="仿宋" w:hAnsi="仿宋" w:eastAsia="仿宋" w:cs="仿宋_GB2312"/>
                <w:b/>
                <w:color w:val="auto"/>
                <w:sz w:val="24"/>
                <w:highlight w:val="none"/>
                <w:lang w:val="en-US" w:eastAsia="zh-CN"/>
              </w:rPr>
            </w:pPr>
          </w:p>
        </w:tc>
        <w:tc>
          <w:tcPr>
            <w:tcW w:w="6487" w:type="dxa"/>
            <w:tcBorders>
              <w:top w:val="single" w:color="000000" w:sz="8" w:space="0"/>
              <w:left w:val="single" w:color="auto" w:sz="4" w:space="0"/>
              <w:bottom w:val="single" w:color="000000" w:sz="8" w:space="0"/>
              <w:right w:val="single" w:color="000000" w:sz="8" w:space="0"/>
            </w:tcBorders>
            <w:vAlign w:val="center"/>
          </w:tcPr>
          <w:p w14:paraId="35A4FBDF">
            <w:pPr>
              <w:spacing w:line="360" w:lineRule="auto"/>
              <w:rPr>
                <w:rFonts w:ascii="仿宋" w:hAnsi="仿宋" w:eastAsia="仿宋"/>
                <w:color w:val="auto"/>
                <w:kern w:val="28"/>
                <w:sz w:val="24"/>
                <w:highlight w:val="none"/>
              </w:rPr>
            </w:pPr>
            <w:r>
              <w:rPr>
                <w:rFonts w:hint="eastAsia" w:ascii="仿宋" w:hAnsi="仿宋" w:eastAsia="仿宋"/>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_GB2312"/>
                <w:b/>
                <w:color w:val="auto"/>
                <w:sz w:val="24"/>
                <w:highlight w:val="none"/>
                <w:lang w:val="en-US" w:eastAsia="zh-CN"/>
              </w:rPr>
              <w:t>（本项目不适用）</w:t>
            </w:r>
          </w:p>
        </w:tc>
      </w:tr>
      <w:tr w14:paraId="2182D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5" w:hRule="atLeast"/>
          <w:tblHeader/>
        </w:trPr>
        <w:tc>
          <w:tcPr>
            <w:tcW w:w="671" w:type="dxa"/>
            <w:vMerge w:val="continue"/>
            <w:tcBorders>
              <w:left w:val="single" w:color="auto" w:sz="4" w:space="0"/>
              <w:right w:val="single" w:color="auto" w:sz="4" w:space="0"/>
            </w:tcBorders>
            <w:vAlign w:val="center"/>
          </w:tcPr>
          <w:p w14:paraId="463932B4">
            <w:pPr>
              <w:snapToGrid w:val="0"/>
              <w:spacing w:line="360" w:lineRule="auto"/>
              <w:jc w:val="center"/>
              <w:rPr>
                <w:rFonts w:ascii="仿宋" w:hAnsi="仿宋" w:eastAsia="仿宋" w:cs="仿宋_GB2312"/>
                <w:b/>
                <w:color w:val="auto"/>
                <w:sz w:val="24"/>
                <w:highlight w:val="none"/>
              </w:rPr>
            </w:pPr>
          </w:p>
        </w:tc>
        <w:tc>
          <w:tcPr>
            <w:tcW w:w="1968" w:type="dxa"/>
            <w:vMerge w:val="continue"/>
            <w:tcBorders>
              <w:left w:val="single" w:color="auto" w:sz="4" w:space="0"/>
              <w:right w:val="single" w:color="auto" w:sz="4" w:space="0"/>
            </w:tcBorders>
            <w:vAlign w:val="center"/>
          </w:tcPr>
          <w:p w14:paraId="261B47AA">
            <w:pPr>
              <w:snapToGrid w:val="0"/>
              <w:spacing w:line="360" w:lineRule="auto"/>
              <w:jc w:val="center"/>
              <w:rPr>
                <w:rFonts w:ascii="仿宋" w:hAnsi="仿宋" w:eastAsia="仿宋" w:cs="仿宋_GB2312"/>
                <w:b/>
                <w:color w:val="auto"/>
                <w:sz w:val="24"/>
                <w:highlight w:val="none"/>
              </w:rPr>
            </w:pPr>
          </w:p>
        </w:tc>
        <w:tc>
          <w:tcPr>
            <w:tcW w:w="6487" w:type="dxa"/>
            <w:tcBorders>
              <w:top w:val="single" w:color="000000" w:sz="8" w:space="0"/>
              <w:left w:val="single" w:color="auto" w:sz="4" w:space="0"/>
              <w:bottom w:val="single" w:color="000000" w:sz="8" w:space="0"/>
              <w:right w:val="single" w:color="000000" w:sz="8" w:space="0"/>
            </w:tcBorders>
            <w:vAlign w:val="center"/>
          </w:tcPr>
          <w:p w14:paraId="1FB6EC86">
            <w:pPr>
              <w:spacing w:line="360" w:lineRule="auto"/>
              <w:rPr>
                <w:rFonts w:ascii="仿宋" w:hAnsi="仿宋" w:eastAsia="仿宋"/>
                <w:color w:val="auto"/>
                <w:kern w:val="28"/>
                <w:sz w:val="24"/>
                <w:highlight w:val="none"/>
              </w:rPr>
            </w:pPr>
            <w:sdt>
              <w:sdtPr>
                <w:rPr>
                  <w:rFonts w:hint="eastAsia" w:ascii="仿宋" w:hAnsi="仿宋" w:eastAsia="仿宋"/>
                  <w:color w:val="auto"/>
                  <w:kern w:val="28"/>
                  <w:sz w:val="24"/>
                  <w:highlight w:val="none"/>
                </w:rPr>
                <w:id w:val="11632151"/>
              </w:sdtPr>
              <w:sdtEndPr>
                <w:rPr>
                  <w:rFonts w:hint="eastAsia" w:ascii="仿宋" w:hAnsi="仿宋" w:eastAsia="仿宋"/>
                  <w:color w:val="auto"/>
                  <w:kern w:val="28"/>
                  <w:sz w:val="24"/>
                  <w:highlight w:val="none"/>
                </w:rPr>
              </w:sdtEndPr>
              <w:sdtContent>
                <w:r>
                  <w:rPr>
                    <w:rFonts w:hint="eastAsia" w:ascii="仿宋" w:hAnsi="仿宋" w:eastAsia="仿宋"/>
                    <w:color w:val="auto"/>
                    <w:kern w:val="28"/>
                    <w:sz w:val="24"/>
                    <w:highlight w:val="none"/>
                  </w:rPr>
                  <w:t>☐</w:t>
                </w:r>
              </w:sdtContent>
            </w:sdt>
            <w:r>
              <w:rPr>
                <w:rFonts w:hint="eastAsia" w:ascii="仿宋" w:hAnsi="仿宋" w:eastAsia="仿宋"/>
                <w:color w:val="auto"/>
                <w:kern w:val="28"/>
                <w:sz w:val="24"/>
                <w:highlight w:val="none"/>
              </w:rPr>
              <w:t>联合体投标的，联合体各方均需按征集文件第四部分评标标准要求提供资信证明文件，否则视为不符合相关要求。</w:t>
            </w:r>
            <w:r>
              <w:rPr>
                <w:rFonts w:hint="eastAsia" w:ascii="仿宋" w:hAnsi="仿宋" w:eastAsia="仿宋" w:cs="仿宋_GB2312"/>
                <w:b/>
                <w:color w:val="auto"/>
                <w:sz w:val="24"/>
                <w:highlight w:val="none"/>
                <w:lang w:val="en-US" w:eastAsia="zh-CN"/>
              </w:rPr>
              <w:t>（本项目不适用）</w:t>
            </w:r>
          </w:p>
          <w:p w14:paraId="74295097">
            <w:pPr>
              <w:spacing w:line="360" w:lineRule="auto"/>
              <w:rPr>
                <w:rFonts w:ascii="仿宋" w:hAnsi="仿宋" w:eastAsia="仿宋"/>
                <w:color w:val="auto"/>
                <w:kern w:val="28"/>
                <w:sz w:val="24"/>
                <w:highlight w:val="none"/>
              </w:rPr>
            </w:pPr>
            <w:sdt>
              <w:sdtPr>
                <w:rPr>
                  <w:rFonts w:hint="eastAsia" w:ascii="仿宋" w:hAnsi="仿宋" w:eastAsia="仿宋"/>
                  <w:color w:val="auto"/>
                  <w:kern w:val="28"/>
                  <w:sz w:val="24"/>
                  <w:highlight w:val="none"/>
                </w:rPr>
                <w:id w:val="1052570136"/>
              </w:sdtPr>
              <w:sdtEndPr>
                <w:rPr>
                  <w:rFonts w:hint="eastAsia" w:ascii="仿宋" w:hAnsi="仿宋" w:eastAsia="仿宋"/>
                  <w:color w:val="auto"/>
                  <w:kern w:val="28"/>
                  <w:sz w:val="24"/>
                  <w:highlight w:val="none"/>
                </w:rPr>
              </w:sdtEndPr>
              <w:sdtContent>
                <w:sdt>
                  <w:sdtPr>
                    <w:rPr>
                      <w:rFonts w:hint="eastAsia" w:ascii="仿宋" w:hAnsi="仿宋" w:eastAsia="仿宋"/>
                      <w:color w:val="auto"/>
                      <w:kern w:val="28"/>
                      <w:sz w:val="24"/>
                      <w:highlight w:val="none"/>
                    </w:rPr>
                    <w:id w:val="26556477"/>
                  </w:sdtPr>
                  <w:sdtEndPr>
                    <w:rPr>
                      <w:rFonts w:hint="eastAsia" w:ascii="仿宋" w:hAnsi="仿宋" w:eastAsia="仿宋"/>
                      <w:color w:val="auto"/>
                      <w:kern w:val="28"/>
                      <w:sz w:val="24"/>
                      <w:highlight w:val="none"/>
                    </w:rPr>
                  </w:sdtEndPr>
                  <w:sdtContent>
                    <w:sdt>
                      <w:sdtPr>
                        <w:rPr>
                          <w:rFonts w:hint="eastAsia" w:ascii="仿宋" w:hAnsi="仿宋" w:eastAsia="仿宋"/>
                          <w:color w:val="auto"/>
                          <w:kern w:val="28"/>
                          <w:sz w:val="24"/>
                          <w:highlight w:val="none"/>
                        </w:rPr>
                        <w:id w:val="147469073"/>
                      </w:sdtPr>
                      <w:sdtEndPr>
                        <w:rPr>
                          <w:rFonts w:hint="eastAsia" w:ascii="仿宋" w:hAnsi="仿宋" w:eastAsia="仿宋"/>
                          <w:color w:val="auto"/>
                          <w:kern w:val="28"/>
                          <w:sz w:val="24"/>
                          <w:highlight w:val="none"/>
                        </w:rPr>
                      </w:sdtEndPr>
                      <w:sdtContent>
                        <w:r>
                          <w:rPr>
                            <w:rFonts w:hint="eastAsia" w:ascii="仿宋" w:hAnsi="仿宋" w:eastAsia="仿宋"/>
                            <w:color w:val="auto"/>
                            <w:kern w:val="28"/>
                            <w:sz w:val="24"/>
                            <w:highlight w:val="none"/>
                          </w:rPr>
                          <w:t>☐</w:t>
                        </w:r>
                      </w:sdtContent>
                    </w:sdt>
                  </w:sdtContent>
                </w:sdt>
              </w:sdtContent>
            </w:sdt>
            <w:r>
              <w:rPr>
                <w:rFonts w:hint="eastAsia" w:ascii="仿宋" w:hAnsi="仿宋" w:eastAsia="仿宋"/>
                <w:color w:val="auto"/>
                <w:kern w:val="28"/>
                <w:sz w:val="24"/>
                <w:highlight w:val="none"/>
              </w:rPr>
              <w:t>联合体投标的，联合体中有一方或者联合体成员根据分工按征集文件第四部分评标标准要求提供资信证明文件的，视为符合了相关要求。</w:t>
            </w:r>
            <w:r>
              <w:rPr>
                <w:rFonts w:hint="eastAsia" w:ascii="仿宋" w:hAnsi="仿宋" w:eastAsia="仿宋" w:cs="仿宋_GB2312"/>
                <w:b/>
                <w:color w:val="auto"/>
                <w:sz w:val="24"/>
                <w:highlight w:val="none"/>
                <w:lang w:val="en-US" w:eastAsia="zh-CN"/>
              </w:rPr>
              <w:t>（本项目不适用）</w:t>
            </w:r>
          </w:p>
        </w:tc>
      </w:tr>
      <w:tr w14:paraId="2CC806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85" w:hRule="atLeast"/>
          <w:tblHeader/>
        </w:trPr>
        <w:tc>
          <w:tcPr>
            <w:tcW w:w="671" w:type="dxa"/>
            <w:vMerge w:val="continue"/>
            <w:tcBorders>
              <w:left w:val="single" w:color="auto" w:sz="4" w:space="0"/>
              <w:right w:val="single" w:color="auto" w:sz="4" w:space="0"/>
            </w:tcBorders>
            <w:vAlign w:val="top"/>
          </w:tcPr>
          <w:p w14:paraId="6C21199F">
            <w:pPr>
              <w:pStyle w:val="504"/>
              <w:spacing w:before="78"/>
              <w:ind w:left="215" w:leftChars="0"/>
              <w:rPr>
                <w:rFonts w:ascii="仿宋" w:hAnsi="仿宋" w:eastAsia="仿宋" w:cs="仿宋_GB2312"/>
                <w:b/>
                <w:color w:val="auto"/>
                <w:sz w:val="24"/>
                <w:highlight w:val="none"/>
              </w:rPr>
            </w:pPr>
          </w:p>
        </w:tc>
        <w:tc>
          <w:tcPr>
            <w:tcW w:w="1968" w:type="dxa"/>
            <w:vMerge w:val="continue"/>
            <w:tcBorders>
              <w:left w:val="single" w:color="auto" w:sz="4" w:space="0"/>
              <w:right w:val="single" w:color="auto" w:sz="4" w:space="0"/>
            </w:tcBorders>
            <w:vAlign w:val="top"/>
          </w:tcPr>
          <w:p w14:paraId="084F517D">
            <w:pPr>
              <w:pStyle w:val="504"/>
              <w:spacing w:before="78" w:line="220" w:lineRule="auto"/>
              <w:ind w:left="433" w:leftChars="0"/>
              <w:rPr>
                <w:rFonts w:ascii="仿宋" w:hAnsi="仿宋" w:eastAsia="仿宋" w:cs="仿宋_GB2312"/>
                <w:b/>
                <w:color w:val="auto"/>
                <w:sz w:val="24"/>
                <w:highlight w:val="none"/>
              </w:rPr>
            </w:pPr>
          </w:p>
        </w:tc>
        <w:tc>
          <w:tcPr>
            <w:tcW w:w="6487" w:type="dxa"/>
            <w:tcBorders>
              <w:top w:val="single" w:color="000000" w:sz="8" w:space="0"/>
              <w:left w:val="single" w:color="auto" w:sz="4" w:space="0"/>
              <w:bottom w:val="single" w:color="000000" w:sz="8" w:space="0"/>
              <w:right w:val="single" w:color="000000" w:sz="8" w:space="0"/>
            </w:tcBorders>
            <w:vAlign w:val="top"/>
          </w:tcPr>
          <w:p w14:paraId="6C81A334">
            <w:pPr>
              <w:pStyle w:val="504"/>
              <w:spacing w:before="87" w:line="220" w:lineRule="auto"/>
              <w:ind w:left="73"/>
              <w:rPr>
                <w:rFonts w:hint="eastAsia" w:ascii="仿宋" w:hAnsi="仿宋" w:eastAsia="仿宋" w:cs="Times New Roman"/>
                <w:color w:val="auto"/>
                <w:kern w:val="28"/>
                <w:sz w:val="24"/>
                <w:szCs w:val="24"/>
                <w:highlight w:val="none"/>
                <w:lang w:val="en-US" w:eastAsia="zh-CN" w:bidi="ar-SA"/>
              </w:rPr>
            </w:pPr>
            <w:r>
              <w:rPr>
                <w:rFonts w:hint="eastAsia" w:ascii="仿宋" w:hAnsi="仿宋" w:eastAsia="仿宋" w:cs="Times New Roman"/>
                <w:color w:val="auto"/>
                <w:kern w:val="28"/>
                <w:sz w:val="24"/>
                <w:szCs w:val="24"/>
                <w:highlight w:val="none"/>
                <w:lang w:val="en-US" w:eastAsia="zh-CN" w:bidi="ar-SA"/>
              </w:rPr>
              <w:t>1.响应文件存在下列情况之一的，视为撤回：</w:t>
            </w:r>
          </w:p>
          <w:p w14:paraId="2CCB5023">
            <w:pPr>
              <w:pStyle w:val="504"/>
              <w:spacing w:before="74" w:line="220" w:lineRule="auto"/>
              <w:ind w:left="67"/>
              <w:rPr>
                <w:rFonts w:hint="eastAsia" w:ascii="仿宋" w:hAnsi="仿宋" w:eastAsia="仿宋" w:cs="Times New Roman"/>
                <w:color w:val="auto"/>
                <w:kern w:val="28"/>
                <w:sz w:val="24"/>
                <w:szCs w:val="24"/>
                <w:highlight w:val="none"/>
                <w:lang w:val="en-US" w:eastAsia="zh-CN" w:bidi="ar-SA"/>
              </w:rPr>
            </w:pPr>
            <w:r>
              <w:rPr>
                <w:rFonts w:hint="eastAsia" w:ascii="仿宋" w:hAnsi="仿宋" w:eastAsia="仿宋" w:cs="Times New Roman"/>
                <w:color w:val="auto"/>
                <w:kern w:val="28"/>
                <w:sz w:val="24"/>
                <w:szCs w:val="24"/>
                <w:highlight w:val="none"/>
                <w:lang w:val="en-US" w:eastAsia="zh-CN" w:bidi="ar-SA"/>
              </w:rPr>
              <w:t>（1）电子响应文件（含备份文件）无法解密的；</w:t>
            </w:r>
          </w:p>
          <w:p w14:paraId="1D0EEBE9">
            <w:pPr>
              <w:pStyle w:val="504"/>
              <w:spacing w:before="74" w:line="220" w:lineRule="auto"/>
              <w:ind w:left="67"/>
              <w:rPr>
                <w:rFonts w:hint="eastAsia" w:ascii="仿宋" w:hAnsi="仿宋" w:eastAsia="仿宋" w:cs="Times New Roman"/>
                <w:color w:val="auto"/>
                <w:kern w:val="28"/>
                <w:sz w:val="24"/>
                <w:szCs w:val="24"/>
                <w:highlight w:val="none"/>
                <w:lang w:val="en-US" w:eastAsia="zh-CN" w:bidi="ar-SA"/>
              </w:rPr>
            </w:pPr>
            <w:r>
              <w:rPr>
                <w:rFonts w:hint="eastAsia" w:ascii="仿宋" w:hAnsi="仿宋" w:eastAsia="仿宋" w:cs="Times New Roman"/>
                <w:color w:val="auto"/>
                <w:kern w:val="28"/>
                <w:sz w:val="24"/>
                <w:szCs w:val="24"/>
                <w:highlight w:val="none"/>
                <w:lang w:val="en-US" w:eastAsia="zh-CN" w:bidi="ar-SA"/>
              </w:rPr>
              <w:t>（2）响应文件未按时解密或备份文件无法成功导入的；</w:t>
            </w:r>
          </w:p>
          <w:p w14:paraId="7B4434D0">
            <w:pPr>
              <w:pStyle w:val="504"/>
              <w:spacing w:before="72" w:line="259" w:lineRule="auto"/>
              <w:ind w:left="56" w:firstLine="10"/>
              <w:rPr>
                <w:rFonts w:hint="eastAsia" w:ascii="仿宋" w:hAnsi="仿宋" w:eastAsia="仿宋" w:cs="Times New Roman"/>
                <w:color w:val="auto"/>
                <w:kern w:val="28"/>
                <w:sz w:val="24"/>
                <w:szCs w:val="24"/>
                <w:highlight w:val="none"/>
                <w:lang w:val="en-US" w:eastAsia="zh-CN" w:bidi="ar-SA"/>
              </w:rPr>
            </w:pPr>
            <w:r>
              <w:rPr>
                <w:rFonts w:hint="eastAsia" w:ascii="仿宋" w:hAnsi="仿宋" w:eastAsia="仿宋" w:cs="Times New Roman"/>
                <w:color w:val="auto"/>
                <w:kern w:val="28"/>
                <w:sz w:val="24"/>
                <w:szCs w:val="24"/>
                <w:highlight w:val="none"/>
                <w:lang w:val="en-US" w:eastAsia="zh-CN" w:bidi="ar-SA"/>
              </w:rPr>
              <w:t>（3）响应截止时间前，供应商仅递交了“备份响应文件 ” 而未将“ 电子加密响应文件”成功上传至“政府采购云平台 ”的。</w:t>
            </w:r>
          </w:p>
          <w:p w14:paraId="03992797">
            <w:pPr>
              <w:pStyle w:val="504"/>
              <w:spacing w:before="72" w:line="248" w:lineRule="auto"/>
              <w:ind w:left="56" w:right="50" w:firstLine="1"/>
              <w:rPr>
                <w:rFonts w:hint="eastAsia" w:ascii="仿宋" w:hAnsi="仿宋" w:eastAsia="仿宋" w:cs="Times New Roman"/>
                <w:color w:val="auto"/>
                <w:kern w:val="28"/>
                <w:sz w:val="24"/>
                <w:szCs w:val="24"/>
                <w:highlight w:val="none"/>
                <w:lang w:val="en-US" w:eastAsia="zh-CN" w:bidi="ar-SA"/>
              </w:rPr>
            </w:pPr>
            <w:r>
              <w:rPr>
                <w:rFonts w:hint="eastAsia" w:ascii="仿宋" w:hAnsi="仿宋" w:eastAsia="仿宋" w:cs="Times New Roman"/>
                <w:color w:val="auto"/>
                <w:kern w:val="28"/>
                <w:sz w:val="24"/>
                <w:szCs w:val="24"/>
                <w:highlight w:val="none"/>
                <w:lang w:val="en-US" w:eastAsia="zh-CN" w:bidi="ar-SA"/>
              </w:rPr>
              <w:t>2.政采云平台如对电子化开启及评审程序有调整的，按调整后的程序操作。</w:t>
            </w:r>
          </w:p>
          <w:p w14:paraId="19F1F415">
            <w:pPr>
              <w:pStyle w:val="504"/>
              <w:spacing w:before="73" w:line="258" w:lineRule="auto"/>
              <w:ind w:left="56" w:right="50" w:firstLine="3"/>
              <w:rPr>
                <w:rFonts w:hint="eastAsia" w:ascii="仿宋" w:hAnsi="仿宋" w:eastAsia="仿宋" w:cs="Times New Roman"/>
                <w:color w:val="auto"/>
                <w:kern w:val="28"/>
                <w:sz w:val="24"/>
                <w:szCs w:val="24"/>
                <w:highlight w:val="none"/>
                <w:lang w:val="en-US" w:eastAsia="zh-CN" w:bidi="ar-SA"/>
              </w:rPr>
            </w:pPr>
            <w:r>
              <w:rPr>
                <w:rFonts w:hint="eastAsia" w:ascii="仿宋" w:hAnsi="仿宋" w:eastAsia="仿宋" w:cs="Times New Roman"/>
                <w:color w:val="auto"/>
                <w:kern w:val="28"/>
                <w:sz w:val="24"/>
                <w:szCs w:val="24"/>
                <w:highlight w:val="none"/>
                <w:lang w:val="en-US" w:eastAsia="zh-CN" w:bidi="ar-SA"/>
              </w:rPr>
              <w:t>3.入围供应商可以在杭州市政府采购网——监管平台上发起支付申请，具体操作详见《杭州市政府采购供应商支付申请操作手册》。</w:t>
            </w:r>
          </w:p>
          <w:p w14:paraId="3C89345D">
            <w:pPr>
              <w:pStyle w:val="504"/>
              <w:spacing w:before="106" w:line="276" w:lineRule="auto"/>
              <w:ind w:left="52" w:leftChars="0" w:right="53" w:rightChars="0" w:firstLine="1" w:firstLineChars="0"/>
              <w:rPr>
                <w:rFonts w:hint="eastAsia" w:ascii="仿宋" w:hAnsi="仿宋" w:eastAsia="仿宋"/>
                <w:color w:val="auto"/>
                <w:kern w:val="28"/>
                <w:sz w:val="24"/>
                <w:highlight w:val="none"/>
              </w:rPr>
            </w:pPr>
            <w:r>
              <w:rPr>
                <w:rFonts w:hint="eastAsia" w:ascii="仿宋" w:hAnsi="仿宋" w:eastAsia="仿宋" w:cs="Times New Roman"/>
                <w:color w:val="auto"/>
                <w:kern w:val="28"/>
                <w:sz w:val="24"/>
                <w:szCs w:val="24"/>
                <w:highlight w:val="none"/>
                <w:lang w:val="en-US" w:eastAsia="zh-CN" w:bidi="ar-SA"/>
              </w:rPr>
              <w:t xml:space="preserve">4.封闭式框架协议第一阶段供应商响应操作指南详见 </w:t>
            </w:r>
            <w:r>
              <w:rPr>
                <w:rFonts w:hint="eastAsia" w:ascii="仿宋" w:hAnsi="仿宋" w:eastAsia="仿宋" w:cs="Times New Roman"/>
                <w:color w:val="auto"/>
                <w:kern w:val="28"/>
                <w:sz w:val="24"/>
                <w:szCs w:val="24"/>
                <w:highlight w:val="none"/>
                <w:lang w:val="en-US" w:eastAsia="zh-CN" w:bidi="ar-SA"/>
              </w:rPr>
              <w:fldChar w:fldCharType="begin"/>
            </w:r>
            <w:r>
              <w:rPr>
                <w:rFonts w:hint="eastAsia" w:ascii="仿宋" w:hAnsi="仿宋" w:eastAsia="仿宋" w:cs="Times New Roman"/>
                <w:color w:val="auto"/>
                <w:kern w:val="28"/>
                <w:sz w:val="24"/>
                <w:szCs w:val="24"/>
                <w:highlight w:val="none"/>
                <w:lang w:val="en-US" w:eastAsia="zh-CN" w:bidi="ar-SA"/>
              </w:rPr>
              <w:instrText xml:space="preserve"> HYPERLINK "https://helpcenter.zcygov.cn/document/#/document/detail?siteCode=beijing&amp;manualId=251&amp;topicId=1447" </w:instrText>
            </w:r>
            <w:r>
              <w:rPr>
                <w:rFonts w:hint="eastAsia" w:ascii="仿宋" w:hAnsi="仿宋" w:eastAsia="仿宋" w:cs="Times New Roman"/>
                <w:color w:val="auto"/>
                <w:kern w:val="28"/>
                <w:sz w:val="24"/>
                <w:szCs w:val="24"/>
                <w:highlight w:val="none"/>
                <w:lang w:val="en-US" w:eastAsia="zh-CN" w:bidi="ar-SA"/>
              </w:rPr>
              <w:fldChar w:fldCharType="separate"/>
            </w:r>
            <w:r>
              <w:rPr>
                <w:rFonts w:hint="eastAsia" w:ascii="仿宋" w:hAnsi="仿宋" w:eastAsia="仿宋" w:cs="Times New Roman"/>
                <w:color w:val="auto"/>
                <w:kern w:val="28"/>
                <w:sz w:val="24"/>
                <w:szCs w:val="24"/>
                <w:highlight w:val="none"/>
                <w:lang w:val="en-US" w:eastAsia="zh-CN" w:bidi="ar-SA"/>
              </w:rPr>
              <w:t>https://helpcenter.zcygov.cn/document/#/document/d</w:t>
            </w:r>
            <w:r>
              <w:rPr>
                <w:rFonts w:hint="eastAsia" w:ascii="仿宋" w:hAnsi="仿宋" w:eastAsia="仿宋" w:cs="Times New Roman"/>
                <w:color w:val="auto"/>
                <w:kern w:val="28"/>
                <w:sz w:val="24"/>
                <w:szCs w:val="24"/>
                <w:highlight w:val="none"/>
                <w:lang w:val="en-US" w:eastAsia="zh-CN" w:bidi="ar-SA"/>
              </w:rPr>
              <w:fldChar w:fldCharType="end"/>
            </w:r>
            <w:r>
              <w:rPr>
                <w:rFonts w:hint="eastAsia" w:ascii="仿宋" w:hAnsi="仿宋" w:eastAsia="仿宋" w:cs="Times New Roman"/>
                <w:color w:val="auto"/>
                <w:kern w:val="28"/>
                <w:sz w:val="24"/>
                <w:szCs w:val="24"/>
                <w:highlight w:val="none"/>
                <w:lang w:val="en-US" w:eastAsia="zh-CN" w:bidi="ar-SA"/>
              </w:rPr>
              <w:t xml:space="preserve"> </w:t>
            </w:r>
            <w:r>
              <w:rPr>
                <w:rFonts w:hint="eastAsia" w:ascii="仿宋" w:hAnsi="仿宋" w:eastAsia="仿宋" w:cs="Times New Roman"/>
                <w:color w:val="auto"/>
                <w:kern w:val="28"/>
                <w:sz w:val="24"/>
                <w:szCs w:val="24"/>
                <w:highlight w:val="none"/>
                <w:lang w:val="en-US" w:eastAsia="zh-CN" w:bidi="ar-SA"/>
              </w:rPr>
              <w:fldChar w:fldCharType="begin"/>
            </w:r>
            <w:r>
              <w:rPr>
                <w:rFonts w:hint="eastAsia" w:ascii="仿宋" w:hAnsi="仿宋" w:eastAsia="仿宋" w:cs="Times New Roman"/>
                <w:color w:val="auto"/>
                <w:kern w:val="28"/>
                <w:sz w:val="24"/>
                <w:szCs w:val="24"/>
                <w:highlight w:val="none"/>
                <w:lang w:val="en-US" w:eastAsia="zh-CN" w:bidi="ar-SA"/>
              </w:rPr>
              <w:instrText xml:space="preserve"> HYPERLINK "https://helpcenter.zcygov.cn/document/#/document/detail?siteCode=beijing&amp;manualId=251&amp;topicId=1447" </w:instrText>
            </w:r>
            <w:r>
              <w:rPr>
                <w:rFonts w:hint="eastAsia" w:ascii="仿宋" w:hAnsi="仿宋" w:eastAsia="仿宋" w:cs="Times New Roman"/>
                <w:color w:val="auto"/>
                <w:kern w:val="28"/>
                <w:sz w:val="24"/>
                <w:szCs w:val="24"/>
                <w:highlight w:val="none"/>
                <w:lang w:val="en-US" w:eastAsia="zh-CN" w:bidi="ar-SA"/>
              </w:rPr>
              <w:fldChar w:fldCharType="separate"/>
            </w:r>
            <w:r>
              <w:rPr>
                <w:rFonts w:hint="eastAsia" w:ascii="仿宋" w:hAnsi="仿宋" w:eastAsia="仿宋" w:cs="Times New Roman"/>
                <w:color w:val="auto"/>
                <w:kern w:val="28"/>
                <w:sz w:val="24"/>
                <w:szCs w:val="24"/>
                <w:highlight w:val="none"/>
                <w:lang w:val="en-US" w:eastAsia="zh-CN" w:bidi="ar-SA"/>
              </w:rPr>
              <w:t>etail?siteCode=beijing&amp;manualId=251&amp;topicId=1447</w:t>
            </w:r>
            <w:r>
              <w:rPr>
                <w:rFonts w:hint="eastAsia" w:ascii="仿宋" w:hAnsi="仿宋" w:eastAsia="仿宋" w:cs="Times New Roman"/>
                <w:color w:val="auto"/>
                <w:kern w:val="28"/>
                <w:sz w:val="24"/>
                <w:szCs w:val="24"/>
                <w:highlight w:val="none"/>
                <w:lang w:val="en-US" w:eastAsia="zh-CN" w:bidi="ar-SA"/>
              </w:rPr>
              <w:fldChar w:fldCharType="end"/>
            </w:r>
          </w:p>
        </w:tc>
      </w:tr>
    </w:tbl>
    <w:p w14:paraId="2D3AE837">
      <w:pPr>
        <w:spacing w:line="360" w:lineRule="auto"/>
        <w:jc w:val="center"/>
        <w:outlineLvl w:val="0"/>
        <w:rPr>
          <w:rFonts w:ascii="仿宋" w:hAnsi="仿宋" w:eastAsia="仿宋" w:cs="宋体"/>
          <w:b/>
          <w:color w:val="auto"/>
          <w:sz w:val="32"/>
          <w:szCs w:val="20"/>
          <w:highlight w:val="none"/>
        </w:rPr>
      </w:pPr>
      <w:r>
        <w:rPr>
          <w:rFonts w:hint="eastAsia" w:ascii="仿宋" w:hAnsi="仿宋" w:eastAsia="仿宋"/>
          <w:b/>
          <w:color w:val="auto"/>
          <w:sz w:val="32"/>
          <w:szCs w:val="20"/>
          <w:highlight w:val="none"/>
        </w:rPr>
        <w:br w:type="page"/>
      </w:r>
      <w:bookmarkEnd w:id="10"/>
      <w:bookmarkStart w:id="11" w:name="第三部分"/>
      <w:bookmarkStart w:id="12" w:name="_Toc164416483"/>
      <w:r>
        <w:rPr>
          <w:rFonts w:hint="eastAsia" w:ascii="仿宋" w:hAnsi="仿宋" w:eastAsia="仿宋" w:cs="宋体"/>
          <w:b/>
          <w:color w:val="auto"/>
          <w:sz w:val="32"/>
          <w:szCs w:val="20"/>
          <w:highlight w:val="none"/>
        </w:rPr>
        <w:t>一、总则</w:t>
      </w:r>
    </w:p>
    <w:p w14:paraId="6B019089">
      <w:pPr>
        <w:snapToGrid w:val="0"/>
        <w:spacing w:line="360" w:lineRule="auto"/>
        <w:jc w:val="left"/>
        <w:outlineLvl w:val="1"/>
        <w:rPr>
          <w:rFonts w:ascii="仿宋" w:hAnsi="仿宋" w:eastAsia="仿宋"/>
          <w:b/>
          <w:color w:val="auto"/>
          <w:sz w:val="24"/>
          <w:highlight w:val="none"/>
        </w:rPr>
      </w:pPr>
      <w:bookmarkStart w:id="13" w:name="_Toc91899872"/>
      <w:bookmarkEnd w:id="13"/>
      <w:bookmarkStart w:id="14" w:name="_Hlt74714665"/>
      <w:bookmarkEnd w:id="14"/>
      <w:bookmarkStart w:id="15" w:name="_Hlt74730208"/>
      <w:bookmarkEnd w:id="15"/>
      <w:bookmarkStart w:id="16" w:name="_Hlt74730295"/>
      <w:bookmarkEnd w:id="16"/>
      <w:bookmarkStart w:id="17" w:name="_Hlt74730112"/>
      <w:bookmarkEnd w:id="17"/>
      <w:r>
        <w:rPr>
          <w:rFonts w:hint="eastAsia" w:ascii="仿宋" w:hAnsi="仿宋" w:eastAsia="仿宋"/>
          <w:b/>
          <w:color w:val="auto"/>
          <w:sz w:val="24"/>
          <w:highlight w:val="none"/>
        </w:rPr>
        <w:t>1.</w:t>
      </w:r>
      <w:r>
        <w:rPr>
          <w:rFonts w:ascii="仿宋" w:hAnsi="仿宋" w:eastAsia="仿宋"/>
          <w:b/>
          <w:color w:val="auto"/>
          <w:sz w:val="24"/>
          <w:highlight w:val="none"/>
        </w:rPr>
        <w:t>适用范围</w:t>
      </w:r>
    </w:p>
    <w:p w14:paraId="5289A346">
      <w:pPr>
        <w:snapToGrid w:val="0"/>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本征集文件适用于该项目的征集、投标、开标、资格审查及信用信息查询、评标、定标、合同、验收等行为（法律、法规另有规定的，从其规定）。</w:t>
      </w:r>
    </w:p>
    <w:p w14:paraId="29CAAE58">
      <w:pPr>
        <w:snapToGrid w:val="0"/>
        <w:spacing w:line="360" w:lineRule="auto"/>
        <w:jc w:val="left"/>
        <w:rPr>
          <w:rFonts w:ascii="仿宋" w:hAnsi="仿宋" w:eastAsia="仿宋"/>
          <w:color w:val="auto"/>
          <w:sz w:val="24"/>
          <w:highlight w:val="none"/>
        </w:rPr>
      </w:pPr>
      <w:r>
        <w:rPr>
          <w:rFonts w:hint="eastAsia" w:ascii="仿宋" w:hAnsi="仿宋" w:eastAsia="仿宋" w:cs="仿宋_GB2312"/>
          <w:b/>
          <w:color w:val="auto"/>
          <w:sz w:val="24"/>
          <w:highlight w:val="none"/>
        </w:rPr>
        <w:t xml:space="preserve"> 2.定义</w:t>
      </w:r>
    </w:p>
    <w:p w14:paraId="15DF3A44">
      <w:pPr>
        <w:spacing w:line="360" w:lineRule="auto"/>
        <w:ind w:firstLine="600" w:firstLineChars="250"/>
        <w:rPr>
          <w:rFonts w:ascii="仿宋" w:hAnsi="仿宋" w:eastAsia="仿宋"/>
          <w:color w:val="auto"/>
          <w:sz w:val="24"/>
          <w:highlight w:val="none"/>
        </w:rPr>
      </w:pPr>
      <w:r>
        <w:rPr>
          <w:rFonts w:ascii="仿宋" w:hAnsi="仿宋" w:eastAsia="仿宋"/>
          <w:color w:val="auto"/>
          <w:sz w:val="24"/>
          <w:highlight w:val="none"/>
        </w:rPr>
        <w:t>2.1</w:t>
      </w:r>
      <w:r>
        <w:rPr>
          <w:rFonts w:hint="eastAsia" w:ascii="仿宋" w:hAnsi="仿宋" w:eastAsia="仿宋"/>
          <w:color w:val="auto"/>
          <w:sz w:val="24"/>
          <w:highlight w:val="none"/>
        </w:rPr>
        <w:t>“征集人”系指征集公告中载明的本项目的征集人。</w:t>
      </w:r>
    </w:p>
    <w:p w14:paraId="0BF38BC5">
      <w:pPr>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2.2“采购代理机构”系指征集公告中载明的本项目的采购代理机构。</w:t>
      </w:r>
    </w:p>
    <w:p w14:paraId="04804DBA">
      <w:pPr>
        <w:spacing w:line="360" w:lineRule="auto"/>
        <w:ind w:firstLine="600" w:firstLineChars="250"/>
        <w:rPr>
          <w:rFonts w:ascii="仿宋" w:hAnsi="仿宋" w:eastAsia="仿宋"/>
          <w:color w:val="auto"/>
          <w:sz w:val="24"/>
          <w:highlight w:val="none"/>
        </w:rPr>
      </w:pPr>
      <w:r>
        <w:rPr>
          <w:rFonts w:ascii="仿宋" w:hAnsi="仿宋" w:eastAsia="仿宋"/>
          <w:color w:val="auto"/>
          <w:sz w:val="24"/>
          <w:highlight w:val="none"/>
        </w:rPr>
        <w:t>2.</w:t>
      </w:r>
      <w:r>
        <w:rPr>
          <w:rFonts w:hint="eastAsia" w:ascii="仿宋" w:hAnsi="仿宋" w:eastAsia="仿宋"/>
          <w:color w:val="auto"/>
          <w:sz w:val="24"/>
          <w:highlight w:val="none"/>
        </w:rPr>
        <w:t>3“供应商”系指是指响应征集、参加投标竞争的法人、其他组织或者自然人。</w:t>
      </w:r>
    </w:p>
    <w:p w14:paraId="470EC21B">
      <w:pPr>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2.4“负责人”系指法人企业的法定负责人，或其他组织为</w:t>
      </w:r>
      <w:r>
        <w:rPr>
          <w:rFonts w:ascii="仿宋" w:hAnsi="仿宋" w:eastAsia="仿宋"/>
          <w:color w:val="auto"/>
          <w:sz w:val="24"/>
          <w:highlight w:val="none"/>
        </w:rPr>
        <w:t>法律、行政法规规定代表单位行使职权的主要负责人</w:t>
      </w:r>
      <w:r>
        <w:rPr>
          <w:rFonts w:hint="eastAsia" w:ascii="仿宋" w:hAnsi="仿宋" w:eastAsia="仿宋"/>
          <w:color w:val="auto"/>
          <w:sz w:val="24"/>
          <w:highlight w:val="none"/>
        </w:rPr>
        <w:t>，或自然人本人。</w:t>
      </w:r>
    </w:p>
    <w:p w14:paraId="5B62F5E7">
      <w:pPr>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2.5“电子签名”系指数据电文中以电子形式所含、所附用于识别签名人身份并表明签名人认可其中内容的数据。</w:t>
      </w:r>
    </w:p>
    <w:p w14:paraId="3EF59D50">
      <w:pPr>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2.6“电子交易平台”是指本项目政府采购活动所依托的政府采购云平台（https://www.zcygov.cn/）。</w:t>
      </w:r>
    </w:p>
    <w:p w14:paraId="04B6742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2.7“▲”系指实质性要求条款，“★”系项重要技术指标条款，“</w:t>
      </w:r>
      <w:sdt>
        <w:sdtPr>
          <w:rPr>
            <w:rFonts w:hint="eastAsia" w:ascii="仿宋" w:hAnsi="仿宋" w:eastAsia="仿宋"/>
            <w:color w:val="auto"/>
            <w:sz w:val="24"/>
            <w:highlight w:val="none"/>
          </w:rPr>
          <w:id w:val="22263650"/>
        </w:sdtPr>
        <w:sdtEndPr>
          <w:rPr>
            <w:rFonts w:hint="eastAsia" w:ascii="仿宋" w:hAnsi="仿宋" w:eastAsia="仿宋"/>
            <w:color w:val="auto"/>
            <w:sz w:val="24"/>
            <w:highlight w:val="none"/>
          </w:rPr>
        </w:sdtEndPr>
        <w:sdtContent>
          <w:sdt>
            <w:sdtPr>
              <w:rPr>
                <w:rFonts w:hint="eastAsia" w:ascii="仿宋" w:hAnsi="仿宋" w:eastAsia="仿宋"/>
                <w:color w:val="auto"/>
                <w:kern w:val="28"/>
                <w:sz w:val="24"/>
                <w:highlight w:val="none"/>
              </w:rPr>
              <w:id w:val="25188268"/>
            </w:sdtPr>
            <w:sdtEndPr>
              <w:rPr>
                <w:rFonts w:hint="eastAsia" w:ascii="仿宋" w:hAnsi="仿宋" w:eastAsia="仿宋"/>
                <w:color w:val="auto"/>
                <w:kern w:val="28"/>
                <w:sz w:val="24"/>
                <w:highlight w:val="none"/>
              </w:rPr>
            </w:sdtEndPr>
            <w:sdtContent>
              <w:r>
                <w:rPr>
                  <w:rFonts w:hint="eastAsia" w:ascii="仿宋" w:hAnsi="仿宋" w:eastAsia="仿宋"/>
                  <w:color w:val="auto"/>
                  <w:kern w:val="28"/>
                  <w:sz w:val="24"/>
                  <w:highlight w:val="none"/>
                </w:rPr>
                <w:sym w:font="Wingdings" w:char="F0FE"/>
              </w:r>
            </w:sdtContent>
          </w:sdt>
        </w:sdtContent>
      </w:sdt>
      <w:r>
        <w:rPr>
          <w:rFonts w:hint="eastAsia" w:ascii="仿宋" w:hAnsi="仿宋" w:eastAsia="仿宋"/>
          <w:color w:val="auto"/>
          <w:sz w:val="24"/>
          <w:highlight w:val="none"/>
        </w:rPr>
        <w:t>”系指适用本项目的要求，“</w:t>
      </w:r>
      <w:sdt>
        <w:sdtPr>
          <w:rPr>
            <w:rFonts w:hint="eastAsia" w:ascii="仿宋" w:hAnsi="仿宋" w:eastAsia="仿宋"/>
            <w:color w:val="auto"/>
            <w:sz w:val="24"/>
            <w:highlight w:val="none"/>
          </w:rPr>
          <w:id w:val="404888855"/>
        </w:sdtPr>
        <w:sdtEndPr>
          <w:rPr>
            <w:rFonts w:hint="eastAsia" w:ascii="仿宋" w:hAnsi="仿宋" w:eastAsia="仿宋"/>
            <w:color w:val="auto"/>
            <w:sz w:val="24"/>
            <w:highlight w:val="none"/>
          </w:rPr>
        </w:sdtEndPr>
        <w:sdtContent>
          <w:r>
            <w:rPr>
              <w:rFonts w:hint="eastAsia" w:ascii="仿宋" w:hAnsi="仿宋" w:eastAsia="仿宋"/>
              <w:color w:val="auto"/>
              <w:sz w:val="24"/>
              <w:highlight w:val="none"/>
            </w:rPr>
            <w:t>☐</w:t>
          </w:r>
        </w:sdtContent>
      </w:sdt>
      <w:r>
        <w:rPr>
          <w:rFonts w:hint="eastAsia" w:ascii="仿宋" w:hAnsi="仿宋" w:eastAsia="仿宋"/>
          <w:color w:val="auto"/>
          <w:sz w:val="24"/>
          <w:highlight w:val="none"/>
        </w:rPr>
        <w:t>” 系指不适用本项目的要求。</w:t>
      </w:r>
    </w:p>
    <w:p w14:paraId="7FF43005">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3.采购项目需要落实的政府采购政策</w:t>
      </w:r>
    </w:p>
    <w:p w14:paraId="4FDC2976">
      <w:pPr>
        <w:spacing w:line="360" w:lineRule="auto"/>
        <w:ind w:firstLine="600" w:firstLineChars="250"/>
        <w:rPr>
          <w:rFonts w:ascii="仿宋" w:hAnsi="仿宋" w:eastAsia="仿宋"/>
          <w:color w:val="auto"/>
          <w:sz w:val="24"/>
          <w:highlight w:val="none"/>
        </w:rPr>
      </w:pPr>
      <w:r>
        <w:rPr>
          <w:rFonts w:hint="eastAsia" w:ascii="仿宋" w:hAnsi="仿宋" w:eastAsia="仿宋"/>
          <w:color w:val="auto"/>
          <w:sz w:val="24"/>
          <w:highlight w:val="none"/>
        </w:rPr>
        <w:t>3.1 本项目原则上采购本国生产的货物、工程和服务，不允许采购进口产品。除非征集人采购进口产品，已经在采购活动开始前向财政部门提出申请并获得财政部门审核同意，且在采购需求中明确规定可以采购进口产品（但如果因信息不对称等原因，仍有满足需求的国内产品要求参与采购竞争的，征集人、采购代理机构不会对其加以限制，仍将按照公平竞争原则实施采购）；优先采购向我国企业转让技术、与我国企业签订消化吸收再创新方案的供应商的进口产品。</w:t>
      </w:r>
    </w:p>
    <w:p w14:paraId="4E5566A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 </w:t>
      </w:r>
      <w:r>
        <w:rPr>
          <w:rFonts w:hint="eastAsia" w:ascii="仿宋" w:hAnsi="仿宋" w:eastAsia="仿宋"/>
          <w:color w:val="auto"/>
          <w:sz w:val="24"/>
          <w:highlight w:val="none"/>
        </w:rPr>
        <w:t>支持绿色发展（本项目不适用）</w:t>
      </w:r>
    </w:p>
    <w:p w14:paraId="1361BD38">
      <w:pPr>
        <w:spacing w:line="360" w:lineRule="auto"/>
        <w:ind w:firstLine="480" w:firstLineChars="200"/>
        <w:rPr>
          <w:rFonts w:ascii="仿宋" w:hAnsi="仿宋" w:eastAsia="仿宋"/>
          <w:b/>
          <w:color w:val="auto"/>
          <w:sz w:val="24"/>
          <w:highlight w:val="none"/>
        </w:rPr>
      </w:pPr>
      <w:r>
        <w:rPr>
          <w:rFonts w:ascii="仿宋" w:hAnsi="仿宋" w:eastAsia="仿宋"/>
          <w:color w:val="auto"/>
          <w:sz w:val="24"/>
          <w:highlight w:val="none"/>
        </w:rPr>
        <w:t>3.2.1征集人拟采购的产品属于品目清单范围的，征集人及其委托的采购代理机构将依据国家确定的认证机构出具的、处于有效期之内的节能产品、环境标志产品认证证书，对获得证书的产品实施政府优先采购或强制采购。</w:t>
      </w:r>
      <w:r>
        <w:rPr>
          <w:rFonts w:hint="eastAsia" w:ascii="仿宋" w:hAnsi="仿宋" w:eastAsia="仿宋"/>
          <w:color w:val="auto"/>
          <w:sz w:val="24"/>
          <w:highlight w:val="none"/>
        </w:rPr>
        <w:t>供应商</w:t>
      </w:r>
      <w:r>
        <w:rPr>
          <w:rFonts w:ascii="仿宋" w:hAnsi="仿宋" w:eastAsia="仿宋"/>
          <w:color w:val="auto"/>
          <w:sz w:val="24"/>
          <w:highlight w:val="none"/>
        </w:rPr>
        <w:t>须按征集文件要求提供相关产品认证证书。▲</w:t>
      </w:r>
      <w:r>
        <w:rPr>
          <w:rFonts w:hint="eastAsia" w:ascii="仿宋" w:hAnsi="仿宋" w:eastAsia="仿宋"/>
          <w:b/>
          <w:color w:val="auto"/>
          <w:sz w:val="24"/>
          <w:highlight w:val="none"/>
        </w:rPr>
        <w:t>征集人拟采购的产品属于政府强制采购的节能产品品目清单范围的，供应商未按征集文件要求提供国家确定的认证机构出具的、处于有效期之内的节能产品认证证书的，投标无效。</w:t>
      </w:r>
    </w:p>
    <w:p w14:paraId="19BFBC2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 xml:space="preserve">3.2.2 </w:t>
      </w:r>
      <w:r>
        <w:rPr>
          <w:rFonts w:hint="eastAsia" w:ascii="仿宋" w:hAnsi="仿宋" w:eastAsia="仿宋"/>
          <w:color w:val="auto"/>
          <w:sz w:val="24"/>
          <w:highlight w:val="none"/>
        </w:rPr>
        <w:t>纳入政府采购管理的修缮、装修类项目采购建材的，鼓励采购单位将绿色建材性能、指标等作为实质性条件纳入征集文件和合同，具体性能指标要求参考相关绿色建材政府采购需求标准。</w:t>
      </w:r>
    </w:p>
    <w:p w14:paraId="225CB99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3.2.3</w:t>
      </w:r>
      <w:r>
        <w:rPr>
          <w:rFonts w:hint="eastAsia" w:ascii="仿宋" w:hAnsi="仿宋" w:eastAsia="仿宋"/>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1348F45">
      <w:pPr>
        <w:spacing w:line="360" w:lineRule="auto"/>
        <w:ind w:firstLine="480" w:firstLineChars="200"/>
        <w:rPr>
          <w:rFonts w:ascii="仿宋" w:hAnsi="仿宋" w:eastAsia="仿宋"/>
          <w:color w:val="auto"/>
          <w:sz w:val="24"/>
          <w:highlight w:val="none"/>
        </w:rPr>
      </w:pPr>
      <w:bookmarkStart w:id="18" w:name="_Hlk107568539"/>
      <w:r>
        <w:rPr>
          <w:rFonts w:hint="eastAsia" w:ascii="仿宋" w:hAnsi="仿宋" w:eastAsia="仿宋"/>
          <w:color w:val="auto"/>
          <w:sz w:val="24"/>
          <w:highlight w:val="none"/>
        </w:rPr>
        <w:t>优先采购绿色包装产品、绿色物流配送服务以及循环利用产品</w:t>
      </w:r>
      <w:bookmarkEnd w:id="18"/>
      <w:r>
        <w:rPr>
          <w:rFonts w:hint="eastAsia" w:ascii="仿宋" w:hAnsi="仿宋" w:eastAsia="仿宋"/>
          <w:color w:val="auto"/>
          <w:sz w:val="24"/>
          <w:highlight w:val="none"/>
        </w:rPr>
        <w:t>。</w:t>
      </w:r>
    </w:p>
    <w:p w14:paraId="613CE94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3.3支持中小企业发展</w:t>
      </w:r>
    </w:p>
    <w:p w14:paraId="2EAAF9A6">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2CD57ADB">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符合中小企业划分标准的个体工商户，在政府采购活动中视同中小企业。</w:t>
      </w:r>
    </w:p>
    <w:p w14:paraId="0728E2E5">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bCs/>
          <w:color w:val="auto"/>
          <w:sz w:val="24"/>
          <w:highlight w:val="none"/>
        </w:rPr>
        <w:t>3.3.2</w:t>
      </w:r>
      <w:r>
        <w:rPr>
          <w:rFonts w:hint="eastAsia" w:ascii="仿宋" w:hAnsi="仿宋" w:eastAsia="仿宋" w:cs="宋体"/>
          <w:color w:val="auto"/>
          <w:kern w:val="0"/>
          <w:sz w:val="24"/>
          <w:highlight w:val="none"/>
        </w:rPr>
        <w:t>在政府采购活动中，供应商提供的货物、工程或者服务符合下列情形的，享受中小企业扶持政策：</w:t>
      </w:r>
    </w:p>
    <w:p w14:paraId="78D9BD32">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3.3.2.1在货物采购项目中，货物由中小企业制造，即货物由中小企业生产且使用该中小企业商号或者注册商标；</w:t>
      </w:r>
    </w:p>
    <w:p w14:paraId="63D02915">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3.3.2.2在工程采购项目中，工程由中小企业承建，即工程施工单位为中小企业；</w:t>
      </w:r>
    </w:p>
    <w:p w14:paraId="745FC34E">
      <w:pPr>
        <w:widowControl/>
        <w:spacing w:line="360" w:lineRule="auto"/>
        <w:ind w:firstLine="480" w:firstLineChars="200"/>
        <w:jc w:val="left"/>
        <w:rPr>
          <w:rFonts w:ascii="仿宋" w:hAnsi="仿宋" w:eastAsia="仿宋" w:cs="宋体"/>
          <w:color w:val="auto"/>
          <w:kern w:val="0"/>
          <w:sz w:val="24"/>
          <w:highlight w:val="none"/>
        </w:rPr>
      </w:pPr>
      <w:r>
        <w:rPr>
          <w:rFonts w:ascii="仿宋" w:hAnsi="仿宋" w:eastAsia="仿宋" w:cs="宋体"/>
          <w:color w:val="auto"/>
          <w:kern w:val="0"/>
          <w:sz w:val="24"/>
          <w:highlight w:val="none"/>
        </w:rPr>
        <w:t>3.3.2.3在服务采购项目中，服务由中小企业承接，即提供服务的人员为中小企业依照《中华人民共和国劳动合同法》订立劳动合同的从业人员。</w:t>
      </w:r>
    </w:p>
    <w:p w14:paraId="5478242A">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在货物采购项目中，供应商提供的货物既有中小企业制造货物，也有大型企业制造货物的，不享受中小企业扶持政策。</w:t>
      </w:r>
    </w:p>
    <w:p w14:paraId="3FAE0691">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以联合体形式参加政府采购活动，联合体各方均为中小企业的，联合体视同中小企业。其中，联合体各方均为小微企业的，联合体视同小微企业。</w:t>
      </w:r>
    </w:p>
    <w:p w14:paraId="3EC10E4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3.3.3</w:t>
      </w:r>
      <w:r>
        <w:rPr>
          <w:rFonts w:hint="eastAsia" w:ascii="仿宋" w:hAnsi="仿宋" w:eastAsia="仿宋"/>
          <w:color w:val="auto"/>
          <w:sz w:val="24"/>
          <w:highlight w:val="none"/>
        </w:rPr>
        <w:t>对于未预留份额专门面向中小企业的政府采购货物或服务项目，以及预留份额政府采购货物或服务项目中的非预留部分标项，对小型和微型企业的响应报价给予20</w:t>
      </w:r>
      <w:r>
        <w:rPr>
          <w:rFonts w:ascii="仿宋" w:hAnsi="仿宋" w:eastAsia="仿宋"/>
          <w:color w:val="auto"/>
          <w:sz w:val="24"/>
          <w:highlight w:val="none"/>
        </w:rPr>
        <w:t>%的扣除，用扣除后的价格参与评审。接受大中型企业与小微企业组成联合体或者允许大中型企业向一家或者多家小微企业分包的</w:t>
      </w:r>
      <w:r>
        <w:rPr>
          <w:rFonts w:hint="eastAsia" w:ascii="仿宋" w:hAnsi="仿宋" w:eastAsia="仿宋"/>
          <w:color w:val="auto"/>
          <w:sz w:val="24"/>
          <w:highlight w:val="none"/>
        </w:rPr>
        <w:t>政府</w:t>
      </w:r>
      <w:r>
        <w:rPr>
          <w:rFonts w:ascii="仿宋" w:hAnsi="仿宋" w:eastAsia="仿宋"/>
          <w:color w:val="auto"/>
          <w:sz w:val="24"/>
          <w:highlight w:val="none"/>
        </w:rPr>
        <w:t>采购</w:t>
      </w:r>
      <w:r>
        <w:rPr>
          <w:rFonts w:hint="eastAsia" w:ascii="仿宋" w:hAnsi="仿宋" w:eastAsia="仿宋"/>
          <w:color w:val="auto"/>
          <w:sz w:val="24"/>
          <w:highlight w:val="none"/>
        </w:rPr>
        <w:t>货物或服务</w:t>
      </w:r>
      <w:r>
        <w:rPr>
          <w:rFonts w:ascii="仿宋" w:hAnsi="仿宋" w:eastAsia="仿宋"/>
          <w:color w:val="auto"/>
          <w:sz w:val="24"/>
          <w:highlight w:val="none"/>
        </w:rPr>
        <w:t>项目，对于联合协议或者分包意向协议约定小微企业的合同份额占到合同总金额30%以上的，对联合体或者大中型企业的报价给予</w:t>
      </w:r>
      <w:r>
        <w:rPr>
          <w:rFonts w:hint="eastAsia" w:ascii="仿宋" w:hAnsi="仿宋" w:eastAsia="仿宋"/>
          <w:color w:val="auto"/>
          <w:sz w:val="24"/>
          <w:highlight w:val="none"/>
        </w:rPr>
        <w:t>6</w:t>
      </w:r>
      <w:r>
        <w:rPr>
          <w:rFonts w:ascii="仿宋" w:hAnsi="仿宋" w:eastAsia="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FCA9333">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3.3.4符合《关于促进残疾人就业政府采购政策的通知》（财库〔2017〕141号）规定的条件并提供《残疾人福利性单位声明函》（附件1）的残疾人福利性单位视同小型、微型企业</w:t>
      </w:r>
      <w:r>
        <w:rPr>
          <w:rFonts w:hint="eastAsia" w:ascii="仿宋" w:hAnsi="仿宋" w:eastAsia="仿宋"/>
          <w:color w:val="auto"/>
          <w:sz w:val="24"/>
          <w:highlight w:val="none"/>
        </w:rPr>
        <w:t>。</w:t>
      </w:r>
    </w:p>
    <w:p w14:paraId="397B1D8F">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4BE2E00">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3.3.6</w:t>
      </w:r>
      <w:r>
        <w:rPr>
          <w:rFonts w:hint="eastAsia" w:ascii="仿宋" w:hAnsi="仿宋" w:eastAsia="仿宋"/>
          <w:color w:val="auto"/>
          <w:sz w:val="24"/>
          <w:highlight w:val="none"/>
        </w:rPr>
        <w:t>可享受中小企业扶持政策的供应商应按照征集文件格式要求提供《中小企业声明函》，供应商提供的《中小企业声明函》与实际情况不符的，不享受中小企业扶持政策。声明内容不实的，属于提供虚假材料谋取中标、成交的，依法承担法律责任。</w:t>
      </w:r>
    </w:p>
    <w:p w14:paraId="41C759D8">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3.3.7中小企业享受扶持政策获得政府采购合同的，小微企业不得将合同分包给大中型企业，中型企业不得将合同分包给大型企业</w:t>
      </w:r>
      <w:r>
        <w:rPr>
          <w:rFonts w:hint="eastAsia" w:ascii="仿宋" w:hAnsi="仿宋" w:eastAsia="仿宋"/>
          <w:color w:val="auto"/>
          <w:sz w:val="24"/>
          <w:highlight w:val="none"/>
        </w:rPr>
        <w:t>。</w:t>
      </w:r>
    </w:p>
    <w:p w14:paraId="1ECCE677">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w:t>
      </w:r>
      <w:r>
        <w:rPr>
          <w:rFonts w:hint="eastAsia" w:ascii="仿宋" w:hAnsi="仿宋" w:eastAsia="仿宋"/>
          <w:bCs/>
          <w:color w:val="auto"/>
          <w:sz w:val="24"/>
          <w:highlight w:val="none"/>
        </w:rPr>
        <w:t>支持创新发展（本项目不适用）</w:t>
      </w:r>
    </w:p>
    <w:p w14:paraId="267B1365">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3.4.1 征集人优先采购被认定</w:t>
      </w:r>
      <w:r>
        <w:rPr>
          <w:rFonts w:hint="eastAsia" w:ascii="仿宋" w:hAnsi="仿宋" w:eastAsia="仿宋"/>
          <w:color w:val="auto"/>
          <w:sz w:val="24"/>
          <w:highlight w:val="none"/>
        </w:rPr>
        <w:t>为首台套产品和“制造精品”的自主创新产品。</w:t>
      </w:r>
    </w:p>
    <w:p w14:paraId="0732DEFD">
      <w:pPr>
        <w:spacing w:line="360" w:lineRule="auto"/>
        <w:ind w:firstLine="480" w:firstLineChars="200"/>
        <w:rPr>
          <w:rFonts w:ascii="仿宋" w:hAnsi="仿宋" w:eastAsia="仿宋"/>
          <w:color w:val="auto"/>
          <w:sz w:val="24"/>
          <w:highlight w:val="none"/>
        </w:rPr>
      </w:pPr>
      <w:r>
        <w:rPr>
          <w:rFonts w:ascii="仿宋" w:hAnsi="仿宋" w:eastAsia="仿宋"/>
          <w:color w:val="auto"/>
          <w:sz w:val="24"/>
          <w:highlight w:val="none"/>
        </w:rPr>
        <w:t>3.4.2首台套产品</w:t>
      </w:r>
      <w:r>
        <w:rPr>
          <w:rFonts w:hint="eastAsia" w:ascii="仿宋" w:hAnsi="仿宋" w:eastAsia="仿宋"/>
          <w:color w:val="auto"/>
          <w:sz w:val="24"/>
          <w:highlight w:val="none"/>
        </w:rPr>
        <w:t>被纳入《首台套产品推广应用指导目录》之日起3</w:t>
      </w:r>
      <w:r>
        <w:rPr>
          <w:rFonts w:ascii="仿宋" w:hAnsi="仿宋" w:eastAsia="仿宋"/>
          <w:color w:val="auto"/>
          <w:sz w:val="24"/>
          <w:highlight w:val="none"/>
        </w:rPr>
        <w:t>年内，以及产品核心技术高于国内领先水平，并具有明晰自主知识产权的“制造精品”产品，</w:t>
      </w:r>
      <w:r>
        <w:rPr>
          <w:rFonts w:hint="eastAsia" w:ascii="仿宋" w:hAnsi="仿宋" w:eastAsia="仿宋"/>
          <w:color w:val="auto"/>
          <w:sz w:val="24"/>
          <w:highlight w:val="none"/>
        </w:rPr>
        <w:t>自认定之日起</w:t>
      </w:r>
      <w:r>
        <w:rPr>
          <w:rFonts w:ascii="仿宋" w:hAnsi="仿宋" w:eastAsia="仿宋"/>
          <w:color w:val="auto"/>
          <w:sz w:val="24"/>
          <w:highlight w:val="none"/>
        </w:rPr>
        <w:t>2年内视同已具备相应销售业绩，参加政府采购活动</w:t>
      </w:r>
      <w:r>
        <w:rPr>
          <w:rFonts w:hint="eastAsia" w:ascii="仿宋" w:hAnsi="仿宋" w:eastAsia="仿宋"/>
          <w:color w:val="auto"/>
          <w:sz w:val="24"/>
          <w:highlight w:val="none"/>
        </w:rPr>
        <w:t>时业绩分值为满分。</w:t>
      </w:r>
    </w:p>
    <w:p w14:paraId="0AC7305D">
      <w:pPr>
        <w:wordWrap w:val="0"/>
        <w:spacing w:line="360" w:lineRule="auto"/>
        <w:ind w:firstLine="480" w:firstLineChars="200"/>
        <w:jc w:val="left"/>
        <w:rPr>
          <w:rFonts w:ascii="仿宋" w:hAnsi="仿宋" w:eastAsia="仿宋" w:cs="微软雅黑"/>
          <w:color w:val="auto"/>
          <w:kern w:val="0"/>
          <w:sz w:val="24"/>
          <w:highlight w:val="none"/>
          <w:lang w:val="zh-CN"/>
        </w:rPr>
      </w:pPr>
      <w:r>
        <w:rPr>
          <w:rFonts w:ascii="仿宋" w:hAnsi="仿宋" w:eastAsia="仿宋"/>
          <w:color w:val="auto"/>
          <w:sz w:val="24"/>
          <w:highlight w:val="none"/>
        </w:rPr>
        <w:t>3.5</w:t>
      </w:r>
      <w:r>
        <w:rPr>
          <w:rFonts w:ascii="仿宋" w:hAnsi="仿宋" w:eastAsia="仿宋" w:cs="微软雅黑"/>
          <w:color w:val="auto"/>
          <w:kern w:val="0"/>
          <w:sz w:val="24"/>
          <w:highlight w:val="none"/>
          <w:lang w:val="zh-CN"/>
        </w:rPr>
        <w:t>中小企业信用融资：为支持和促进中小企业发展，进一步发挥政府采购政策功能，</w:t>
      </w:r>
      <w:r>
        <w:rPr>
          <w:rFonts w:hint="eastAsia" w:ascii="仿宋" w:hAnsi="仿宋" w:eastAsia="仿宋" w:cs="微软雅黑"/>
          <w:color w:val="auto"/>
          <w:kern w:val="0"/>
          <w:sz w:val="24"/>
          <w:highlight w:val="none"/>
          <w:lang w:val="zh-CN"/>
        </w:rPr>
        <w:t>杭州市滨江区民政局</w:t>
      </w:r>
      <w:r>
        <w:rPr>
          <w:rFonts w:ascii="仿宋" w:hAnsi="仿宋" w:eastAsia="仿宋" w:cs="微软雅黑"/>
          <w:color w:val="auto"/>
          <w:kern w:val="0"/>
          <w:sz w:val="24"/>
          <w:highlight w:val="none"/>
          <w:lang w:val="zh-CN"/>
        </w:rPr>
        <w:t>出台了《</w:t>
      </w:r>
      <w:r>
        <w:rPr>
          <w:rFonts w:hint="eastAsia" w:ascii="仿宋" w:hAnsi="仿宋" w:eastAsia="仿宋" w:cs="微软雅黑"/>
          <w:color w:val="auto"/>
          <w:kern w:val="0"/>
          <w:sz w:val="24"/>
          <w:highlight w:val="none"/>
          <w:lang w:val="zh-CN"/>
        </w:rPr>
        <w:t>关于印发《杭州高新开发区（滨江）政府采购支持中小企业信用融资暂行办法》的通知</w:t>
      </w:r>
      <w:r>
        <w:rPr>
          <w:rFonts w:ascii="仿宋" w:hAnsi="仿宋" w:eastAsia="仿宋" w:cs="微软雅黑"/>
          <w:color w:val="auto"/>
          <w:kern w:val="0"/>
          <w:sz w:val="24"/>
          <w:highlight w:val="none"/>
          <w:lang w:val="zh-CN"/>
        </w:rPr>
        <w:t>》。</w:t>
      </w:r>
      <w:r>
        <w:rPr>
          <w:rFonts w:hint="eastAsia" w:ascii="仿宋" w:hAnsi="仿宋" w:eastAsia="仿宋" w:cs="微软雅黑"/>
          <w:color w:val="auto"/>
          <w:kern w:val="0"/>
          <w:sz w:val="24"/>
          <w:highlight w:val="none"/>
          <w:lang w:val="zh-CN"/>
        </w:rPr>
        <w:t>供应商中标后根据滨江区门户网站公示的滨江区政采贷合作银行及联系人信息表（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Fonts w:ascii="仿宋" w:hAnsi="仿宋" w:eastAsia="仿宋" w:cs="微软雅黑"/>
          <w:snapToGrid w:val="0"/>
          <w:color w:val="auto"/>
          <w:kern w:val="0"/>
          <w:sz w:val="24"/>
          <w:highlight w:val="none"/>
          <w:lang w:val="zh-CN"/>
        </w:rPr>
        <w:t>http://www.hhtz.gov.cn/art/2022/1/11/art_1487037_59039349.html</w:t>
      </w:r>
      <w:r>
        <w:rPr>
          <w:rFonts w:ascii="仿宋" w:hAnsi="仿宋" w:eastAsia="仿宋" w:cs="微软雅黑"/>
          <w:snapToGrid w:val="0"/>
          <w:color w:val="auto"/>
          <w:kern w:val="0"/>
          <w:sz w:val="24"/>
          <w:highlight w:val="none"/>
          <w:lang w:val="zh-CN"/>
        </w:rPr>
        <w:fldChar w:fldCharType="end"/>
      </w:r>
      <w:r>
        <w:rPr>
          <w:rFonts w:ascii="仿宋" w:hAnsi="仿宋" w:eastAsia="仿宋" w:cs="微软雅黑"/>
          <w:color w:val="auto"/>
          <w:kern w:val="0"/>
          <w:sz w:val="24"/>
          <w:highlight w:val="none"/>
          <w:lang w:val="zh-CN"/>
        </w:rPr>
        <w:t>）获取联系方式，选择银行进行对接申请。</w:t>
      </w:r>
    </w:p>
    <w:p w14:paraId="1E4E936B">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3.6平等对待内外资企业和符合条件的破产重整企业</w:t>
      </w:r>
    </w:p>
    <w:p w14:paraId="0FEF6BF7">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rPr>
        <w:t>平等对待内外资企业和符合条件的破产重整企业，切实保障企业公平竞争，平等维护企业的合法利益。</w:t>
      </w:r>
    </w:p>
    <w:p w14:paraId="137C5B5F">
      <w:pPr>
        <w:spacing w:line="360" w:lineRule="auto"/>
        <w:rPr>
          <w:rFonts w:ascii="仿宋" w:hAnsi="仿宋" w:eastAsia="仿宋"/>
          <w:color w:val="auto"/>
          <w:sz w:val="24"/>
          <w:highlight w:val="none"/>
        </w:rPr>
      </w:pPr>
      <w:r>
        <w:rPr>
          <w:rFonts w:hint="eastAsia" w:ascii="仿宋" w:hAnsi="仿宋" w:eastAsia="仿宋"/>
          <w:b/>
          <w:color w:val="auto"/>
          <w:sz w:val="24"/>
          <w:highlight w:val="none"/>
        </w:rPr>
        <w:t>4. 询问、质疑、投诉</w:t>
      </w:r>
    </w:p>
    <w:p w14:paraId="55A6995E">
      <w:pPr>
        <w:autoSpaceDE w:val="0"/>
        <w:autoSpaceDN w:val="0"/>
        <w:spacing w:line="360" w:lineRule="auto"/>
        <w:ind w:firstLine="240" w:firstLineChars="100"/>
        <w:jc w:val="left"/>
        <w:rPr>
          <w:rFonts w:hint="eastAsia" w:ascii="仿宋" w:hAnsi="仿宋" w:eastAsia="仿宋" w:cs="微软雅黑"/>
          <w:color w:val="auto"/>
          <w:kern w:val="0"/>
          <w:sz w:val="24"/>
          <w:highlight w:val="none"/>
          <w:lang w:val="en-US" w:eastAsia="zh-CN"/>
        </w:rPr>
      </w:pPr>
      <w:r>
        <w:rPr>
          <w:rFonts w:ascii="仿宋" w:hAnsi="仿宋" w:eastAsia="仿宋" w:cs="微软雅黑"/>
          <w:color w:val="auto"/>
          <w:kern w:val="0"/>
          <w:sz w:val="24"/>
          <w:highlight w:val="none"/>
          <w:lang w:val="zh-CN"/>
        </w:rPr>
        <w:t>4.1</w:t>
      </w:r>
      <w:r>
        <w:rPr>
          <w:rFonts w:hint="eastAsia" w:ascii="仿宋" w:hAnsi="仿宋" w:eastAsia="仿宋" w:cs="微软雅黑"/>
          <w:color w:val="auto"/>
          <w:kern w:val="0"/>
          <w:sz w:val="24"/>
          <w:highlight w:val="none"/>
          <w:lang w:val="zh-CN"/>
        </w:rPr>
        <w:t>在线询问、质疑、投诉。根据《浙江省财政厅关于进一步促进政府采购公平竞争打造最优营商环境的通知》（浙财采监（2021）22 号）文件关于“健全行政裁决机制 ”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231299">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4.2</w:t>
      </w:r>
      <w:r>
        <w:rPr>
          <w:rFonts w:ascii="仿宋" w:hAnsi="仿宋" w:eastAsia="仿宋" w:cs="微软雅黑"/>
          <w:color w:val="auto"/>
          <w:kern w:val="0"/>
          <w:sz w:val="24"/>
          <w:highlight w:val="none"/>
          <w:lang w:val="zh-CN"/>
        </w:rPr>
        <w:t>供应商询问</w:t>
      </w:r>
    </w:p>
    <w:p w14:paraId="33B4A1AD">
      <w:pPr>
        <w:autoSpaceDE w:val="0"/>
        <w:autoSpaceDN w:val="0"/>
        <w:spacing w:line="360" w:lineRule="auto"/>
        <w:ind w:firstLine="480" w:firstLineChars="200"/>
        <w:jc w:val="left"/>
        <w:rPr>
          <w:rFonts w:ascii="仿宋" w:hAnsi="仿宋" w:eastAsia="仿宋" w:cs="微软雅黑"/>
          <w:color w:val="auto"/>
          <w:kern w:val="0"/>
          <w:sz w:val="24"/>
          <w:highlight w:val="none"/>
          <w:lang w:val="zh-CN"/>
        </w:rPr>
      </w:pPr>
      <w:r>
        <w:rPr>
          <w:rFonts w:hint="eastAsia" w:ascii="仿宋" w:hAnsi="仿宋" w:eastAsia="仿宋" w:cs="微软雅黑"/>
          <w:color w:val="auto"/>
          <w:kern w:val="0"/>
          <w:sz w:val="24"/>
          <w:highlight w:val="none"/>
          <w:lang w:val="zh-CN"/>
        </w:rPr>
        <w:t>供应商对政府采购活动事项有疑问的，可以提出询问，征集人或者采购代理机构应当在</w:t>
      </w:r>
      <w:r>
        <w:rPr>
          <w:rFonts w:ascii="仿宋" w:hAnsi="仿宋" w:eastAsia="仿宋" w:cs="微软雅黑"/>
          <w:color w:val="auto"/>
          <w:kern w:val="0"/>
          <w:sz w:val="24"/>
          <w:highlight w:val="none"/>
          <w:lang w:val="zh-CN"/>
        </w:rPr>
        <w:t>3个工作日内对供应</w:t>
      </w:r>
      <w:r>
        <w:rPr>
          <w:rFonts w:hint="eastAsia" w:ascii="仿宋" w:hAnsi="仿宋" w:eastAsia="仿宋" w:cs="微软雅黑"/>
          <w:color w:val="auto"/>
          <w:kern w:val="0"/>
          <w:sz w:val="24"/>
          <w:highlight w:val="none"/>
          <w:lang w:val="zh-CN"/>
        </w:rPr>
        <w:t>商依法提出的询问作出答复，但答复的内容不得涉及商业秘密。供应商提出的询问超出征集人对采购代理机构委托授权范围的，采购代理机构应当告知供应商向征集人提出。</w:t>
      </w:r>
    </w:p>
    <w:p w14:paraId="70DDBF23">
      <w:pPr>
        <w:autoSpaceDE w:val="0"/>
        <w:autoSpaceDN w:val="0"/>
        <w:spacing w:line="360" w:lineRule="auto"/>
        <w:ind w:firstLine="240" w:firstLineChars="100"/>
        <w:jc w:val="left"/>
        <w:rPr>
          <w:rFonts w:ascii="仿宋" w:hAnsi="仿宋" w:eastAsia="仿宋" w:cs="微软雅黑"/>
          <w:color w:val="auto"/>
          <w:kern w:val="0"/>
          <w:sz w:val="24"/>
          <w:highlight w:val="none"/>
          <w:lang w:val="zh-CN"/>
        </w:rPr>
      </w:pPr>
      <w:r>
        <w:rPr>
          <w:rFonts w:ascii="仿宋" w:hAnsi="仿宋" w:eastAsia="仿宋" w:cs="微软雅黑"/>
          <w:color w:val="auto"/>
          <w:kern w:val="0"/>
          <w:sz w:val="24"/>
          <w:highlight w:val="none"/>
          <w:lang w:val="zh-CN"/>
        </w:rPr>
        <w:t>4.</w:t>
      </w:r>
      <w:r>
        <w:rPr>
          <w:rFonts w:hint="eastAsia" w:ascii="仿宋" w:hAnsi="仿宋" w:eastAsia="仿宋" w:cs="微软雅黑"/>
          <w:color w:val="auto"/>
          <w:kern w:val="0"/>
          <w:sz w:val="24"/>
          <w:highlight w:val="none"/>
          <w:lang w:val="en-US" w:eastAsia="zh-CN"/>
        </w:rPr>
        <w:t>3</w:t>
      </w:r>
      <w:r>
        <w:rPr>
          <w:rFonts w:ascii="仿宋" w:hAnsi="仿宋" w:eastAsia="仿宋" w:cs="微软雅黑"/>
          <w:color w:val="auto"/>
          <w:kern w:val="0"/>
          <w:sz w:val="24"/>
          <w:highlight w:val="none"/>
          <w:lang w:val="zh-CN"/>
        </w:rPr>
        <w:t>供应商质疑</w:t>
      </w:r>
    </w:p>
    <w:p w14:paraId="571CBC39">
      <w:pPr>
        <w:pStyle w:val="28"/>
        <w:spacing w:line="360" w:lineRule="auto"/>
        <w:ind w:firstLine="480" w:firstLineChars="200"/>
        <w:rPr>
          <w:rFonts w:ascii="仿宋" w:hAnsi="仿宋" w:eastAsia="仿宋"/>
          <w:color w:val="auto"/>
          <w:sz w:val="24"/>
          <w:szCs w:val="24"/>
          <w:highlight w:val="none"/>
        </w:rPr>
      </w:pPr>
      <w:r>
        <w:rPr>
          <w:rFonts w:ascii="仿宋" w:hAnsi="仿宋" w:eastAsia="仿宋" w:cs="微软雅黑"/>
          <w:color w:val="auto"/>
          <w:kern w:val="0"/>
          <w:sz w:val="24"/>
          <w:szCs w:val="24"/>
          <w:highlight w:val="none"/>
          <w:lang w:val="zh-CN"/>
        </w:rPr>
        <w:t>4.</w:t>
      </w:r>
      <w:r>
        <w:rPr>
          <w:rFonts w:hint="eastAsia" w:ascii="仿宋" w:hAnsi="仿宋" w:eastAsia="仿宋" w:cs="微软雅黑"/>
          <w:color w:val="auto"/>
          <w:kern w:val="0"/>
          <w:sz w:val="24"/>
          <w:szCs w:val="24"/>
          <w:highlight w:val="none"/>
          <w:lang w:val="en-US" w:eastAsia="zh-CN"/>
        </w:rPr>
        <w:t>3</w:t>
      </w:r>
      <w:r>
        <w:rPr>
          <w:rFonts w:ascii="仿宋" w:hAnsi="仿宋" w:eastAsia="仿宋"/>
          <w:color w:val="auto"/>
          <w:sz w:val="24"/>
          <w:szCs w:val="24"/>
          <w:highlight w:val="none"/>
        </w:rPr>
        <w:t>.1提出质疑的供应商应当是参与所质疑项目采购活动的供应商。潜在供应商已依法获取其可质疑的征集文件的，可以对该文件提出质疑。</w:t>
      </w:r>
    </w:p>
    <w:p w14:paraId="235CD87E">
      <w:pPr>
        <w:pStyle w:val="28"/>
        <w:spacing w:line="360" w:lineRule="auto"/>
        <w:ind w:firstLine="480" w:firstLineChars="200"/>
        <w:rPr>
          <w:rFonts w:ascii="仿宋" w:hAnsi="仿宋" w:eastAsia="仿宋"/>
          <w:color w:val="auto"/>
          <w:sz w:val="24"/>
          <w:szCs w:val="24"/>
          <w:highlight w:val="none"/>
        </w:rPr>
      </w:pPr>
      <w:r>
        <w:rPr>
          <w:rFonts w:ascii="仿宋" w:hAnsi="仿宋" w:eastAsia="仿宋" w:cs="微软雅黑"/>
          <w:color w:val="auto"/>
          <w:kern w:val="0"/>
          <w:sz w:val="24"/>
          <w:szCs w:val="24"/>
          <w:highlight w:val="none"/>
          <w:lang w:val="zh-CN"/>
        </w:rPr>
        <w:t>4.</w:t>
      </w:r>
      <w:r>
        <w:rPr>
          <w:rFonts w:hint="eastAsia" w:ascii="仿宋" w:hAnsi="仿宋" w:eastAsia="仿宋" w:cs="微软雅黑"/>
          <w:color w:val="auto"/>
          <w:kern w:val="0"/>
          <w:sz w:val="24"/>
          <w:szCs w:val="24"/>
          <w:highlight w:val="none"/>
          <w:lang w:val="en-US" w:eastAsia="zh-CN"/>
        </w:rPr>
        <w:t>3</w:t>
      </w:r>
      <w:r>
        <w:rPr>
          <w:rFonts w:ascii="仿宋" w:hAnsi="仿宋" w:eastAsia="仿宋"/>
          <w:color w:val="auto"/>
          <w:sz w:val="24"/>
          <w:szCs w:val="24"/>
          <w:highlight w:val="none"/>
        </w:rPr>
        <w:t>.2供应商认为征集文件、采购过程和中标结果使自己的权益受到损害的，可以在知道或者应知其权益受到损害之日起七个工作日内，以书面形式向征集人或者</w:t>
      </w:r>
      <w:r>
        <w:rPr>
          <w:rFonts w:hint="eastAsia" w:ascii="仿宋" w:hAnsi="仿宋" w:eastAsia="仿宋"/>
          <w:color w:val="auto"/>
          <w:sz w:val="24"/>
          <w:szCs w:val="24"/>
          <w:highlight w:val="none"/>
        </w:rPr>
        <w:t>采购代理机构</w:t>
      </w:r>
      <w:r>
        <w:rPr>
          <w:rFonts w:ascii="仿宋" w:hAnsi="仿宋" w:eastAsia="仿宋"/>
          <w:color w:val="auto"/>
          <w:sz w:val="24"/>
          <w:szCs w:val="24"/>
          <w:highlight w:val="none"/>
        </w:rPr>
        <w:t>提出质疑，否则，征集人或者</w:t>
      </w:r>
      <w:r>
        <w:rPr>
          <w:rFonts w:hint="eastAsia" w:ascii="仿宋" w:hAnsi="仿宋" w:eastAsia="仿宋"/>
          <w:color w:val="auto"/>
          <w:sz w:val="24"/>
          <w:szCs w:val="24"/>
          <w:highlight w:val="none"/>
        </w:rPr>
        <w:t>采购代理机构</w:t>
      </w:r>
      <w:r>
        <w:rPr>
          <w:rFonts w:ascii="仿宋" w:hAnsi="仿宋" w:eastAsia="仿宋"/>
          <w:color w:val="auto"/>
          <w:sz w:val="24"/>
          <w:szCs w:val="24"/>
          <w:highlight w:val="none"/>
        </w:rPr>
        <w:t>不予受理。</w:t>
      </w:r>
    </w:p>
    <w:p w14:paraId="3CEB2482">
      <w:pPr>
        <w:pStyle w:val="13"/>
        <w:spacing w:line="360" w:lineRule="auto"/>
        <w:ind w:firstLine="720" w:firstLineChars="300"/>
        <w:rPr>
          <w:rFonts w:ascii="仿宋" w:hAnsi="仿宋" w:eastAsia="仿宋"/>
          <w:snapToGrid/>
          <w:color w:val="auto"/>
          <w:kern w:val="2"/>
          <w:sz w:val="24"/>
          <w:szCs w:val="24"/>
          <w:highlight w:val="none"/>
        </w:rPr>
      </w:pPr>
      <w:r>
        <w:rPr>
          <w:rFonts w:ascii="仿宋" w:hAnsi="仿宋" w:eastAsia="仿宋"/>
          <w:snapToGrid/>
          <w:color w:val="auto"/>
          <w:kern w:val="2"/>
          <w:sz w:val="24"/>
          <w:szCs w:val="24"/>
          <w:highlight w:val="none"/>
        </w:rPr>
        <w:t>4.</w:t>
      </w:r>
      <w:r>
        <w:rPr>
          <w:rFonts w:hint="eastAsia" w:ascii="仿宋" w:hAnsi="仿宋" w:eastAsia="仿宋"/>
          <w:snapToGrid/>
          <w:color w:val="auto"/>
          <w:kern w:val="2"/>
          <w:sz w:val="24"/>
          <w:szCs w:val="24"/>
          <w:highlight w:val="none"/>
          <w:lang w:val="en-US" w:eastAsia="zh-CN"/>
        </w:rPr>
        <w:t>3</w:t>
      </w:r>
      <w:r>
        <w:rPr>
          <w:rFonts w:ascii="仿宋" w:hAnsi="仿宋" w:eastAsia="仿宋"/>
          <w:snapToGrid/>
          <w:color w:val="auto"/>
          <w:kern w:val="2"/>
          <w:sz w:val="24"/>
          <w:szCs w:val="24"/>
          <w:highlight w:val="none"/>
        </w:rPr>
        <w:t>.2.1对征集文件提出质疑的，质疑期限为供应商获得征集文件之日或者征集文件公告期限届满之日起计算。</w:t>
      </w:r>
    </w:p>
    <w:p w14:paraId="010C8B50">
      <w:pPr>
        <w:pStyle w:val="28"/>
        <w:spacing w:line="360" w:lineRule="auto"/>
        <w:ind w:firstLine="720" w:firstLineChars="300"/>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3</w:t>
      </w:r>
      <w:r>
        <w:rPr>
          <w:rFonts w:ascii="仿宋" w:hAnsi="仿宋" w:eastAsia="仿宋"/>
          <w:color w:val="auto"/>
          <w:sz w:val="24"/>
          <w:szCs w:val="24"/>
          <w:highlight w:val="none"/>
        </w:rPr>
        <w:t>.2.2对采购过程提出质疑的，质疑期限为各采购程序环节结束之日起计算。对同一采购程序环节的质疑，供应商须一次性提出。</w:t>
      </w:r>
    </w:p>
    <w:p w14:paraId="73C06078">
      <w:pPr>
        <w:pStyle w:val="28"/>
        <w:spacing w:line="360" w:lineRule="auto"/>
        <w:ind w:firstLine="720" w:firstLineChars="300"/>
        <w:rPr>
          <w:rFonts w:ascii="仿宋" w:hAnsi="仿宋" w:eastAsia="仿宋"/>
          <w:color w:val="auto"/>
          <w:sz w:val="24"/>
          <w:szCs w:val="24"/>
          <w:highlight w:val="none"/>
        </w:rPr>
      </w:pPr>
      <w:r>
        <w:rPr>
          <w:rFonts w:ascii="仿宋" w:hAnsi="仿宋" w:eastAsia="仿宋"/>
          <w:color w:val="auto"/>
          <w:sz w:val="24"/>
          <w:szCs w:val="24"/>
          <w:highlight w:val="none"/>
        </w:rPr>
        <w:t>4.</w:t>
      </w:r>
      <w:r>
        <w:rPr>
          <w:rFonts w:hint="eastAsia" w:ascii="仿宋" w:hAnsi="仿宋" w:eastAsia="仿宋"/>
          <w:color w:val="auto"/>
          <w:sz w:val="24"/>
          <w:szCs w:val="24"/>
          <w:highlight w:val="none"/>
          <w:lang w:val="en-US" w:eastAsia="zh-CN"/>
        </w:rPr>
        <w:t>3</w:t>
      </w:r>
      <w:r>
        <w:rPr>
          <w:rFonts w:ascii="仿宋" w:hAnsi="仿宋" w:eastAsia="仿宋"/>
          <w:color w:val="auto"/>
          <w:sz w:val="24"/>
          <w:szCs w:val="24"/>
          <w:highlight w:val="none"/>
        </w:rPr>
        <w:t>.2.3对采购结果提出质疑的，质疑期限自采购结果公告期限届满之日起计算。</w:t>
      </w:r>
    </w:p>
    <w:p w14:paraId="6720BD4A">
      <w:pPr>
        <w:pStyle w:val="28"/>
        <w:spacing w:line="360" w:lineRule="auto"/>
        <w:ind w:firstLine="480" w:firstLineChars="200"/>
        <w:rPr>
          <w:rFonts w:ascii="仿宋" w:hAnsi="仿宋" w:eastAsia="仿宋" w:cs="微软雅黑"/>
          <w:color w:val="auto"/>
          <w:kern w:val="0"/>
          <w:sz w:val="24"/>
          <w:szCs w:val="24"/>
          <w:highlight w:val="none"/>
          <w:lang w:val="zh-CN"/>
        </w:rPr>
      </w:pPr>
      <w:r>
        <w:rPr>
          <w:rFonts w:ascii="仿宋" w:hAnsi="仿宋" w:eastAsia="仿宋" w:cs="微软雅黑"/>
          <w:color w:val="auto"/>
          <w:kern w:val="0"/>
          <w:sz w:val="24"/>
          <w:szCs w:val="24"/>
          <w:highlight w:val="none"/>
          <w:lang w:val="zh-CN"/>
        </w:rPr>
        <w:t>4.</w:t>
      </w:r>
      <w:r>
        <w:rPr>
          <w:rFonts w:hint="eastAsia" w:ascii="仿宋" w:hAnsi="仿宋" w:eastAsia="仿宋" w:cs="微软雅黑"/>
          <w:color w:val="auto"/>
          <w:kern w:val="0"/>
          <w:sz w:val="24"/>
          <w:szCs w:val="24"/>
          <w:highlight w:val="none"/>
          <w:lang w:val="en-US" w:eastAsia="zh-CN"/>
        </w:rPr>
        <w:t>3</w:t>
      </w:r>
      <w:r>
        <w:rPr>
          <w:rFonts w:ascii="仿宋" w:hAnsi="仿宋" w:eastAsia="仿宋" w:cs="微软雅黑"/>
          <w:color w:val="auto"/>
          <w:kern w:val="0"/>
          <w:sz w:val="24"/>
          <w:szCs w:val="24"/>
          <w:highlight w:val="none"/>
          <w:lang w:val="zh-CN"/>
        </w:rPr>
        <w:t>.3</w:t>
      </w:r>
      <w:r>
        <w:rPr>
          <w:rFonts w:hint="eastAsia" w:ascii="仿宋" w:hAnsi="仿宋" w:eastAsia="仿宋"/>
          <w:color w:val="auto"/>
          <w:sz w:val="24"/>
          <w:szCs w:val="24"/>
          <w:highlight w:val="none"/>
        </w:rPr>
        <w:t>供应商提出质疑应当提交质疑函和必要的证明材料。质疑函应当包括下列内容：</w:t>
      </w:r>
    </w:p>
    <w:p w14:paraId="0EAE0959">
      <w:pPr>
        <w:pStyle w:val="28"/>
        <w:spacing w:line="360" w:lineRule="auto"/>
        <w:ind w:firstLine="480" w:firstLineChars="200"/>
        <w:rPr>
          <w:rFonts w:ascii="仿宋" w:hAnsi="仿宋" w:eastAsia="仿宋" w:cs="微软雅黑"/>
          <w:color w:val="auto"/>
          <w:kern w:val="0"/>
          <w:sz w:val="24"/>
          <w:szCs w:val="24"/>
          <w:highlight w:val="none"/>
          <w:lang w:val="zh-CN"/>
        </w:rPr>
      </w:pPr>
      <w:r>
        <w:rPr>
          <w:rFonts w:ascii="仿宋" w:hAnsi="仿宋" w:eastAsia="仿宋" w:cs="微软雅黑"/>
          <w:color w:val="auto"/>
          <w:kern w:val="0"/>
          <w:sz w:val="24"/>
          <w:szCs w:val="24"/>
          <w:highlight w:val="none"/>
          <w:lang w:val="zh-CN"/>
        </w:rPr>
        <w:t>4.</w:t>
      </w:r>
      <w:r>
        <w:rPr>
          <w:rFonts w:hint="eastAsia" w:ascii="仿宋" w:hAnsi="仿宋" w:eastAsia="仿宋" w:cs="微软雅黑"/>
          <w:color w:val="auto"/>
          <w:kern w:val="0"/>
          <w:sz w:val="24"/>
          <w:szCs w:val="24"/>
          <w:highlight w:val="none"/>
          <w:lang w:val="en-US" w:eastAsia="zh-CN"/>
        </w:rPr>
        <w:t>3</w:t>
      </w:r>
      <w:r>
        <w:rPr>
          <w:rFonts w:ascii="仿宋" w:hAnsi="仿宋" w:eastAsia="仿宋" w:cs="微软雅黑"/>
          <w:color w:val="auto"/>
          <w:kern w:val="0"/>
          <w:sz w:val="24"/>
          <w:szCs w:val="24"/>
          <w:highlight w:val="none"/>
          <w:lang w:val="zh-CN"/>
        </w:rPr>
        <w:t>.3.1</w:t>
      </w:r>
      <w:r>
        <w:rPr>
          <w:rFonts w:hint="eastAsia" w:ascii="仿宋" w:hAnsi="仿宋" w:eastAsia="仿宋" w:cs="微软雅黑"/>
          <w:color w:val="auto"/>
          <w:kern w:val="0"/>
          <w:sz w:val="24"/>
          <w:szCs w:val="24"/>
          <w:highlight w:val="none"/>
          <w:lang w:val="zh-CN"/>
        </w:rPr>
        <w:t>供应商的姓名或者名称、地址、邮编、联系人及联系电话；</w:t>
      </w:r>
    </w:p>
    <w:p w14:paraId="51077B79">
      <w:pPr>
        <w:pStyle w:val="28"/>
        <w:spacing w:line="360" w:lineRule="auto"/>
        <w:ind w:firstLine="480" w:firstLineChars="200"/>
        <w:rPr>
          <w:rFonts w:ascii="仿宋" w:hAnsi="仿宋" w:eastAsia="仿宋" w:cs="微软雅黑"/>
          <w:color w:val="auto"/>
          <w:kern w:val="0"/>
          <w:sz w:val="24"/>
          <w:szCs w:val="24"/>
          <w:highlight w:val="none"/>
          <w:lang w:val="zh-CN"/>
        </w:rPr>
      </w:pPr>
      <w:r>
        <w:rPr>
          <w:rFonts w:hint="eastAsia" w:ascii="仿宋" w:hAnsi="仿宋" w:eastAsia="仿宋" w:cs="微软雅黑"/>
          <w:color w:val="auto"/>
          <w:kern w:val="0"/>
          <w:sz w:val="24"/>
          <w:szCs w:val="24"/>
          <w:highlight w:val="none"/>
          <w:lang w:val="zh-CN"/>
        </w:rPr>
        <w:t>　　</w:t>
      </w:r>
      <w:r>
        <w:rPr>
          <w:rFonts w:ascii="仿宋" w:hAnsi="仿宋" w:eastAsia="仿宋" w:cs="微软雅黑"/>
          <w:color w:val="auto"/>
          <w:kern w:val="0"/>
          <w:sz w:val="24"/>
          <w:szCs w:val="24"/>
          <w:highlight w:val="none"/>
          <w:lang w:val="zh-CN"/>
        </w:rPr>
        <w:t>4.</w:t>
      </w:r>
      <w:r>
        <w:rPr>
          <w:rFonts w:hint="eastAsia" w:ascii="仿宋" w:hAnsi="仿宋" w:eastAsia="仿宋" w:cs="微软雅黑"/>
          <w:color w:val="auto"/>
          <w:kern w:val="0"/>
          <w:sz w:val="24"/>
          <w:szCs w:val="24"/>
          <w:highlight w:val="none"/>
          <w:lang w:val="en-US" w:eastAsia="zh-CN"/>
        </w:rPr>
        <w:t>3</w:t>
      </w:r>
      <w:r>
        <w:rPr>
          <w:rFonts w:ascii="仿宋" w:hAnsi="仿宋" w:eastAsia="仿宋" w:cs="微软雅黑"/>
          <w:color w:val="auto"/>
          <w:kern w:val="0"/>
          <w:sz w:val="24"/>
          <w:szCs w:val="24"/>
          <w:highlight w:val="none"/>
          <w:lang w:val="zh-CN"/>
        </w:rPr>
        <w:t>.3.2</w:t>
      </w:r>
      <w:r>
        <w:rPr>
          <w:rFonts w:hint="eastAsia" w:ascii="仿宋" w:hAnsi="仿宋" w:eastAsia="仿宋" w:cs="微软雅黑"/>
          <w:color w:val="auto"/>
          <w:kern w:val="0"/>
          <w:sz w:val="24"/>
          <w:szCs w:val="24"/>
          <w:highlight w:val="none"/>
          <w:lang w:val="zh-CN"/>
        </w:rPr>
        <w:t>质疑项目的名称、编号；</w:t>
      </w:r>
    </w:p>
    <w:p w14:paraId="62198903">
      <w:pPr>
        <w:pStyle w:val="28"/>
        <w:spacing w:line="360" w:lineRule="auto"/>
        <w:ind w:firstLine="480" w:firstLineChars="200"/>
        <w:rPr>
          <w:rFonts w:ascii="仿宋" w:hAnsi="仿宋" w:eastAsia="仿宋" w:cs="微软雅黑"/>
          <w:color w:val="auto"/>
          <w:kern w:val="0"/>
          <w:sz w:val="24"/>
          <w:szCs w:val="24"/>
          <w:highlight w:val="none"/>
          <w:lang w:val="zh-CN"/>
        </w:rPr>
      </w:pPr>
      <w:r>
        <w:rPr>
          <w:rFonts w:hint="eastAsia" w:ascii="仿宋" w:hAnsi="仿宋" w:eastAsia="仿宋" w:cs="微软雅黑"/>
          <w:color w:val="auto"/>
          <w:kern w:val="0"/>
          <w:sz w:val="24"/>
          <w:szCs w:val="24"/>
          <w:highlight w:val="none"/>
          <w:lang w:val="zh-CN"/>
        </w:rPr>
        <w:t>　　</w:t>
      </w:r>
      <w:r>
        <w:rPr>
          <w:rFonts w:ascii="仿宋" w:hAnsi="仿宋" w:eastAsia="仿宋" w:cs="微软雅黑"/>
          <w:color w:val="auto"/>
          <w:kern w:val="0"/>
          <w:sz w:val="24"/>
          <w:szCs w:val="24"/>
          <w:highlight w:val="none"/>
          <w:lang w:val="zh-CN"/>
        </w:rPr>
        <w:t>4.</w:t>
      </w:r>
      <w:r>
        <w:rPr>
          <w:rFonts w:hint="eastAsia" w:ascii="仿宋" w:hAnsi="仿宋" w:eastAsia="仿宋" w:cs="微软雅黑"/>
          <w:color w:val="auto"/>
          <w:kern w:val="0"/>
          <w:sz w:val="24"/>
          <w:szCs w:val="24"/>
          <w:highlight w:val="none"/>
          <w:lang w:val="en-US" w:eastAsia="zh-CN"/>
        </w:rPr>
        <w:t>3</w:t>
      </w:r>
      <w:r>
        <w:rPr>
          <w:rFonts w:ascii="仿宋" w:hAnsi="仿宋" w:eastAsia="仿宋" w:cs="微软雅黑"/>
          <w:color w:val="auto"/>
          <w:kern w:val="0"/>
          <w:sz w:val="24"/>
          <w:szCs w:val="24"/>
          <w:highlight w:val="none"/>
          <w:lang w:val="zh-CN"/>
        </w:rPr>
        <w:t>.3.3</w:t>
      </w:r>
      <w:r>
        <w:rPr>
          <w:rFonts w:hint="eastAsia" w:ascii="仿宋" w:hAnsi="仿宋" w:eastAsia="仿宋" w:cs="微软雅黑"/>
          <w:color w:val="auto"/>
          <w:kern w:val="0"/>
          <w:sz w:val="24"/>
          <w:szCs w:val="24"/>
          <w:highlight w:val="none"/>
          <w:lang w:val="zh-CN"/>
        </w:rPr>
        <w:t>具体、明确的质疑事项和与质疑事项相关的请求；</w:t>
      </w:r>
    </w:p>
    <w:p w14:paraId="63235847">
      <w:pPr>
        <w:pStyle w:val="28"/>
        <w:spacing w:line="360" w:lineRule="auto"/>
        <w:ind w:firstLine="480" w:firstLineChars="200"/>
        <w:rPr>
          <w:rFonts w:ascii="仿宋" w:hAnsi="仿宋" w:eastAsia="仿宋" w:cs="微软雅黑"/>
          <w:color w:val="auto"/>
          <w:kern w:val="0"/>
          <w:sz w:val="24"/>
          <w:szCs w:val="24"/>
          <w:highlight w:val="none"/>
          <w:lang w:val="zh-CN"/>
        </w:rPr>
      </w:pPr>
      <w:r>
        <w:rPr>
          <w:rFonts w:hint="eastAsia" w:ascii="仿宋" w:hAnsi="仿宋" w:eastAsia="仿宋" w:cs="微软雅黑"/>
          <w:color w:val="auto"/>
          <w:kern w:val="0"/>
          <w:sz w:val="24"/>
          <w:szCs w:val="24"/>
          <w:highlight w:val="none"/>
          <w:lang w:val="zh-CN"/>
        </w:rPr>
        <w:t>　　</w:t>
      </w:r>
      <w:r>
        <w:rPr>
          <w:rFonts w:ascii="仿宋" w:hAnsi="仿宋" w:eastAsia="仿宋" w:cs="微软雅黑"/>
          <w:color w:val="auto"/>
          <w:kern w:val="0"/>
          <w:sz w:val="24"/>
          <w:szCs w:val="24"/>
          <w:highlight w:val="none"/>
          <w:lang w:val="zh-CN"/>
        </w:rPr>
        <w:t>4.</w:t>
      </w:r>
      <w:r>
        <w:rPr>
          <w:rFonts w:hint="eastAsia" w:ascii="仿宋" w:hAnsi="仿宋" w:eastAsia="仿宋" w:cs="微软雅黑"/>
          <w:color w:val="auto"/>
          <w:kern w:val="0"/>
          <w:sz w:val="24"/>
          <w:szCs w:val="24"/>
          <w:highlight w:val="none"/>
          <w:lang w:val="en-US" w:eastAsia="zh-CN"/>
        </w:rPr>
        <w:t>3</w:t>
      </w:r>
      <w:r>
        <w:rPr>
          <w:rFonts w:ascii="仿宋" w:hAnsi="仿宋" w:eastAsia="仿宋" w:cs="微软雅黑"/>
          <w:color w:val="auto"/>
          <w:kern w:val="0"/>
          <w:sz w:val="24"/>
          <w:szCs w:val="24"/>
          <w:highlight w:val="none"/>
          <w:lang w:val="zh-CN"/>
        </w:rPr>
        <w:t>.3.4</w:t>
      </w:r>
      <w:r>
        <w:rPr>
          <w:rFonts w:hint="eastAsia" w:ascii="仿宋" w:hAnsi="仿宋" w:eastAsia="仿宋" w:cs="微软雅黑"/>
          <w:color w:val="auto"/>
          <w:kern w:val="0"/>
          <w:sz w:val="24"/>
          <w:szCs w:val="24"/>
          <w:highlight w:val="none"/>
          <w:lang w:val="zh-CN"/>
        </w:rPr>
        <w:t>事实依据；</w:t>
      </w:r>
    </w:p>
    <w:p w14:paraId="2B449A01">
      <w:pPr>
        <w:pStyle w:val="28"/>
        <w:spacing w:line="360" w:lineRule="auto"/>
        <w:ind w:firstLine="480" w:firstLineChars="200"/>
        <w:rPr>
          <w:rFonts w:ascii="仿宋" w:hAnsi="仿宋" w:eastAsia="仿宋" w:cs="微软雅黑"/>
          <w:color w:val="auto"/>
          <w:kern w:val="0"/>
          <w:sz w:val="24"/>
          <w:szCs w:val="24"/>
          <w:highlight w:val="none"/>
          <w:lang w:val="zh-CN"/>
        </w:rPr>
      </w:pPr>
      <w:r>
        <w:rPr>
          <w:rFonts w:hint="eastAsia" w:ascii="仿宋" w:hAnsi="仿宋" w:eastAsia="仿宋" w:cs="微软雅黑"/>
          <w:color w:val="auto"/>
          <w:kern w:val="0"/>
          <w:sz w:val="24"/>
          <w:szCs w:val="24"/>
          <w:highlight w:val="none"/>
          <w:lang w:val="zh-CN"/>
        </w:rPr>
        <w:t>　　</w:t>
      </w:r>
      <w:r>
        <w:rPr>
          <w:rFonts w:ascii="仿宋" w:hAnsi="仿宋" w:eastAsia="仿宋" w:cs="微软雅黑"/>
          <w:color w:val="auto"/>
          <w:kern w:val="0"/>
          <w:sz w:val="24"/>
          <w:szCs w:val="24"/>
          <w:highlight w:val="none"/>
          <w:lang w:val="zh-CN"/>
        </w:rPr>
        <w:t>4.</w:t>
      </w:r>
      <w:r>
        <w:rPr>
          <w:rFonts w:hint="eastAsia" w:ascii="仿宋" w:hAnsi="仿宋" w:eastAsia="仿宋" w:cs="微软雅黑"/>
          <w:color w:val="auto"/>
          <w:kern w:val="0"/>
          <w:sz w:val="24"/>
          <w:szCs w:val="24"/>
          <w:highlight w:val="none"/>
          <w:lang w:val="en-US" w:eastAsia="zh-CN"/>
        </w:rPr>
        <w:t>3</w:t>
      </w:r>
      <w:r>
        <w:rPr>
          <w:rFonts w:ascii="仿宋" w:hAnsi="仿宋" w:eastAsia="仿宋" w:cs="微软雅黑"/>
          <w:color w:val="auto"/>
          <w:kern w:val="0"/>
          <w:sz w:val="24"/>
          <w:szCs w:val="24"/>
          <w:highlight w:val="none"/>
          <w:lang w:val="zh-CN"/>
        </w:rPr>
        <w:t>.3.5</w:t>
      </w:r>
      <w:r>
        <w:rPr>
          <w:rFonts w:hint="eastAsia" w:ascii="仿宋" w:hAnsi="仿宋" w:eastAsia="仿宋" w:cs="微软雅黑"/>
          <w:color w:val="auto"/>
          <w:kern w:val="0"/>
          <w:sz w:val="24"/>
          <w:szCs w:val="24"/>
          <w:highlight w:val="none"/>
          <w:lang w:val="zh-CN"/>
        </w:rPr>
        <w:t>必要的法律依据；</w:t>
      </w:r>
    </w:p>
    <w:p w14:paraId="588C9BD1">
      <w:pPr>
        <w:pStyle w:val="28"/>
        <w:spacing w:line="360" w:lineRule="auto"/>
        <w:ind w:firstLine="960" w:firstLineChars="400"/>
        <w:rPr>
          <w:rFonts w:ascii="仿宋" w:hAnsi="仿宋" w:eastAsia="仿宋" w:cs="微软雅黑"/>
          <w:color w:val="auto"/>
          <w:kern w:val="0"/>
          <w:sz w:val="24"/>
          <w:szCs w:val="24"/>
          <w:highlight w:val="none"/>
          <w:lang w:val="zh-CN"/>
        </w:rPr>
      </w:pPr>
      <w:r>
        <w:rPr>
          <w:rFonts w:ascii="仿宋" w:hAnsi="仿宋" w:eastAsia="仿宋" w:cs="微软雅黑"/>
          <w:color w:val="auto"/>
          <w:kern w:val="0"/>
          <w:sz w:val="24"/>
          <w:szCs w:val="24"/>
          <w:highlight w:val="none"/>
          <w:lang w:val="zh-CN"/>
        </w:rPr>
        <w:t>4.</w:t>
      </w:r>
      <w:r>
        <w:rPr>
          <w:rFonts w:hint="eastAsia" w:ascii="仿宋" w:hAnsi="仿宋" w:eastAsia="仿宋" w:cs="微软雅黑"/>
          <w:color w:val="auto"/>
          <w:kern w:val="0"/>
          <w:sz w:val="24"/>
          <w:szCs w:val="24"/>
          <w:highlight w:val="none"/>
          <w:lang w:val="en-US" w:eastAsia="zh-CN"/>
        </w:rPr>
        <w:t>3</w:t>
      </w:r>
      <w:r>
        <w:rPr>
          <w:rFonts w:ascii="仿宋" w:hAnsi="仿宋" w:eastAsia="仿宋" w:cs="微软雅黑"/>
          <w:color w:val="auto"/>
          <w:kern w:val="0"/>
          <w:sz w:val="24"/>
          <w:szCs w:val="24"/>
          <w:highlight w:val="none"/>
          <w:lang w:val="zh-CN"/>
        </w:rPr>
        <w:t>.3.6</w:t>
      </w:r>
      <w:r>
        <w:rPr>
          <w:rFonts w:hint="eastAsia" w:ascii="仿宋" w:hAnsi="仿宋" w:eastAsia="仿宋" w:cs="微软雅黑"/>
          <w:color w:val="auto"/>
          <w:kern w:val="0"/>
          <w:sz w:val="24"/>
          <w:szCs w:val="24"/>
          <w:highlight w:val="none"/>
          <w:lang w:val="zh-CN"/>
        </w:rPr>
        <w:t>提出质疑的日期。</w:t>
      </w:r>
    </w:p>
    <w:p w14:paraId="3C2367D7">
      <w:pPr>
        <w:pStyle w:val="720"/>
        <w:shd w:val="clear" w:color="auto" w:fill="FFFFFF"/>
        <w:snapToGrid w:val="0"/>
        <w:spacing w:after="240" w:afterAutospacing="0" w:line="360" w:lineRule="auto"/>
        <w:ind w:firstLine="400"/>
        <w:contextualSpacing/>
        <w:rPr>
          <w:rFonts w:ascii="仿宋" w:hAnsi="仿宋" w:eastAsia="仿宋"/>
          <w:color w:val="auto"/>
          <w:highlight w:val="none"/>
        </w:rPr>
      </w:pPr>
      <w:r>
        <w:rPr>
          <w:rFonts w:hint="eastAsia" w:ascii="仿宋" w:hAnsi="仿宋" w:eastAsia="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14C7CD2">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hint="eastAsia" w:ascii="仿宋" w:hAnsi="仿宋" w:eastAsia="仿宋"/>
          <w:color w:val="auto"/>
          <w:highlight w:val="none"/>
        </w:rPr>
        <w:t>质疑函范本及制作说明详见附件</w:t>
      </w:r>
      <w:r>
        <w:rPr>
          <w:rFonts w:ascii="仿宋" w:hAnsi="仿宋" w:eastAsia="仿宋"/>
          <w:color w:val="auto"/>
          <w:highlight w:val="none"/>
        </w:rPr>
        <w:t>2。</w:t>
      </w:r>
    </w:p>
    <w:p w14:paraId="2498913B">
      <w:pPr>
        <w:pStyle w:val="720"/>
        <w:shd w:val="clear" w:color="auto" w:fill="FFFFFF"/>
        <w:snapToGrid w:val="0"/>
        <w:spacing w:after="120" w:afterAutospacing="0" w:line="360" w:lineRule="auto"/>
        <w:ind w:firstLine="518" w:firstLineChars="216"/>
        <w:contextualSpacing/>
        <w:rPr>
          <w:rFonts w:ascii="仿宋" w:hAnsi="仿宋" w:eastAsia="仿宋" w:cs="微软雅黑"/>
          <w:color w:val="auto"/>
          <w:highlight w:val="none"/>
          <w:lang w:val="zh-CN"/>
        </w:rPr>
      </w:pPr>
      <w:r>
        <w:rPr>
          <w:rFonts w:hint="eastAsia" w:ascii="仿宋" w:hAnsi="仿宋" w:eastAsia="仿宋" w:cs="微软雅黑"/>
          <w:color w:val="auto"/>
          <w:highlight w:val="none"/>
          <w:lang w:val="zh-CN"/>
        </w:rPr>
        <w:t>4.</w:t>
      </w:r>
      <w:r>
        <w:rPr>
          <w:rFonts w:hint="eastAsia" w:ascii="仿宋" w:hAnsi="仿宋" w:eastAsia="仿宋" w:cs="微软雅黑"/>
          <w:color w:val="auto"/>
          <w:highlight w:val="none"/>
          <w:lang w:val="en-US" w:eastAsia="zh-CN"/>
        </w:rPr>
        <w:t>3</w:t>
      </w:r>
      <w:r>
        <w:rPr>
          <w:rFonts w:hint="eastAsia" w:ascii="仿宋" w:hAnsi="仿宋" w:eastAsia="仿宋" w:cs="微软雅黑"/>
          <w:color w:val="auto"/>
          <w:highlight w:val="none"/>
          <w:lang w:val="zh-CN"/>
        </w:rPr>
        <w:t>.4对同一采购程序环节的质疑，供应商须在法定质疑期内一次性提出。</w:t>
      </w:r>
    </w:p>
    <w:p w14:paraId="7B916799">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ascii="仿宋" w:hAnsi="仿宋" w:eastAsia="仿宋" w:cs="微软雅黑"/>
          <w:color w:val="auto"/>
          <w:highlight w:val="none"/>
          <w:lang w:val="zh-CN"/>
        </w:rPr>
        <w:t>4.</w:t>
      </w:r>
      <w:r>
        <w:rPr>
          <w:rFonts w:hint="eastAsia" w:ascii="仿宋" w:hAnsi="仿宋" w:eastAsia="仿宋" w:cs="微软雅黑"/>
          <w:color w:val="auto"/>
          <w:highlight w:val="none"/>
          <w:lang w:val="en-US" w:eastAsia="zh-CN"/>
        </w:rPr>
        <w:t>3</w:t>
      </w:r>
      <w:r>
        <w:rPr>
          <w:rFonts w:ascii="仿宋" w:hAnsi="仿宋" w:eastAsia="仿宋"/>
          <w:color w:val="auto"/>
          <w:highlight w:val="none"/>
        </w:rPr>
        <w:t>.</w:t>
      </w:r>
      <w:r>
        <w:rPr>
          <w:rFonts w:hint="eastAsia" w:ascii="仿宋" w:hAnsi="仿宋" w:eastAsia="仿宋"/>
          <w:color w:val="auto"/>
          <w:highlight w:val="none"/>
        </w:rPr>
        <w:t>5征集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olor w:val="auto"/>
          <w:highlight w:val="none"/>
        </w:rPr>
        <w:t>2021〕17号）,</w:t>
      </w:r>
      <w:r>
        <w:rPr>
          <w:rFonts w:hint="eastAsia" w:ascii="仿宋" w:hAnsi="仿宋" w:eastAsia="仿宋"/>
          <w:color w:val="auto"/>
          <w:highlight w:val="none"/>
        </w:rPr>
        <w:t>征集人或者采购代理机构在质疑回复后</w:t>
      </w:r>
      <w:r>
        <w:rPr>
          <w:rFonts w:ascii="仿宋" w:hAnsi="仿宋" w:eastAsia="仿宋"/>
          <w:color w:val="auto"/>
          <w:highlight w:val="none"/>
        </w:rPr>
        <w:t>5个工作日内，在浙江政府采购网的“其他公告”栏目公开质疑答复，答复内容应当完整。</w:t>
      </w:r>
      <w:r>
        <w:rPr>
          <w:rFonts w:hint="eastAsia" w:ascii="仿宋" w:hAnsi="仿宋" w:eastAsia="仿宋"/>
          <w:color w:val="auto"/>
          <w:highlight w:val="none"/>
        </w:rPr>
        <w:t>质疑答复公告时，如对征集文件质疑的，不公布质疑单位名称。涉及国家秘密、个人隐私、商业秘密以及法律法规规定应予保密的信息不公开。</w:t>
      </w:r>
      <w:r>
        <w:rPr>
          <w:rFonts w:ascii="仿宋" w:hAnsi="仿宋" w:eastAsia="仿宋"/>
          <w:color w:val="auto"/>
          <w:highlight w:val="none"/>
        </w:rPr>
        <w:t>质疑</w:t>
      </w:r>
      <w:r>
        <w:rPr>
          <w:rFonts w:hint="eastAsia" w:ascii="仿宋" w:hAnsi="仿宋" w:eastAsia="仿宋"/>
          <w:color w:val="auto"/>
          <w:highlight w:val="none"/>
        </w:rPr>
        <w:t>函作为附件上传。</w:t>
      </w:r>
    </w:p>
    <w:p w14:paraId="076AD849">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ascii="仿宋" w:hAnsi="仿宋" w:eastAsia="仿宋" w:cs="微软雅黑"/>
          <w:color w:val="auto"/>
          <w:highlight w:val="none"/>
          <w:lang w:val="zh-CN"/>
        </w:rPr>
        <w:t>4.</w:t>
      </w:r>
      <w:r>
        <w:rPr>
          <w:rFonts w:hint="eastAsia" w:ascii="仿宋" w:hAnsi="仿宋" w:eastAsia="仿宋" w:cs="微软雅黑"/>
          <w:color w:val="auto"/>
          <w:highlight w:val="none"/>
          <w:lang w:val="en-US" w:eastAsia="zh-CN"/>
        </w:rPr>
        <w:t>3</w:t>
      </w:r>
      <w:r>
        <w:rPr>
          <w:rFonts w:ascii="仿宋" w:hAnsi="仿宋" w:eastAsia="仿宋"/>
          <w:color w:val="auto"/>
          <w:highlight w:val="none"/>
        </w:rPr>
        <w:t>.</w:t>
      </w:r>
      <w:r>
        <w:rPr>
          <w:rFonts w:hint="eastAsia" w:ascii="仿宋" w:hAnsi="仿宋" w:eastAsia="仿宋"/>
          <w:color w:val="auto"/>
          <w:highlight w:val="none"/>
        </w:rPr>
        <w:t>6</w:t>
      </w:r>
      <w:r>
        <w:rPr>
          <w:rFonts w:ascii="仿宋" w:hAnsi="仿宋" w:eastAsia="仿宋"/>
          <w:color w:val="auto"/>
          <w:highlight w:val="none"/>
        </w:rPr>
        <w:t>询问或者质疑事项可能影响采购结果的，征集人应当暂停签订合同，已经签订合同的，应当中止履行合同。</w:t>
      </w:r>
    </w:p>
    <w:p w14:paraId="0D376B38">
      <w:pPr>
        <w:pStyle w:val="720"/>
        <w:shd w:val="clear" w:color="auto" w:fill="FFFFFF"/>
        <w:snapToGrid w:val="0"/>
        <w:spacing w:after="240" w:afterAutospacing="0" w:line="360" w:lineRule="auto"/>
        <w:ind w:firstLine="240" w:firstLineChars="100"/>
        <w:contextualSpacing/>
        <w:rPr>
          <w:rFonts w:ascii="仿宋" w:hAnsi="仿宋" w:eastAsia="仿宋" w:cs="微软雅黑"/>
          <w:color w:val="auto"/>
          <w:highlight w:val="none"/>
          <w:lang w:val="zh-CN"/>
        </w:rPr>
      </w:pPr>
      <w:r>
        <w:rPr>
          <w:rFonts w:ascii="仿宋" w:hAnsi="仿宋" w:eastAsia="仿宋" w:cs="微软雅黑"/>
          <w:color w:val="auto"/>
          <w:highlight w:val="none"/>
          <w:lang w:val="zh-CN"/>
        </w:rPr>
        <w:t>4.</w:t>
      </w:r>
      <w:r>
        <w:rPr>
          <w:rFonts w:hint="eastAsia" w:ascii="仿宋" w:hAnsi="仿宋" w:eastAsia="仿宋" w:cs="微软雅黑"/>
          <w:color w:val="auto"/>
          <w:highlight w:val="none"/>
          <w:lang w:val="en-US" w:eastAsia="zh-CN"/>
        </w:rPr>
        <w:t>4</w:t>
      </w:r>
      <w:r>
        <w:rPr>
          <w:rFonts w:ascii="仿宋" w:hAnsi="仿宋" w:eastAsia="仿宋" w:cs="微软雅黑"/>
          <w:color w:val="auto"/>
          <w:highlight w:val="none"/>
          <w:lang w:val="zh-CN"/>
        </w:rPr>
        <w:t>供应商投诉</w:t>
      </w:r>
    </w:p>
    <w:p w14:paraId="161C0B06">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ascii="仿宋" w:hAnsi="仿宋" w:eastAsia="仿宋"/>
          <w:color w:val="auto"/>
          <w:highlight w:val="none"/>
        </w:rPr>
        <w:t>4.</w:t>
      </w:r>
      <w:r>
        <w:rPr>
          <w:rFonts w:hint="eastAsia" w:ascii="仿宋" w:hAnsi="仿宋" w:eastAsia="仿宋"/>
          <w:color w:val="auto"/>
          <w:highlight w:val="none"/>
          <w:lang w:val="en-US" w:eastAsia="zh-CN"/>
        </w:rPr>
        <w:t>4</w:t>
      </w:r>
      <w:r>
        <w:rPr>
          <w:rFonts w:ascii="仿宋" w:hAnsi="仿宋" w:eastAsia="仿宋"/>
          <w:color w:val="auto"/>
          <w:highlight w:val="none"/>
        </w:rPr>
        <w:t>.1质疑供应商对征集人、</w:t>
      </w:r>
      <w:r>
        <w:rPr>
          <w:rFonts w:hint="eastAsia" w:ascii="仿宋" w:hAnsi="仿宋" w:eastAsia="仿宋"/>
          <w:color w:val="auto"/>
          <w:highlight w:val="none"/>
        </w:rPr>
        <w:t>采购代理机构</w:t>
      </w:r>
      <w:r>
        <w:rPr>
          <w:rFonts w:ascii="仿宋" w:hAnsi="仿宋" w:eastAsia="仿宋"/>
          <w:color w:val="auto"/>
          <w:highlight w:val="none"/>
        </w:rPr>
        <w:t>的答复不满意或者征集人、</w:t>
      </w:r>
      <w:r>
        <w:rPr>
          <w:rFonts w:hint="eastAsia" w:ascii="仿宋" w:hAnsi="仿宋" w:eastAsia="仿宋"/>
          <w:color w:val="auto"/>
          <w:highlight w:val="none"/>
        </w:rPr>
        <w:t>采购代理机构</w:t>
      </w:r>
      <w:r>
        <w:rPr>
          <w:rFonts w:ascii="仿宋" w:hAnsi="仿宋" w:eastAsia="仿宋"/>
          <w:color w:val="auto"/>
          <w:highlight w:val="none"/>
        </w:rPr>
        <w:t>未在规定的时间内</w:t>
      </w:r>
      <w:r>
        <w:rPr>
          <w:rFonts w:hint="eastAsia" w:ascii="仿宋" w:hAnsi="仿宋" w:eastAsia="仿宋"/>
          <w:color w:val="auto"/>
          <w:highlight w:val="none"/>
        </w:rPr>
        <w:t>作出答复的，可以在答复期满后十五个工作日内向同级政府采购监督管理部门提出投诉。</w:t>
      </w:r>
    </w:p>
    <w:p w14:paraId="330DE4FC">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ascii="仿宋" w:hAnsi="仿宋" w:eastAsia="仿宋"/>
          <w:color w:val="auto"/>
          <w:highlight w:val="none"/>
        </w:rPr>
        <w:t>4.</w:t>
      </w:r>
      <w:r>
        <w:rPr>
          <w:rFonts w:hint="eastAsia" w:ascii="仿宋" w:hAnsi="仿宋" w:eastAsia="仿宋"/>
          <w:color w:val="auto"/>
          <w:highlight w:val="none"/>
          <w:lang w:val="en-US" w:eastAsia="zh-CN"/>
        </w:rPr>
        <w:t>4</w:t>
      </w:r>
      <w:r>
        <w:rPr>
          <w:rFonts w:ascii="仿宋" w:hAnsi="仿宋" w:eastAsia="仿宋"/>
          <w:color w:val="auto"/>
          <w:highlight w:val="none"/>
        </w:rPr>
        <w:t>.</w:t>
      </w:r>
      <w:r>
        <w:rPr>
          <w:rFonts w:ascii="仿宋" w:hAnsi="仿宋" w:eastAsia="仿宋" w:cs="微软雅黑"/>
          <w:color w:val="auto"/>
          <w:highlight w:val="none"/>
          <w:lang w:val="zh-CN"/>
        </w:rPr>
        <w:t>2</w:t>
      </w:r>
      <w:r>
        <w:rPr>
          <w:rFonts w:hint="eastAsia" w:ascii="仿宋" w:hAnsi="仿宋" w:eastAsia="仿宋"/>
          <w:color w:val="auto"/>
          <w:highlight w:val="none"/>
        </w:rPr>
        <w:t>供应商投诉的事项不得超出已质疑事项的范围，基于质疑答复内容提出的投诉事项除外。</w:t>
      </w:r>
    </w:p>
    <w:p w14:paraId="246739BB">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ascii="仿宋" w:hAnsi="仿宋" w:eastAsia="仿宋"/>
          <w:color w:val="auto"/>
          <w:highlight w:val="none"/>
        </w:rPr>
        <w:t>4.</w:t>
      </w:r>
      <w:r>
        <w:rPr>
          <w:rFonts w:hint="eastAsia" w:ascii="仿宋" w:hAnsi="仿宋" w:eastAsia="仿宋"/>
          <w:color w:val="auto"/>
          <w:highlight w:val="none"/>
          <w:lang w:val="en-US" w:eastAsia="zh-CN"/>
        </w:rPr>
        <w:t>4</w:t>
      </w:r>
      <w:r>
        <w:rPr>
          <w:rFonts w:ascii="仿宋" w:hAnsi="仿宋" w:eastAsia="仿宋"/>
          <w:color w:val="auto"/>
          <w:highlight w:val="none"/>
        </w:rPr>
        <w:t>.3供应</w:t>
      </w:r>
      <w:r>
        <w:rPr>
          <w:rFonts w:hint="eastAsia" w:ascii="仿宋" w:hAnsi="仿宋" w:eastAsia="仿宋"/>
          <w:color w:val="auto"/>
          <w:highlight w:val="none"/>
        </w:rPr>
        <w:t>商投诉应当有明确的请求和必要的证明材料。</w:t>
      </w:r>
    </w:p>
    <w:p w14:paraId="2EEEA7A0">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ascii="仿宋" w:hAnsi="仿宋" w:eastAsia="仿宋"/>
          <w:color w:val="auto"/>
          <w:highlight w:val="none"/>
        </w:rPr>
        <w:t>4.</w:t>
      </w:r>
      <w:r>
        <w:rPr>
          <w:rFonts w:hint="eastAsia" w:ascii="仿宋" w:hAnsi="仿宋" w:eastAsia="仿宋"/>
          <w:color w:val="auto"/>
          <w:highlight w:val="none"/>
          <w:lang w:val="en-US" w:eastAsia="zh-CN"/>
        </w:rPr>
        <w:t>4</w:t>
      </w:r>
      <w:r>
        <w:rPr>
          <w:rFonts w:ascii="仿宋" w:hAnsi="仿宋" w:eastAsia="仿宋"/>
          <w:color w:val="auto"/>
          <w:highlight w:val="none"/>
        </w:rPr>
        <w:t>.</w:t>
      </w:r>
      <w:r>
        <w:rPr>
          <w:rFonts w:hint="eastAsia" w:ascii="仿宋" w:hAnsi="仿宋" w:eastAsia="仿宋"/>
          <w:color w:val="auto"/>
          <w:highlight w:val="none"/>
        </w:rPr>
        <w:t>4以联合体形式参加政府采购活动的，其投诉应当由组成联合体的所有供应商共同提出。</w:t>
      </w:r>
    </w:p>
    <w:p w14:paraId="1AC38398">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hint="eastAsia" w:ascii="仿宋" w:hAnsi="仿宋" w:eastAsia="仿宋"/>
          <w:color w:val="auto"/>
          <w:highlight w:val="none"/>
        </w:rPr>
        <w:t>投诉书范本及制作说明详见附件</w:t>
      </w:r>
      <w:r>
        <w:rPr>
          <w:rFonts w:ascii="仿宋" w:hAnsi="仿宋" w:eastAsia="仿宋"/>
          <w:color w:val="auto"/>
          <w:highlight w:val="none"/>
        </w:rPr>
        <w:t>3。</w:t>
      </w:r>
    </w:p>
    <w:p w14:paraId="7AE47E27">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hint="eastAsia" w:ascii="仿宋" w:hAnsi="仿宋" w:eastAsia="仿宋"/>
          <w:color w:val="auto"/>
          <w:highlight w:val="none"/>
        </w:rPr>
        <w:t>4.</w:t>
      </w:r>
      <w:r>
        <w:rPr>
          <w:rFonts w:hint="eastAsia" w:ascii="仿宋" w:hAnsi="仿宋" w:eastAsia="仿宋"/>
          <w:color w:val="auto"/>
          <w:highlight w:val="none"/>
          <w:lang w:val="en-US" w:eastAsia="zh-CN"/>
        </w:rPr>
        <w:t>5</w:t>
      </w:r>
      <w:r>
        <w:rPr>
          <w:rFonts w:hint="eastAsia" w:ascii="仿宋" w:hAnsi="仿宋" w:eastAsia="仿宋"/>
          <w:color w:val="auto"/>
          <w:highlight w:val="none"/>
        </w:rPr>
        <w:t>在线质疑、投诉。</w:t>
      </w:r>
    </w:p>
    <w:p w14:paraId="79038D85">
      <w:pPr>
        <w:pStyle w:val="720"/>
        <w:shd w:val="clear" w:color="auto" w:fill="FFFFFF"/>
        <w:snapToGrid w:val="0"/>
        <w:spacing w:after="240" w:afterAutospacing="0" w:line="360" w:lineRule="auto"/>
        <w:ind w:firstLine="518" w:firstLineChars="216"/>
        <w:contextualSpacing/>
        <w:rPr>
          <w:rFonts w:ascii="仿宋" w:hAnsi="仿宋" w:eastAsia="仿宋"/>
          <w:color w:val="auto"/>
          <w:highlight w:val="none"/>
        </w:rPr>
      </w:pPr>
      <w:r>
        <w:rPr>
          <w:rFonts w:hint="eastAsia" w:ascii="仿宋" w:hAnsi="仿宋" w:eastAsia="仿宋"/>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309715">
      <w:pPr>
        <w:adjustRightInd/>
        <w:spacing w:line="360" w:lineRule="auto"/>
        <w:jc w:val="center"/>
        <w:outlineLvl w:val="0"/>
        <w:rPr>
          <w:rFonts w:ascii="仿宋" w:hAnsi="仿宋" w:eastAsia="仿宋" w:cs="仿宋_GB2312"/>
          <w:b/>
          <w:color w:val="auto"/>
          <w:sz w:val="32"/>
          <w:szCs w:val="20"/>
          <w:highlight w:val="none"/>
        </w:rPr>
      </w:pPr>
      <w:bookmarkStart w:id="19" w:name="_Hlt74729768"/>
      <w:bookmarkEnd w:id="19"/>
      <w:bookmarkStart w:id="20" w:name="_Hlt74707468"/>
      <w:bookmarkEnd w:id="20"/>
      <w:bookmarkStart w:id="21" w:name="_Hlt68057669"/>
      <w:bookmarkEnd w:id="21"/>
      <w:bookmarkStart w:id="22" w:name="_Hlt68072990"/>
      <w:bookmarkEnd w:id="22"/>
      <w:bookmarkStart w:id="23" w:name="_Hlt75236290"/>
      <w:bookmarkEnd w:id="23"/>
      <w:bookmarkStart w:id="24" w:name="_Toc91899879"/>
      <w:r>
        <w:rPr>
          <w:rFonts w:hint="eastAsia" w:ascii="仿宋" w:hAnsi="仿宋" w:eastAsia="仿宋" w:cs="仿宋_GB2312"/>
          <w:b/>
          <w:color w:val="auto"/>
          <w:sz w:val="32"/>
          <w:szCs w:val="20"/>
          <w:highlight w:val="none"/>
        </w:rPr>
        <w:t>二、征集文件</w:t>
      </w:r>
      <w:bookmarkEnd w:id="24"/>
      <w:r>
        <w:rPr>
          <w:rFonts w:hint="eastAsia" w:ascii="仿宋" w:hAnsi="仿宋" w:eastAsia="仿宋" w:cs="仿宋_GB2312"/>
          <w:b/>
          <w:color w:val="auto"/>
          <w:sz w:val="32"/>
          <w:szCs w:val="20"/>
          <w:highlight w:val="none"/>
        </w:rPr>
        <w:t>的构成、澄清、修改</w:t>
      </w:r>
    </w:p>
    <w:p w14:paraId="4ED0C492">
      <w:pPr>
        <w:pStyle w:val="28"/>
        <w:spacing w:line="360" w:lineRule="auto"/>
        <w:rPr>
          <w:rFonts w:ascii="仿宋" w:hAnsi="仿宋" w:eastAsia="仿宋" w:cs="仿宋_GB2312"/>
          <w:b/>
          <w:color w:val="auto"/>
          <w:sz w:val="24"/>
          <w:szCs w:val="24"/>
          <w:highlight w:val="none"/>
        </w:rPr>
      </w:pPr>
      <w:bookmarkStart w:id="25" w:name="_Toc91899880"/>
      <w:bookmarkStart w:id="26" w:name="_Hlt74730307"/>
      <w:r>
        <w:rPr>
          <w:rFonts w:hint="eastAsia" w:ascii="仿宋" w:hAnsi="仿宋" w:eastAsia="仿宋" w:cs="仿宋_GB2312"/>
          <w:b/>
          <w:color w:val="auto"/>
          <w:sz w:val="24"/>
          <w:szCs w:val="24"/>
          <w:highlight w:val="none"/>
        </w:rPr>
        <w:t>5．征集文件的构成</w:t>
      </w:r>
      <w:bookmarkEnd w:id="25"/>
    </w:p>
    <w:bookmarkEnd w:id="26"/>
    <w:p w14:paraId="09C2A3D6">
      <w:pPr>
        <w:pStyle w:val="28"/>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5.1 征集文件包括下列文件及附件</w:t>
      </w:r>
    </w:p>
    <w:p w14:paraId="5554B3AB">
      <w:pPr>
        <w:pStyle w:val="2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第一部分征集公告</w:t>
      </w:r>
    </w:p>
    <w:p w14:paraId="2681523D">
      <w:pPr>
        <w:pStyle w:val="2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第二部分供应商须知</w:t>
      </w:r>
    </w:p>
    <w:p w14:paraId="5F56E536">
      <w:pPr>
        <w:pStyle w:val="2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第三部分采购需求</w:t>
      </w:r>
    </w:p>
    <w:p w14:paraId="09758D6B">
      <w:pPr>
        <w:pStyle w:val="2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第四部分评标方法</w:t>
      </w:r>
    </w:p>
    <w:p w14:paraId="54E0977C">
      <w:pPr>
        <w:pStyle w:val="2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第五部分</w:t>
      </w:r>
      <w:r>
        <w:rPr>
          <w:rFonts w:hint="eastAsia" w:ascii="仿宋" w:hAnsi="仿宋" w:eastAsia="仿宋" w:cs="仿宋_GB2312"/>
          <w:color w:val="auto"/>
          <w:sz w:val="24"/>
          <w:szCs w:val="24"/>
          <w:highlight w:val="none"/>
          <w:lang w:eastAsia="zh-CN"/>
        </w:rPr>
        <w:t>拟签订的框架协议文本和采购合同文本</w:t>
      </w:r>
    </w:p>
    <w:p w14:paraId="2C40E3BD">
      <w:pPr>
        <w:pStyle w:val="28"/>
        <w:numPr>
          <w:ilvl w:val="0"/>
          <w:numId w:val="2"/>
        </w:numPr>
        <w:spacing w:line="360" w:lineRule="auto"/>
        <w:ind w:left="839"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第六部分应提交的有关格式范例</w:t>
      </w:r>
    </w:p>
    <w:p w14:paraId="189A5AF0">
      <w:pPr>
        <w:spacing w:line="360" w:lineRule="auto"/>
        <w:ind w:firstLine="480" w:firstLineChars="200"/>
        <w:rPr>
          <w:rFonts w:ascii="仿宋" w:hAnsi="仿宋" w:eastAsia="仿宋" w:cs="仿宋_GB2312"/>
          <w:color w:val="auto"/>
          <w:sz w:val="24"/>
          <w:highlight w:val="none"/>
        </w:rPr>
      </w:pPr>
      <w:r>
        <w:rPr>
          <w:rFonts w:hint="eastAsia" w:ascii="仿宋" w:hAnsi="仿宋" w:eastAsia="仿宋"/>
          <w:color w:val="auto"/>
          <w:sz w:val="24"/>
          <w:highlight w:val="none"/>
        </w:rPr>
        <w:t>5.2与本项目有关的</w:t>
      </w:r>
      <w:r>
        <w:rPr>
          <w:rFonts w:hint="eastAsia" w:ascii="仿宋" w:hAnsi="仿宋" w:eastAsia="仿宋"/>
          <w:bCs/>
          <w:color w:val="auto"/>
          <w:sz w:val="24"/>
          <w:highlight w:val="none"/>
        </w:rPr>
        <w:t>澄清或者修改的内容为征集文件的组成部分</w:t>
      </w:r>
      <w:r>
        <w:rPr>
          <w:rFonts w:hint="eastAsia" w:ascii="仿宋" w:hAnsi="仿宋" w:eastAsia="仿宋" w:cs="仿宋_GB2312"/>
          <w:color w:val="auto"/>
          <w:sz w:val="24"/>
          <w:highlight w:val="none"/>
        </w:rPr>
        <w:t>。</w:t>
      </w:r>
    </w:p>
    <w:p w14:paraId="4AF4A61C">
      <w:pPr>
        <w:pStyle w:val="28"/>
        <w:spacing w:line="360" w:lineRule="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6. 征集文件的澄清、修改</w:t>
      </w:r>
    </w:p>
    <w:p w14:paraId="6485D536">
      <w:pPr>
        <w:pStyle w:val="9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6.1已获取征集文件的潜在供应商，若有问题需要澄清，应于投标截止时间前，以书面形式向采购代理机构提出。</w:t>
      </w:r>
    </w:p>
    <w:p w14:paraId="44A9AC91">
      <w:pPr>
        <w:pStyle w:val="97"/>
        <w:snapToGrid w:val="0"/>
        <w:spacing w:before="0"/>
        <w:ind w:firstLine="480"/>
        <w:rPr>
          <w:rFonts w:ascii="仿宋" w:hAnsi="仿宋" w:eastAsia="仿宋"/>
          <w:color w:val="auto"/>
          <w:highlight w:val="none"/>
        </w:rPr>
      </w:pPr>
      <w:r>
        <w:rPr>
          <w:rFonts w:hint="eastAsia" w:ascii="仿宋" w:hAnsi="仿宋" w:eastAsia="仿宋"/>
          <w:color w:val="auto"/>
          <w:highlight w:val="none"/>
        </w:rPr>
        <w:t>6.2 采购代理机构对征集文件进行澄清或修改的，将同时通过电子交易平台通知已获取征集文件的潜在供应商。依法应当公告的，将按规定公告，同时视情况延长投标截止时间和开标时间。该澄清或者修改的内容为征集文件的组成部分。</w:t>
      </w:r>
    </w:p>
    <w:p w14:paraId="03655655">
      <w:pPr>
        <w:pStyle w:val="20"/>
        <w:rPr>
          <w:rFonts w:ascii="仿宋" w:hAnsi="仿宋" w:eastAsia="仿宋" w:cs="仿宋_GB2312"/>
          <w:color w:val="auto"/>
          <w:sz w:val="18"/>
          <w:szCs w:val="18"/>
          <w:highlight w:val="none"/>
          <w:lang w:val="en-US"/>
        </w:rPr>
      </w:pPr>
    </w:p>
    <w:p w14:paraId="74535231">
      <w:pPr>
        <w:adjustRightInd/>
        <w:spacing w:line="360" w:lineRule="auto"/>
        <w:jc w:val="center"/>
        <w:outlineLvl w:val="0"/>
        <w:rPr>
          <w:rFonts w:ascii="仿宋" w:hAnsi="仿宋" w:eastAsia="仿宋" w:cs="仿宋_GB2312"/>
          <w:b/>
          <w:color w:val="auto"/>
          <w:sz w:val="30"/>
          <w:szCs w:val="20"/>
          <w:highlight w:val="none"/>
        </w:rPr>
      </w:pPr>
      <w:bookmarkStart w:id="27" w:name="_Hlt75236011"/>
      <w:bookmarkEnd w:id="27"/>
      <w:bookmarkStart w:id="28" w:name="_Toc91899884"/>
      <w:r>
        <w:rPr>
          <w:rFonts w:hint="eastAsia" w:ascii="仿宋" w:hAnsi="仿宋" w:eastAsia="仿宋" w:cs="仿宋_GB2312"/>
          <w:b/>
          <w:color w:val="auto"/>
          <w:sz w:val="30"/>
          <w:szCs w:val="20"/>
          <w:highlight w:val="none"/>
        </w:rPr>
        <w:t>三、投标</w:t>
      </w:r>
      <w:bookmarkEnd w:id="28"/>
    </w:p>
    <w:p w14:paraId="220805EC">
      <w:pPr>
        <w:pStyle w:val="28"/>
        <w:spacing w:line="360" w:lineRule="auto"/>
        <w:rPr>
          <w:rFonts w:ascii="仿宋" w:hAnsi="仿宋" w:eastAsia="仿宋" w:cs="仿宋_GB2312"/>
          <w:b/>
          <w:color w:val="auto"/>
          <w:sz w:val="24"/>
          <w:szCs w:val="24"/>
          <w:highlight w:val="none"/>
        </w:rPr>
      </w:pPr>
      <w:bookmarkStart w:id="29" w:name="_Toc91899892"/>
      <w:bookmarkStart w:id="30" w:name="_Toc86216991"/>
      <w:r>
        <w:rPr>
          <w:rFonts w:hint="eastAsia" w:ascii="仿宋" w:hAnsi="仿宋" w:eastAsia="仿宋" w:cs="仿宋_GB2312"/>
          <w:b/>
          <w:color w:val="auto"/>
          <w:sz w:val="24"/>
          <w:szCs w:val="24"/>
          <w:highlight w:val="none"/>
        </w:rPr>
        <w:t>7. 征集文件的获取</w:t>
      </w:r>
    </w:p>
    <w:p w14:paraId="60570D67">
      <w:pPr>
        <w:spacing w:line="360" w:lineRule="auto"/>
        <w:ind w:firstLine="480" w:firstLineChars="200"/>
        <w:rPr>
          <w:rFonts w:ascii="仿宋" w:hAnsi="仿宋" w:eastAsia="仿宋" w:cs="仿宋_GB2312"/>
          <w:snapToGrid w:val="0"/>
          <w:color w:val="auto"/>
          <w:kern w:val="28"/>
          <w:sz w:val="24"/>
          <w:highlight w:val="none"/>
        </w:rPr>
      </w:pPr>
      <w:r>
        <w:rPr>
          <w:rFonts w:hint="eastAsia" w:ascii="仿宋" w:hAnsi="仿宋" w:eastAsia="仿宋" w:cs="仿宋_GB2312"/>
          <w:snapToGrid w:val="0"/>
          <w:color w:val="auto"/>
          <w:kern w:val="28"/>
          <w:sz w:val="24"/>
          <w:highlight w:val="none"/>
        </w:rPr>
        <w:t>详见征集公告中获取征集文件的时间期限、地点、方式及征集文件售价。</w:t>
      </w:r>
    </w:p>
    <w:p w14:paraId="46BF2A9F">
      <w:pPr>
        <w:pStyle w:val="28"/>
        <w:spacing w:line="360" w:lineRule="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8.开标前答疑会或现场考察</w:t>
      </w:r>
    </w:p>
    <w:p w14:paraId="2E5D91D0">
      <w:pPr>
        <w:pStyle w:val="28"/>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征集人组织潜在供应商现场考察或者召开开标前答疑会的，潜在供应商按前附表的规定参加现场考察或者开标前答疑会。</w:t>
      </w:r>
    </w:p>
    <w:p w14:paraId="5B8CF128">
      <w:pPr>
        <w:pStyle w:val="28"/>
        <w:spacing w:line="360" w:lineRule="auto"/>
        <w:rPr>
          <w:rFonts w:ascii="仿宋" w:hAnsi="仿宋" w:eastAsia="仿宋" w:cs="仿宋_GB2312"/>
          <w:b/>
          <w:color w:val="auto"/>
          <w:szCs w:val="24"/>
          <w:highlight w:val="none"/>
        </w:rPr>
      </w:pPr>
      <w:r>
        <w:rPr>
          <w:rFonts w:hint="eastAsia" w:ascii="仿宋" w:hAnsi="仿宋" w:eastAsia="仿宋"/>
          <w:b/>
          <w:color w:val="auto"/>
          <w:kern w:val="28"/>
          <w:sz w:val="24"/>
          <w:szCs w:val="24"/>
          <w:highlight w:val="none"/>
        </w:rPr>
        <w:t>9.投标保证金</w:t>
      </w:r>
    </w:p>
    <w:p w14:paraId="44C0B621">
      <w:pPr>
        <w:pStyle w:val="13"/>
        <w:spacing w:line="360" w:lineRule="auto"/>
        <w:ind w:firstLine="470" w:firstLineChars="196"/>
        <w:rPr>
          <w:rFonts w:ascii="仿宋" w:hAnsi="仿宋" w:eastAsia="仿宋" w:cs="仿宋_GB2312"/>
          <w:color w:val="auto"/>
          <w:sz w:val="24"/>
          <w:highlight w:val="none"/>
        </w:rPr>
      </w:pPr>
      <w:r>
        <w:rPr>
          <w:rFonts w:hint="eastAsia" w:ascii="仿宋" w:hAnsi="仿宋" w:eastAsia="仿宋" w:cs="仿宋_GB2312"/>
          <w:color w:val="auto"/>
          <w:sz w:val="24"/>
          <w:highlight w:val="none"/>
        </w:rPr>
        <w:t>本项目不需要</w:t>
      </w:r>
      <w:r>
        <w:rPr>
          <w:rFonts w:hint="eastAsia" w:ascii="仿宋" w:hAnsi="仿宋" w:eastAsia="仿宋" w:cs="仿宋_GB2312"/>
          <w:color w:val="auto"/>
          <w:sz w:val="24"/>
          <w:highlight w:val="none"/>
          <w:lang w:eastAsia="zh-CN"/>
        </w:rPr>
        <w:t>缴纳</w:t>
      </w:r>
      <w:r>
        <w:rPr>
          <w:rFonts w:hint="eastAsia" w:ascii="仿宋" w:hAnsi="仿宋" w:eastAsia="仿宋" w:cs="仿宋_GB2312"/>
          <w:color w:val="auto"/>
          <w:sz w:val="24"/>
          <w:highlight w:val="none"/>
        </w:rPr>
        <w:t>投标保证金。</w:t>
      </w:r>
    </w:p>
    <w:p w14:paraId="7AB38461">
      <w:pPr>
        <w:pStyle w:val="28"/>
        <w:spacing w:line="360" w:lineRule="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10. 响应文件的语言</w:t>
      </w:r>
    </w:p>
    <w:p w14:paraId="3A53F482">
      <w:pPr>
        <w:autoSpaceDE w:val="0"/>
        <w:autoSpaceDN w:val="0"/>
        <w:spacing w:line="360" w:lineRule="auto"/>
        <w:ind w:firstLine="480" w:firstLineChars="200"/>
        <w:rPr>
          <w:rFonts w:ascii="仿宋" w:hAnsi="仿宋" w:eastAsia="仿宋" w:cs="仿宋_GB2312"/>
          <w:color w:val="auto"/>
          <w:sz w:val="24"/>
          <w:highlight w:val="none"/>
          <w:lang w:val="zh-CN"/>
        </w:rPr>
      </w:pPr>
      <w:r>
        <w:rPr>
          <w:rFonts w:hint="eastAsia" w:ascii="仿宋" w:hAnsi="仿宋" w:eastAsia="仿宋" w:cs="仿宋_GB2312"/>
          <w:color w:val="auto"/>
          <w:sz w:val="24"/>
          <w:highlight w:val="none"/>
        </w:rPr>
        <w:t>响应文件及供应商与采购有关的来往通知、函件和文件均应使用中文。</w:t>
      </w:r>
    </w:p>
    <w:p w14:paraId="3F83DA3F">
      <w:pPr>
        <w:pStyle w:val="28"/>
        <w:spacing w:line="360" w:lineRule="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11. 响应文件的组成</w:t>
      </w:r>
    </w:p>
    <w:p w14:paraId="67A0BF78">
      <w:pPr>
        <w:snapToGrid w:val="0"/>
        <w:spacing w:line="360" w:lineRule="auto"/>
        <w:ind w:firstLine="482" w:firstLineChars="200"/>
        <w:rPr>
          <w:rFonts w:ascii="仿宋" w:hAnsi="仿宋" w:eastAsia="仿宋" w:cs="仿宋_GB2312"/>
          <w:b/>
          <w:color w:val="auto"/>
          <w:sz w:val="24"/>
          <w:highlight w:val="none"/>
        </w:rPr>
      </w:pPr>
      <w:r>
        <w:rPr>
          <w:rFonts w:ascii="仿宋" w:hAnsi="仿宋" w:eastAsia="仿宋" w:cs="仿宋_GB2312"/>
          <w:b/>
          <w:color w:val="auto"/>
          <w:sz w:val="24"/>
          <w:highlight w:val="none"/>
        </w:rPr>
        <w:t>11.1</w:t>
      </w:r>
      <w:r>
        <w:rPr>
          <w:rFonts w:hint="eastAsia" w:ascii="仿宋" w:hAnsi="仿宋" w:eastAsia="仿宋" w:cs="仿宋_GB2312"/>
          <w:b/>
          <w:color w:val="auto"/>
          <w:sz w:val="24"/>
          <w:highlight w:val="none"/>
        </w:rPr>
        <w:t>资格文件：</w:t>
      </w:r>
    </w:p>
    <w:p w14:paraId="472ED23B">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11.1.1符合参加政府采购活动应当具备的一般条件的承诺函；</w:t>
      </w:r>
    </w:p>
    <w:p w14:paraId="5F9F074C">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1.1.2</w:t>
      </w:r>
      <w:bookmarkStart w:id="31" w:name="_Hlk101259339"/>
      <w:r>
        <w:rPr>
          <w:rFonts w:hint="eastAsia" w:ascii="仿宋" w:hAnsi="仿宋" w:eastAsia="仿宋" w:cs="仿宋_GB2312"/>
          <w:color w:val="auto"/>
          <w:sz w:val="24"/>
          <w:highlight w:val="none"/>
        </w:rPr>
        <w:t>联合协议</w:t>
      </w:r>
      <w:bookmarkStart w:id="32" w:name="_Hlk101257010"/>
      <w:r>
        <w:rPr>
          <w:rFonts w:hint="eastAsia" w:ascii="仿宋" w:hAnsi="仿宋" w:eastAsia="仿宋" w:cs="仿宋_GB2312"/>
          <w:color w:val="auto"/>
          <w:sz w:val="24"/>
          <w:highlight w:val="none"/>
        </w:rPr>
        <w:t>（如果有)</w:t>
      </w:r>
      <w:bookmarkEnd w:id="31"/>
      <w:bookmarkEnd w:id="32"/>
      <w:r>
        <w:rPr>
          <w:rFonts w:hint="eastAsia" w:ascii="仿宋" w:hAnsi="仿宋" w:eastAsia="仿宋" w:cs="仿宋_GB2312"/>
          <w:color w:val="auto"/>
          <w:sz w:val="24"/>
          <w:highlight w:val="none"/>
        </w:rPr>
        <w:t>；</w:t>
      </w:r>
    </w:p>
    <w:p w14:paraId="62B0C1C1">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落实政府采购政策需满足的资格要求（如果有）；</w:t>
      </w:r>
    </w:p>
    <w:p w14:paraId="38A5F95F">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11.1.</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本项目的特定资格要求（如果有）。</w:t>
      </w:r>
    </w:p>
    <w:p w14:paraId="7277AA4E">
      <w:pPr>
        <w:snapToGrid w:val="0"/>
        <w:spacing w:line="360" w:lineRule="auto"/>
        <w:ind w:firstLine="482" w:firstLineChars="200"/>
        <w:rPr>
          <w:rFonts w:ascii="仿宋" w:hAnsi="仿宋" w:eastAsia="仿宋" w:cs="仿宋_GB2312"/>
          <w:b/>
          <w:color w:val="auto"/>
          <w:sz w:val="24"/>
          <w:highlight w:val="none"/>
          <w:lang w:val="zh-CN"/>
        </w:rPr>
      </w:pPr>
      <w:r>
        <w:rPr>
          <w:rFonts w:ascii="仿宋" w:hAnsi="仿宋" w:eastAsia="仿宋" w:cs="仿宋_GB2312"/>
          <w:b/>
          <w:color w:val="auto"/>
          <w:sz w:val="24"/>
          <w:highlight w:val="none"/>
          <w:lang w:val="zh-CN"/>
        </w:rPr>
        <w:t>11.</w:t>
      </w: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商务技术</w:t>
      </w:r>
      <w:r>
        <w:rPr>
          <w:rFonts w:hint="eastAsia" w:ascii="仿宋" w:hAnsi="仿宋" w:eastAsia="仿宋" w:cs="仿宋_GB2312"/>
          <w:b/>
          <w:color w:val="auto"/>
          <w:sz w:val="24"/>
          <w:highlight w:val="none"/>
          <w:lang w:val="zh-CN"/>
        </w:rPr>
        <w:t>文件：</w:t>
      </w:r>
    </w:p>
    <w:p w14:paraId="741027D0">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11.2.1投标函；</w:t>
      </w:r>
    </w:p>
    <w:p w14:paraId="3D4235FE">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11.2.2授权委托书或法定代表人（单位负责人、自然人本人）身份证明；</w:t>
      </w:r>
    </w:p>
    <w:p w14:paraId="32FADCAE">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分包意向协议（如果有）；</w:t>
      </w:r>
    </w:p>
    <w:p w14:paraId="4E51361B">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符合性审查资料；</w:t>
      </w:r>
    </w:p>
    <w:p w14:paraId="53C9964C">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评标标准相应的商务技术资料；</w:t>
      </w:r>
    </w:p>
    <w:p w14:paraId="2520F7F6">
      <w:pPr>
        <w:snapToGrid w:val="0"/>
        <w:spacing w:line="360" w:lineRule="auto"/>
        <w:ind w:firstLine="960" w:firstLineChars="400"/>
        <w:rPr>
          <w:rFonts w:ascii="仿宋" w:hAnsi="仿宋" w:eastAsia="仿宋" w:cs="仿宋_GB2312"/>
          <w:color w:val="auto"/>
          <w:sz w:val="24"/>
          <w:highlight w:val="none"/>
        </w:rPr>
      </w:pPr>
      <w:r>
        <w:rPr>
          <w:rFonts w:hint="eastAsia" w:ascii="仿宋" w:hAnsi="仿宋" w:eastAsia="仿宋" w:cs="仿宋_GB2312"/>
          <w:color w:val="auto"/>
          <w:sz w:val="24"/>
          <w:highlight w:val="none"/>
        </w:rPr>
        <w:t>11.2.</w:t>
      </w: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投标标的清单（如果有）；</w:t>
      </w:r>
    </w:p>
    <w:p w14:paraId="721ABA95">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11.2.</w:t>
      </w:r>
      <w:r>
        <w:rPr>
          <w:rFonts w:hint="eastAsia" w:ascii="仿宋" w:hAnsi="仿宋" w:eastAsia="仿宋" w:cs="仿宋_GB2312"/>
          <w:color w:val="auto"/>
          <w:sz w:val="24"/>
          <w:highlight w:val="none"/>
        </w:rPr>
        <w:t>7</w:t>
      </w:r>
      <w:r>
        <w:rPr>
          <w:rFonts w:ascii="仿宋" w:hAnsi="仿宋" w:eastAsia="仿宋" w:cs="仿宋_GB2312"/>
          <w:color w:val="auto"/>
          <w:sz w:val="24"/>
          <w:highlight w:val="none"/>
        </w:rPr>
        <w:t>商务技术偏离表；</w:t>
      </w:r>
    </w:p>
    <w:p w14:paraId="73CC1711">
      <w:pPr>
        <w:snapToGrid w:val="0"/>
        <w:spacing w:line="360" w:lineRule="auto"/>
        <w:ind w:firstLine="960" w:firstLineChars="400"/>
        <w:rPr>
          <w:rFonts w:hint="eastAsia" w:ascii="仿宋" w:hAnsi="仿宋" w:eastAsia="仿宋" w:cs="仿宋_GB2312"/>
          <w:color w:val="auto"/>
          <w:sz w:val="24"/>
          <w:highlight w:val="none"/>
          <w:lang w:val="zh-CN"/>
        </w:rPr>
      </w:pPr>
      <w:r>
        <w:rPr>
          <w:rFonts w:ascii="仿宋" w:hAnsi="仿宋" w:eastAsia="仿宋" w:cs="仿宋_GB2312"/>
          <w:color w:val="auto"/>
          <w:sz w:val="24"/>
          <w:highlight w:val="none"/>
          <w:lang w:val="zh-CN"/>
        </w:rPr>
        <w:t>11.</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hint="eastAsia"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14:paraId="69FF1BB6">
      <w:pPr>
        <w:snapToGrid w:val="0"/>
        <w:spacing w:line="360" w:lineRule="auto"/>
        <w:ind w:firstLine="482" w:firstLineChars="200"/>
        <w:rPr>
          <w:rFonts w:ascii="仿宋" w:hAnsi="仿宋" w:eastAsia="仿宋" w:cs="仿宋_GB2312"/>
          <w:b/>
          <w:color w:val="auto"/>
          <w:sz w:val="24"/>
          <w:highlight w:val="none"/>
          <w:u w:val="single"/>
          <w:lang w:val="zh-CN"/>
        </w:rPr>
      </w:pPr>
      <w:r>
        <w:rPr>
          <w:rFonts w:ascii="仿宋" w:hAnsi="仿宋" w:eastAsia="仿宋" w:cs="仿宋_GB2312"/>
          <w:b/>
          <w:color w:val="auto"/>
          <w:kern w:val="0"/>
          <w:sz w:val="24"/>
          <w:highlight w:val="none"/>
          <w:lang w:val="zh-CN"/>
        </w:rPr>
        <w:t>11.</w:t>
      </w:r>
      <w:r>
        <w:rPr>
          <w:rFonts w:ascii="仿宋" w:hAnsi="仿宋" w:eastAsia="仿宋" w:cs="仿宋_GB2312"/>
          <w:b/>
          <w:color w:val="auto"/>
          <w:kern w:val="0"/>
          <w:sz w:val="24"/>
          <w:highlight w:val="none"/>
        </w:rPr>
        <w:t>3</w:t>
      </w:r>
      <w:r>
        <w:rPr>
          <w:rFonts w:hint="eastAsia" w:ascii="仿宋" w:hAnsi="仿宋" w:eastAsia="仿宋" w:cs="仿宋_GB2312"/>
          <w:b/>
          <w:color w:val="auto"/>
          <w:sz w:val="24"/>
          <w:highlight w:val="none"/>
        </w:rPr>
        <w:t>报价文件：</w:t>
      </w:r>
    </w:p>
    <w:p w14:paraId="661685FD">
      <w:pPr>
        <w:snapToGrid w:val="0"/>
        <w:spacing w:line="360" w:lineRule="auto"/>
        <w:ind w:firstLine="960" w:firstLineChars="400"/>
        <w:rPr>
          <w:rFonts w:ascii="仿宋" w:hAnsi="仿宋" w:eastAsia="仿宋" w:cs="仿宋_GB2312"/>
          <w:color w:val="auto"/>
          <w:sz w:val="24"/>
          <w:highlight w:val="none"/>
        </w:rPr>
      </w:pPr>
      <w:r>
        <w:rPr>
          <w:rFonts w:ascii="仿宋" w:hAnsi="仿宋" w:eastAsia="仿宋" w:cs="仿宋_GB2312"/>
          <w:color w:val="auto"/>
          <w:sz w:val="24"/>
          <w:highlight w:val="none"/>
        </w:rPr>
        <w:t>11.3.1</w:t>
      </w:r>
      <w:r>
        <w:rPr>
          <w:rFonts w:hint="eastAsia" w:ascii="仿宋" w:hAnsi="仿宋" w:eastAsia="仿宋" w:cs="仿宋_GB2312"/>
          <w:color w:val="auto"/>
          <w:sz w:val="24"/>
          <w:highlight w:val="none"/>
          <w:lang w:val="zh-CN"/>
        </w:rPr>
        <w:t>投标</w:t>
      </w:r>
      <w:r>
        <w:rPr>
          <w:rFonts w:ascii="仿宋" w:hAnsi="仿宋" w:eastAsia="仿宋" w:cs="仿宋_GB2312"/>
          <w:color w:val="auto"/>
          <w:sz w:val="24"/>
          <w:highlight w:val="none"/>
          <w:lang w:val="zh-CN"/>
        </w:rPr>
        <w:t>(开标)一览表</w:t>
      </w:r>
      <w:r>
        <w:rPr>
          <w:rFonts w:ascii="仿宋" w:hAnsi="仿宋" w:eastAsia="仿宋" w:cs="仿宋_GB2312"/>
          <w:color w:val="auto"/>
          <w:sz w:val="24"/>
          <w:highlight w:val="none"/>
        </w:rPr>
        <w:t>；</w:t>
      </w:r>
    </w:p>
    <w:p w14:paraId="7D650B94">
      <w:pPr>
        <w:snapToGrid w:val="0"/>
        <w:spacing w:line="360" w:lineRule="auto"/>
        <w:ind w:firstLine="960" w:firstLineChars="400"/>
        <w:rPr>
          <w:rFonts w:hint="eastAsia" w:ascii="仿宋" w:hAnsi="仿宋" w:eastAsia="仿宋" w:cs="仿宋_GB2312"/>
          <w:color w:val="auto"/>
          <w:sz w:val="24"/>
          <w:highlight w:val="none"/>
          <w:lang w:eastAsia="zh-CN"/>
        </w:rPr>
      </w:pPr>
      <w:r>
        <w:rPr>
          <w:rFonts w:ascii="仿宋" w:hAnsi="仿宋" w:eastAsia="仿宋" w:cs="仿宋_GB2312"/>
          <w:color w:val="auto"/>
          <w:sz w:val="24"/>
          <w:highlight w:val="none"/>
        </w:rPr>
        <w:t>11.3.2中小企业声明函</w:t>
      </w:r>
      <w:r>
        <w:rPr>
          <w:rFonts w:hint="eastAsia" w:ascii="仿宋" w:hAnsi="仿宋" w:eastAsia="仿宋" w:cs="仿宋_GB2312"/>
          <w:color w:val="auto"/>
          <w:sz w:val="24"/>
          <w:highlight w:val="none"/>
          <w:lang w:eastAsia="zh-CN"/>
        </w:rPr>
        <w:t>；</w:t>
      </w:r>
      <w:r>
        <w:rPr>
          <w:rFonts w:hint="eastAsia" w:ascii="仿宋" w:hAnsi="仿宋" w:eastAsia="仿宋" w:cs="仿宋_GB2312"/>
          <w:color w:val="auto"/>
          <w:sz w:val="24"/>
          <w:highlight w:val="none"/>
          <w:lang w:val="zh-CN"/>
        </w:rPr>
        <w:t>（如果有）</w:t>
      </w:r>
    </w:p>
    <w:p w14:paraId="1BF4C4F5">
      <w:pPr>
        <w:spacing w:line="360" w:lineRule="auto"/>
        <w:ind w:firstLine="723" w:firstLineChars="300"/>
        <w:rPr>
          <w:rFonts w:ascii="仿宋" w:hAnsi="仿宋" w:eastAsia="仿宋"/>
          <w:b/>
          <w:color w:val="auto"/>
          <w:sz w:val="24"/>
          <w:highlight w:val="none"/>
        </w:rPr>
      </w:pPr>
      <w:r>
        <w:rPr>
          <w:rFonts w:hint="eastAsia" w:ascii="仿宋" w:hAnsi="仿宋" w:eastAsia="仿宋"/>
          <w:b/>
          <w:color w:val="auto"/>
          <w:sz w:val="24"/>
          <w:highlight w:val="none"/>
        </w:rPr>
        <w:t>响应文件含有征集人不能接受的附加条件的，投标无效；</w:t>
      </w:r>
    </w:p>
    <w:p w14:paraId="1FE79322">
      <w:pPr>
        <w:spacing w:line="360" w:lineRule="auto"/>
        <w:ind w:firstLine="723" w:firstLineChars="300"/>
        <w:rPr>
          <w:rFonts w:ascii="仿宋" w:hAnsi="仿宋" w:eastAsia="仿宋" w:cs="仿宋_GB2312"/>
          <w:b/>
          <w:color w:val="auto"/>
          <w:sz w:val="24"/>
          <w:szCs w:val="21"/>
          <w:highlight w:val="none"/>
        </w:rPr>
      </w:pPr>
      <w:r>
        <w:rPr>
          <w:rFonts w:hint="eastAsia" w:ascii="仿宋" w:hAnsi="仿宋" w:eastAsia="仿宋"/>
          <w:b/>
          <w:color w:val="auto"/>
          <w:sz w:val="24"/>
          <w:highlight w:val="none"/>
        </w:rPr>
        <w:t>供应商提供虚假材料投标的，投标无效。</w:t>
      </w:r>
    </w:p>
    <w:p w14:paraId="233CC369">
      <w:pPr>
        <w:pStyle w:val="97"/>
        <w:snapToGrid w:val="0"/>
        <w:spacing w:before="0"/>
        <w:ind w:firstLine="0" w:firstLineChars="0"/>
        <w:outlineLvl w:val="0"/>
        <w:rPr>
          <w:rFonts w:ascii="仿宋" w:hAnsi="仿宋" w:eastAsia="仿宋" w:cs="仿宋_GB2312"/>
          <w:b/>
          <w:color w:val="auto"/>
          <w:szCs w:val="24"/>
          <w:highlight w:val="none"/>
        </w:rPr>
      </w:pPr>
      <w:bookmarkStart w:id="33" w:name="_Toc91899887"/>
      <w:r>
        <w:rPr>
          <w:rFonts w:hint="eastAsia" w:ascii="仿宋" w:hAnsi="仿宋" w:eastAsia="仿宋" w:cs="仿宋_GB2312"/>
          <w:b/>
          <w:color w:val="auto"/>
          <w:szCs w:val="24"/>
          <w:highlight w:val="none"/>
        </w:rPr>
        <w:t>12</w:t>
      </w:r>
      <w:r>
        <w:rPr>
          <w:rFonts w:hint="eastAsia" w:ascii="仿宋" w:hAnsi="仿宋" w:eastAsia="仿宋" w:cs="仿宋_GB2312"/>
          <w:b/>
          <w:color w:val="auto"/>
          <w:kern w:val="0"/>
          <w:szCs w:val="24"/>
          <w:highlight w:val="none"/>
          <w:lang w:val="zh-CN"/>
        </w:rPr>
        <w:t xml:space="preserve">. </w:t>
      </w:r>
      <w:r>
        <w:rPr>
          <w:rFonts w:hint="eastAsia" w:ascii="仿宋" w:hAnsi="仿宋" w:eastAsia="仿宋" w:cs="仿宋_GB2312"/>
          <w:b/>
          <w:color w:val="auto"/>
          <w:szCs w:val="24"/>
          <w:highlight w:val="none"/>
        </w:rPr>
        <w:t>响应文件的编制</w:t>
      </w:r>
    </w:p>
    <w:p w14:paraId="0F12B57B">
      <w:pPr>
        <w:spacing w:line="360" w:lineRule="auto"/>
        <w:ind w:firstLine="480" w:firstLineChars="200"/>
        <w:rPr>
          <w:rFonts w:ascii="仿宋" w:hAnsi="仿宋" w:eastAsia="仿宋" w:cs="仿宋_GB2312"/>
          <w:b/>
          <w:color w:val="auto"/>
          <w:sz w:val="24"/>
          <w:highlight w:val="none"/>
        </w:rPr>
      </w:pPr>
      <w:r>
        <w:rPr>
          <w:rFonts w:hint="eastAsia" w:ascii="仿宋" w:hAnsi="仿宋" w:eastAsia="仿宋" w:cs="仿宋_GB2312"/>
          <w:color w:val="auto"/>
          <w:kern w:val="0"/>
          <w:sz w:val="24"/>
          <w:highlight w:val="none"/>
          <w:lang w:val="zh-CN"/>
        </w:rPr>
        <w:t>12.1响应文件分为资格文件、商务技术文件、报价文件三部分。各供应商在编制响应文件时请按照征集文件第六部分规定的格式进行，混乱的编排导致响应文件被误读或评标委员会查找不到有效文件是供应商的风险。</w:t>
      </w:r>
    </w:p>
    <w:p w14:paraId="461F8B0B">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12.2供应商进行电子投标应安装客户端软件</w:t>
      </w:r>
      <w:r>
        <w:rPr>
          <w:rFonts w:ascii="仿宋" w:hAnsi="仿宋" w:eastAsia="仿宋" w:cs="仿宋_GB2312"/>
          <w:color w:val="auto"/>
          <w:kern w:val="0"/>
          <w:sz w:val="24"/>
          <w:highlight w:val="none"/>
          <w:lang w:val="zh-CN"/>
        </w:rPr>
        <w:t>—</w:t>
      </w:r>
      <w:r>
        <w:rPr>
          <w:rFonts w:hint="eastAsia" w:ascii="仿宋" w:hAnsi="仿宋" w:eastAsia="仿宋" w:cs="仿宋_GB2312"/>
          <w:color w:val="auto"/>
          <w:kern w:val="0"/>
          <w:sz w:val="24"/>
          <w:highlight w:val="none"/>
          <w:lang w:val="zh-CN"/>
        </w:rPr>
        <w:t>“政采云电子交易客户端”，并按照征集文件和电子交易平台的要求编制并加密响应文件。供应商未按规定加密的响应文件，电子交易平台将拒收并提示。</w:t>
      </w:r>
    </w:p>
    <w:p w14:paraId="1F11E52C">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12.3使用“政采云电子交易客户端”需要提前申领CA数字证书，申领流程请自行前往“浙江政府采购网-下载专区-电子交易客户端-CA驱动和申领流程”进行查阅。</w:t>
      </w:r>
    </w:p>
    <w:bookmarkEnd w:id="33"/>
    <w:p w14:paraId="4B638B3E">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13.响应文件的签署、盖章</w:t>
      </w:r>
    </w:p>
    <w:p w14:paraId="4F304A77">
      <w:pPr>
        <w:pStyle w:val="97"/>
        <w:snapToGrid w:val="0"/>
        <w:spacing w:before="0"/>
        <w:ind w:firstLine="480"/>
        <w:rPr>
          <w:rFonts w:ascii="仿宋" w:hAnsi="仿宋" w:eastAsia="仿宋" w:cs="仿宋_GB2312"/>
          <w:b/>
          <w:color w:val="auto"/>
          <w:highlight w:val="none"/>
        </w:rPr>
      </w:pPr>
      <w:r>
        <w:rPr>
          <w:rFonts w:hint="eastAsia" w:ascii="仿宋" w:hAnsi="仿宋" w:eastAsia="仿宋" w:cs="仿宋_GB2312"/>
          <w:color w:val="auto"/>
          <w:szCs w:val="24"/>
          <w:highlight w:val="none"/>
        </w:rPr>
        <w:t>13.1响应文件按照征集文件第六部分格式要</w:t>
      </w:r>
      <w:r>
        <w:rPr>
          <w:rFonts w:hint="eastAsia" w:ascii="仿宋" w:hAnsi="仿宋" w:eastAsia="仿宋" w:cs="仿宋_GB2312"/>
          <w:color w:val="auto"/>
          <w:highlight w:val="none"/>
        </w:rPr>
        <w:t>求进行签署、盖章。</w:t>
      </w:r>
      <w:r>
        <w:rPr>
          <w:rFonts w:hint="eastAsia" w:ascii="宋体" w:hAnsi="宋体" w:cs="宋体"/>
          <w:b/>
          <w:color w:val="auto"/>
          <w:highlight w:val="none"/>
        </w:rPr>
        <w:t>▲</w:t>
      </w:r>
      <w:r>
        <w:rPr>
          <w:rFonts w:hint="eastAsia" w:ascii="仿宋" w:hAnsi="仿宋" w:eastAsia="仿宋" w:cs="仿宋_GB2312"/>
          <w:b/>
          <w:color w:val="auto"/>
          <w:highlight w:val="none"/>
        </w:rPr>
        <w:t>供应商的响应文件未按照征集文件要求签署、盖章的，其投标无效</w:t>
      </w:r>
      <w:r>
        <w:rPr>
          <w:rFonts w:hint="eastAsia" w:ascii="仿宋" w:hAnsi="仿宋" w:eastAsia="仿宋" w:cs="仿宋_GB2312"/>
          <w:color w:val="auto"/>
          <w:szCs w:val="24"/>
          <w:highlight w:val="none"/>
        </w:rPr>
        <w:t>。</w:t>
      </w:r>
    </w:p>
    <w:p w14:paraId="3E12352A">
      <w:pPr>
        <w:pStyle w:val="97"/>
        <w:snapToGrid w:val="0"/>
        <w:spacing w:before="0"/>
        <w:ind w:firstLine="480"/>
        <w:rPr>
          <w:rFonts w:ascii="仿宋" w:hAnsi="仿宋" w:eastAsia="仿宋" w:cs="仿宋_GB2312"/>
          <w:b/>
          <w:color w:val="auto"/>
          <w:highlight w:val="none"/>
        </w:rPr>
      </w:pPr>
      <w:r>
        <w:rPr>
          <w:rFonts w:hint="eastAsia" w:ascii="仿宋" w:hAnsi="仿宋" w:eastAsia="仿宋" w:cs="仿宋_GB2312"/>
          <w:color w:val="auto"/>
          <w:highlight w:val="none"/>
        </w:rPr>
        <w:t>13.2为确保网上操作合法、有效和安全，供应商应当在投标截止时间前完成在“政府采购云平台”的身份认证，确保在电子投标过程中能够对相关数据电文进行加密和使用电子签名。</w:t>
      </w:r>
    </w:p>
    <w:p w14:paraId="702DD170">
      <w:pPr>
        <w:pStyle w:val="9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13.3征集文件对响应文件签署、盖章的要求适用于电子签名。</w:t>
      </w:r>
    </w:p>
    <w:p w14:paraId="7FEF885D">
      <w:pPr>
        <w:pStyle w:val="97"/>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14. 响应文件的提交、补充、修改、撤回</w:t>
      </w:r>
    </w:p>
    <w:p w14:paraId="26CC99A2">
      <w:pPr>
        <w:pStyle w:val="97"/>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14.1 供应商应当在投标截止时间前完成响应文件的传输递交，并可以补充、修改或者撤回响应文件。补充或者修改响应文件的，应当先行撤回原文件，补充、修改后重新传输递交。投标截止时间前未完成传输的，视为撤回响应文件。投标截止时间后递交的响应文件，电子交易平台将拒收。</w:t>
      </w:r>
    </w:p>
    <w:p w14:paraId="526B5CCA">
      <w:pPr>
        <w:pStyle w:val="97"/>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14.2电子交易平台收到响应文件，将妥善保存并即时向供应商发出确认回执通知。在投标截止时间前，除供应商补充、修改或者撤回响应文件外，任何单位和个人不得解密或提取响应文件。</w:t>
      </w:r>
    </w:p>
    <w:p w14:paraId="62542C5A">
      <w:pPr>
        <w:pStyle w:val="97"/>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14.3采购代理机构可以视情况延长响应文件提交的截止时间。在上述情况下，采购代理机构与供应商以前在投标截止期方面的全部权利、责任和义务，将适用于延长至新的投标截止期。</w:t>
      </w:r>
    </w:p>
    <w:p w14:paraId="78E26487">
      <w:pPr>
        <w:pStyle w:val="28"/>
        <w:spacing w:line="360" w:lineRule="auto"/>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15.备份响应文件</w:t>
      </w:r>
    </w:p>
    <w:p w14:paraId="1CAE7746">
      <w:pPr>
        <w:pStyle w:val="28"/>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 xml:space="preserve"> 15.1供应商在电子交易平台传输递交响应文件后，还可以在投标截止时间前直接提交或者以邮政快递方式递交备份响应文件1份，</w:t>
      </w:r>
      <w:r>
        <w:rPr>
          <w:rFonts w:hint="eastAsia" w:ascii="仿宋" w:hAnsi="仿宋" w:eastAsia="仿宋" w:cs="仿宋_GB2312"/>
          <w:b/>
          <w:color w:val="auto"/>
          <w:sz w:val="24"/>
          <w:szCs w:val="24"/>
          <w:highlight w:val="none"/>
        </w:rPr>
        <w:t>但征集人、采购代理机构不强制或变相强制供应商提交备份响应文件。</w:t>
      </w:r>
    </w:p>
    <w:p w14:paraId="05591DD9">
      <w:pPr>
        <w:pStyle w:val="28"/>
        <w:spacing w:line="360" w:lineRule="auto"/>
        <w:ind w:firstLine="480" w:firstLineChars="200"/>
        <w:rPr>
          <w:rFonts w:ascii="仿宋" w:hAnsi="仿宋" w:eastAsia="仿宋" w:cs="仿宋_GB2312"/>
          <w:b/>
          <w:color w:val="auto"/>
          <w:sz w:val="24"/>
          <w:szCs w:val="24"/>
          <w:highlight w:val="none"/>
        </w:rPr>
      </w:pPr>
      <w:r>
        <w:rPr>
          <w:rFonts w:hint="eastAsia" w:ascii="仿宋" w:hAnsi="仿宋" w:eastAsia="仿宋" w:cs="仿宋_GB2312"/>
          <w:color w:val="auto"/>
          <w:sz w:val="24"/>
          <w:szCs w:val="24"/>
          <w:highlight w:val="none"/>
        </w:rPr>
        <w:t>15.2备份响应文件须在“政采云投标客户端”制作生成，并储存在U</w:t>
      </w:r>
      <w:r>
        <w:rPr>
          <w:rFonts w:hint="eastAsia" w:ascii="仿宋" w:hAnsi="仿宋" w:eastAsia="仿宋"/>
          <w:color w:val="auto"/>
          <w:sz w:val="24"/>
          <w:highlight w:val="none"/>
        </w:rPr>
        <w:t>盘</w:t>
      </w:r>
      <w:r>
        <w:rPr>
          <w:rFonts w:hint="eastAsia" w:ascii="仿宋" w:hAnsi="仿宋" w:eastAsia="仿宋" w:cs="仿宋_GB2312"/>
          <w:color w:val="auto"/>
          <w:sz w:val="24"/>
          <w:szCs w:val="24"/>
          <w:highlight w:val="none"/>
        </w:rPr>
        <w:t>中。备份响应文件应当密封包装并在包装上加盖公章并注明投标项目名称，供应商名称(联合体投标的，包装物封面需注明联合体投标，并注明联合体成员各方的名称和联合体协议中约定的牵头人的名称)</w:t>
      </w:r>
      <w:r>
        <w:rPr>
          <w:rFonts w:hint="eastAsia" w:ascii="仿宋" w:hAnsi="仿宋" w:eastAsia="仿宋"/>
          <w:b/>
          <w:color w:val="auto"/>
          <w:sz w:val="24"/>
          <w:highlight w:val="none"/>
        </w:rPr>
        <w:t>▲不符合上述制作、</w:t>
      </w:r>
      <w:r>
        <w:rPr>
          <w:rFonts w:hint="eastAsia" w:ascii="仿宋" w:hAnsi="仿宋" w:eastAsia="仿宋" w:cs="仿宋_GB2312"/>
          <w:b/>
          <w:color w:val="auto"/>
          <w:sz w:val="24"/>
          <w:szCs w:val="24"/>
          <w:highlight w:val="none"/>
        </w:rPr>
        <w:t>存储、密封规定的备份响应文件将被视为无效或者被拒绝接收。</w:t>
      </w:r>
    </w:p>
    <w:p w14:paraId="6B0C574A">
      <w:pPr>
        <w:pStyle w:val="28"/>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15.3直接提交备份响应文件的，供应商应于投标截止时间前在征集公告中载明的开标地点将备份响应文件提交给采购代理机构，</w:t>
      </w:r>
      <w:r>
        <w:rPr>
          <w:rFonts w:hint="eastAsia" w:ascii="仿宋" w:hAnsi="仿宋" w:eastAsia="仿宋" w:cs="仿宋_GB2312"/>
          <w:b/>
          <w:bCs/>
          <w:color w:val="auto"/>
          <w:sz w:val="24"/>
          <w:szCs w:val="24"/>
          <w:highlight w:val="none"/>
        </w:rPr>
        <w:t>采购代理机构将拒绝接受逾期送达的备份响应文件。</w:t>
      </w:r>
    </w:p>
    <w:p w14:paraId="0727F566">
      <w:pPr>
        <w:pStyle w:val="28"/>
        <w:spacing w:line="360" w:lineRule="auto"/>
        <w:ind w:firstLine="480" w:firstLineChars="200"/>
        <w:rPr>
          <w:rFonts w:ascii="仿宋" w:hAnsi="仿宋" w:eastAsia="仿宋" w:cs="仿宋_GB2312"/>
          <w:color w:val="auto"/>
          <w:sz w:val="24"/>
          <w:szCs w:val="24"/>
          <w:highlight w:val="none"/>
        </w:rPr>
      </w:pPr>
      <w:r>
        <w:rPr>
          <w:rFonts w:hint="eastAsia" w:ascii="仿宋" w:hAnsi="仿宋" w:eastAsia="仿宋" w:cs="仿宋_GB2312"/>
          <w:color w:val="auto"/>
          <w:sz w:val="24"/>
          <w:szCs w:val="24"/>
          <w:highlight w:val="none"/>
        </w:rPr>
        <w:t>15.4以邮政快递方式递交备份响应文件的，供应商应先将备份响应文件按要求密封和标记，再进行邮政快递包装后邮寄。备份响应文件须在投标截止时间前一天送达</w:t>
      </w:r>
      <w:r>
        <w:rPr>
          <w:rFonts w:hint="eastAsia" w:ascii="仿宋" w:hAnsi="仿宋" w:eastAsia="仿宋" w:cs="仿宋_GB2312"/>
          <w:color w:val="auto"/>
          <w:sz w:val="24"/>
          <w:highlight w:val="none"/>
        </w:rPr>
        <w:t>采购代理机构</w:t>
      </w:r>
      <w:r>
        <w:rPr>
          <w:rFonts w:hint="eastAsia" w:ascii="仿宋" w:hAnsi="仿宋" w:eastAsia="仿宋" w:cs="仿宋_GB2312"/>
          <w:color w:val="auto"/>
          <w:sz w:val="24"/>
          <w:szCs w:val="24"/>
          <w:highlight w:val="none"/>
        </w:rPr>
        <w:t>；送达时间以签收人签收时间为准。采购代理机构将拒绝接受逾期送达的备份响应文件。邮寄过程中，电子备份响应文件发生泄露、遗失、损坏或延期送达等情况的，由供应商自行负责。</w:t>
      </w:r>
    </w:p>
    <w:p w14:paraId="5BA56A3F">
      <w:pPr>
        <w:pStyle w:val="28"/>
        <w:spacing w:line="360" w:lineRule="auto"/>
        <w:ind w:firstLine="361" w:firstLineChars="150"/>
        <w:rPr>
          <w:rFonts w:ascii="仿宋" w:hAnsi="仿宋" w:eastAsia="仿宋" w:cs="仿宋_GB2312"/>
          <w:b/>
          <w:color w:val="auto"/>
          <w:sz w:val="24"/>
          <w:szCs w:val="24"/>
          <w:highlight w:val="none"/>
        </w:rPr>
      </w:pPr>
      <w:r>
        <w:rPr>
          <w:rFonts w:hint="eastAsia" w:ascii="仿宋" w:hAnsi="仿宋" w:eastAsia="仿宋" w:cs="仿宋_GB2312"/>
          <w:b/>
          <w:color w:val="auto"/>
          <w:sz w:val="24"/>
          <w:szCs w:val="24"/>
          <w:highlight w:val="none"/>
        </w:rPr>
        <w:t>15.5供应商仅提交备份响应文件，没有在电子交易平台传输递交响应文件的，投标无效。</w:t>
      </w:r>
    </w:p>
    <w:bookmarkEnd w:id="29"/>
    <w:bookmarkEnd w:id="30"/>
    <w:p w14:paraId="78051647">
      <w:pPr>
        <w:pStyle w:val="97"/>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16.响应文件的无效处理</w:t>
      </w:r>
    </w:p>
    <w:p w14:paraId="6BCA2E27">
      <w:pPr>
        <w:pStyle w:val="21"/>
        <w:spacing w:line="360" w:lineRule="auto"/>
        <w:ind w:firstLine="360" w:firstLineChars="150"/>
        <w:rPr>
          <w:rFonts w:ascii="仿宋" w:hAnsi="仿宋" w:eastAsia="仿宋" w:cs="仿宋_GB2312"/>
          <w:color w:val="auto"/>
          <w:szCs w:val="21"/>
          <w:highlight w:val="none"/>
        </w:rPr>
      </w:pPr>
      <w:r>
        <w:rPr>
          <w:rFonts w:hint="eastAsia" w:ascii="仿宋" w:hAnsi="仿宋" w:eastAsia="仿宋" w:cs="仿宋_GB2312"/>
          <w:color w:val="auto"/>
          <w:szCs w:val="21"/>
          <w:highlight w:val="none"/>
        </w:rPr>
        <w:t>有征集文件第四部分</w:t>
      </w:r>
      <w:r>
        <w:rPr>
          <w:rFonts w:hint="eastAsia" w:ascii="仿宋" w:hAnsi="仿宋" w:eastAsia="仿宋"/>
          <w:color w:val="auto"/>
          <w:highlight w:val="none"/>
        </w:rPr>
        <w:t>第4.2项规定</w:t>
      </w:r>
      <w:r>
        <w:rPr>
          <w:rFonts w:hint="eastAsia" w:ascii="仿宋" w:hAnsi="仿宋" w:eastAsia="仿宋" w:cs="仿宋_GB2312"/>
          <w:color w:val="auto"/>
          <w:szCs w:val="21"/>
          <w:highlight w:val="none"/>
        </w:rPr>
        <w:t>的情形之一的，投标无效：</w:t>
      </w:r>
    </w:p>
    <w:p w14:paraId="54A1B970">
      <w:pPr>
        <w:pStyle w:val="97"/>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17.投标有效期</w:t>
      </w:r>
    </w:p>
    <w:p w14:paraId="61620B11">
      <w:pPr>
        <w:spacing w:line="360" w:lineRule="auto"/>
        <w:ind w:firstLine="480" w:firstLineChars="200"/>
        <w:rPr>
          <w:rFonts w:ascii="仿宋" w:hAnsi="仿宋" w:eastAsia="仿宋" w:cs="仿宋_GB2312"/>
          <w:b/>
          <w:color w:val="auto"/>
          <w:sz w:val="24"/>
          <w:szCs w:val="21"/>
          <w:highlight w:val="none"/>
        </w:rPr>
      </w:pPr>
      <w:r>
        <w:rPr>
          <w:rFonts w:hint="eastAsia" w:ascii="仿宋" w:hAnsi="仿宋" w:eastAsia="仿宋" w:cs="仿宋_GB2312"/>
          <w:color w:val="auto"/>
          <w:sz w:val="24"/>
          <w:szCs w:val="20"/>
          <w:highlight w:val="none"/>
        </w:rPr>
        <w:t>17.1投标有效期为从提交响应文件的截止之日起</w:t>
      </w:r>
      <w:r>
        <w:rPr>
          <w:rFonts w:hint="eastAsia" w:ascii="仿宋" w:hAnsi="仿宋" w:eastAsia="仿宋"/>
          <w:color w:val="auto"/>
          <w:sz w:val="24"/>
          <w:highlight w:val="none"/>
        </w:rPr>
        <w:t>90</w:t>
      </w:r>
      <w:r>
        <w:rPr>
          <w:rFonts w:hint="eastAsia" w:ascii="仿宋" w:hAnsi="仿宋" w:eastAsia="仿宋" w:cs="仿宋_GB2312"/>
          <w:color w:val="auto"/>
          <w:sz w:val="24"/>
          <w:szCs w:val="20"/>
          <w:highlight w:val="none"/>
        </w:rPr>
        <w:t>天。▲</w:t>
      </w:r>
      <w:r>
        <w:rPr>
          <w:rFonts w:hint="eastAsia" w:ascii="仿宋" w:hAnsi="仿宋" w:eastAsia="仿宋" w:cs="仿宋_GB2312"/>
          <w:b/>
          <w:color w:val="auto"/>
          <w:sz w:val="24"/>
          <w:szCs w:val="20"/>
          <w:highlight w:val="none"/>
        </w:rPr>
        <w:t>供应商的响应文件中承</w:t>
      </w:r>
      <w:r>
        <w:rPr>
          <w:rFonts w:hint="eastAsia" w:ascii="仿宋" w:hAnsi="仿宋" w:eastAsia="仿宋" w:cs="仿宋_GB2312"/>
          <w:b/>
          <w:color w:val="auto"/>
          <w:sz w:val="24"/>
          <w:szCs w:val="21"/>
          <w:highlight w:val="none"/>
        </w:rPr>
        <w:t>诺的投标有效期少于征集文件中载明的投标有效期的，投标无效。</w:t>
      </w:r>
    </w:p>
    <w:p w14:paraId="1DA41B07">
      <w:pPr>
        <w:pStyle w:val="97"/>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17.2响应文件合格投递后，自投标截止日期起，在投标有效期内有效。</w:t>
      </w:r>
    </w:p>
    <w:p w14:paraId="4CDBBBE5">
      <w:pPr>
        <w:pStyle w:val="97"/>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rPr>
        <w:t>17.3在原定投标有效期满之前，如果出现特殊情况，采购代理机构可以以书面形式通知供应商延长投标有效期。供应商同意延长的，不得要求或被允许修改其响应文件，供应商拒绝延长的，其投标无效。</w:t>
      </w:r>
    </w:p>
    <w:p w14:paraId="22FBFF4B">
      <w:pPr>
        <w:pStyle w:val="97"/>
        <w:spacing w:before="0"/>
        <w:ind w:firstLine="643"/>
        <w:rPr>
          <w:rFonts w:ascii="仿宋" w:hAnsi="仿宋" w:eastAsia="仿宋" w:cs="仿宋_GB2312"/>
          <w:b/>
          <w:color w:val="auto"/>
          <w:sz w:val="32"/>
          <w:highlight w:val="none"/>
        </w:rPr>
      </w:pPr>
      <w:bookmarkStart w:id="34" w:name="_Toc91899897"/>
    </w:p>
    <w:p w14:paraId="3F87B09A">
      <w:pPr>
        <w:pStyle w:val="97"/>
        <w:spacing w:before="0"/>
        <w:ind w:firstLine="1928" w:firstLineChars="600"/>
        <w:rPr>
          <w:rFonts w:ascii="仿宋" w:hAnsi="仿宋" w:eastAsia="仿宋" w:cs="仿宋_GB2312"/>
          <w:b/>
          <w:color w:val="auto"/>
          <w:sz w:val="32"/>
          <w:highlight w:val="none"/>
        </w:rPr>
      </w:pPr>
      <w:r>
        <w:rPr>
          <w:rFonts w:hint="eastAsia" w:ascii="仿宋" w:hAnsi="仿宋" w:eastAsia="仿宋" w:cs="仿宋_GB2312"/>
          <w:b/>
          <w:color w:val="auto"/>
          <w:sz w:val="32"/>
          <w:highlight w:val="none"/>
        </w:rPr>
        <w:t>四、开标</w:t>
      </w:r>
      <w:bookmarkEnd w:id="34"/>
      <w:r>
        <w:rPr>
          <w:rFonts w:hint="eastAsia" w:ascii="仿宋" w:hAnsi="仿宋" w:eastAsia="仿宋" w:cs="仿宋_GB2312"/>
          <w:b/>
          <w:color w:val="auto"/>
          <w:sz w:val="32"/>
          <w:highlight w:val="none"/>
        </w:rPr>
        <w:t>、资格审查与信用信息查询</w:t>
      </w:r>
    </w:p>
    <w:p w14:paraId="328AA1EA">
      <w:pPr>
        <w:pStyle w:val="482"/>
        <w:spacing w:before="0" w:line="360" w:lineRule="auto"/>
        <w:ind w:left="0" w:firstLine="241" w:firstLineChars="100"/>
        <w:contextualSpacing/>
        <w:rPr>
          <w:rFonts w:ascii="仿宋" w:hAnsi="仿宋" w:eastAsia="仿宋"/>
          <w:color w:val="auto"/>
          <w:sz w:val="24"/>
          <w:highlight w:val="none"/>
        </w:rPr>
      </w:pPr>
      <w:r>
        <w:rPr>
          <w:rFonts w:hint="eastAsia" w:ascii="仿宋" w:hAnsi="仿宋" w:eastAsia="仿宋" w:cs="仿宋_GB2312"/>
          <w:b/>
          <w:color w:val="auto"/>
          <w:sz w:val="24"/>
          <w:szCs w:val="24"/>
          <w:highlight w:val="none"/>
        </w:rPr>
        <w:t>18.开标</w:t>
      </w:r>
    </w:p>
    <w:p w14:paraId="0C73692D">
      <w:pPr>
        <w:pStyle w:val="482"/>
        <w:spacing w:before="0" w:line="360" w:lineRule="auto"/>
        <w:ind w:left="0" w:firstLine="480" w:firstLineChars="200"/>
        <w:contextualSpacing/>
        <w:rPr>
          <w:rFonts w:ascii="仿宋" w:hAnsi="仿宋" w:eastAsia="仿宋" w:cs="仿宋_GB2312"/>
          <w:color w:val="auto"/>
          <w:sz w:val="24"/>
          <w:highlight w:val="none"/>
        </w:rPr>
      </w:pPr>
      <w:r>
        <w:rPr>
          <w:rFonts w:hint="eastAsia" w:ascii="仿宋" w:hAnsi="仿宋" w:eastAsia="仿宋" w:cs="仿宋_GB2312"/>
          <w:color w:val="auto"/>
          <w:sz w:val="24"/>
          <w:highlight w:val="none"/>
        </w:rPr>
        <w:t>18.1采购代理机构按照征集文件规定的时间通过电子交易平台组织开标，所有供应商均应当准时在线参加</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供应商不足3家的，不得开标。</w:t>
      </w:r>
    </w:p>
    <w:p w14:paraId="66196E0F">
      <w:pPr>
        <w:pStyle w:val="482"/>
        <w:spacing w:before="0" w:line="360" w:lineRule="auto"/>
        <w:ind w:left="0" w:firstLine="240" w:firstLineChars="100"/>
        <w:contextualSpacing/>
        <w:rPr>
          <w:rFonts w:ascii="仿宋" w:hAnsi="仿宋" w:eastAsia="仿宋" w:cs="仿宋_GB2312"/>
          <w:color w:val="auto"/>
          <w:sz w:val="24"/>
          <w:highlight w:val="none"/>
        </w:rPr>
      </w:pPr>
      <w:r>
        <w:rPr>
          <w:rFonts w:ascii="仿宋" w:hAnsi="仿宋" w:eastAsia="仿宋" w:cs="仿宋_GB2312"/>
          <w:color w:val="auto"/>
          <w:sz w:val="24"/>
          <w:highlight w:val="none"/>
        </w:rPr>
        <w:t>　</w:t>
      </w:r>
      <w:r>
        <w:rPr>
          <w:rFonts w:hint="eastAsia" w:ascii="仿宋" w:hAnsi="仿宋" w:eastAsia="仿宋" w:cs="仿宋_GB2312"/>
          <w:color w:val="auto"/>
          <w:sz w:val="24"/>
          <w:highlight w:val="none"/>
        </w:rPr>
        <w:t>18.2开标时，电子交易平台按开标时间自动提取所有响应文件。采购代理机构依托电子交易平台发起开始解密指令，供应商按照平台提示和征集文件的规定在半小时内完成在线解密。</w:t>
      </w:r>
    </w:p>
    <w:p w14:paraId="73B26B62">
      <w:pPr>
        <w:pStyle w:val="482"/>
        <w:spacing w:before="0" w:line="360" w:lineRule="auto"/>
        <w:ind w:left="0" w:firstLine="240" w:firstLineChars="100"/>
        <w:contextualSpacing/>
        <w:rPr>
          <w:rFonts w:ascii="仿宋" w:hAnsi="仿宋" w:eastAsia="仿宋" w:cs="仿宋_GB2312"/>
          <w:b/>
          <w:color w:val="auto"/>
          <w:sz w:val="24"/>
          <w:highlight w:val="none"/>
        </w:rPr>
      </w:pPr>
      <w:r>
        <w:rPr>
          <w:rFonts w:ascii="仿宋" w:hAnsi="仿宋" w:eastAsia="仿宋" w:cs="仿宋_GB2312"/>
          <w:color w:val="auto"/>
          <w:sz w:val="24"/>
          <w:highlight w:val="none"/>
        </w:rPr>
        <w:t>　</w:t>
      </w:r>
      <w:r>
        <w:rPr>
          <w:rFonts w:hint="eastAsia" w:ascii="仿宋" w:hAnsi="仿宋" w:eastAsia="仿宋" w:cs="仿宋_GB2312"/>
          <w:color w:val="auto"/>
          <w:sz w:val="24"/>
          <w:highlight w:val="none"/>
        </w:rPr>
        <w:t>18.3</w:t>
      </w:r>
      <w:r>
        <w:rPr>
          <w:rFonts w:hint="eastAsia" w:ascii="仿宋" w:hAnsi="仿宋" w:eastAsia="仿宋" w:cs="仿宋_GB2312"/>
          <w:b/>
          <w:color w:val="auto"/>
          <w:sz w:val="24"/>
          <w:highlight w:val="none"/>
        </w:rPr>
        <w:t>响应文件未按时解密，供应商提供了备份响应文件的，以备份响应文件作为依据，否则视为响应文件撤回。响应文件已按时解密的，备份响应文件自动失效。</w:t>
      </w:r>
    </w:p>
    <w:p w14:paraId="13DFCE44">
      <w:pPr>
        <w:widowControl/>
        <w:spacing w:before="100" w:beforeAutospacing="1" w:after="240" w:line="360" w:lineRule="auto"/>
        <w:jc w:val="left"/>
        <w:rPr>
          <w:rFonts w:ascii="仿宋" w:hAnsi="仿宋" w:eastAsia="仿宋" w:cs="仿宋_GB2312"/>
          <w:b/>
          <w:color w:val="auto"/>
          <w:sz w:val="24"/>
          <w:szCs w:val="20"/>
          <w:highlight w:val="none"/>
        </w:rPr>
      </w:pPr>
      <w:r>
        <w:rPr>
          <w:rFonts w:ascii="仿宋" w:hAnsi="仿宋" w:eastAsia="仿宋" w:cs="仿宋_GB2312"/>
          <w:b/>
          <w:color w:val="auto"/>
          <w:sz w:val="24"/>
          <w:szCs w:val="20"/>
          <w:highlight w:val="none"/>
        </w:rPr>
        <w:t>　</w:t>
      </w:r>
      <w:r>
        <w:rPr>
          <w:rFonts w:hint="eastAsia" w:ascii="仿宋" w:hAnsi="仿宋" w:eastAsia="仿宋" w:cs="仿宋_GB2312"/>
          <w:b/>
          <w:color w:val="auto"/>
          <w:sz w:val="24"/>
          <w:szCs w:val="20"/>
          <w:highlight w:val="none"/>
        </w:rPr>
        <w:t>19、资格审查</w:t>
      </w:r>
    </w:p>
    <w:p w14:paraId="381B72EA">
      <w:pPr>
        <w:pStyle w:val="97"/>
        <w:spacing w:before="0"/>
        <w:ind w:firstLine="480"/>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19.1开标后，征集人或采购代理机构将依法对供应商的资格进行审查。</w:t>
      </w:r>
    </w:p>
    <w:p w14:paraId="40384D47">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Arial"/>
          <w:color w:val="auto"/>
          <w:kern w:val="0"/>
          <w:sz w:val="24"/>
          <w:highlight w:val="none"/>
        </w:rPr>
        <w:t>19.2</w:t>
      </w:r>
      <w:r>
        <w:rPr>
          <w:rFonts w:hint="eastAsia" w:ascii="仿宋" w:hAnsi="仿宋" w:eastAsia="仿宋" w:cs="仿宋_GB2312"/>
          <w:color w:val="auto"/>
          <w:sz w:val="24"/>
          <w:highlight w:val="none"/>
        </w:rPr>
        <w:t>征集人或采购代理机构依据法律法规和征集文件的规定，对供应商的基本资格条件、特定资格条件进行审查。</w:t>
      </w:r>
    </w:p>
    <w:p w14:paraId="63F907F4">
      <w:pPr>
        <w:pStyle w:val="97"/>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19.3供应商未按照征集文件要求提供与</w:t>
      </w:r>
      <w:r>
        <w:rPr>
          <w:rFonts w:hint="eastAsia" w:ascii="仿宋" w:hAnsi="仿宋" w:eastAsia="仿宋" w:cs="仿宋_GB2312"/>
          <w:color w:val="auto"/>
          <w:highlight w:val="none"/>
        </w:rPr>
        <w:t>基本资格条件、特定资格条件相应的</w:t>
      </w:r>
      <w:r>
        <w:rPr>
          <w:rFonts w:hint="eastAsia" w:ascii="仿宋" w:hAnsi="仿宋" w:eastAsia="仿宋" w:cs="Arial"/>
          <w:color w:val="auto"/>
          <w:kern w:val="0"/>
          <w:szCs w:val="24"/>
          <w:highlight w:val="none"/>
        </w:rPr>
        <w:t>有效资格证明材料的，视为</w:t>
      </w:r>
      <w:r>
        <w:rPr>
          <w:rFonts w:hint="eastAsia" w:ascii="仿宋" w:hAnsi="仿宋" w:eastAsia="仿宋" w:cs="仿宋_GB2312"/>
          <w:color w:val="auto"/>
          <w:highlight w:val="none"/>
        </w:rPr>
        <w:t>供应商不具备征集文件中规定的资格要求，其投标无效。</w:t>
      </w:r>
    </w:p>
    <w:p w14:paraId="2C0DC95C">
      <w:pPr>
        <w:pStyle w:val="97"/>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w:t>
      </w:r>
      <w:r>
        <w:rPr>
          <w:rFonts w:hint="eastAsia" w:ascii="仿宋" w:hAnsi="仿宋" w:eastAsia="仿宋" w:cs="仿宋_GB2312"/>
          <w:color w:val="auto"/>
          <w:highlight w:val="none"/>
        </w:rPr>
        <w:t>4对未通过资格审查的供应商，征集人或采购代理机构告知其未通过的原因。</w:t>
      </w:r>
    </w:p>
    <w:p w14:paraId="276C2960">
      <w:pPr>
        <w:pStyle w:val="97"/>
        <w:spacing w:before="0"/>
        <w:ind w:firstLine="480"/>
        <w:rPr>
          <w:rFonts w:ascii="仿宋" w:hAnsi="仿宋" w:eastAsia="仿宋" w:cs="仿宋_GB2312"/>
          <w:color w:val="auto"/>
          <w:highlight w:val="none"/>
        </w:rPr>
      </w:pPr>
      <w:r>
        <w:rPr>
          <w:rFonts w:hint="eastAsia" w:ascii="仿宋" w:hAnsi="仿宋" w:eastAsia="仿宋" w:cs="Arial"/>
          <w:color w:val="auto"/>
          <w:kern w:val="0"/>
          <w:szCs w:val="24"/>
          <w:highlight w:val="none"/>
        </w:rPr>
        <w:t>19.</w:t>
      </w:r>
      <w:r>
        <w:rPr>
          <w:rFonts w:hint="eastAsia" w:ascii="仿宋" w:hAnsi="仿宋" w:eastAsia="仿宋" w:cs="仿宋_GB2312"/>
          <w:color w:val="auto"/>
          <w:highlight w:val="none"/>
        </w:rPr>
        <w:t>5合格供应商不足3家的，不再评标。</w:t>
      </w:r>
    </w:p>
    <w:p w14:paraId="2B8335DD">
      <w:pPr>
        <w:pStyle w:val="97"/>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20、信用信息查询</w:t>
      </w:r>
    </w:p>
    <w:p w14:paraId="1D67C0E6">
      <w:pPr>
        <w:pStyle w:val="97"/>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w:t>
      </w:r>
      <w:r>
        <w:rPr>
          <w:rFonts w:hint="eastAsia" w:ascii="仿宋" w:hAnsi="仿宋" w:eastAsia="仿宋" w:cs="Arial"/>
          <w:color w:val="auto"/>
          <w:kern w:val="0"/>
          <w:szCs w:val="24"/>
          <w:highlight w:val="none"/>
        </w:rPr>
        <w:t>.1信用信息查询渠道及截止时间：采购代理机构将通过“信用中国”网站(www.creditchina.gov.cn)、中国政府采购网(www.ccgp.gov.cn)渠道查询供应商投标截止时间当天的信用记录。</w:t>
      </w:r>
    </w:p>
    <w:p w14:paraId="0E108E32">
      <w:pPr>
        <w:pStyle w:val="97"/>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w:t>
      </w:r>
      <w:r>
        <w:rPr>
          <w:rFonts w:hint="eastAsia" w:ascii="仿宋" w:hAnsi="仿宋" w:eastAsia="仿宋" w:cs="Arial"/>
          <w:color w:val="auto"/>
          <w:kern w:val="0"/>
          <w:szCs w:val="24"/>
          <w:highlight w:val="none"/>
        </w:rPr>
        <w:t>.2信用信息查询记录和证据留存的具体方式：现场查询的供应商的信用记录、查询结果经确认后将与征集文件一起存档。</w:t>
      </w:r>
    </w:p>
    <w:p w14:paraId="51C781BE">
      <w:pPr>
        <w:pStyle w:val="97"/>
        <w:spacing w:before="0"/>
        <w:ind w:firstLine="495" w:firstLineChars="0"/>
        <w:rPr>
          <w:rFonts w:ascii="仿宋" w:hAnsi="仿宋" w:eastAsia="仿宋" w:cs="Arial"/>
          <w:color w:val="auto"/>
          <w:kern w:val="0"/>
          <w:szCs w:val="24"/>
          <w:highlight w:val="none"/>
        </w:rPr>
      </w:pPr>
      <w:r>
        <w:rPr>
          <w:rFonts w:ascii="仿宋" w:hAnsi="仿宋" w:eastAsia="仿宋" w:cs="Arial"/>
          <w:color w:val="auto"/>
          <w:kern w:val="0"/>
          <w:szCs w:val="24"/>
          <w:highlight w:val="none"/>
        </w:rPr>
        <w:t>20</w:t>
      </w:r>
      <w:r>
        <w:rPr>
          <w:rFonts w:hint="eastAsia" w:ascii="仿宋" w:hAnsi="仿宋" w:eastAsia="仿宋" w:cs="Arial"/>
          <w:color w:val="auto"/>
          <w:kern w:val="0"/>
          <w:szCs w:val="24"/>
          <w:highlight w:val="none"/>
        </w:rPr>
        <w:t>.3信用信息的使用规则：经查询列入失信被执行人名单、重大税收违法案件当事人名单、政府采购严重违法失信行为记录名单的供应商将被拒绝参与政府采购活动。</w:t>
      </w:r>
    </w:p>
    <w:p w14:paraId="19C68E4D">
      <w:pPr>
        <w:pStyle w:val="97"/>
        <w:spacing w:before="0"/>
        <w:ind w:firstLine="480"/>
        <w:rPr>
          <w:rFonts w:ascii="仿宋" w:hAnsi="仿宋" w:eastAsia="仿宋" w:cs="仿宋_GB2312"/>
          <w:color w:val="auto"/>
          <w:highlight w:val="none"/>
        </w:rPr>
      </w:pPr>
      <w:r>
        <w:rPr>
          <w:rFonts w:ascii="仿宋" w:hAnsi="仿宋" w:eastAsia="仿宋" w:cs="Arial"/>
          <w:color w:val="auto"/>
          <w:kern w:val="0"/>
          <w:szCs w:val="24"/>
          <w:highlight w:val="none"/>
        </w:rPr>
        <w:t>20</w:t>
      </w:r>
      <w:r>
        <w:rPr>
          <w:rFonts w:hint="eastAsia" w:ascii="仿宋" w:hAnsi="仿宋" w:eastAsia="仿宋" w:cs="Arial"/>
          <w:color w:val="auto"/>
          <w:kern w:val="0"/>
          <w:szCs w:val="24"/>
          <w:highlight w:val="none"/>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_GB2312"/>
          <w:color w:val="auto"/>
          <w:highlight w:val="none"/>
        </w:rPr>
        <w:t>。</w:t>
      </w:r>
    </w:p>
    <w:p w14:paraId="17DF1122">
      <w:pPr>
        <w:pStyle w:val="97"/>
        <w:spacing w:before="0"/>
        <w:ind w:firstLine="0" w:firstLineChars="0"/>
        <w:rPr>
          <w:rFonts w:ascii="仿宋" w:hAnsi="仿宋" w:eastAsia="仿宋" w:cs="Arial"/>
          <w:color w:val="auto"/>
          <w:kern w:val="0"/>
          <w:szCs w:val="24"/>
          <w:highlight w:val="none"/>
        </w:rPr>
      </w:pPr>
    </w:p>
    <w:p w14:paraId="357B72AE">
      <w:pPr>
        <w:snapToGrid w:val="0"/>
        <w:spacing w:line="360" w:lineRule="auto"/>
        <w:jc w:val="center"/>
        <w:outlineLvl w:val="0"/>
        <w:rPr>
          <w:rFonts w:ascii="仿宋" w:hAnsi="仿宋" w:eastAsia="仿宋" w:cs="仿宋_GB2312"/>
          <w:b/>
          <w:color w:val="auto"/>
          <w:sz w:val="36"/>
          <w:szCs w:val="36"/>
          <w:highlight w:val="none"/>
        </w:rPr>
      </w:pPr>
      <w:bookmarkStart w:id="35" w:name="_Hlt75236101"/>
      <w:bookmarkEnd w:id="35"/>
      <w:bookmarkStart w:id="36" w:name="_Toc91899902"/>
      <w:r>
        <w:rPr>
          <w:rFonts w:hint="eastAsia" w:ascii="仿宋" w:hAnsi="仿宋" w:eastAsia="仿宋" w:cs="仿宋_GB2312"/>
          <w:b/>
          <w:color w:val="auto"/>
          <w:sz w:val="36"/>
          <w:szCs w:val="36"/>
          <w:highlight w:val="none"/>
        </w:rPr>
        <w:t>五、评标</w:t>
      </w:r>
      <w:bookmarkEnd w:id="36"/>
    </w:p>
    <w:p w14:paraId="49BCFC77">
      <w:pPr>
        <w:spacing w:line="360" w:lineRule="auto"/>
        <w:rPr>
          <w:rFonts w:hint="eastAsia" w:ascii="仿宋" w:hAnsi="仿宋" w:eastAsia="仿宋" w:cs="仿宋_GB2312"/>
          <w:b/>
          <w:color w:val="auto"/>
          <w:sz w:val="24"/>
          <w:highlight w:val="none"/>
        </w:rPr>
      </w:pPr>
      <w:bookmarkStart w:id="37" w:name="_Toc91899903"/>
      <w:r>
        <w:rPr>
          <w:rFonts w:hint="eastAsia" w:ascii="仿宋" w:hAnsi="仿宋" w:eastAsia="仿宋" w:cs="仿宋_GB2312"/>
          <w:b/>
          <w:color w:val="auto"/>
          <w:sz w:val="24"/>
          <w:highlight w:val="none"/>
        </w:rPr>
        <w:t>21.</w:t>
      </w:r>
      <w:r>
        <w:rPr>
          <w:rFonts w:hint="eastAsia" w:ascii="仿宋" w:hAnsi="仿宋" w:eastAsia="仿宋" w:cs="仿宋_GB2312"/>
          <w:color w:val="auto"/>
          <w:sz w:val="24"/>
          <w:highlight w:val="none"/>
        </w:rPr>
        <w:t>评标委员会将根据征集文件和有关规定，履行评标工作职责，并按照评标方法及评分标准，全面衡量各供应商对征集文件的响应情况。对实质上响应征集文件的供应商，按照评审因素的量化指标排出推荐中标的供应商的先后顺序，并按顺序提出授标建议。</w:t>
      </w:r>
      <w:r>
        <w:rPr>
          <w:rFonts w:hint="eastAsia" w:ascii="仿宋" w:hAnsi="仿宋" w:eastAsia="仿宋" w:cs="仿宋_GB2312"/>
          <w:b/>
          <w:color w:val="auto"/>
          <w:sz w:val="24"/>
          <w:highlight w:val="none"/>
        </w:rPr>
        <w:t>详见征集文件第四部分“评标方法”</w:t>
      </w:r>
    </w:p>
    <w:p w14:paraId="6D851601">
      <w:pPr>
        <w:pStyle w:val="2"/>
        <w:rPr>
          <w:rFonts w:hint="eastAsia" w:ascii="仿宋" w:hAnsi="仿宋" w:eastAsia="仿宋" w:cs="仿宋_GB2312"/>
          <w:b/>
          <w:bCs w:val="0"/>
          <w:color w:val="auto"/>
          <w:kern w:val="2"/>
          <w:sz w:val="24"/>
          <w:szCs w:val="24"/>
          <w:highlight w:val="none"/>
          <w:lang w:val="en-US" w:eastAsia="zh-CN" w:bidi="ar-SA"/>
        </w:rPr>
      </w:pPr>
      <w:r>
        <w:rPr>
          <w:rFonts w:hint="eastAsia" w:ascii="仿宋" w:hAnsi="仿宋" w:eastAsia="仿宋" w:cs="仿宋_GB2312"/>
          <w:b/>
          <w:bCs w:val="0"/>
          <w:color w:val="auto"/>
          <w:kern w:val="2"/>
          <w:sz w:val="24"/>
          <w:szCs w:val="24"/>
          <w:highlight w:val="none"/>
          <w:lang w:val="en-US" w:eastAsia="zh-CN" w:bidi="ar-SA"/>
        </w:rPr>
        <w:t>22.第一阶段淘汰比例</w:t>
      </w:r>
    </w:p>
    <w:p w14:paraId="61A961C6">
      <w:pPr>
        <w:pStyle w:val="2"/>
        <w:rPr>
          <w:rFonts w:hint="eastAsia" w:ascii="仿宋" w:hAnsi="仿宋" w:eastAsia="仿宋" w:cs="仿宋_GB2312"/>
          <w:b/>
          <w:bCs w:val="0"/>
          <w:color w:val="auto"/>
          <w:kern w:val="2"/>
          <w:sz w:val="24"/>
          <w:szCs w:val="24"/>
          <w:highlight w:val="none"/>
          <w:lang w:val="en-US" w:eastAsia="zh-CN" w:bidi="ar-SA"/>
        </w:rPr>
      </w:pPr>
      <w:r>
        <w:rPr>
          <w:rFonts w:hint="eastAsia" w:ascii="仿宋" w:hAnsi="仿宋" w:eastAsia="仿宋" w:cs="仿宋_GB2312"/>
          <w:b/>
          <w:bCs w:val="0"/>
          <w:color w:val="auto"/>
          <w:kern w:val="2"/>
          <w:sz w:val="24"/>
          <w:szCs w:val="24"/>
          <w:highlight w:val="none"/>
          <w:lang w:val="en-US" w:eastAsia="zh-CN" w:bidi="ar-SA"/>
        </w:rPr>
        <w:t>详见前附表。</w:t>
      </w:r>
    </w:p>
    <w:p w14:paraId="2C08CFA1">
      <w:pPr>
        <w:spacing w:line="360" w:lineRule="auto"/>
        <w:rPr>
          <w:rFonts w:ascii="仿宋" w:hAnsi="仿宋" w:eastAsia="仿宋" w:cs="仿宋_GB2312"/>
          <w:b/>
          <w:color w:val="auto"/>
          <w:sz w:val="24"/>
          <w:highlight w:val="none"/>
        </w:rPr>
      </w:pPr>
    </w:p>
    <w:p w14:paraId="167BE595">
      <w:pPr>
        <w:snapToGrid w:val="0"/>
        <w:spacing w:line="360" w:lineRule="auto"/>
        <w:jc w:val="center"/>
        <w:outlineLvl w:val="0"/>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t>六、定标</w:t>
      </w:r>
    </w:p>
    <w:p w14:paraId="239C8E11">
      <w:pPr>
        <w:pStyle w:val="21"/>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highlight w:val="none"/>
          <w:lang w:val="en-US" w:eastAsia="zh-CN"/>
        </w:rPr>
        <w:t>3</w:t>
      </w:r>
      <w:r>
        <w:rPr>
          <w:rFonts w:hint="eastAsia" w:ascii="仿宋" w:hAnsi="仿宋" w:eastAsia="仿宋" w:cs="仿宋_GB2312"/>
          <w:b/>
          <w:color w:val="auto"/>
          <w:highlight w:val="none"/>
        </w:rPr>
        <w:t>. 确定入围供应商</w:t>
      </w:r>
    </w:p>
    <w:p w14:paraId="6F28E751">
      <w:pPr>
        <w:pStyle w:val="97"/>
        <w:snapToGrid w:val="0"/>
        <w:spacing w:before="0"/>
        <w:ind w:firstLine="480"/>
        <w:rPr>
          <w:rFonts w:ascii="仿宋" w:hAnsi="仿宋" w:eastAsia="仿宋" w:cs="仿宋_GB2312"/>
          <w:color w:val="auto"/>
          <w:szCs w:val="24"/>
          <w:highlight w:val="none"/>
        </w:rPr>
      </w:pPr>
      <w:r>
        <w:rPr>
          <w:rFonts w:hint="eastAsia" w:ascii="仿宋" w:hAnsi="仿宋" w:eastAsia="仿宋"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征集人。采购单位应当自收到评审报告之日起2个工作日内在线确定中标或者成交供应商。中标、成交通知书和中标、成交结果公告应当在规定时间内同时发出。</w:t>
      </w:r>
    </w:p>
    <w:p w14:paraId="3D554B85">
      <w:pPr>
        <w:pStyle w:val="97"/>
        <w:snapToGrid w:val="0"/>
        <w:spacing w:before="0"/>
        <w:ind w:firstLine="0" w:firstLineChars="0"/>
        <w:rPr>
          <w:rFonts w:ascii="仿宋" w:hAnsi="仿宋" w:eastAsia="仿宋" w:cs="仿宋_GB2312"/>
          <w:b/>
          <w:color w:val="auto"/>
          <w:szCs w:val="24"/>
          <w:highlight w:val="none"/>
        </w:rPr>
      </w:pPr>
      <w:r>
        <w:rPr>
          <w:rFonts w:hint="eastAsia" w:ascii="仿宋" w:hAnsi="仿宋" w:eastAsia="仿宋" w:cs="仿宋_GB2312"/>
          <w:b/>
          <w:color w:val="auto"/>
          <w:szCs w:val="24"/>
          <w:highlight w:val="none"/>
        </w:rPr>
        <w:t>2</w:t>
      </w:r>
      <w:r>
        <w:rPr>
          <w:rFonts w:hint="eastAsia" w:ascii="仿宋" w:hAnsi="仿宋" w:eastAsia="仿宋" w:cs="仿宋_GB2312"/>
          <w:b/>
          <w:color w:val="auto"/>
          <w:szCs w:val="24"/>
          <w:highlight w:val="none"/>
          <w:lang w:val="en-US" w:eastAsia="zh-CN"/>
        </w:rPr>
        <w:t>4</w:t>
      </w:r>
      <w:r>
        <w:rPr>
          <w:rFonts w:hint="eastAsia" w:ascii="仿宋" w:hAnsi="仿宋" w:eastAsia="仿宋" w:cs="仿宋_GB2312"/>
          <w:b/>
          <w:color w:val="auto"/>
          <w:szCs w:val="24"/>
          <w:highlight w:val="none"/>
        </w:rPr>
        <w:t>. 入围通知与入围结果公告</w:t>
      </w:r>
    </w:p>
    <w:p w14:paraId="50201D2A">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.1自入围供应商确定之日起2个工作日内，采购代理机构通过电子交易平台向入围供应商发出为入围通知书，同时编制发布入围结果公告。采购代理机构也可以以纸质形式进行入围通知。</w:t>
      </w:r>
    </w:p>
    <w:p w14:paraId="5EA9F961">
      <w:pPr>
        <w:widowControl/>
        <w:shd w:val="clear" w:color="auto" w:fill="FFFFFF"/>
        <w:spacing w:line="360" w:lineRule="auto"/>
        <w:ind w:firstLine="480"/>
        <w:jc w:val="left"/>
        <w:rPr>
          <w:rFonts w:hint="eastAsia" w:ascii="仿宋" w:hAnsi="仿宋" w:eastAsia="仿宋" w:cs="仿宋_GB2312"/>
          <w:color w:val="auto"/>
          <w:sz w:val="24"/>
          <w:highlight w:val="none"/>
        </w:rPr>
      </w:pPr>
      <w:r>
        <w:rPr>
          <w:rFonts w:ascii="仿宋" w:hAnsi="仿宋" w:eastAsia="仿宋" w:cs="仿宋_GB2312"/>
          <w:color w:val="auto"/>
          <w:sz w:val="24"/>
          <w:highlight w:val="none"/>
        </w:rPr>
        <w:t>2</w:t>
      </w:r>
      <w:r>
        <w:rPr>
          <w:rFonts w:hint="eastAsia" w:ascii="仿宋" w:hAnsi="仿宋" w:eastAsia="仿宋" w:cs="仿宋_GB2312"/>
          <w:color w:val="auto"/>
          <w:sz w:val="24"/>
          <w:highlight w:val="none"/>
          <w:lang w:val="en-US" w:eastAsia="zh-CN"/>
        </w:rPr>
        <w:t>4</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入围结果公告内容包括征集人及其委托的采购代理机构的名称、地址、联系</w:t>
      </w:r>
    </w:p>
    <w:p w14:paraId="50AC6ED3">
      <w:pPr>
        <w:widowControl/>
        <w:shd w:val="clear" w:color="auto" w:fill="FFFFFF"/>
        <w:spacing w:line="360" w:lineRule="auto"/>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方式，项目名称和项目编号，入围供应商名称、地址及排序，最高入围价格或者最低入围分值，入围产品名称、规格型号或者主要服务内容及服务标准，入围单价，未中标情况说明、中标公告期限以及评审专家名单。</w:t>
      </w:r>
    </w:p>
    <w:p w14:paraId="359DC839">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公告期限为1个工作日。</w:t>
      </w:r>
    </w:p>
    <w:p w14:paraId="406854A1">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hint="eastAsia" w:ascii="仿宋" w:hAnsi="仿宋" w:eastAsia="仿宋" w:cs="仿宋_GB2312"/>
          <w:color w:val="auto"/>
          <w:sz w:val="24"/>
          <w:highlight w:val="none"/>
          <w:lang w:val="en-US" w:eastAsia="zh-CN"/>
        </w:rPr>
        <w:t>4</w:t>
      </w:r>
      <w:r>
        <w:rPr>
          <w:rFonts w:hint="eastAsia" w:ascii="仿宋" w:hAnsi="仿宋" w:eastAsia="仿宋" w:cs="仿宋_GB2312"/>
          <w:color w:val="auto"/>
          <w:sz w:val="24"/>
          <w:highlight w:val="none"/>
        </w:rPr>
        <w:t>.4入围供应商的清退和补充规则</w:t>
      </w:r>
    </w:p>
    <w:p w14:paraId="11D6E40F">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在下列情形下甲方有权清退入围供应商，而不需要承担任何责任：</w:t>
      </w:r>
    </w:p>
    <w:p w14:paraId="5DCA120C">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1）入围供应商实质性违反本协议约定的；</w:t>
      </w:r>
    </w:p>
    <w:p w14:paraId="2D52C39F">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2）入围供应商有违反合同约定或其职责、义务的行为，在征集人指定期限内未予以纠正或补救的；</w:t>
      </w:r>
    </w:p>
    <w:p w14:paraId="3135C993">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3）入围供应商资质吊销或注销的；</w:t>
      </w:r>
    </w:p>
    <w:p w14:paraId="3C6D7A8B">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4）入围供应商泄漏委托方的秘密或与第三方串通损害征集人利益的；由此造成的经济损失，入围方应予赔偿；存在违法违规行为的，由相关部门进行处理；</w:t>
      </w:r>
    </w:p>
    <w:p w14:paraId="539BCA00">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5）征集人针对项目服务时限、质量有权提出要求，由于入围供应商原因，项目服务时限超出委托时限或质量不合格的；</w:t>
      </w:r>
    </w:p>
    <w:p w14:paraId="665418F6">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6）入围供应商与项目相关单位或个人私下交易，接受财物、吃请等违纪行为经查实的；存在违法违规行为的，由相关部门进行处理；</w:t>
      </w:r>
    </w:p>
    <w:p w14:paraId="5FE299C7">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7）入围供应商在评审过程中将评审资料丢失的；由此造成的经济损失，入围供应商应予赔偿；存在违法违规行为的，由相关部门进行处理；</w:t>
      </w:r>
    </w:p>
    <w:p w14:paraId="1FD40E68">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8）在入围供应商违约情形下，征集人有权对本项目合同进行必要的变更。 因入围供应商违约导致合同解除的，入围供应商应按本项目正常计算酬金的 20%支付违约金。</w:t>
      </w:r>
    </w:p>
    <w:p w14:paraId="57DB9076">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9）入围供应商提供服务时，需按委托人要求时限完成，无正当理由，未按时完成的将解除合同。</w:t>
      </w:r>
    </w:p>
    <w:p w14:paraId="6193B0D0">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10）执行纠错机制，即因评审项目结果存在较大争议，相关单位提出投诉，并确认入围供应商为责任方的，征集人有权终止合同。</w:t>
      </w:r>
    </w:p>
    <w:p w14:paraId="467BC587">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11）确定入围供应商后，征集人有权对入围供应商提供的人员名单、注册证明、执业资格、人事关系、业绩材料等相关资料到相关部门进行核实，如投标文件存在虚假情况，则取消中标候选人的中标资格，存在违法违规行为的，由相关部门进行处理；</w:t>
      </w:r>
    </w:p>
    <w:p w14:paraId="1B035901">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12）如遇到政策变化或者其他不可抗力因素，本协议自动解除。</w:t>
      </w:r>
    </w:p>
    <w:p w14:paraId="028113FF">
      <w:pPr>
        <w:widowControl/>
        <w:shd w:val="clear" w:color="auto" w:fill="FFFFFF"/>
        <w:spacing w:line="360" w:lineRule="auto"/>
        <w:ind w:firstLine="480"/>
        <w:jc w:val="left"/>
        <w:rPr>
          <w:rFonts w:ascii="仿宋" w:hAnsi="仿宋" w:eastAsia="仿宋" w:cs="仿宋_GB2312"/>
          <w:color w:val="auto"/>
          <w:sz w:val="24"/>
          <w:highlight w:val="none"/>
        </w:rPr>
      </w:pPr>
      <w:r>
        <w:rPr>
          <w:rFonts w:hint="eastAsia" w:ascii="仿宋" w:hAnsi="仿宋" w:eastAsia="仿宋" w:cs="仿宋_GB2312"/>
          <w:color w:val="auto"/>
          <w:sz w:val="24"/>
          <w:highlight w:val="none"/>
        </w:rPr>
        <w:t>除剩余入围供应商不足入围供应商总数70%且影响框架协议执行的情形外，框架协议有效期内，征集人不得补充征集供应商。</w:t>
      </w:r>
    </w:p>
    <w:p w14:paraId="6E55B8B2">
      <w:pPr>
        <w:snapToGrid w:val="0"/>
        <w:spacing w:line="360" w:lineRule="auto"/>
        <w:ind w:left="120" w:leftChars="57" w:firstLine="482" w:firstLineChars="150"/>
        <w:jc w:val="center"/>
        <w:rPr>
          <w:rFonts w:ascii="仿宋" w:hAnsi="仿宋" w:eastAsia="仿宋" w:cs="仿宋_GB2312"/>
          <w:b/>
          <w:color w:val="auto"/>
          <w:sz w:val="32"/>
          <w:highlight w:val="none"/>
        </w:rPr>
      </w:pPr>
    </w:p>
    <w:p w14:paraId="42B300C4">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rPr>
        <w:t>七、框架协议签订</w:t>
      </w:r>
    </w:p>
    <w:p w14:paraId="7CB178E8">
      <w:pPr>
        <w:pStyle w:val="21"/>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highlight w:val="none"/>
          <w:lang w:val="en-US" w:eastAsia="zh-CN"/>
        </w:rPr>
        <w:t>5</w:t>
      </w:r>
      <w:r>
        <w:rPr>
          <w:rFonts w:hint="eastAsia" w:ascii="仿宋" w:hAnsi="仿宋" w:eastAsia="仿宋" w:cs="仿宋_GB2312"/>
          <w:b/>
          <w:color w:val="auto"/>
          <w:highlight w:val="none"/>
        </w:rPr>
        <w:t xml:space="preserve">. </w:t>
      </w:r>
      <w:r>
        <w:rPr>
          <w:rFonts w:hint="eastAsia" w:ascii="仿宋" w:hAnsi="仿宋" w:eastAsia="仿宋" w:cs="仿宋_GB2312"/>
          <w:color w:val="auto"/>
          <w:highlight w:val="none"/>
        </w:rPr>
        <w:t>框架协议签订主要条款详见第五部分</w:t>
      </w:r>
      <w:r>
        <w:rPr>
          <w:rFonts w:hint="eastAsia" w:ascii="仿宋" w:hAnsi="仿宋" w:eastAsia="仿宋" w:cs="仿宋_GB2312"/>
          <w:color w:val="auto"/>
          <w:highlight w:val="none"/>
          <w:lang w:eastAsia="zh-CN"/>
        </w:rPr>
        <w:t>拟签订的框架协议文本和采购合同文本</w:t>
      </w:r>
      <w:r>
        <w:rPr>
          <w:rFonts w:hint="eastAsia" w:ascii="仿宋" w:hAnsi="仿宋" w:eastAsia="仿宋" w:cs="仿宋_GB2312"/>
          <w:color w:val="auto"/>
          <w:highlight w:val="none"/>
        </w:rPr>
        <w:t>。</w:t>
      </w:r>
    </w:p>
    <w:p w14:paraId="31513D98">
      <w:pPr>
        <w:pStyle w:val="21"/>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highlight w:val="none"/>
          <w:lang w:val="en-US" w:eastAsia="zh-CN"/>
        </w:rPr>
        <w:t>6</w:t>
      </w:r>
      <w:r>
        <w:rPr>
          <w:rFonts w:hint="eastAsia" w:ascii="仿宋" w:hAnsi="仿宋" w:eastAsia="仿宋" w:cs="仿宋_GB2312"/>
          <w:b/>
          <w:color w:val="auto"/>
          <w:highlight w:val="none"/>
        </w:rPr>
        <w:t>. 框架协议的签订</w:t>
      </w:r>
    </w:p>
    <w:p w14:paraId="60D619F3">
      <w:pPr>
        <w:pStyle w:val="97"/>
        <w:snapToGrid w:val="0"/>
        <w:spacing w:before="0"/>
        <w:ind w:firstLine="480"/>
        <w:rPr>
          <w:rFonts w:ascii="仿宋" w:hAnsi="仿宋" w:eastAsia="仿宋" w:cs="仿宋_GB2312"/>
          <w:color w:val="auto"/>
          <w:kern w:val="0"/>
          <w:highlight w:val="none"/>
          <w:lang w:val="zh-CN"/>
        </w:rPr>
      </w:pPr>
      <w:r>
        <w:rPr>
          <w:rFonts w:hint="eastAsia" w:ascii="仿宋" w:hAnsi="仿宋" w:eastAsia="仿宋" w:cs="仿宋_GB2312"/>
          <w:color w:val="auto"/>
          <w:kern w:val="0"/>
          <w:highlight w:val="none"/>
          <w:lang w:val="zh-CN"/>
        </w:rPr>
        <w:t>2</w:t>
      </w:r>
      <w:r>
        <w:rPr>
          <w:rFonts w:hint="eastAsia" w:ascii="仿宋" w:hAnsi="仿宋" w:eastAsia="仿宋" w:cs="仿宋_GB2312"/>
          <w:color w:val="auto"/>
          <w:kern w:val="0"/>
          <w:highlight w:val="none"/>
          <w:lang w:val="en-US" w:eastAsia="zh-CN"/>
        </w:rPr>
        <w:t>6</w:t>
      </w:r>
      <w:r>
        <w:rPr>
          <w:rFonts w:hint="eastAsia" w:ascii="仿宋" w:hAnsi="仿宋" w:eastAsia="仿宋" w:cs="仿宋_GB2312"/>
          <w:color w:val="auto"/>
          <w:kern w:val="0"/>
          <w:highlight w:val="none"/>
          <w:lang w:val="zh-CN"/>
        </w:rPr>
        <w:t>.1 征集人与入围供应商应当通过电子交易平台在入围通知书发出之日起三十日内，按照征集文件确定的事项签订框架协议，并在签订之日起2个工作日内将框架协议在浙江政府采购网上公告。鼓励有条件的征集人视情缩减采购合同签订时限，提高采购效率，杜绝“冷、硬、横、推 ”等不当行为。除不可抗力等特殊情况外，原则上应当在入围通知书发出之日起10个工作日内， 与入围供应商按照征集文件确定的事项签订框架协议。</w:t>
      </w:r>
    </w:p>
    <w:p w14:paraId="6CB4F9F3">
      <w:pPr>
        <w:pStyle w:val="97"/>
        <w:snapToGrid w:val="0"/>
        <w:spacing w:before="0"/>
        <w:ind w:firstLine="480"/>
        <w:rPr>
          <w:rFonts w:ascii="仿宋" w:hAnsi="仿宋" w:eastAsia="仿宋"/>
          <w:color w:val="auto"/>
          <w:kern w:val="0"/>
          <w:highlight w:val="none"/>
        </w:rPr>
      </w:pPr>
      <w:r>
        <w:rPr>
          <w:rFonts w:hint="eastAsia" w:ascii="仿宋" w:hAnsi="仿宋" w:eastAsia="仿宋" w:cs="仿宋_GB2312"/>
          <w:color w:val="auto"/>
          <w:kern w:val="0"/>
          <w:highlight w:val="none"/>
          <w:lang w:val="zh-CN"/>
        </w:rPr>
        <w:t>2</w:t>
      </w:r>
      <w:r>
        <w:rPr>
          <w:rFonts w:hint="eastAsia" w:ascii="仿宋" w:hAnsi="仿宋" w:eastAsia="仿宋" w:cs="仿宋_GB2312"/>
          <w:color w:val="auto"/>
          <w:kern w:val="0"/>
          <w:highlight w:val="none"/>
          <w:lang w:val="en-US" w:eastAsia="zh-CN"/>
        </w:rPr>
        <w:t>6</w:t>
      </w:r>
      <w:r>
        <w:rPr>
          <w:rFonts w:hint="eastAsia" w:ascii="仿宋" w:hAnsi="仿宋" w:eastAsia="仿宋" w:cs="仿宋_GB2312"/>
          <w:color w:val="auto"/>
          <w:kern w:val="0"/>
          <w:highlight w:val="none"/>
          <w:lang w:val="zh-CN"/>
        </w:rPr>
        <w:t>.2入围供应商按规定的日期、时间、地点，由法定代表人或其授权代表与征集人代表签订框架协议。如入围供应商为联合体的，由联合体成员各方法定代表人或其授权代表与征集人代表签订框架协议</w:t>
      </w:r>
      <w:r>
        <w:rPr>
          <w:rFonts w:hint="eastAsia" w:ascii="仿宋" w:hAnsi="仿宋" w:eastAsia="仿宋"/>
          <w:color w:val="auto"/>
          <w:kern w:val="0"/>
          <w:highlight w:val="none"/>
          <w:lang w:val="zh-CN"/>
        </w:rPr>
        <w:t>。</w:t>
      </w:r>
    </w:p>
    <w:p w14:paraId="2316CC6C">
      <w:pPr>
        <w:pStyle w:val="97"/>
        <w:snapToGrid w:val="0"/>
        <w:spacing w:before="0"/>
        <w:ind w:firstLine="480"/>
        <w:rPr>
          <w:rFonts w:ascii="仿宋" w:hAnsi="仿宋" w:eastAsia="仿宋"/>
          <w:color w:val="auto"/>
          <w:kern w:val="0"/>
          <w:highlight w:val="none"/>
          <w:lang w:val="zh-CN"/>
        </w:rPr>
      </w:pPr>
      <w:r>
        <w:rPr>
          <w:rFonts w:hint="eastAsia" w:ascii="仿宋" w:hAnsi="仿宋" w:eastAsia="仿宋"/>
          <w:color w:val="auto"/>
          <w:kern w:val="0"/>
          <w:highlight w:val="none"/>
          <w:lang w:val="zh-CN"/>
        </w:rPr>
        <w:t>2</w:t>
      </w:r>
      <w:r>
        <w:rPr>
          <w:rFonts w:hint="eastAsia" w:ascii="仿宋" w:hAnsi="仿宋" w:eastAsia="仿宋"/>
          <w:color w:val="auto"/>
          <w:kern w:val="0"/>
          <w:highlight w:val="none"/>
          <w:lang w:val="en-US" w:eastAsia="zh-CN"/>
        </w:rPr>
        <w:t>6</w:t>
      </w:r>
      <w:r>
        <w:rPr>
          <w:rFonts w:hint="eastAsia" w:ascii="仿宋" w:hAnsi="仿宋" w:eastAsia="仿宋"/>
          <w:color w:val="auto"/>
          <w:kern w:val="0"/>
          <w:highlight w:val="none"/>
          <w:lang w:val="zh-CN"/>
        </w:rPr>
        <w:t>.3如签订框架协议并生效后，供应商无故拒绝或延期，除按照框架协议条款处理外，列入不良行为记录一次，并给予通报。</w:t>
      </w:r>
    </w:p>
    <w:p w14:paraId="7C8F8F8C">
      <w:pPr>
        <w:pStyle w:val="97"/>
        <w:snapToGrid w:val="0"/>
        <w:spacing w:before="0"/>
        <w:ind w:firstLine="480"/>
        <w:rPr>
          <w:rFonts w:hint="eastAsia" w:ascii="仿宋" w:hAnsi="仿宋" w:eastAsia="仿宋"/>
          <w:color w:val="auto"/>
          <w:kern w:val="0"/>
          <w:highlight w:val="none"/>
          <w:lang w:val="zh-CN"/>
        </w:rPr>
      </w:pPr>
      <w:r>
        <w:rPr>
          <w:rFonts w:hint="eastAsia" w:ascii="仿宋" w:hAnsi="仿宋" w:eastAsia="仿宋"/>
          <w:color w:val="auto"/>
          <w:kern w:val="0"/>
          <w:highlight w:val="none"/>
          <w:lang w:val="zh-CN"/>
        </w:rPr>
        <w:t>2</w:t>
      </w:r>
      <w:r>
        <w:rPr>
          <w:rFonts w:hint="eastAsia" w:ascii="仿宋" w:hAnsi="仿宋" w:eastAsia="仿宋"/>
          <w:color w:val="auto"/>
          <w:kern w:val="0"/>
          <w:highlight w:val="none"/>
          <w:lang w:val="en-US" w:eastAsia="zh-CN"/>
        </w:rPr>
        <w:t>6</w:t>
      </w:r>
      <w:r>
        <w:rPr>
          <w:rFonts w:hint="eastAsia" w:ascii="仿宋" w:hAnsi="仿宋" w:eastAsia="仿宋"/>
          <w:color w:val="auto"/>
          <w:kern w:val="0"/>
          <w:highlight w:val="none"/>
          <w:lang w:val="zh-CN"/>
        </w:rPr>
        <w:t>.4入围供应商拒绝与征集人签订框架协议的，征集人可以按照评审报告推荐的</w:t>
      </w:r>
    </w:p>
    <w:p w14:paraId="1153638C">
      <w:pPr>
        <w:pStyle w:val="97"/>
        <w:snapToGrid w:val="0"/>
        <w:spacing w:before="0"/>
        <w:ind w:left="0" w:leftChars="0" w:firstLine="0" w:firstLineChars="0"/>
        <w:rPr>
          <w:rFonts w:ascii="仿宋" w:hAnsi="仿宋" w:eastAsia="仿宋"/>
          <w:color w:val="auto"/>
          <w:kern w:val="0"/>
          <w:highlight w:val="none"/>
          <w:lang w:val="zh-CN"/>
        </w:rPr>
      </w:pPr>
      <w:r>
        <w:rPr>
          <w:rFonts w:hint="eastAsia" w:ascii="仿宋" w:hAnsi="仿宋" w:eastAsia="仿宋"/>
          <w:color w:val="auto"/>
          <w:kern w:val="0"/>
          <w:highlight w:val="none"/>
          <w:lang w:val="zh-CN"/>
        </w:rPr>
        <w:t>入围候选人名单排序，确定下一候选人为入围供应商，也可以重新开展政府采购活动。</w:t>
      </w:r>
    </w:p>
    <w:p w14:paraId="768DBB4C">
      <w:pPr>
        <w:pStyle w:val="97"/>
        <w:snapToGrid w:val="0"/>
        <w:spacing w:before="0"/>
        <w:ind w:firstLine="480"/>
        <w:rPr>
          <w:rFonts w:ascii="仿宋" w:hAnsi="仿宋" w:eastAsia="仿宋" w:cs="仿宋_GB2312"/>
          <w:color w:val="auto"/>
          <w:highlight w:val="none"/>
        </w:rPr>
      </w:pPr>
      <w:r>
        <w:rPr>
          <w:rFonts w:ascii="仿宋" w:hAnsi="仿宋" w:eastAsia="仿宋" w:cs="仿宋_GB2312"/>
          <w:color w:val="auto"/>
          <w:highlight w:val="none"/>
        </w:rPr>
        <w:t>2</w:t>
      </w:r>
      <w:r>
        <w:rPr>
          <w:rFonts w:hint="eastAsia" w:ascii="仿宋" w:hAnsi="仿宋" w:eastAsia="仿宋" w:cs="仿宋_GB2312"/>
          <w:color w:val="auto"/>
          <w:highlight w:val="none"/>
          <w:lang w:val="en-US" w:eastAsia="zh-CN"/>
        </w:rPr>
        <w:t>6</w:t>
      </w:r>
      <w:r>
        <w:rPr>
          <w:rFonts w:ascii="仿宋" w:hAnsi="仿宋" w:eastAsia="仿宋" w:cs="仿宋_GB2312"/>
          <w:color w:val="auto"/>
          <w:highlight w:val="none"/>
        </w:rPr>
        <w:t>.5</w:t>
      </w:r>
      <w:r>
        <w:rPr>
          <w:rFonts w:hint="eastAsia" w:ascii="仿宋" w:hAnsi="仿宋" w:eastAsia="仿宋" w:cs="仿宋_GB2312"/>
          <w:color w:val="auto"/>
          <w:highlight w:val="none"/>
        </w:rPr>
        <w:t>签订框架协议</w:t>
      </w:r>
      <w:r>
        <w:rPr>
          <w:rFonts w:ascii="仿宋" w:hAnsi="仿宋" w:eastAsia="仿宋" w:cs="仿宋_GB2312"/>
          <w:color w:val="auto"/>
          <w:highlight w:val="none"/>
        </w:rPr>
        <w:t>由征集人与</w:t>
      </w:r>
      <w:r>
        <w:rPr>
          <w:rFonts w:hint="eastAsia" w:ascii="仿宋" w:hAnsi="仿宋" w:eastAsia="仿宋" w:cs="仿宋_GB2312"/>
          <w:color w:val="auto"/>
          <w:highlight w:val="none"/>
          <w:lang w:val="en-US" w:eastAsia="zh-CN"/>
        </w:rPr>
        <w:t>入围</w:t>
      </w:r>
      <w:r>
        <w:rPr>
          <w:rFonts w:ascii="仿宋" w:hAnsi="仿宋" w:eastAsia="仿宋" w:cs="仿宋_GB2312"/>
          <w:color w:val="auto"/>
          <w:highlight w:val="none"/>
        </w:rPr>
        <w:t>供应商根据</w:t>
      </w:r>
      <w:r>
        <w:rPr>
          <w:rFonts w:hint="eastAsia" w:ascii="仿宋" w:hAnsi="仿宋" w:eastAsia="仿宋" w:cs="仿宋_GB2312"/>
          <w:color w:val="auto"/>
          <w:highlight w:val="none"/>
        </w:rPr>
        <w:t>征集文件、响应文件等内容通过政府采购电子交易平台在线签订，自动备案。</w:t>
      </w:r>
    </w:p>
    <w:p w14:paraId="1692C45A">
      <w:pPr>
        <w:pStyle w:val="21"/>
        <w:spacing w:line="360" w:lineRule="auto"/>
        <w:ind w:left="479" w:hanging="479" w:hangingChars="199"/>
        <w:rPr>
          <w:rFonts w:ascii="仿宋" w:hAnsi="仿宋" w:eastAsia="仿宋" w:cs="仿宋_GB2312"/>
          <w:b/>
          <w:color w:val="auto"/>
          <w:highlight w:val="none"/>
        </w:rPr>
      </w:pPr>
      <w:r>
        <w:rPr>
          <w:rFonts w:hint="eastAsia" w:ascii="仿宋" w:hAnsi="仿宋" w:eastAsia="仿宋" w:cs="仿宋_GB2312"/>
          <w:b/>
          <w:color w:val="auto"/>
          <w:highlight w:val="none"/>
        </w:rPr>
        <w:t>2</w:t>
      </w:r>
      <w:r>
        <w:rPr>
          <w:rFonts w:hint="eastAsia" w:ascii="仿宋" w:hAnsi="仿宋" w:eastAsia="仿宋" w:cs="仿宋_GB2312"/>
          <w:b/>
          <w:color w:val="auto"/>
          <w:highlight w:val="none"/>
          <w:lang w:val="en-US" w:eastAsia="zh-CN"/>
        </w:rPr>
        <w:t>7</w:t>
      </w:r>
      <w:r>
        <w:rPr>
          <w:rFonts w:hint="eastAsia" w:ascii="仿宋" w:hAnsi="仿宋" w:eastAsia="仿宋" w:cs="仿宋_GB2312"/>
          <w:b/>
          <w:color w:val="auto"/>
          <w:highlight w:val="none"/>
        </w:rPr>
        <w:t>. 履约保证金（本项目不适用）</w:t>
      </w:r>
    </w:p>
    <w:p w14:paraId="6556DE97">
      <w:pPr>
        <w:tabs>
          <w:tab w:val="left" w:pos="0"/>
        </w:tabs>
        <w:spacing w:line="360" w:lineRule="auto"/>
        <w:ind w:firstLine="482"/>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lang w:eastAsia="zh-CN"/>
        </w:rPr>
        <w:t>拟签订的框架协议文本和采购合同文本</w:t>
      </w:r>
      <w:r>
        <w:rPr>
          <w:rFonts w:hint="eastAsia" w:ascii="仿宋" w:hAnsi="仿宋" w:eastAsia="仿宋" w:cs="仿宋_GB2312"/>
          <w:color w:val="auto"/>
          <w:sz w:val="24"/>
          <w:szCs w:val="20"/>
          <w:highlight w:val="none"/>
        </w:rPr>
        <w:t>要求中标供应商提交履约保证金的，供应商应当以支票、汇票、本票或者金融机构、担保机构出具的保函等非现金形式提交。履约保证金的数额不得超过政府采购合同金额的1%。鼓励和支持供应商以银行、保险公司出具的保函形式提供履约保证金。征集人不得拒收履约保函，项目验收结束后应及时退还，延迟退还的，应当按照合同约定和法律规定承担相应的赔偿责任。</w:t>
      </w:r>
    </w:p>
    <w:p w14:paraId="03A67DE8">
      <w:pPr>
        <w:tabs>
          <w:tab w:val="left" w:pos="0"/>
        </w:tabs>
        <w:spacing w:line="360" w:lineRule="auto"/>
        <w:ind w:firstLine="482"/>
        <w:rPr>
          <w:rFonts w:ascii="仿宋" w:hAnsi="仿宋" w:eastAsia="仿宋" w:cs="仿宋_GB2312"/>
          <w:color w:val="auto"/>
          <w:sz w:val="24"/>
          <w:szCs w:val="20"/>
          <w:highlight w:val="none"/>
        </w:rPr>
      </w:pPr>
      <w:r>
        <w:rPr>
          <w:rFonts w:hint="eastAsia" w:ascii="仿宋" w:hAnsi="仿宋" w:eastAsia="仿宋" w:cs="仿宋_GB2312"/>
          <w:color w:val="auto"/>
          <w:sz w:val="24"/>
          <w:szCs w:val="20"/>
          <w:highlight w:val="none"/>
        </w:rPr>
        <w:t>政府采购货物和服务项目中，采购单位可根据杭州市政府采购网公布的供应商履约评价情况减免履约保证金。供应商履约验收评价总分为100分的，采购单位应当免收履约保证金。</w:t>
      </w:r>
    </w:p>
    <w:p w14:paraId="30B8622F">
      <w:pPr>
        <w:tabs>
          <w:tab w:val="left" w:pos="0"/>
        </w:tabs>
        <w:spacing w:line="360" w:lineRule="auto"/>
        <w:rPr>
          <w:rFonts w:ascii="仿宋" w:hAnsi="仿宋" w:eastAsia="仿宋" w:cs="Helvetica"/>
          <w:color w:val="auto"/>
          <w:kern w:val="0"/>
          <w:sz w:val="24"/>
          <w:highlight w:val="none"/>
        </w:rPr>
      </w:pPr>
      <w:r>
        <w:rPr>
          <w:rFonts w:hint="eastAsia" w:ascii="仿宋" w:hAnsi="仿宋" w:eastAsia="仿宋"/>
          <w:color w:val="auto"/>
          <w:sz w:val="24"/>
          <w:highlight w:val="none"/>
        </w:rPr>
        <w:t xml:space="preserve">  供应商提供保函可以根据杭州市滨江区门户网站公示的滨江区政采贷合作银行及联系人信息表（</w:t>
      </w:r>
      <w:r>
        <w:rPr>
          <w:color w:val="auto"/>
          <w:highlight w:val="none"/>
        </w:rPr>
        <w:fldChar w:fldCharType="begin"/>
      </w:r>
      <w:r>
        <w:rPr>
          <w:color w:val="auto"/>
          <w:highlight w:val="none"/>
        </w:rPr>
        <w:instrText xml:space="preserve"> HYPERLINK "http://www.hhtz.gov.cn/art/2022/1/11/art_1487037_59039349.html" </w:instrText>
      </w:r>
      <w:r>
        <w:rPr>
          <w:color w:val="auto"/>
          <w:highlight w:val="none"/>
        </w:rPr>
        <w:fldChar w:fldCharType="separate"/>
      </w:r>
      <w:r>
        <w:rPr>
          <w:rStyle w:val="57"/>
          <w:rFonts w:ascii="仿宋" w:hAnsi="仿宋" w:eastAsia="仿宋"/>
          <w:color w:val="auto"/>
          <w:sz w:val="24"/>
          <w:highlight w:val="none"/>
        </w:rPr>
        <w:t>http://www.hhtz.gov.cn/art/2022/1/11/art_1487037_59039349.html</w:t>
      </w:r>
      <w:r>
        <w:rPr>
          <w:rStyle w:val="57"/>
          <w:rFonts w:ascii="仿宋" w:hAnsi="仿宋" w:eastAsia="仿宋"/>
          <w:color w:val="auto"/>
          <w:sz w:val="24"/>
          <w:highlight w:val="none"/>
        </w:rPr>
        <w:fldChar w:fldCharType="end"/>
      </w:r>
      <w:r>
        <w:rPr>
          <w:rFonts w:ascii="仿宋" w:hAnsi="仿宋" w:eastAsia="仿宋"/>
          <w:snapToGrid w:val="0"/>
          <w:color w:val="auto"/>
          <w:kern w:val="28"/>
          <w:sz w:val="24"/>
          <w:highlight w:val="none"/>
        </w:rPr>
        <w:t>）获取联系方式选择银行、对接申请提供保函服务。还可以</w:t>
      </w:r>
      <w:r>
        <w:rPr>
          <w:rFonts w:hint="eastAsia" w:ascii="仿宋" w:hAnsi="仿宋" w:eastAsia="仿宋" w:cs="Helvetica"/>
          <w:color w:val="auto"/>
          <w:kern w:val="0"/>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0695483">
      <w:pPr>
        <w:tabs>
          <w:tab w:val="left" w:pos="0"/>
        </w:tabs>
        <w:spacing w:line="360" w:lineRule="auto"/>
        <w:rPr>
          <w:rFonts w:ascii="仿宋" w:hAnsi="仿宋" w:eastAsia="仿宋"/>
          <w:color w:val="auto"/>
          <w:sz w:val="24"/>
          <w:highlight w:val="none"/>
        </w:rPr>
      </w:pPr>
    </w:p>
    <w:p w14:paraId="7DA5E101">
      <w:pPr>
        <w:numPr>
          <w:ilvl w:val="0"/>
          <w:numId w:val="3"/>
        </w:numPr>
        <w:snapToGrid w:val="0"/>
        <w:spacing w:line="360" w:lineRule="auto"/>
        <w:ind w:left="-3357" w:leftChars="0" w:firstLine="3357" w:firstLineChars="0"/>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采购合同授予</w:t>
      </w:r>
    </w:p>
    <w:p w14:paraId="12A03490">
      <w:pPr>
        <w:pStyle w:val="21"/>
        <w:spacing w:line="360" w:lineRule="auto"/>
        <w:ind w:left="479" w:hanging="479" w:hangingChars="199"/>
        <w:rPr>
          <w:rFonts w:hint="eastAsia" w:ascii="仿宋" w:hAnsi="仿宋" w:eastAsia="仿宋" w:cs="仿宋_GB2312"/>
          <w:b/>
          <w:color w:val="auto"/>
          <w:highlight w:val="none"/>
          <w:lang w:val="en-US" w:eastAsia="zh-CN"/>
        </w:rPr>
      </w:pPr>
      <w:r>
        <w:rPr>
          <w:rFonts w:hint="eastAsia" w:ascii="仿宋" w:hAnsi="仿宋" w:eastAsia="仿宋" w:cs="仿宋_GB2312"/>
          <w:b/>
          <w:color w:val="auto"/>
          <w:highlight w:val="none"/>
          <w:lang w:val="en-US" w:eastAsia="zh-CN"/>
        </w:rPr>
        <w:t>28. 适用框架协议的征集人或服务对象</w:t>
      </w:r>
    </w:p>
    <w:p w14:paraId="06AE6BF9">
      <w:pPr>
        <w:pStyle w:val="2"/>
        <w:numPr>
          <w:ilvl w:val="0"/>
          <w:numId w:val="0"/>
        </w:numPr>
        <w:ind w:leftChars="0" w:firstLine="480" w:firstLineChars="200"/>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杭州市滨江区民政局。</w:t>
      </w:r>
    </w:p>
    <w:p w14:paraId="5C4B2DFC">
      <w:pPr>
        <w:pStyle w:val="21"/>
        <w:spacing w:line="360" w:lineRule="auto"/>
        <w:ind w:left="479" w:hanging="479" w:hangingChars="199"/>
        <w:rPr>
          <w:rFonts w:hint="eastAsia" w:ascii="仿宋" w:hAnsi="仿宋" w:eastAsia="仿宋" w:cs="仿宋_GB2312"/>
          <w:b/>
          <w:color w:val="auto"/>
          <w:highlight w:val="none"/>
          <w:lang w:val="en-US" w:eastAsia="zh-CN"/>
        </w:rPr>
      </w:pPr>
      <w:r>
        <w:rPr>
          <w:rFonts w:hint="eastAsia" w:ascii="仿宋" w:hAnsi="仿宋" w:eastAsia="仿宋" w:cs="仿宋_GB2312"/>
          <w:b/>
          <w:color w:val="auto"/>
          <w:highlight w:val="none"/>
          <w:lang w:val="en-US" w:eastAsia="zh-CN"/>
        </w:rPr>
        <w:t>29. 第二阶段成交</w:t>
      </w:r>
    </w:p>
    <w:p w14:paraId="2BCC24E6">
      <w:pPr>
        <w:pStyle w:val="2"/>
        <w:numPr>
          <w:ilvl w:val="0"/>
          <w:numId w:val="0"/>
        </w:numPr>
        <w:ind w:leftChars="0" w:firstLine="480" w:firstLineChars="200"/>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29.1.本项目确定第二阶段成交供应商的方式采用：直接选定方式，由征集人由采购人或者服务对象依据入围产品价格、质量以及服务便利性、用户评价等因素从第一阶段入围供应商中直接选定。</w:t>
      </w:r>
    </w:p>
    <w:p w14:paraId="38D345B0">
      <w:pPr>
        <w:pStyle w:val="2"/>
        <w:numPr>
          <w:ilvl w:val="0"/>
          <w:numId w:val="0"/>
        </w:numPr>
        <w:ind w:leftChars="0" w:firstLine="480" w:firstLineChars="200"/>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29.2. 成交结果公告</w:t>
      </w:r>
    </w:p>
    <w:p w14:paraId="6A3610F5">
      <w:pPr>
        <w:pStyle w:val="2"/>
        <w:numPr>
          <w:ilvl w:val="0"/>
          <w:numId w:val="0"/>
        </w:numPr>
        <w:ind w:leftChars="0" w:firstLine="480" w:firstLineChars="200"/>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征集人在确定成交供应商后 2 个工作日内通过电子交易平台发布成交结果公告。</w:t>
      </w:r>
    </w:p>
    <w:p w14:paraId="2C7220D1">
      <w:pPr>
        <w:pStyle w:val="21"/>
        <w:spacing w:line="360" w:lineRule="auto"/>
        <w:ind w:left="479" w:hanging="479" w:hangingChars="199"/>
        <w:rPr>
          <w:rFonts w:hint="eastAsia" w:ascii="仿宋" w:hAnsi="仿宋" w:eastAsia="仿宋" w:cs="仿宋_GB2312"/>
          <w:b/>
          <w:color w:val="auto"/>
          <w:highlight w:val="none"/>
          <w:lang w:val="en-US" w:eastAsia="zh-CN"/>
        </w:rPr>
      </w:pPr>
      <w:r>
        <w:rPr>
          <w:rFonts w:hint="eastAsia" w:ascii="仿宋" w:hAnsi="仿宋" w:eastAsia="仿宋" w:cs="仿宋_GB2312"/>
          <w:b/>
          <w:color w:val="auto"/>
          <w:highlight w:val="none"/>
          <w:lang w:val="en-US" w:eastAsia="zh-CN"/>
        </w:rPr>
        <w:t>30. 签订采购合同</w:t>
      </w:r>
    </w:p>
    <w:p w14:paraId="63DD051B">
      <w:pPr>
        <w:pStyle w:val="2"/>
        <w:numPr>
          <w:ilvl w:val="0"/>
          <w:numId w:val="0"/>
        </w:numPr>
        <w:ind w:leftChars="0" w:firstLine="480" w:firstLineChars="200"/>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30.1. 合同条款详见征集文件中第五部分</w:t>
      </w:r>
      <w:r>
        <w:rPr>
          <w:rFonts w:hint="eastAsia" w:ascii="仿宋" w:eastAsia="仿宋" w:cs="仿宋_GB2312"/>
          <w:b w:val="0"/>
          <w:bCs w:val="0"/>
          <w:color w:val="auto"/>
          <w:kern w:val="2"/>
          <w:sz w:val="24"/>
          <w:szCs w:val="20"/>
          <w:highlight w:val="none"/>
          <w:lang w:val="en-US" w:eastAsia="zh-CN" w:bidi="ar-SA"/>
        </w:rPr>
        <w:t>拟签订的框架协议文本和采购合同文本</w:t>
      </w:r>
      <w:r>
        <w:rPr>
          <w:rFonts w:hint="eastAsia" w:ascii="仿宋" w:hAnsi="仿宋" w:eastAsia="仿宋" w:cs="仿宋_GB2312"/>
          <w:b w:val="0"/>
          <w:bCs w:val="0"/>
          <w:color w:val="auto"/>
          <w:kern w:val="2"/>
          <w:sz w:val="24"/>
          <w:szCs w:val="20"/>
          <w:highlight w:val="none"/>
          <w:lang w:val="en-US" w:eastAsia="zh-CN" w:bidi="ar-SA"/>
        </w:rPr>
        <w:t>。</w:t>
      </w:r>
    </w:p>
    <w:p w14:paraId="415B995C">
      <w:pPr>
        <w:pStyle w:val="2"/>
        <w:numPr>
          <w:ilvl w:val="0"/>
          <w:numId w:val="0"/>
        </w:numPr>
        <w:ind w:leftChars="0" w:firstLine="480" w:firstLineChars="200"/>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30.2. 成交供应商按规定的日期、时间、地点，由法定代表人或其授权代表与征集人或服务对象代表签订合同。如成交供应商为联合体的，由联合体成员各方法定代表人或其授权代表与征集人或服务对象代表签订合同。</w:t>
      </w:r>
    </w:p>
    <w:p w14:paraId="01679E5E">
      <w:pPr>
        <w:pStyle w:val="2"/>
        <w:numPr>
          <w:ilvl w:val="0"/>
          <w:numId w:val="0"/>
        </w:numPr>
        <w:ind w:leftChars="0" w:firstLine="480" w:firstLineChars="200"/>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30.3. 如成交供应商无正当理由拒绝签订合同的，解除框架协议，上报财政监管部门。如成交供应商签订合同并生效后，供应商无正当理由拒绝或延期，除按照合同条款处理外，解除框架协议，上报财政监管部门。</w:t>
      </w:r>
    </w:p>
    <w:p w14:paraId="1993DF52">
      <w:pPr>
        <w:pStyle w:val="2"/>
        <w:numPr>
          <w:ilvl w:val="0"/>
          <w:numId w:val="0"/>
        </w:numPr>
        <w:ind w:leftChars="0" w:firstLine="480" w:firstLineChars="200"/>
        <w:rPr>
          <w:rFonts w:hint="eastAsia" w:ascii="仿宋" w:hAnsi="仿宋" w:eastAsia="仿宋" w:cs="仿宋_GB2312"/>
          <w:b w:val="0"/>
          <w:bCs w:val="0"/>
          <w:color w:val="auto"/>
          <w:kern w:val="2"/>
          <w:sz w:val="24"/>
          <w:szCs w:val="20"/>
          <w:highlight w:val="none"/>
          <w:lang w:val="en-US" w:eastAsia="zh-CN" w:bidi="ar-SA"/>
        </w:rPr>
      </w:pPr>
    </w:p>
    <w:p w14:paraId="06E4A990">
      <w:pPr>
        <w:numPr>
          <w:ilvl w:val="0"/>
          <w:numId w:val="3"/>
        </w:numPr>
        <w:snapToGrid w:val="0"/>
        <w:spacing w:line="360" w:lineRule="auto"/>
        <w:ind w:left="-3357" w:leftChars="0" w:firstLine="3357" w:firstLineChars="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入围供应商清退和补充规则</w:t>
      </w:r>
    </w:p>
    <w:p w14:paraId="09F5CAD6">
      <w:pPr>
        <w:pStyle w:val="21"/>
        <w:numPr>
          <w:ilvl w:val="0"/>
          <w:numId w:val="4"/>
        </w:numPr>
        <w:spacing w:line="360" w:lineRule="auto"/>
        <w:ind w:left="479" w:hanging="479" w:hangingChars="199"/>
        <w:rPr>
          <w:rFonts w:hint="eastAsia" w:ascii="仿宋" w:hAnsi="仿宋" w:eastAsia="仿宋" w:cs="仿宋_GB2312"/>
          <w:b/>
          <w:color w:val="auto"/>
          <w:highlight w:val="none"/>
          <w:lang w:val="en-US" w:eastAsia="zh-CN"/>
        </w:rPr>
      </w:pPr>
      <w:r>
        <w:rPr>
          <w:rFonts w:hint="eastAsia" w:ascii="仿宋" w:hAnsi="仿宋" w:eastAsia="仿宋" w:cs="仿宋_GB2312"/>
          <w:b/>
          <w:color w:val="auto"/>
          <w:highlight w:val="none"/>
          <w:lang w:val="en-US" w:eastAsia="zh-CN"/>
        </w:rPr>
        <w:t>清退</w:t>
      </w:r>
    </w:p>
    <w:p w14:paraId="5A6A0D8A">
      <w:pPr>
        <w:pStyle w:val="21"/>
        <w:numPr>
          <w:ilvl w:val="0"/>
          <w:numId w:val="0"/>
        </w:numPr>
        <w:spacing w:line="360" w:lineRule="auto"/>
        <w:ind w:leftChars="-199" w:firstLine="720" w:firstLineChars="300"/>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入围供应商有下列情形之一，尚未签订框架协议的，取消其入围资格；已经签订框架协议的，解除与其签订的框架协议：</w:t>
      </w:r>
    </w:p>
    <w:p w14:paraId="2311D417">
      <w:pPr>
        <w:pStyle w:val="21"/>
        <w:numPr>
          <w:ilvl w:val="0"/>
          <w:numId w:val="0"/>
        </w:numPr>
        <w:spacing w:line="360" w:lineRule="auto"/>
        <w:ind w:leftChars="101"/>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1.恶意串通谋取入围或者合同成交的；</w:t>
      </w:r>
    </w:p>
    <w:p w14:paraId="31D4406A">
      <w:pPr>
        <w:pStyle w:val="21"/>
        <w:numPr>
          <w:ilvl w:val="0"/>
          <w:numId w:val="0"/>
        </w:numPr>
        <w:spacing w:line="360" w:lineRule="auto"/>
        <w:ind w:leftChars="101"/>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2.提供虚假材料谋取入围或者合同成交的；</w:t>
      </w:r>
    </w:p>
    <w:p w14:paraId="2B6E737D">
      <w:pPr>
        <w:pStyle w:val="21"/>
        <w:numPr>
          <w:ilvl w:val="0"/>
          <w:numId w:val="0"/>
        </w:numPr>
        <w:spacing w:line="360" w:lineRule="auto"/>
        <w:ind w:leftChars="101"/>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3.无正当理由拒不接受合同授予的；</w:t>
      </w:r>
    </w:p>
    <w:p w14:paraId="248F69ED">
      <w:pPr>
        <w:pStyle w:val="21"/>
        <w:numPr>
          <w:ilvl w:val="0"/>
          <w:numId w:val="0"/>
        </w:numPr>
        <w:spacing w:line="360" w:lineRule="auto"/>
        <w:ind w:leftChars="101"/>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4.不履行合同义务或者履行合同义务不符合约定，经征集人请求履行后仍不履行或者</w:t>
      </w:r>
    </w:p>
    <w:p w14:paraId="211ED6A4">
      <w:pPr>
        <w:pStyle w:val="21"/>
        <w:numPr>
          <w:ilvl w:val="0"/>
          <w:numId w:val="0"/>
        </w:numPr>
        <w:spacing w:line="360" w:lineRule="auto"/>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仍未按约定履行的；</w:t>
      </w:r>
    </w:p>
    <w:p w14:paraId="5C85949D">
      <w:pPr>
        <w:pStyle w:val="21"/>
        <w:numPr>
          <w:ilvl w:val="0"/>
          <w:numId w:val="0"/>
        </w:numPr>
        <w:spacing w:line="360" w:lineRule="auto"/>
        <w:ind w:leftChars="101"/>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5.框架协议有效期内，因违法行为被禁止或限制参加政府采购活动的；</w:t>
      </w:r>
    </w:p>
    <w:p w14:paraId="23C5ECA4">
      <w:pPr>
        <w:pStyle w:val="21"/>
        <w:numPr>
          <w:ilvl w:val="0"/>
          <w:numId w:val="0"/>
        </w:numPr>
        <w:spacing w:line="360" w:lineRule="auto"/>
        <w:ind w:leftChars="101"/>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6.框架协议约定的其他情形。</w:t>
      </w:r>
    </w:p>
    <w:p w14:paraId="63BC288E">
      <w:pPr>
        <w:pStyle w:val="21"/>
        <w:numPr>
          <w:ilvl w:val="0"/>
          <w:numId w:val="0"/>
        </w:numPr>
        <w:spacing w:line="360" w:lineRule="auto"/>
        <w:ind w:leftChars="101"/>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被取消入围资格或者被解除框架协议的供应商不得参加同一封闭式框架协议补充征</w:t>
      </w:r>
    </w:p>
    <w:p w14:paraId="36331585">
      <w:pPr>
        <w:pStyle w:val="21"/>
        <w:numPr>
          <w:ilvl w:val="0"/>
          <w:numId w:val="0"/>
        </w:numPr>
        <w:spacing w:line="360" w:lineRule="auto"/>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集，或者重新申请加入同一开放式框架协议。</w:t>
      </w:r>
    </w:p>
    <w:p w14:paraId="0FD5B552">
      <w:pPr>
        <w:pStyle w:val="21"/>
        <w:spacing w:line="360" w:lineRule="auto"/>
        <w:ind w:left="479" w:hanging="479" w:hangingChars="199"/>
        <w:rPr>
          <w:rFonts w:hint="eastAsia" w:ascii="仿宋" w:hAnsi="仿宋" w:eastAsia="仿宋" w:cs="仿宋_GB2312"/>
          <w:b/>
          <w:color w:val="auto"/>
          <w:highlight w:val="none"/>
          <w:lang w:val="en-US" w:eastAsia="zh-CN"/>
        </w:rPr>
      </w:pPr>
      <w:r>
        <w:rPr>
          <w:rFonts w:hint="eastAsia" w:ascii="仿宋" w:hAnsi="仿宋" w:eastAsia="仿宋" w:cs="仿宋_GB2312"/>
          <w:b/>
          <w:color w:val="auto"/>
          <w:highlight w:val="none"/>
          <w:lang w:val="en-US" w:eastAsia="zh-CN"/>
        </w:rPr>
        <w:t>32. 补充征集规则</w:t>
      </w:r>
    </w:p>
    <w:p w14:paraId="2C61CD82">
      <w:pPr>
        <w:pStyle w:val="2"/>
        <w:numPr>
          <w:ilvl w:val="0"/>
          <w:numId w:val="0"/>
        </w:numPr>
        <w:ind w:leftChars="0" w:firstLine="480" w:firstLineChars="200"/>
        <w:rPr>
          <w:rFonts w:hint="eastAsia" w:ascii="仿宋" w:hAnsi="仿宋" w:eastAsia="仿宋" w:cs="仿宋_GB2312"/>
          <w:b w:val="0"/>
          <w:bCs w:val="0"/>
          <w:color w:val="auto"/>
          <w:kern w:val="2"/>
          <w:sz w:val="24"/>
          <w:szCs w:val="20"/>
          <w:highlight w:val="none"/>
          <w:lang w:val="en-US" w:eastAsia="zh-CN" w:bidi="ar-SA"/>
        </w:rPr>
      </w:pPr>
      <w:r>
        <w:rPr>
          <w:rFonts w:hint="eastAsia" w:ascii="仿宋" w:hAnsi="仿宋" w:eastAsia="仿宋" w:cs="仿宋_GB2312"/>
          <w:b w:val="0"/>
          <w:bCs w:val="0"/>
          <w:color w:val="auto"/>
          <w:kern w:val="2"/>
          <w:sz w:val="24"/>
          <w:szCs w:val="20"/>
          <w:highlight w:val="none"/>
          <w:lang w:val="en-US" w:eastAsia="zh-CN" w:bidi="ar-SA"/>
        </w:rPr>
        <w:t>剩余入围供应商不足入围供应商总数70%且影响框架协议执行，征集人可以补充征集供应商。补充征集的条件、程序、评审方法和淘汰比例与初次征集相同。补充征集期间，原框架协议继续履行。</w:t>
      </w:r>
    </w:p>
    <w:p w14:paraId="18CE8021">
      <w:pPr>
        <w:rPr>
          <w:rFonts w:hint="eastAsia"/>
          <w:color w:val="auto"/>
          <w:highlight w:val="none"/>
          <w:lang w:val="en-US" w:eastAsia="zh-CN"/>
        </w:rPr>
      </w:pPr>
    </w:p>
    <w:p w14:paraId="667BE77A">
      <w:pPr>
        <w:numPr>
          <w:ilvl w:val="0"/>
          <w:numId w:val="3"/>
        </w:numPr>
        <w:snapToGrid w:val="0"/>
        <w:spacing w:line="360" w:lineRule="auto"/>
        <w:ind w:left="-3357" w:leftChars="0" w:firstLine="3357" w:firstLineChars="0"/>
        <w:jc w:val="center"/>
        <w:rPr>
          <w:rFonts w:hint="eastAsia" w:ascii="仿宋" w:hAnsi="仿宋" w:eastAsia="仿宋" w:cs="仿宋_GB2312"/>
          <w:b/>
          <w:color w:val="auto"/>
          <w:sz w:val="32"/>
          <w:highlight w:val="none"/>
        </w:rPr>
      </w:pPr>
      <w:r>
        <w:rPr>
          <w:rFonts w:hint="eastAsia" w:ascii="仿宋" w:hAnsi="仿宋" w:eastAsia="仿宋" w:cs="仿宋_GB2312"/>
          <w:b/>
          <w:color w:val="auto"/>
          <w:sz w:val="32"/>
          <w:highlight w:val="none"/>
        </w:rPr>
        <w:t>电子交易活动的中止</w:t>
      </w:r>
    </w:p>
    <w:p w14:paraId="2CC4B0B7">
      <w:pPr>
        <w:pStyle w:val="97"/>
        <w:snapToGrid w:val="0"/>
        <w:spacing w:before="0"/>
        <w:ind w:firstLine="0" w:firstLineChars="0"/>
        <w:rPr>
          <w:rFonts w:ascii="仿宋" w:hAnsi="仿宋" w:eastAsia="仿宋" w:cs="仿宋_GB2312"/>
          <w:color w:val="auto"/>
          <w:highlight w:val="none"/>
        </w:rPr>
      </w:pPr>
      <w:r>
        <w:rPr>
          <w:rFonts w:hint="eastAsia" w:ascii="仿宋" w:hAnsi="仿宋" w:eastAsia="仿宋" w:cs="仿宋_GB2312"/>
          <w:b/>
          <w:color w:val="auto"/>
          <w:highlight w:val="none"/>
          <w:lang w:val="en-US" w:eastAsia="zh-CN"/>
        </w:rPr>
        <w:t>33</w:t>
      </w:r>
      <w:r>
        <w:rPr>
          <w:rFonts w:hint="eastAsia" w:ascii="仿宋" w:hAnsi="仿宋" w:eastAsia="仿宋" w:cs="仿宋_GB2312"/>
          <w:b/>
          <w:color w:val="auto"/>
          <w:szCs w:val="24"/>
          <w:highlight w:val="none"/>
        </w:rPr>
        <w:t>. 电子交易活动的中止。</w:t>
      </w:r>
      <w:r>
        <w:rPr>
          <w:rFonts w:hint="eastAsia" w:ascii="仿宋" w:hAnsi="仿宋" w:eastAsia="仿宋" w:cs="仿宋_GB2312"/>
          <w:color w:val="auto"/>
          <w:highlight w:val="none"/>
        </w:rPr>
        <w:t>采购过程中出现以下情形，</w:t>
      </w:r>
      <w:r>
        <w:rPr>
          <w:rFonts w:ascii="仿宋" w:hAnsi="仿宋" w:eastAsia="仿宋" w:cs="仿宋_GB2312"/>
          <w:color w:val="auto"/>
          <w:highlight w:val="none"/>
        </w:rPr>
        <w:t>导致</w:t>
      </w:r>
      <w:r>
        <w:rPr>
          <w:rFonts w:hint="eastAsia" w:ascii="仿宋" w:hAnsi="仿宋" w:eastAsia="仿宋" w:cs="仿宋_GB2312"/>
          <w:color w:val="auto"/>
          <w:highlight w:val="none"/>
        </w:rPr>
        <w:t>电子交易平台</w:t>
      </w:r>
      <w:r>
        <w:rPr>
          <w:rFonts w:ascii="仿宋" w:hAnsi="仿宋" w:eastAsia="仿宋" w:cs="仿宋_GB2312"/>
          <w:color w:val="auto"/>
          <w:highlight w:val="none"/>
        </w:rPr>
        <w:t>无法正常运行，或者无法保证电子</w:t>
      </w:r>
      <w:r>
        <w:rPr>
          <w:rFonts w:hint="eastAsia" w:ascii="仿宋" w:hAnsi="仿宋" w:eastAsia="仿宋" w:cs="仿宋_GB2312"/>
          <w:color w:val="auto"/>
          <w:highlight w:val="none"/>
        </w:rPr>
        <w:t>交易</w:t>
      </w:r>
      <w:r>
        <w:rPr>
          <w:rFonts w:ascii="仿宋" w:hAnsi="仿宋" w:eastAsia="仿宋" w:cs="仿宋_GB2312"/>
          <w:color w:val="auto"/>
          <w:highlight w:val="none"/>
        </w:rPr>
        <w:t>的公平、公正和安全时，</w:t>
      </w:r>
      <w:r>
        <w:rPr>
          <w:rFonts w:hint="eastAsia" w:ascii="仿宋" w:hAnsi="仿宋" w:eastAsia="仿宋" w:cs="仿宋_GB2312"/>
          <w:color w:val="auto"/>
          <w:highlight w:val="none"/>
        </w:rPr>
        <w:t>采购代理机构可</w:t>
      </w:r>
      <w:r>
        <w:rPr>
          <w:rFonts w:ascii="仿宋" w:hAnsi="仿宋" w:eastAsia="仿宋" w:cs="仿宋_GB2312"/>
          <w:color w:val="auto"/>
          <w:highlight w:val="none"/>
        </w:rPr>
        <w:t>中止电子</w:t>
      </w:r>
      <w:r>
        <w:rPr>
          <w:rFonts w:hint="eastAsia" w:ascii="仿宋" w:hAnsi="仿宋" w:eastAsia="仿宋" w:cs="仿宋_GB2312"/>
          <w:color w:val="auto"/>
          <w:highlight w:val="none"/>
        </w:rPr>
        <w:t>交易活动</w:t>
      </w:r>
      <w:r>
        <w:rPr>
          <w:rFonts w:ascii="仿宋" w:hAnsi="仿宋" w:eastAsia="仿宋" w:cs="仿宋_GB2312"/>
          <w:color w:val="auto"/>
          <w:highlight w:val="none"/>
        </w:rPr>
        <w:t>：</w:t>
      </w:r>
    </w:p>
    <w:p w14:paraId="51F12E60">
      <w:pPr>
        <w:pStyle w:val="9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lang w:val="en-US" w:eastAsia="zh-CN"/>
        </w:rPr>
        <w:t>33</w:t>
      </w:r>
      <w:r>
        <w:rPr>
          <w:rFonts w:hint="eastAsia" w:ascii="仿宋" w:hAnsi="仿宋" w:eastAsia="仿宋" w:cs="仿宋_GB2312"/>
          <w:color w:val="auto"/>
          <w:highlight w:val="none"/>
        </w:rPr>
        <w:t>.1电子交易</w:t>
      </w:r>
      <w:r>
        <w:rPr>
          <w:rFonts w:ascii="仿宋" w:hAnsi="仿宋" w:eastAsia="仿宋" w:cs="仿宋_GB2312"/>
          <w:color w:val="auto"/>
          <w:highlight w:val="none"/>
        </w:rPr>
        <w:t>平台发生故障而无法</w:t>
      </w:r>
      <w:r>
        <w:rPr>
          <w:rFonts w:hint="eastAsia" w:ascii="仿宋" w:hAnsi="仿宋" w:eastAsia="仿宋" w:cs="仿宋_GB2312"/>
          <w:color w:val="auto"/>
          <w:highlight w:val="none"/>
        </w:rPr>
        <w:t>登录</w:t>
      </w:r>
      <w:r>
        <w:rPr>
          <w:rFonts w:ascii="仿宋" w:hAnsi="仿宋" w:eastAsia="仿宋" w:cs="仿宋_GB2312"/>
          <w:color w:val="auto"/>
          <w:highlight w:val="none"/>
        </w:rPr>
        <w:t>访问的；</w:t>
      </w:r>
    </w:p>
    <w:p w14:paraId="4FAF3D8A">
      <w:pPr>
        <w:pStyle w:val="9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lang w:val="en-US" w:eastAsia="zh-CN"/>
        </w:rPr>
        <w:t>33</w:t>
      </w:r>
      <w:r>
        <w:rPr>
          <w:rFonts w:hint="eastAsia" w:ascii="仿宋" w:hAnsi="仿宋" w:eastAsia="仿宋" w:cs="仿宋_GB2312"/>
          <w:color w:val="auto"/>
          <w:highlight w:val="none"/>
        </w:rPr>
        <w:t>.2电子交易</w:t>
      </w:r>
      <w:r>
        <w:rPr>
          <w:rFonts w:ascii="仿宋" w:hAnsi="仿宋" w:eastAsia="仿宋" w:cs="仿宋_GB2312"/>
          <w:color w:val="auto"/>
          <w:highlight w:val="none"/>
        </w:rPr>
        <w:t>平台应用或数据库出现错误，不能进行正常操作</w:t>
      </w:r>
      <w:r>
        <w:rPr>
          <w:rFonts w:hint="eastAsia" w:ascii="仿宋" w:hAnsi="仿宋" w:eastAsia="仿宋" w:cs="仿宋_GB2312"/>
          <w:color w:val="auto"/>
          <w:highlight w:val="none"/>
        </w:rPr>
        <w:t>的</w:t>
      </w:r>
      <w:r>
        <w:rPr>
          <w:rFonts w:ascii="仿宋" w:hAnsi="仿宋" w:eastAsia="仿宋" w:cs="仿宋_GB2312"/>
          <w:color w:val="auto"/>
          <w:highlight w:val="none"/>
        </w:rPr>
        <w:t>；</w:t>
      </w:r>
    </w:p>
    <w:p w14:paraId="1016A28F">
      <w:pPr>
        <w:pStyle w:val="9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lang w:val="en-US" w:eastAsia="zh-CN"/>
        </w:rPr>
        <w:t>33</w:t>
      </w:r>
      <w:r>
        <w:rPr>
          <w:rFonts w:hint="eastAsia" w:ascii="仿宋" w:hAnsi="仿宋" w:eastAsia="仿宋" w:cs="仿宋_GB2312"/>
          <w:color w:val="auto"/>
          <w:highlight w:val="none"/>
        </w:rPr>
        <w:t>.3电子交易</w:t>
      </w:r>
      <w:r>
        <w:rPr>
          <w:rFonts w:ascii="仿宋" w:hAnsi="仿宋" w:eastAsia="仿宋" w:cs="仿宋_GB2312"/>
          <w:color w:val="auto"/>
          <w:highlight w:val="none"/>
        </w:rPr>
        <w:t>平台发现</w:t>
      </w:r>
      <w:r>
        <w:rPr>
          <w:rFonts w:hint="eastAsia" w:ascii="仿宋" w:hAnsi="仿宋" w:eastAsia="仿宋" w:cs="仿宋_GB2312"/>
          <w:color w:val="auto"/>
          <w:highlight w:val="none"/>
        </w:rPr>
        <w:t>严重</w:t>
      </w:r>
      <w:r>
        <w:rPr>
          <w:rFonts w:ascii="仿宋" w:hAnsi="仿宋" w:eastAsia="仿宋" w:cs="仿宋_GB2312"/>
          <w:color w:val="auto"/>
          <w:highlight w:val="none"/>
        </w:rPr>
        <w:t>安全漏洞，有潜在泄密危险的</w:t>
      </w:r>
      <w:r>
        <w:rPr>
          <w:rFonts w:hint="eastAsia" w:ascii="仿宋" w:hAnsi="仿宋" w:eastAsia="仿宋" w:cs="仿宋_GB2312"/>
          <w:color w:val="auto"/>
          <w:highlight w:val="none"/>
        </w:rPr>
        <w:t>；</w:t>
      </w:r>
    </w:p>
    <w:p w14:paraId="35599A46">
      <w:pPr>
        <w:pStyle w:val="9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lang w:val="en-US" w:eastAsia="zh-CN"/>
        </w:rPr>
        <w:t>33</w:t>
      </w:r>
      <w:r>
        <w:rPr>
          <w:rFonts w:hint="eastAsia" w:ascii="仿宋" w:hAnsi="仿宋" w:eastAsia="仿宋" w:cs="仿宋_GB2312"/>
          <w:color w:val="auto"/>
          <w:highlight w:val="none"/>
        </w:rPr>
        <w:t>.4</w:t>
      </w:r>
      <w:r>
        <w:rPr>
          <w:rFonts w:ascii="仿宋" w:hAnsi="仿宋" w:eastAsia="仿宋" w:cs="仿宋_GB2312"/>
          <w:color w:val="auto"/>
          <w:highlight w:val="none"/>
        </w:rPr>
        <w:t>病毒发作</w:t>
      </w:r>
      <w:r>
        <w:rPr>
          <w:rFonts w:hint="eastAsia" w:ascii="仿宋" w:hAnsi="仿宋" w:eastAsia="仿宋" w:cs="仿宋_GB2312"/>
          <w:color w:val="auto"/>
          <w:highlight w:val="none"/>
        </w:rPr>
        <w:t>导致不能进行</w:t>
      </w:r>
      <w:r>
        <w:rPr>
          <w:rFonts w:ascii="仿宋" w:hAnsi="仿宋" w:eastAsia="仿宋" w:cs="仿宋_GB2312"/>
          <w:color w:val="auto"/>
          <w:highlight w:val="none"/>
        </w:rPr>
        <w:t>正常操作的；</w:t>
      </w:r>
    </w:p>
    <w:p w14:paraId="49EA197B">
      <w:pPr>
        <w:pStyle w:val="97"/>
        <w:snapToGrid w:val="0"/>
        <w:spacing w:before="0"/>
        <w:ind w:firstLine="480"/>
        <w:rPr>
          <w:rFonts w:ascii="仿宋" w:hAnsi="仿宋" w:eastAsia="仿宋" w:cs="仿宋_GB2312"/>
          <w:color w:val="auto"/>
          <w:highlight w:val="none"/>
        </w:rPr>
      </w:pPr>
      <w:r>
        <w:rPr>
          <w:rFonts w:hint="eastAsia" w:ascii="仿宋" w:hAnsi="仿宋" w:eastAsia="仿宋" w:cs="仿宋_GB2312"/>
          <w:color w:val="auto"/>
          <w:highlight w:val="none"/>
          <w:lang w:val="en-US" w:eastAsia="zh-CN"/>
        </w:rPr>
        <w:t>33</w:t>
      </w:r>
      <w:r>
        <w:rPr>
          <w:rFonts w:hint="eastAsia" w:ascii="仿宋" w:hAnsi="仿宋" w:eastAsia="仿宋" w:cs="仿宋_GB2312"/>
          <w:color w:val="auto"/>
          <w:highlight w:val="none"/>
        </w:rPr>
        <w:t>.5其他</w:t>
      </w:r>
      <w:r>
        <w:rPr>
          <w:rFonts w:ascii="仿宋" w:hAnsi="仿宋" w:eastAsia="仿宋" w:cs="仿宋_GB2312"/>
          <w:color w:val="auto"/>
          <w:highlight w:val="none"/>
        </w:rPr>
        <w:t>无法保证</w:t>
      </w:r>
      <w:r>
        <w:rPr>
          <w:rFonts w:hint="eastAsia" w:ascii="仿宋" w:hAnsi="仿宋" w:eastAsia="仿宋" w:cs="仿宋_GB2312"/>
          <w:color w:val="auto"/>
          <w:highlight w:val="none"/>
        </w:rPr>
        <w:t>电子交易</w:t>
      </w:r>
      <w:r>
        <w:rPr>
          <w:rFonts w:ascii="仿宋" w:hAnsi="仿宋" w:eastAsia="仿宋" w:cs="仿宋_GB2312"/>
          <w:color w:val="auto"/>
          <w:highlight w:val="none"/>
        </w:rPr>
        <w:t>的公平、公正和安全的情况。</w:t>
      </w:r>
    </w:p>
    <w:p w14:paraId="363998A4">
      <w:pPr>
        <w:pStyle w:val="97"/>
        <w:snapToGrid w:val="0"/>
        <w:spacing w:before="0"/>
        <w:ind w:firstLine="0" w:firstLineChars="0"/>
        <w:rPr>
          <w:rFonts w:ascii="仿宋" w:hAnsi="仿宋" w:eastAsia="仿宋" w:cs="仿宋_GB2312"/>
          <w:color w:val="auto"/>
          <w:highlight w:val="none"/>
        </w:rPr>
      </w:pPr>
      <w:r>
        <w:rPr>
          <w:rFonts w:hint="eastAsia" w:ascii="仿宋" w:hAnsi="仿宋" w:eastAsia="仿宋" w:cs="仿宋_GB2312"/>
          <w:b/>
          <w:color w:val="auto"/>
          <w:highlight w:val="none"/>
        </w:rPr>
        <w:t xml:space="preserve"> </w:t>
      </w:r>
      <w:r>
        <w:rPr>
          <w:rFonts w:hint="eastAsia" w:ascii="仿宋" w:hAnsi="仿宋" w:eastAsia="仿宋" w:cs="仿宋_GB2312"/>
          <w:b/>
          <w:color w:val="auto"/>
          <w:highlight w:val="none"/>
          <w:lang w:val="en-US" w:eastAsia="zh-CN"/>
        </w:rPr>
        <w:t>34</w:t>
      </w:r>
      <w:r>
        <w:rPr>
          <w:rFonts w:hint="eastAsia" w:ascii="仿宋" w:hAnsi="仿宋" w:eastAsia="仿宋" w:cs="仿宋_GB2312"/>
          <w:b/>
          <w:color w:val="auto"/>
          <w:highlight w:val="none"/>
        </w:rPr>
        <w:t>.</w:t>
      </w:r>
      <w:r>
        <w:rPr>
          <w:rFonts w:ascii="仿宋" w:hAnsi="仿宋" w:eastAsia="仿宋" w:cs="仿宋_GB2312"/>
          <w:color w:val="auto"/>
          <w:highlight w:val="none"/>
        </w:rPr>
        <w:t>出现</w:t>
      </w:r>
      <w:r>
        <w:rPr>
          <w:rFonts w:hint="eastAsia" w:ascii="仿宋" w:hAnsi="仿宋" w:eastAsia="仿宋" w:cs="仿宋_GB2312"/>
          <w:color w:val="auto"/>
          <w:highlight w:val="none"/>
        </w:rPr>
        <w:t>以上情形</w:t>
      </w:r>
      <w:r>
        <w:rPr>
          <w:rFonts w:ascii="仿宋" w:hAnsi="仿宋" w:eastAsia="仿宋" w:cs="仿宋_GB2312"/>
          <w:color w:val="auto"/>
          <w:highlight w:val="none"/>
        </w:rPr>
        <w:t>，</w:t>
      </w:r>
      <w:r>
        <w:rPr>
          <w:rFonts w:hint="eastAsia" w:ascii="仿宋" w:hAnsi="仿宋" w:eastAsia="仿宋" w:cs="仿宋_GB2312"/>
          <w:color w:val="auto"/>
          <w:highlight w:val="none"/>
        </w:rPr>
        <w:t>不影响采购公平、公正性的，采购组织机构可以</w:t>
      </w:r>
      <w:r>
        <w:rPr>
          <w:rFonts w:ascii="仿宋" w:hAnsi="仿宋" w:eastAsia="仿宋" w:cs="仿宋_GB2312"/>
          <w:color w:val="auto"/>
          <w:highlight w:val="none"/>
        </w:rPr>
        <w:t>待上述情形消除后继续</w:t>
      </w:r>
      <w:r>
        <w:rPr>
          <w:rFonts w:hint="eastAsia" w:ascii="仿宋" w:hAnsi="仿宋" w:eastAsia="仿宋" w:cs="仿宋_GB2312"/>
          <w:color w:val="auto"/>
          <w:highlight w:val="none"/>
        </w:rPr>
        <w:t>组织电子交易</w:t>
      </w:r>
      <w:r>
        <w:rPr>
          <w:rFonts w:ascii="仿宋" w:hAnsi="仿宋" w:eastAsia="仿宋" w:cs="仿宋_GB2312"/>
          <w:color w:val="auto"/>
          <w:highlight w:val="none"/>
        </w:rPr>
        <w:t>活动</w:t>
      </w:r>
      <w:r>
        <w:rPr>
          <w:rFonts w:hint="eastAsia" w:ascii="仿宋" w:hAnsi="仿宋" w:eastAsia="仿宋" w:cs="仿宋_GB2312"/>
          <w:color w:val="auto"/>
          <w:highlight w:val="none"/>
        </w:rPr>
        <w:t>，也可以决定某些环节以纸质形式进行；影响或可能影响</w:t>
      </w:r>
      <w:r>
        <w:rPr>
          <w:rFonts w:ascii="仿宋" w:hAnsi="仿宋" w:eastAsia="仿宋" w:cs="仿宋_GB2312"/>
          <w:color w:val="auto"/>
          <w:highlight w:val="none"/>
        </w:rPr>
        <w:t>采购公平、公正</w:t>
      </w:r>
      <w:r>
        <w:rPr>
          <w:rFonts w:hint="eastAsia" w:ascii="仿宋" w:hAnsi="仿宋" w:eastAsia="仿宋" w:cs="仿宋_GB2312"/>
          <w:color w:val="auto"/>
          <w:highlight w:val="none"/>
        </w:rPr>
        <w:t>性</w:t>
      </w:r>
      <w:r>
        <w:rPr>
          <w:rFonts w:ascii="仿宋" w:hAnsi="仿宋" w:eastAsia="仿宋" w:cs="仿宋_GB2312"/>
          <w:color w:val="auto"/>
          <w:highlight w:val="none"/>
        </w:rPr>
        <w:t>的，</w:t>
      </w:r>
      <w:r>
        <w:rPr>
          <w:rFonts w:hint="eastAsia" w:ascii="仿宋" w:hAnsi="仿宋" w:eastAsia="仿宋" w:cs="仿宋_GB2312"/>
          <w:color w:val="auto"/>
          <w:highlight w:val="none"/>
        </w:rPr>
        <w:t>应当重新采购</w:t>
      </w:r>
      <w:r>
        <w:rPr>
          <w:rFonts w:ascii="仿宋" w:hAnsi="仿宋" w:eastAsia="仿宋" w:cs="仿宋_GB2312"/>
          <w:color w:val="auto"/>
          <w:highlight w:val="none"/>
        </w:rPr>
        <w:t>。</w:t>
      </w:r>
    </w:p>
    <w:p w14:paraId="450A6950">
      <w:pPr>
        <w:tabs>
          <w:tab w:val="left" w:pos="0"/>
        </w:tabs>
        <w:spacing w:line="360" w:lineRule="auto"/>
        <w:ind w:firstLine="480"/>
        <w:rPr>
          <w:rFonts w:ascii="仿宋" w:hAnsi="仿宋" w:eastAsia="仿宋"/>
          <w:color w:val="auto"/>
          <w:sz w:val="24"/>
          <w:highlight w:val="none"/>
        </w:rPr>
      </w:pPr>
    </w:p>
    <w:p w14:paraId="025DBAFF">
      <w:pPr>
        <w:snapToGrid w:val="0"/>
        <w:spacing w:line="360" w:lineRule="auto"/>
        <w:ind w:left="120" w:leftChars="57" w:firstLine="482" w:firstLineChars="150"/>
        <w:jc w:val="center"/>
        <w:rPr>
          <w:rFonts w:ascii="仿宋" w:hAnsi="仿宋" w:eastAsia="仿宋" w:cs="仿宋_GB2312"/>
          <w:b/>
          <w:color w:val="auto"/>
          <w:sz w:val="32"/>
          <w:highlight w:val="none"/>
        </w:rPr>
      </w:pPr>
      <w:r>
        <w:rPr>
          <w:rFonts w:hint="eastAsia" w:ascii="仿宋" w:hAnsi="仿宋" w:eastAsia="仿宋" w:cs="仿宋_GB2312"/>
          <w:b/>
          <w:color w:val="auto"/>
          <w:sz w:val="32"/>
          <w:highlight w:val="none"/>
          <w:lang w:val="en-US" w:eastAsia="zh-CN"/>
        </w:rPr>
        <w:t>十一</w:t>
      </w:r>
      <w:r>
        <w:rPr>
          <w:rFonts w:hint="eastAsia" w:ascii="仿宋" w:hAnsi="仿宋" w:eastAsia="仿宋" w:cs="仿宋_GB2312"/>
          <w:b/>
          <w:color w:val="auto"/>
          <w:sz w:val="32"/>
          <w:highlight w:val="none"/>
        </w:rPr>
        <w:t>、验收</w:t>
      </w:r>
    </w:p>
    <w:p w14:paraId="46D36070">
      <w:pPr>
        <w:pStyle w:val="21"/>
        <w:spacing w:line="360" w:lineRule="auto"/>
        <w:ind w:firstLine="0" w:firstLineChars="0"/>
        <w:rPr>
          <w:rFonts w:ascii="仿宋" w:hAnsi="仿宋" w:eastAsia="仿宋" w:cs="仿宋_GB2312"/>
          <w:b/>
          <w:color w:val="auto"/>
          <w:highlight w:val="none"/>
        </w:rPr>
      </w:pPr>
      <w:r>
        <w:rPr>
          <w:rFonts w:hint="eastAsia" w:ascii="仿宋" w:hAnsi="仿宋" w:eastAsia="仿宋" w:cs="仿宋_GB2312"/>
          <w:b/>
          <w:color w:val="auto"/>
          <w:highlight w:val="none"/>
          <w:lang w:val="en-US" w:eastAsia="zh-CN"/>
        </w:rPr>
        <w:t>35</w:t>
      </w:r>
      <w:r>
        <w:rPr>
          <w:rFonts w:hint="eastAsia" w:ascii="仿宋" w:hAnsi="仿宋" w:eastAsia="仿宋" w:cs="仿宋_GB2312"/>
          <w:b/>
          <w:color w:val="auto"/>
          <w:highlight w:val="none"/>
        </w:rPr>
        <w:t>.验收</w:t>
      </w:r>
    </w:p>
    <w:p w14:paraId="4AF614F2">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lang w:val="en-US" w:eastAsia="zh-CN"/>
        </w:rPr>
        <w:t>35</w:t>
      </w:r>
      <w:r>
        <w:rPr>
          <w:rFonts w:hint="eastAsia" w:ascii="仿宋" w:hAnsi="仿宋" w:eastAsia="仿宋" w:cs="Helvetica"/>
          <w:color w:val="auto"/>
          <w:kern w:val="0"/>
          <w:sz w:val="24"/>
          <w:highlight w:val="none"/>
        </w:rPr>
        <w:t>.1征集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E02CAB7">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lang w:val="en-US" w:eastAsia="zh-CN"/>
        </w:rPr>
        <w:t>35</w:t>
      </w:r>
      <w:r>
        <w:rPr>
          <w:rFonts w:hint="eastAsia" w:ascii="仿宋" w:hAnsi="仿宋" w:eastAsia="仿宋" w:cs="Helvetica"/>
          <w:color w:val="auto"/>
          <w:kern w:val="0"/>
          <w:sz w:val="24"/>
          <w:highlight w:val="none"/>
        </w:rPr>
        <w:t>.2征集人可以邀请参加本项目的其他供应商或者第三方机构参与验收。参与验收的供应商或者第三方机构的意见作为验收书的参考资料一并存档。</w:t>
      </w:r>
    </w:p>
    <w:p w14:paraId="15FAD350">
      <w:pPr>
        <w:tabs>
          <w:tab w:val="left" w:pos="0"/>
        </w:tabs>
        <w:spacing w:line="360" w:lineRule="auto"/>
        <w:ind w:firstLine="480"/>
        <w:rPr>
          <w:rFonts w:ascii="仿宋" w:hAnsi="仿宋" w:eastAsia="仿宋" w:cs="Helvetica"/>
          <w:color w:val="auto"/>
          <w:kern w:val="0"/>
          <w:sz w:val="24"/>
          <w:highlight w:val="none"/>
        </w:rPr>
      </w:pPr>
      <w:r>
        <w:rPr>
          <w:rFonts w:hint="eastAsia" w:ascii="仿宋" w:hAnsi="仿宋" w:eastAsia="仿宋" w:cs="Helvetica"/>
          <w:color w:val="auto"/>
          <w:kern w:val="0"/>
          <w:sz w:val="24"/>
          <w:highlight w:val="none"/>
          <w:lang w:val="en-US" w:eastAsia="zh-CN"/>
        </w:rPr>
        <w:t>35</w:t>
      </w:r>
      <w:r>
        <w:rPr>
          <w:rFonts w:hint="eastAsia" w:ascii="仿宋" w:hAnsi="仿宋" w:eastAsia="仿宋" w:cs="Helvetica"/>
          <w:color w:val="auto"/>
          <w:kern w:val="0"/>
          <w:sz w:val="24"/>
          <w:highlight w:val="none"/>
        </w:rPr>
        <w:t>.3严格按照采购合同开展履约验收。征集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9F58DDB">
      <w:pPr>
        <w:tabs>
          <w:tab w:val="left" w:pos="0"/>
        </w:tabs>
        <w:spacing w:line="360" w:lineRule="auto"/>
        <w:ind w:firstLine="480"/>
        <w:rPr>
          <w:rFonts w:ascii="仿宋" w:hAnsi="仿宋" w:eastAsia="仿宋" w:cs="仿宋_GB2312"/>
          <w:color w:val="auto"/>
          <w:sz w:val="18"/>
          <w:szCs w:val="18"/>
          <w:highlight w:val="none"/>
        </w:rPr>
      </w:pPr>
      <w:r>
        <w:rPr>
          <w:rFonts w:hint="eastAsia" w:ascii="仿宋" w:hAnsi="仿宋" w:eastAsia="仿宋" w:cs="Helvetica"/>
          <w:color w:val="auto"/>
          <w:kern w:val="0"/>
          <w:sz w:val="24"/>
          <w:highlight w:val="none"/>
          <w:lang w:val="en-US" w:eastAsia="zh-CN"/>
        </w:rPr>
        <w:t>35</w:t>
      </w:r>
      <w:r>
        <w:rPr>
          <w:rFonts w:hint="eastAsia" w:ascii="仿宋" w:hAnsi="仿宋" w:eastAsia="仿宋" w:cs="Helvetica"/>
          <w:color w:val="auto"/>
          <w:kern w:val="0"/>
          <w:sz w:val="24"/>
          <w:highlight w:val="none"/>
        </w:rPr>
        <w:t>.4验收合格的项目，征集人将根据采购合同的约定及时向供应商支付采购资金、退还履约保证金。验收不合格的项目，征集人将依法及时处理。采购合同的履行、违约责任和解决争议的方式等适用《中华人民共和国民法典》。供应商在履约过程中有政府采购法律法规规定的违法违规情形的，征集人应当及时报告本级财政部门。</w:t>
      </w:r>
    </w:p>
    <w:bookmarkEnd w:id="37"/>
    <w:p w14:paraId="00508F44">
      <w:pPr>
        <w:spacing w:line="360" w:lineRule="auto"/>
        <w:jc w:val="center"/>
        <w:outlineLvl w:val="0"/>
        <w:rPr>
          <w:rFonts w:ascii="仿宋" w:hAnsi="仿宋" w:eastAsia="仿宋"/>
          <w:color w:val="auto"/>
          <w:highlight w:val="none"/>
        </w:rPr>
        <w:sectPr>
          <w:headerReference r:id="rId4" w:type="first"/>
          <w:headerReference r:id="rId3" w:type="default"/>
          <w:footerReference r:id="rId5" w:type="default"/>
          <w:footerReference r:id="rId6" w:type="even"/>
          <w:pgSz w:w="11906" w:h="16838"/>
          <w:pgMar w:top="777" w:right="1418" w:bottom="471" w:left="1418" w:header="851" w:footer="992" w:gutter="0"/>
          <w:pgBorders>
            <w:top w:val="none" w:sz="0" w:space="0"/>
            <w:left w:val="none" w:sz="0" w:space="0"/>
            <w:bottom w:val="none" w:sz="0" w:space="0"/>
            <w:right w:val="none" w:sz="0" w:space="0"/>
          </w:pgBorders>
          <w:pgNumType w:start="1"/>
          <w:cols w:space="720" w:num="1"/>
          <w:docGrid w:linePitch="312" w:charSpace="0"/>
        </w:sectPr>
      </w:pPr>
    </w:p>
    <w:bookmarkEnd w:id="11"/>
    <w:bookmarkEnd w:id="12"/>
    <w:p w14:paraId="57FB7EAE">
      <w:pPr>
        <w:spacing w:line="360" w:lineRule="auto"/>
        <w:jc w:val="center"/>
        <w:outlineLvl w:val="0"/>
        <w:rPr>
          <w:rFonts w:ascii="仿宋" w:hAnsi="仿宋" w:eastAsia="仿宋" w:cs="仿宋_GB2312"/>
          <w:b/>
          <w:color w:val="auto"/>
          <w:sz w:val="36"/>
          <w:szCs w:val="36"/>
          <w:highlight w:val="none"/>
        </w:rPr>
      </w:pPr>
      <w:bookmarkStart w:id="38" w:name="_Toc302396120"/>
      <w:bookmarkStart w:id="39" w:name="_Toc4460"/>
      <w:bookmarkStart w:id="40" w:name="第四部分"/>
      <w:r>
        <w:rPr>
          <w:rFonts w:hint="eastAsia" w:ascii="仿宋" w:hAnsi="仿宋" w:eastAsia="仿宋"/>
          <w:b/>
          <w:color w:val="auto"/>
          <w:sz w:val="36"/>
          <w:szCs w:val="36"/>
          <w:highlight w:val="none"/>
        </w:rPr>
        <w:t>第三部分</w:t>
      </w:r>
      <w:bookmarkStart w:id="41" w:name="_Toc184313300"/>
      <w:bookmarkEnd w:id="41"/>
      <w:bookmarkStart w:id="42" w:name="_Toc184314449"/>
      <w:bookmarkEnd w:id="42"/>
      <w:bookmarkStart w:id="43" w:name="_Toc184312092"/>
      <w:bookmarkEnd w:id="43"/>
      <w:bookmarkStart w:id="44" w:name="_Toc184310281"/>
      <w:bookmarkEnd w:id="44"/>
      <w:bookmarkStart w:id="45" w:name="_Toc184310293"/>
      <w:bookmarkEnd w:id="45"/>
      <w:bookmarkStart w:id="46" w:name="_Toc184314412"/>
      <w:bookmarkEnd w:id="46"/>
      <w:bookmarkStart w:id="47" w:name="_Toc184310274"/>
      <w:bookmarkEnd w:id="47"/>
      <w:bookmarkStart w:id="48" w:name="_Toc184312117"/>
      <w:bookmarkEnd w:id="48"/>
      <w:bookmarkStart w:id="49" w:name="_Toc184308036"/>
      <w:bookmarkEnd w:id="49"/>
      <w:bookmarkStart w:id="50" w:name="_Toc184308055"/>
      <w:bookmarkEnd w:id="50"/>
      <w:bookmarkStart w:id="51" w:name="_Toc184313244"/>
      <w:bookmarkEnd w:id="51"/>
      <w:bookmarkStart w:id="52" w:name="_Toc184310318"/>
      <w:bookmarkEnd w:id="52"/>
      <w:bookmarkStart w:id="53" w:name="_Toc184313250"/>
      <w:bookmarkEnd w:id="53"/>
      <w:bookmarkStart w:id="54" w:name="_Toc184314462"/>
      <w:bookmarkEnd w:id="54"/>
      <w:bookmarkStart w:id="55" w:name="_Toc184313286"/>
      <w:bookmarkEnd w:id="55"/>
      <w:bookmarkStart w:id="56" w:name="_Toc184312089"/>
      <w:bookmarkEnd w:id="56"/>
      <w:bookmarkStart w:id="57" w:name="_Toc184313271"/>
      <w:bookmarkEnd w:id="57"/>
      <w:bookmarkStart w:id="58" w:name="_Toc184312087"/>
      <w:bookmarkEnd w:id="58"/>
      <w:bookmarkStart w:id="59" w:name="_Toc184313305"/>
      <w:bookmarkEnd w:id="59"/>
      <w:bookmarkStart w:id="60" w:name="_Toc184308038"/>
      <w:bookmarkEnd w:id="60"/>
      <w:bookmarkStart w:id="61" w:name="_Toc184312076"/>
      <w:bookmarkEnd w:id="61"/>
      <w:bookmarkStart w:id="62" w:name="_Toc184312082"/>
      <w:bookmarkEnd w:id="62"/>
      <w:bookmarkStart w:id="63" w:name="_Toc184308043"/>
      <w:bookmarkEnd w:id="63"/>
      <w:bookmarkStart w:id="64" w:name="_Toc184313279"/>
      <w:bookmarkEnd w:id="64"/>
      <w:bookmarkStart w:id="65" w:name="_Toc184314456"/>
      <w:bookmarkEnd w:id="65"/>
      <w:bookmarkStart w:id="66" w:name="_Toc184310331"/>
      <w:bookmarkEnd w:id="66"/>
      <w:bookmarkStart w:id="67" w:name="_Toc184314473"/>
      <w:bookmarkEnd w:id="67"/>
      <w:bookmarkStart w:id="68" w:name="_Toc184314414"/>
      <w:bookmarkEnd w:id="68"/>
      <w:bookmarkStart w:id="69" w:name="_Toc184310305"/>
      <w:bookmarkEnd w:id="69"/>
      <w:bookmarkStart w:id="70" w:name="_Toc184308079"/>
      <w:bookmarkEnd w:id="70"/>
      <w:bookmarkStart w:id="71" w:name="_Toc184313281"/>
      <w:bookmarkEnd w:id="71"/>
      <w:bookmarkStart w:id="72" w:name="_Toc184312068"/>
      <w:bookmarkEnd w:id="72"/>
      <w:bookmarkStart w:id="73" w:name="_Toc184313264"/>
      <w:bookmarkEnd w:id="73"/>
      <w:bookmarkStart w:id="74" w:name="_Toc184314426"/>
      <w:bookmarkEnd w:id="74"/>
      <w:bookmarkStart w:id="75" w:name="_Toc184310340"/>
      <w:bookmarkEnd w:id="75"/>
      <w:bookmarkStart w:id="76" w:name="_Toc184313272"/>
      <w:bookmarkEnd w:id="76"/>
      <w:bookmarkStart w:id="77" w:name="_Toc184314474"/>
      <w:bookmarkEnd w:id="77"/>
      <w:bookmarkStart w:id="78" w:name="_Toc184310279"/>
      <w:bookmarkEnd w:id="78"/>
      <w:bookmarkStart w:id="79" w:name="_Toc184312118"/>
      <w:bookmarkEnd w:id="79"/>
      <w:bookmarkStart w:id="80" w:name="_Toc184310285"/>
      <w:bookmarkEnd w:id="80"/>
      <w:bookmarkStart w:id="81" w:name="_Toc184314439"/>
      <w:bookmarkEnd w:id="81"/>
      <w:bookmarkStart w:id="82" w:name="_Toc184314431"/>
      <w:bookmarkEnd w:id="82"/>
      <w:bookmarkStart w:id="83" w:name="_Toc184312085"/>
      <w:bookmarkEnd w:id="83"/>
      <w:bookmarkStart w:id="84" w:name="_Toc184312113"/>
      <w:bookmarkEnd w:id="84"/>
      <w:bookmarkStart w:id="85" w:name="_Toc184314468"/>
      <w:bookmarkEnd w:id="85"/>
      <w:bookmarkStart w:id="86" w:name="_Toc184308056"/>
      <w:bookmarkEnd w:id="86"/>
      <w:bookmarkStart w:id="87" w:name="_Toc184308039"/>
      <w:bookmarkEnd w:id="87"/>
      <w:bookmarkStart w:id="88" w:name="_Toc184310315"/>
      <w:bookmarkEnd w:id="88"/>
      <w:bookmarkStart w:id="89" w:name="_Toc184313247"/>
      <w:bookmarkEnd w:id="89"/>
      <w:bookmarkStart w:id="90" w:name="_Toc184308094"/>
      <w:bookmarkEnd w:id="90"/>
      <w:bookmarkStart w:id="91" w:name="_Toc184310298"/>
      <w:bookmarkEnd w:id="91"/>
      <w:bookmarkStart w:id="92" w:name="_Toc184314435"/>
      <w:bookmarkEnd w:id="92"/>
      <w:bookmarkStart w:id="93" w:name="_Toc184310336"/>
      <w:bookmarkEnd w:id="93"/>
      <w:bookmarkStart w:id="94" w:name="_Toc184313302"/>
      <w:bookmarkEnd w:id="94"/>
      <w:bookmarkStart w:id="95" w:name="_Toc184314472"/>
      <w:bookmarkEnd w:id="95"/>
      <w:bookmarkStart w:id="96" w:name="_Toc184308070"/>
      <w:bookmarkEnd w:id="96"/>
      <w:bookmarkStart w:id="97" w:name="_Toc184313296"/>
      <w:bookmarkEnd w:id="97"/>
      <w:bookmarkStart w:id="98" w:name="_Toc184312095"/>
      <w:bookmarkEnd w:id="98"/>
      <w:bookmarkStart w:id="99" w:name="_Toc184314418"/>
      <w:bookmarkEnd w:id="99"/>
      <w:bookmarkStart w:id="100" w:name="_Toc184313292"/>
      <w:bookmarkEnd w:id="100"/>
      <w:bookmarkStart w:id="101" w:name="_Toc184310283"/>
      <w:bookmarkEnd w:id="101"/>
      <w:bookmarkStart w:id="102" w:name="_Toc184310272"/>
      <w:bookmarkEnd w:id="102"/>
      <w:bookmarkStart w:id="103" w:name="_Toc184312110"/>
      <w:bookmarkEnd w:id="103"/>
      <w:bookmarkStart w:id="104" w:name="_Toc184313268"/>
      <w:bookmarkEnd w:id="104"/>
      <w:bookmarkStart w:id="105" w:name="_Toc184310276"/>
      <w:bookmarkEnd w:id="105"/>
      <w:bookmarkStart w:id="106" w:name="_Toc184313252"/>
      <w:bookmarkEnd w:id="106"/>
      <w:bookmarkStart w:id="107" w:name="_Toc184312100"/>
      <w:bookmarkEnd w:id="107"/>
      <w:bookmarkStart w:id="108" w:name="_Toc184312098"/>
      <w:bookmarkEnd w:id="108"/>
      <w:bookmarkStart w:id="109" w:name="_Toc184314420"/>
      <w:bookmarkEnd w:id="109"/>
      <w:bookmarkStart w:id="110" w:name="_Toc184310277"/>
      <w:bookmarkEnd w:id="110"/>
      <w:bookmarkStart w:id="111" w:name="_Toc184313265"/>
      <w:bookmarkEnd w:id="111"/>
      <w:bookmarkStart w:id="112" w:name="_Toc184310288"/>
      <w:bookmarkEnd w:id="112"/>
      <w:bookmarkStart w:id="113" w:name="_Toc184312133"/>
      <w:bookmarkEnd w:id="113"/>
      <w:bookmarkStart w:id="114" w:name="_Toc184312077"/>
      <w:bookmarkEnd w:id="114"/>
      <w:bookmarkStart w:id="115" w:name="_Toc184314454"/>
      <w:bookmarkEnd w:id="115"/>
      <w:bookmarkStart w:id="116" w:name="_Toc184314410"/>
      <w:bookmarkEnd w:id="116"/>
      <w:bookmarkStart w:id="117" w:name="_Toc184312128"/>
      <w:bookmarkEnd w:id="117"/>
      <w:bookmarkStart w:id="118" w:name="_Toc184313259"/>
      <w:bookmarkEnd w:id="118"/>
      <w:bookmarkStart w:id="119" w:name="_Toc184310294"/>
      <w:bookmarkEnd w:id="119"/>
      <w:bookmarkStart w:id="120" w:name="_Toc184310316"/>
      <w:bookmarkEnd w:id="120"/>
      <w:bookmarkStart w:id="121" w:name="_Toc184308102"/>
      <w:bookmarkEnd w:id="121"/>
      <w:bookmarkStart w:id="122" w:name="_Toc184308107"/>
      <w:bookmarkEnd w:id="122"/>
      <w:bookmarkStart w:id="123" w:name="_Toc184314475"/>
      <w:bookmarkEnd w:id="123"/>
      <w:bookmarkStart w:id="124" w:name="_Toc184310290"/>
      <w:bookmarkEnd w:id="124"/>
      <w:bookmarkStart w:id="125" w:name="_Toc184308072"/>
      <w:bookmarkEnd w:id="125"/>
      <w:bookmarkStart w:id="126" w:name="_Toc184312097"/>
      <w:bookmarkEnd w:id="126"/>
      <w:bookmarkStart w:id="127" w:name="_Toc184308088"/>
      <w:bookmarkEnd w:id="127"/>
      <w:bookmarkStart w:id="128" w:name="_Toc184314419"/>
      <w:bookmarkEnd w:id="128"/>
      <w:bookmarkStart w:id="129" w:name="_Toc184310309"/>
      <w:bookmarkEnd w:id="129"/>
      <w:bookmarkStart w:id="130" w:name="_Toc184314452"/>
      <w:bookmarkEnd w:id="130"/>
      <w:bookmarkStart w:id="131" w:name="_Toc184312101"/>
      <w:bookmarkEnd w:id="131"/>
      <w:bookmarkStart w:id="132" w:name="_Toc184314411"/>
      <w:bookmarkEnd w:id="132"/>
      <w:bookmarkStart w:id="133" w:name="_Toc184310292"/>
      <w:bookmarkEnd w:id="133"/>
      <w:bookmarkStart w:id="134" w:name="_Toc184313251"/>
      <w:bookmarkEnd w:id="134"/>
      <w:bookmarkStart w:id="135" w:name="_Toc184313297"/>
      <w:bookmarkEnd w:id="135"/>
      <w:bookmarkStart w:id="136" w:name="_Toc184312080"/>
      <w:bookmarkEnd w:id="136"/>
      <w:bookmarkStart w:id="137" w:name="_Toc184308060"/>
      <w:bookmarkEnd w:id="137"/>
      <w:bookmarkStart w:id="138" w:name="_Toc184312099"/>
      <w:bookmarkEnd w:id="138"/>
      <w:bookmarkStart w:id="139" w:name="_Toc184314448"/>
      <w:bookmarkEnd w:id="139"/>
      <w:bookmarkStart w:id="140" w:name="_Toc184313256"/>
      <w:bookmarkEnd w:id="140"/>
      <w:bookmarkStart w:id="141" w:name="_Toc184308093"/>
      <w:bookmarkEnd w:id="141"/>
      <w:bookmarkStart w:id="142" w:name="_Toc184308057"/>
      <w:bookmarkEnd w:id="142"/>
      <w:bookmarkStart w:id="143" w:name="_Toc184314415"/>
      <w:bookmarkEnd w:id="143"/>
      <w:bookmarkStart w:id="144" w:name="_Toc184313307"/>
      <w:bookmarkEnd w:id="144"/>
      <w:bookmarkStart w:id="145" w:name="_Toc184308068"/>
      <w:bookmarkEnd w:id="145"/>
      <w:bookmarkStart w:id="146" w:name="_Toc184313269"/>
      <w:bookmarkEnd w:id="146"/>
      <w:bookmarkStart w:id="147" w:name="_Toc184312134"/>
      <w:bookmarkEnd w:id="147"/>
      <w:bookmarkStart w:id="148" w:name="_Toc184314482"/>
      <w:bookmarkEnd w:id="148"/>
      <w:bookmarkStart w:id="149" w:name="_Toc184310324"/>
      <w:bookmarkEnd w:id="149"/>
      <w:bookmarkStart w:id="150" w:name="_Toc184308059"/>
      <w:bookmarkEnd w:id="150"/>
      <w:bookmarkStart w:id="151" w:name="_Toc184313299"/>
      <w:bookmarkEnd w:id="151"/>
      <w:bookmarkStart w:id="152" w:name="_Toc184313283"/>
      <w:bookmarkEnd w:id="152"/>
      <w:bookmarkStart w:id="153" w:name="_Toc184310341"/>
      <w:bookmarkEnd w:id="153"/>
      <w:bookmarkStart w:id="154" w:name="_Toc184312075"/>
      <w:bookmarkEnd w:id="154"/>
      <w:bookmarkStart w:id="155" w:name="_Toc184308045"/>
      <w:bookmarkEnd w:id="155"/>
      <w:bookmarkStart w:id="156" w:name="_Toc184310321"/>
      <w:bookmarkEnd w:id="156"/>
      <w:bookmarkStart w:id="157" w:name="_Toc184313253"/>
      <w:bookmarkEnd w:id="157"/>
      <w:bookmarkStart w:id="158" w:name="_Toc184312078"/>
      <w:bookmarkEnd w:id="158"/>
      <w:bookmarkStart w:id="159" w:name="_Toc184313310"/>
      <w:bookmarkEnd w:id="159"/>
      <w:bookmarkStart w:id="160" w:name="_Toc184310306"/>
      <w:bookmarkEnd w:id="160"/>
      <w:bookmarkStart w:id="161" w:name="_Toc184308082"/>
      <w:bookmarkEnd w:id="161"/>
      <w:bookmarkStart w:id="162" w:name="_Toc184310320"/>
      <w:bookmarkEnd w:id="162"/>
      <w:bookmarkStart w:id="163" w:name="_Toc184312137"/>
      <w:bookmarkEnd w:id="163"/>
      <w:bookmarkStart w:id="164" w:name="_Toc184310304"/>
      <w:bookmarkEnd w:id="164"/>
      <w:bookmarkStart w:id="165" w:name="_Toc184312093"/>
      <w:bookmarkEnd w:id="165"/>
      <w:bookmarkStart w:id="166" w:name="_Toc184308042"/>
      <w:bookmarkEnd w:id="166"/>
      <w:bookmarkStart w:id="167" w:name="_Toc184312108"/>
      <w:bookmarkEnd w:id="167"/>
      <w:bookmarkStart w:id="168" w:name="_Toc184310280"/>
      <w:bookmarkEnd w:id="168"/>
      <w:bookmarkStart w:id="169" w:name="_Toc184308105"/>
      <w:bookmarkEnd w:id="169"/>
      <w:bookmarkStart w:id="170" w:name="_Toc184314444"/>
      <w:bookmarkEnd w:id="170"/>
      <w:bookmarkStart w:id="171" w:name="_Toc184308089"/>
      <w:bookmarkEnd w:id="171"/>
      <w:bookmarkStart w:id="172" w:name="_Toc184313240"/>
      <w:bookmarkEnd w:id="172"/>
      <w:bookmarkStart w:id="173" w:name="_Toc184312102"/>
      <w:bookmarkEnd w:id="173"/>
      <w:bookmarkStart w:id="174" w:name="_Toc184310287"/>
      <w:bookmarkEnd w:id="174"/>
      <w:bookmarkStart w:id="175" w:name="_Toc184312121"/>
      <w:bookmarkEnd w:id="175"/>
      <w:bookmarkStart w:id="176" w:name="_Toc184308075"/>
      <w:bookmarkEnd w:id="176"/>
      <w:bookmarkStart w:id="177" w:name="_Toc184314445"/>
      <w:bookmarkEnd w:id="177"/>
      <w:bookmarkStart w:id="178" w:name="_Toc184308052"/>
      <w:bookmarkEnd w:id="178"/>
      <w:bookmarkStart w:id="179" w:name="_Toc184313309"/>
      <w:bookmarkEnd w:id="179"/>
      <w:bookmarkStart w:id="180" w:name="_Toc184314463"/>
      <w:bookmarkEnd w:id="180"/>
      <w:bookmarkStart w:id="181" w:name="_Toc184308081"/>
      <w:bookmarkEnd w:id="181"/>
      <w:bookmarkStart w:id="182" w:name="_Toc184313267"/>
      <w:bookmarkEnd w:id="182"/>
      <w:bookmarkStart w:id="183" w:name="_Toc184312079"/>
      <w:bookmarkEnd w:id="183"/>
      <w:bookmarkStart w:id="184" w:name="_Toc184308080"/>
      <w:bookmarkEnd w:id="184"/>
      <w:bookmarkStart w:id="185" w:name="_Toc184314429"/>
      <w:bookmarkEnd w:id="185"/>
      <w:bookmarkStart w:id="186" w:name="_Toc184314424"/>
      <w:bookmarkEnd w:id="186"/>
      <w:bookmarkStart w:id="187" w:name="_Toc184308048"/>
      <w:bookmarkEnd w:id="187"/>
      <w:bookmarkStart w:id="188" w:name="_Toc184312094"/>
      <w:bookmarkEnd w:id="188"/>
      <w:bookmarkStart w:id="189" w:name="_Toc184313241"/>
      <w:bookmarkEnd w:id="189"/>
      <w:bookmarkStart w:id="190" w:name="_Toc184314458"/>
      <w:bookmarkEnd w:id="190"/>
      <w:bookmarkStart w:id="191" w:name="_Toc184312096"/>
      <w:bookmarkEnd w:id="191"/>
      <w:bookmarkStart w:id="192" w:name="_Toc184310333"/>
      <w:bookmarkEnd w:id="192"/>
      <w:bookmarkStart w:id="193" w:name="_Toc184314442"/>
      <w:bookmarkEnd w:id="193"/>
      <w:bookmarkStart w:id="194" w:name="_Toc184314460"/>
      <w:bookmarkEnd w:id="194"/>
      <w:bookmarkStart w:id="195" w:name="_Toc184308049"/>
      <w:bookmarkEnd w:id="195"/>
      <w:bookmarkStart w:id="196" w:name="_Toc184314413"/>
      <w:bookmarkEnd w:id="196"/>
      <w:bookmarkStart w:id="197" w:name="_Toc184308041"/>
      <w:bookmarkEnd w:id="197"/>
      <w:bookmarkStart w:id="198" w:name="_Toc184310301"/>
      <w:bookmarkEnd w:id="198"/>
      <w:bookmarkStart w:id="199" w:name="_Toc184314421"/>
      <w:bookmarkEnd w:id="199"/>
      <w:bookmarkStart w:id="200" w:name="_Toc184313242"/>
      <w:bookmarkEnd w:id="200"/>
      <w:bookmarkStart w:id="201" w:name="_Toc184313284"/>
      <w:bookmarkEnd w:id="201"/>
      <w:bookmarkStart w:id="202" w:name="_Toc184308037"/>
      <w:bookmarkEnd w:id="202"/>
      <w:bookmarkStart w:id="203" w:name="_Toc184308071"/>
      <w:bookmarkEnd w:id="203"/>
      <w:bookmarkStart w:id="204" w:name="_Toc184310339"/>
      <w:bookmarkEnd w:id="204"/>
      <w:bookmarkStart w:id="205" w:name="_Toc184314430"/>
      <w:bookmarkEnd w:id="205"/>
      <w:bookmarkStart w:id="206" w:name="_Toc184314457"/>
      <w:bookmarkEnd w:id="206"/>
      <w:bookmarkStart w:id="207" w:name="_Toc184308065"/>
      <w:bookmarkEnd w:id="207"/>
      <w:bookmarkStart w:id="208" w:name="_Toc184314476"/>
      <w:bookmarkEnd w:id="208"/>
      <w:bookmarkStart w:id="209" w:name="_Toc184312109"/>
      <w:bookmarkEnd w:id="209"/>
      <w:bookmarkStart w:id="210" w:name="_Toc184314466"/>
      <w:bookmarkEnd w:id="210"/>
      <w:bookmarkStart w:id="211" w:name="_Toc184313277"/>
      <w:bookmarkEnd w:id="211"/>
      <w:bookmarkStart w:id="212" w:name="_Toc184312105"/>
      <w:bookmarkEnd w:id="212"/>
      <w:bookmarkStart w:id="213" w:name="_Toc184308091"/>
      <w:bookmarkEnd w:id="213"/>
      <w:bookmarkStart w:id="214" w:name="_Toc184312125"/>
      <w:bookmarkEnd w:id="214"/>
      <w:bookmarkStart w:id="215" w:name="_Toc184312138"/>
      <w:bookmarkEnd w:id="215"/>
      <w:bookmarkStart w:id="216" w:name="_Toc184308104"/>
      <w:bookmarkEnd w:id="216"/>
      <w:bookmarkStart w:id="217" w:name="_Toc184312132"/>
      <w:bookmarkEnd w:id="217"/>
      <w:bookmarkStart w:id="218" w:name="_Toc184310343"/>
      <w:bookmarkEnd w:id="218"/>
      <w:bookmarkStart w:id="219" w:name="_Toc184312090"/>
      <w:bookmarkEnd w:id="219"/>
      <w:bookmarkStart w:id="220" w:name="_Toc184308103"/>
      <w:bookmarkEnd w:id="220"/>
      <w:bookmarkStart w:id="221" w:name="_Toc184308058"/>
      <w:bookmarkEnd w:id="221"/>
      <w:bookmarkStart w:id="222" w:name="_Toc184313306"/>
      <w:bookmarkEnd w:id="222"/>
      <w:bookmarkStart w:id="223" w:name="_Toc184308067"/>
      <w:bookmarkEnd w:id="223"/>
      <w:bookmarkStart w:id="224" w:name="_Toc184313249"/>
      <w:bookmarkEnd w:id="224"/>
      <w:bookmarkStart w:id="225" w:name="_Toc184313258"/>
      <w:bookmarkEnd w:id="225"/>
      <w:bookmarkStart w:id="226" w:name="_Toc184314443"/>
      <w:bookmarkEnd w:id="226"/>
      <w:bookmarkStart w:id="227" w:name="_Toc184314432"/>
      <w:bookmarkEnd w:id="227"/>
      <w:bookmarkStart w:id="228" w:name="_Toc184313245"/>
      <w:bookmarkEnd w:id="228"/>
      <w:bookmarkStart w:id="229" w:name="_Toc184313274"/>
      <w:bookmarkEnd w:id="229"/>
      <w:bookmarkStart w:id="230" w:name="_Toc184314438"/>
      <w:bookmarkEnd w:id="230"/>
      <w:bookmarkStart w:id="231" w:name="_Toc184310330"/>
      <w:bookmarkEnd w:id="231"/>
      <w:bookmarkStart w:id="232" w:name="_Toc184313255"/>
      <w:bookmarkEnd w:id="232"/>
      <w:bookmarkStart w:id="233" w:name="_Toc184310326"/>
      <w:bookmarkEnd w:id="233"/>
      <w:bookmarkStart w:id="234" w:name="_Toc184314464"/>
      <w:bookmarkEnd w:id="234"/>
      <w:bookmarkStart w:id="235" w:name="_Toc184310332"/>
      <w:bookmarkEnd w:id="235"/>
      <w:bookmarkStart w:id="236" w:name="_Toc184308062"/>
      <w:bookmarkEnd w:id="236"/>
      <w:bookmarkStart w:id="237" w:name="_Toc184312103"/>
      <w:bookmarkEnd w:id="237"/>
      <w:bookmarkStart w:id="238" w:name="_Toc184312111"/>
      <w:bookmarkEnd w:id="238"/>
      <w:bookmarkStart w:id="239" w:name="_Toc184310327"/>
      <w:bookmarkEnd w:id="239"/>
      <w:bookmarkStart w:id="240" w:name="_Toc184313276"/>
      <w:bookmarkEnd w:id="240"/>
      <w:bookmarkStart w:id="241" w:name="_Toc184313298"/>
      <w:bookmarkEnd w:id="241"/>
      <w:bookmarkStart w:id="242" w:name="_Toc184310291"/>
      <w:bookmarkEnd w:id="242"/>
      <w:bookmarkStart w:id="243" w:name="_Toc184313293"/>
      <w:bookmarkEnd w:id="243"/>
      <w:bookmarkStart w:id="244" w:name="_Toc184312071"/>
      <w:bookmarkEnd w:id="244"/>
      <w:bookmarkStart w:id="245" w:name="_Toc184310295"/>
      <w:bookmarkEnd w:id="245"/>
      <w:bookmarkStart w:id="246" w:name="_Toc184310273"/>
      <w:bookmarkEnd w:id="246"/>
      <w:bookmarkStart w:id="247" w:name="_Toc184313248"/>
      <w:bookmarkEnd w:id="247"/>
      <w:bookmarkStart w:id="248" w:name="_Toc184310282"/>
      <w:bookmarkEnd w:id="248"/>
      <w:bookmarkStart w:id="249" w:name="_Toc184312115"/>
      <w:bookmarkEnd w:id="249"/>
      <w:bookmarkStart w:id="250" w:name="_Toc184314433"/>
      <w:bookmarkEnd w:id="250"/>
      <w:bookmarkStart w:id="251" w:name="_Toc184312088"/>
      <w:bookmarkEnd w:id="251"/>
      <w:bookmarkStart w:id="252" w:name="_Toc184312106"/>
      <w:bookmarkEnd w:id="252"/>
      <w:bookmarkStart w:id="253" w:name="_Toc184313238"/>
      <w:bookmarkEnd w:id="253"/>
      <w:bookmarkStart w:id="254" w:name="_Toc184308074"/>
      <w:bookmarkEnd w:id="254"/>
      <w:bookmarkStart w:id="255" w:name="_Toc184313266"/>
      <w:bookmarkEnd w:id="255"/>
      <w:bookmarkStart w:id="256" w:name="_Toc184310300"/>
      <w:bookmarkEnd w:id="256"/>
      <w:bookmarkStart w:id="257" w:name="_Toc184308046"/>
      <w:bookmarkEnd w:id="257"/>
      <w:bookmarkStart w:id="258" w:name="_Toc184308086"/>
      <w:bookmarkEnd w:id="258"/>
      <w:bookmarkStart w:id="259" w:name="_Toc184308108"/>
      <w:bookmarkEnd w:id="259"/>
      <w:bookmarkStart w:id="260" w:name="_Toc184310303"/>
      <w:bookmarkEnd w:id="260"/>
      <w:bookmarkStart w:id="261" w:name="_Toc184313301"/>
      <w:bookmarkEnd w:id="261"/>
      <w:bookmarkStart w:id="262" w:name="_Toc184313290"/>
      <w:bookmarkEnd w:id="262"/>
      <w:bookmarkStart w:id="263" w:name="_Toc184312081"/>
      <w:bookmarkEnd w:id="263"/>
      <w:bookmarkStart w:id="264" w:name="_Toc184314461"/>
      <w:bookmarkEnd w:id="264"/>
      <w:bookmarkStart w:id="265" w:name="_Toc184308061"/>
      <w:bookmarkEnd w:id="265"/>
      <w:bookmarkStart w:id="266" w:name="_Toc184314451"/>
      <w:bookmarkEnd w:id="266"/>
      <w:bookmarkStart w:id="267" w:name="_Toc184308063"/>
      <w:bookmarkEnd w:id="267"/>
      <w:bookmarkStart w:id="268" w:name="_Toc184312122"/>
      <w:bookmarkEnd w:id="268"/>
      <w:bookmarkStart w:id="269" w:name="_Toc184312120"/>
      <w:bookmarkEnd w:id="269"/>
      <w:bookmarkStart w:id="270" w:name="_Toc184314428"/>
      <w:bookmarkEnd w:id="270"/>
      <w:bookmarkStart w:id="271" w:name="_Toc184314446"/>
      <w:bookmarkEnd w:id="271"/>
      <w:bookmarkStart w:id="272" w:name="_Toc184308100"/>
      <w:bookmarkEnd w:id="272"/>
      <w:bookmarkStart w:id="273" w:name="_Toc184313308"/>
      <w:bookmarkEnd w:id="273"/>
      <w:bookmarkStart w:id="274" w:name="_Toc184312112"/>
      <w:bookmarkEnd w:id="274"/>
      <w:bookmarkStart w:id="275" w:name="_Toc184314459"/>
      <w:bookmarkEnd w:id="275"/>
      <w:bookmarkStart w:id="276" w:name="_Toc184312091"/>
      <w:bookmarkEnd w:id="276"/>
      <w:bookmarkStart w:id="277" w:name="_Toc184310337"/>
      <w:bookmarkEnd w:id="277"/>
      <w:bookmarkStart w:id="278" w:name="_Toc184310299"/>
      <w:bookmarkEnd w:id="278"/>
      <w:bookmarkStart w:id="279" w:name="_Toc184313282"/>
      <w:bookmarkEnd w:id="279"/>
      <w:bookmarkStart w:id="280" w:name="_Toc184310313"/>
      <w:bookmarkEnd w:id="280"/>
      <w:bookmarkStart w:id="281" w:name="_Toc184308098"/>
      <w:bookmarkEnd w:id="281"/>
      <w:bookmarkStart w:id="282" w:name="_Toc184314417"/>
      <w:bookmarkEnd w:id="282"/>
      <w:bookmarkStart w:id="283" w:name="_Toc184308101"/>
      <w:bookmarkEnd w:id="283"/>
      <w:bookmarkStart w:id="284" w:name="_Toc184312129"/>
      <w:bookmarkEnd w:id="284"/>
      <w:bookmarkStart w:id="285" w:name="_Toc184308066"/>
      <w:bookmarkEnd w:id="285"/>
      <w:bookmarkStart w:id="286" w:name="_Toc184312069"/>
      <w:bookmarkEnd w:id="286"/>
      <w:bookmarkStart w:id="287" w:name="_Toc184314478"/>
      <w:bookmarkEnd w:id="287"/>
      <w:bookmarkStart w:id="288" w:name="_Toc184313287"/>
      <w:bookmarkEnd w:id="288"/>
      <w:bookmarkStart w:id="289" w:name="_Toc184312131"/>
      <w:bookmarkEnd w:id="289"/>
      <w:bookmarkStart w:id="290" w:name="_Toc184308096"/>
      <w:bookmarkEnd w:id="290"/>
      <w:bookmarkStart w:id="291" w:name="_Toc184310307"/>
      <w:bookmarkEnd w:id="291"/>
      <w:bookmarkStart w:id="292" w:name="_Toc184308083"/>
      <w:bookmarkEnd w:id="292"/>
      <w:bookmarkStart w:id="293" w:name="_Toc184313289"/>
      <w:bookmarkEnd w:id="293"/>
      <w:bookmarkStart w:id="294" w:name="_Toc184312083"/>
      <w:bookmarkEnd w:id="294"/>
      <w:bookmarkStart w:id="295" w:name="_Toc184312123"/>
      <w:bookmarkEnd w:id="295"/>
      <w:bookmarkStart w:id="296" w:name="_Toc184310297"/>
      <w:bookmarkEnd w:id="296"/>
      <w:bookmarkStart w:id="297" w:name="_Toc184313260"/>
      <w:bookmarkEnd w:id="297"/>
      <w:bookmarkStart w:id="298" w:name="_Toc184308051"/>
      <w:bookmarkEnd w:id="298"/>
      <w:bookmarkStart w:id="299" w:name="_Toc184310342"/>
      <w:bookmarkEnd w:id="299"/>
      <w:bookmarkStart w:id="300" w:name="_Toc184310302"/>
      <w:bookmarkEnd w:id="300"/>
      <w:bookmarkStart w:id="301" w:name="_Toc184308073"/>
      <w:bookmarkEnd w:id="301"/>
      <w:bookmarkStart w:id="302" w:name="_Toc184313261"/>
      <w:bookmarkEnd w:id="302"/>
      <w:bookmarkStart w:id="303" w:name="_Toc184314455"/>
      <w:bookmarkEnd w:id="303"/>
      <w:bookmarkStart w:id="304" w:name="_Toc184312073"/>
      <w:bookmarkEnd w:id="304"/>
      <w:bookmarkStart w:id="305" w:name="_Toc184312086"/>
      <w:bookmarkEnd w:id="305"/>
      <w:bookmarkStart w:id="306" w:name="_Toc184314467"/>
      <w:bookmarkEnd w:id="306"/>
      <w:bookmarkStart w:id="307" w:name="_Toc184314441"/>
      <w:bookmarkEnd w:id="307"/>
      <w:bookmarkStart w:id="308" w:name="_Toc184312070"/>
      <w:bookmarkEnd w:id="308"/>
      <w:bookmarkStart w:id="309" w:name="_Toc184310344"/>
      <w:bookmarkEnd w:id="309"/>
      <w:bookmarkStart w:id="310" w:name="_Toc184313246"/>
      <w:bookmarkEnd w:id="310"/>
      <w:bookmarkStart w:id="311" w:name="_Toc184308095"/>
      <w:bookmarkEnd w:id="311"/>
      <w:bookmarkStart w:id="312" w:name="_Toc184314427"/>
      <w:bookmarkEnd w:id="312"/>
      <w:bookmarkStart w:id="313" w:name="_Toc184313254"/>
      <w:bookmarkEnd w:id="313"/>
      <w:bookmarkStart w:id="314" w:name="_Toc184312074"/>
      <w:bookmarkEnd w:id="314"/>
      <w:bookmarkStart w:id="315" w:name="_Toc184314477"/>
      <w:bookmarkEnd w:id="315"/>
      <w:bookmarkStart w:id="316" w:name="_Toc184314480"/>
      <w:bookmarkEnd w:id="316"/>
      <w:bookmarkStart w:id="317" w:name="_Toc184313263"/>
      <w:bookmarkEnd w:id="317"/>
      <w:bookmarkStart w:id="318" w:name="_Toc184312135"/>
      <w:bookmarkEnd w:id="318"/>
      <w:bookmarkStart w:id="319" w:name="_Toc184313243"/>
      <w:bookmarkEnd w:id="319"/>
      <w:bookmarkStart w:id="320" w:name="_Toc184314416"/>
      <w:bookmarkEnd w:id="320"/>
      <w:bookmarkStart w:id="321" w:name="_Toc184310310"/>
      <w:bookmarkEnd w:id="321"/>
      <w:bookmarkStart w:id="322" w:name="_Toc184308076"/>
      <w:bookmarkEnd w:id="322"/>
      <w:bookmarkStart w:id="323" w:name="_Toc184310317"/>
      <w:bookmarkEnd w:id="323"/>
      <w:bookmarkStart w:id="324" w:name="_Toc184310289"/>
      <w:bookmarkEnd w:id="324"/>
      <w:bookmarkStart w:id="325" w:name="_Toc184310311"/>
      <w:bookmarkEnd w:id="325"/>
      <w:bookmarkStart w:id="326" w:name="_Toc184312130"/>
      <w:bookmarkEnd w:id="326"/>
      <w:bookmarkStart w:id="327" w:name="_Toc184308077"/>
      <w:bookmarkEnd w:id="327"/>
      <w:bookmarkStart w:id="328" w:name="_Toc184314437"/>
      <w:bookmarkEnd w:id="328"/>
      <w:bookmarkStart w:id="329" w:name="_Toc184313239"/>
      <w:bookmarkEnd w:id="329"/>
      <w:bookmarkStart w:id="330" w:name="_Toc184313273"/>
      <w:bookmarkEnd w:id="330"/>
      <w:bookmarkStart w:id="331" w:name="_Toc184310284"/>
      <w:bookmarkEnd w:id="331"/>
      <w:bookmarkStart w:id="332" w:name="_Toc184314425"/>
      <w:bookmarkEnd w:id="332"/>
      <w:bookmarkStart w:id="333" w:name="_Toc184314470"/>
      <w:bookmarkEnd w:id="333"/>
      <w:bookmarkStart w:id="334" w:name="_Toc184308044"/>
      <w:bookmarkEnd w:id="334"/>
      <w:bookmarkStart w:id="335" w:name="_Toc184312124"/>
      <w:bookmarkEnd w:id="335"/>
      <w:bookmarkStart w:id="336" w:name="_Toc184312107"/>
      <w:bookmarkEnd w:id="336"/>
      <w:bookmarkStart w:id="337" w:name="_Toc184313288"/>
      <w:bookmarkEnd w:id="337"/>
      <w:bookmarkStart w:id="338" w:name="_Toc184310286"/>
      <w:bookmarkEnd w:id="338"/>
      <w:bookmarkStart w:id="339" w:name="_Toc184313280"/>
      <w:bookmarkEnd w:id="339"/>
      <w:bookmarkStart w:id="340" w:name="_Toc184310312"/>
      <w:bookmarkEnd w:id="340"/>
      <w:bookmarkStart w:id="341" w:name="_Toc184308053"/>
      <w:bookmarkEnd w:id="341"/>
      <w:bookmarkStart w:id="342" w:name="_Toc184310278"/>
      <w:bookmarkEnd w:id="342"/>
      <w:bookmarkStart w:id="343" w:name="_Toc184308040"/>
      <w:bookmarkEnd w:id="343"/>
      <w:bookmarkStart w:id="344" w:name="_Toc184310334"/>
      <w:bookmarkEnd w:id="344"/>
      <w:bookmarkStart w:id="345" w:name="_Toc184314481"/>
      <w:bookmarkEnd w:id="345"/>
      <w:bookmarkStart w:id="346" w:name="_Toc184313295"/>
      <w:bookmarkEnd w:id="346"/>
      <w:bookmarkStart w:id="347" w:name="_Toc184314450"/>
      <w:bookmarkEnd w:id="347"/>
      <w:bookmarkStart w:id="348" w:name="_Toc184308084"/>
      <w:bookmarkEnd w:id="348"/>
      <w:bookmarkStart w:id="349" w:name="_Toc184314434"/>
      <w:bookmarkEnd w:id="349"/>
      <w:bookmarkStart w:id="350" w:name="_Toc184314440"/>
      <w:bookmarkEnd w:id="350"/>
      <w:bookmarkStart w:id="351" w:name="_Toc184312127"/>
      <w:bookmarkEnd w:id="351"/>
      <w:bookmarkStart w:id="352" w:name="_Toc184312114"/>
      <w:bookmarkEnd w:id="352"/>
      <w:bookmarkStart w:id="353" w:name="_Toc184312139"/>
      <w:bookmarkEnd w:id="353"/>
      <w:bookmarkStart w:id="354" w:name="_Toc184308097"/>
      <w:bookmarkEnd w:id="354"/>
      <w:bookmarkStart w:id="355" w:name="_Toc184310322"/>
      <w:bookmarkEnd w:id="355"/>
      <w:bookmarkStart w:id="356" w:name="_Toc184312116"/>
      <w:bookmarkEnd w:id="356"/>
      <w:bookmarkStart w:id="357" w:name="_Toc184313257"/>
      <w:bookmarkEnd w:id="357"/>
      <w:bookmarkStart w:id="358" w:name="_Toc184313285"/>
      <w:bookmarkEnd w:id="358"/>
      <w:bookmarkStart w:id="359" w:name="_Toc184312072"/>
      <w:bookmarkEnd w:id="359"/>
      <w:bookmarkStart w:id="360" w:name="_Toc184314471"/>
      <w:bookmarkEnd w:id="360"/>
      <w:bookmarkStart w:id="361" w:name="_Toc184312067"/>
      <w:bookmarkEnd w:id="361"/>
      <w:bookmarkStart w:id="362" w:name="_Toc184310308"/>
      <w:bookmarkEnd w:id="362"/>
      <w:bookmarkStart w:id="363" w:name="_Toc184314469"/>
      <w:bookmarkEnd w:id="363"/>
      <w:bookmarkStart w:id="364" w:name="_Toc184314423"/>
      <w:bookmarkEnd w:id="364"/>
      <w:bookmarkStart w:id="365" w:name="_Toc184310329"/>
      <w:bookmarkEnd w:id="365"/>
      <w:bookmarkStart w:id="366" w:name="_Toc184313303"/>
      <w:bookmarkEnd w:id="366"/>
      <w:bookmarkStart w:id="367" w:name="_Toc184312084"/>
      <w:bookmarkEnd w:id="367"/>
      <w:bookmarkStart w:id="368" w:name="_Toc184314479"/>
      <w:bookmarkEnd w:id="368"/>
      <w:bookmarkStart w:id="369" w:name="_Toc184314447"/>
      <w:bookmarkEnd w:id="369"/>
      <w:bookmarkStart w:id="370" w:name="_Toc184308099"/>
      <w:bookmarkEnd w:id="370"/>
      <w:bookmarkStart w:id="371" w:name="_Toc184310328"/>
      <w:bookmarkEnd w:id="371"/>
      <w:bookmarkStart w:id="372" w:name="_Toc184308078"/>
      <w:bookmarkEnd w:id="372"/>
      <w:bookmarkStart w:id="373" w:name="_Toc184312136"/>
      <w:bookmarkEnd w:id="373"/>
      <w:bookmarkStart w:id="374" w:name="_Toc184308106"/>
      <w:bookmarkEnd w:id="374"/>
      <w:bookmarkStart w:id="375" w:name="_Toc184310319"/>
      <w:bookmarkEnd w:id="375"/>
      <w:bookmarkStart w:id="376" w:name="_Toc184308087"/>
      <w:bookmarkEnd w:id="376"/>
      <w:bookmarkStart w:id="377" w:name="_Toc184308047"/>
      <w:bookmarkEnd w:id="377"/>
      <w:bookmarkStart w:id="378" w:name="_Toc184313304"/>
      <w:bookmarkEnd w:id="378"/>
      <w:bookmarkStart w:id="379" w:name="_Toc184314453"/>
      <w:bookmarkEnd w:id="379"/>
      <w:bookmarkStart w:id="380" w:name="_Toc184308069"/>
      <w:bookmarkEnd w:id="380"/>
      <w:bookmarkStart w:id="381" w:name="_Toc184313275"/>
      <w:bookmarkEnd w:id="381"/>
      <w:bookmarkStart w:id="382" w:name="_Toc184308064"/>
      <w:bookmarkEnd w:id="382"/>
      <w:bookmarkStart w:id="383" w:name="_Toc184313294"/>
      <w:bookmarkEnd w:id="383"/>
      <w:bookmarkStart w:id="384" w:name="_Toc184313262"/>
      <w:bookmarkEnd w:id="384"/>
      <w:bookmarkStart w:id="385" w:name="_Toc184310296"/>
      <w:bookmarkEnd w:id="385"/>
      <w:bookmarkStart w:id="386" w:name="_Toc184310335"/>
      <w:bookmarkEnd w:id="386"/>
      <w:bookmarkStart w:id="387" w:name="_Toc184308054"/>
      <w:bookmarkEnd w:id="387"/>
      <w:bookmarkStart w:id="388" w:name="_Toc184313270"/>
      <w:bookmarkEnd w:id="388"/>
      <w:bookmarkStart w:id="389" w:name="_Toc184310323"/>
      <w:bookmarkEnd w:id="389"/>
      <w:bookmarkStart w:id="390" w:name="_Toc184313278"/>
      <w:bookmarkEnd w:id="390"/>
      <w:bookmarkStart w:id="391" w:name="_Toc184308050"/>
      <w:bookmarkEnd w:id="391"/>
      <w:bookmarkStart w:id="392" w:name="_Toc184312126"/>
      <w:bookmarkEnd w:id="392"/>
      <w:bookmarkStart w:id="393" w:name="_Toc184310325"/>
      <w:bookmarkEnd w:id="393"/>
      <w:bookmarkStart w:id="394" w:name="_Toc184314436"/>
      <w:bookmarkEnd w:id="394"/>
      <w:bookmarkStart w:id="395" w:name="_Toc184308092"/>
      <w:bookmarkEnd w:id="395"/>
      <w:bookmarkStart w:id="396" w:name="_Toc184308085"/>
      <w:bookmarkEnd w:id="396"/>
      <w:bookmarkStart w:id="397" w:name="_Toc184310275"/>
      <w:bookmarkEnd w:id="397"/>
      <w:bookmarkStart w:id="398" w:name="_Toc184314422"/>
      <w:bookmarkEnd w:id="398"/>
      <w:bookmarkStart w:id="399" w:name="_Toc184312104"/>
      <w:bookmarkEnd w:id="399"/>
      <w:bookmarkStart w:id="400" w:name="_Toc184314465"/>
      <w:bookmarkEnd w:id="400"/>
      <w:bookmarkStart w:id="401" w:name="_Toc184310314"/>
      <w:bookmarkEnd w:id="401"/>
      <w:bookmarkStart w:id="402" w:name="_Toc184308090"/>
      <w:bookmarkEnd w:id="402"/>
      <w:bookmarkStart w:id="403" w:name="_Toc184312119"/>
      <w:bookmarkEnd w:id="403"/>
      <w:bookmarkStart w:id="404" w:name="_Toc184310338"/>
      <w:bookmarkEnd w:id="404"/>
      <w:bookmarkStart w:id="405" w:name="_Toc184313291"/>
      <w:bookmarkEnd w:id="405"/>
      <w:r>
        <w:rPr>
          <w:rFonts w:hint="eastAsia" w:ascii="仿宋" w:hAnsi="仿宋" w:eastAsia="仿宋" w:cs="仿宋_GB2312"/>
          <w:b/>
          <w:color w:val="auto"/>
          <w:sz w:val="36"/>
          <w:szCs w:val="36"/>
          <w:highlight w:val="none"/>
        </w:rPr>
        <w:t>采购需求</w:t>
      </w:r>
    </w:p>
    <w:p w14:paraId="44785CE4">
      <w:pPr>
        <w:pStyle w:val="2"/>
        <w:ind w:left="0" w:firstLine="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一、</w:t>
      </w:r>
      <w:r>
        <w:rPr>
          <w:rFonts w:hint="eastAsia" w:ascii="仿宋" w:hAnsi="仿宋" w:eastAsia="仿宋" w:cs="仿宋"/>
          <w:color w:val="auto"/>
          <w:highlight w:val="none"/>
        </w:rPr>
        <w:t>招标一览表</w:t>
      </w:r>
    </w:p>
    <w:p w14:paraId="34CA5480">
      <w:pPr>
        <w:pStyle w:val="5"/>
        <w:spacing w:line="24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 xml:space="preserve">项目名称：杭州市滨江区2025-2026年居家养老综合服务封闭式框架协议采购项目 </w:t>
      </w:r>
    </w:p>
    <w:tbl>
      <w:tblPr>
        <w:tblStyle w:val="49"/>
        <w:tblpPr w:leftFromText="180" w:rightFromText="180" w:vertAnchor="text" w:horzAnchor="margin" w:tblpX="-345" w:tblpY="63"/>
        <w:tblOverlap w:val="never"/>
        <w:tblW w:w="93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69"/>
        <w:gridCol w:w="3734"/>
        <w:gridCol w:w="1050"/>
        <w:gridCol w:w="1162"/>
        <w:gridCol w:w="2575"/>
      </w:tblGrid>
      <w:tr w14:paraId="7EC4F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1" w:hRule="atLeast"/>
        </w:trPr>
        <w:tc>
          <w:tcPr>
            <w:tcW w:w="869" w:type="dxa"/>
            <w:tcMar>
              <w:top w:w="15" w:type="dxa"/>
              <w:left w:w="15" w:type="dxa"/>
              <w:bottom w:w="0" w:type="dxa"/>
              <w:right w:w="15" w:type="dxa"/>
            </w:tcMar>
            <w:vAlign w:val="center"/>
          </w:tcPr>
          <w:p w14:paraId="6299D418">
            <w:pPr>
              <w:tabs>
                <w:tab w:val="left" w:pos="516"/>
              </w:tabs>
              <w:jc w:val="center"/>
              <w:textAlignment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标项</w:t>
            </w:r>
          </w:p>
        </w:tc>
        <w:tc>
          <w:tcPr>
            <w:tcW w:w="3734" w:type="dxa"/>
            <w:tcMar>
              <w:top w:w="15" w:type="dxa"/>
              <w:left w:w="15" w:type="dxa"/>
              <w:bottom w:w="0" w:type="dxa"/>
              <w:right w:w="15" w:type="dxa"/>
            </w:tcMar>
            <w:vAlign w:val="center"/>
          </w:tcPr>
          <w:p w14:paraId="32F90293">
            <w:pPr>
              <w:tabs>
                <w:tab w:val="left" w:pos="516"/>
              </w:tabs>
              <w:jc w:val="center"/>
              <w:textAlignment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名称</w:t>
            </w:r>
          </w:p>
        </w:tc>
        <w:tc>
          <w:tcPr>
            <w:tcW w:w="1050" w:type="dxa"/>
            <w:tcMar>
              <w:top w:w="15" w:type="dxa"/>
              <w:left w:w="15" w:type="dxa"/>
              <w:bottom w:w="0" w:type="dxa"/>
              <w:right w:w="15" w:type="dxa"/>
            </w:tcMar>
            <w:vAlign w:val="center"/>
          </w:tcPr>
          <w:p w14:paraId="6324AF7B">
            <w:pPr>
              <w:tabs>
                <w:tab w:val="left" w:pos="516"/>
              </w:tabs>
              <w:jc w:val="center"/>
              <w:textAlignment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数量</w:t>
            </w:r>
          </w:p>
        </w:tc>
        <w:tc>
          <w:tcPr>
            <w:tcW w:w="1162" w:type="dxa"/>
            <w:tcMar>
              <w:top w:w="15" w:type="dxa"/>
              <w:left w:w="15" w:type="dxa"/>
              <w:bottom w:w="0" w:type="dxa"/>
              <w:right w:w="15" w:type="dxa"/>
            </w:tcMar>
            <w:vAlign w:val="center"/>
          </w:tcPr>
          <w:p w14:paraId="6704D467">
            <w:pPr>
              <w:tabs>
                <w:tab w:val="left" w:pos="516"/>
              </w:tabs>
              <w:jc w:val="center"/>
              <w:textAlignment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单位</w:t>
            </w:r>
          </w:p>
        </w:tc>
        <w:tc>
          <w:tcPr>
            <w:tcW w:w="2575" w:type="dxa"/>
            <w:vAlign w:val="center"/>
          </w:tcPr>
          <w:p w14:paraId="105182A7">
            <w:pPr>
              <w:tabs>
                <w:tab w:val="left" w:pos="516"/>
              </w:tabs>
              <w:jc w:val="center"/>
              <w:textAlignment w:val="center"/>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入围家数</w:t>
            </w:r>
          </w:p>
        </w:tc>
      </w:tr>
      <w:tr w14:paraId="329D9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73" w:hRule="atLeast"/>
        </w:trPr>
        <w:tc>
          <w:tcPr>
            <w:tcW w:w="869" w:type="dxa"/>
            <w:tcMar>
              <w:top w:w="15" w:type="dxa"/>
              <w:left w:w="15" w:type="dxa"/>
              <w:bottom w:w="0" w:type="dxa"/>
              <w:right w:w="15" w:type="dxa"/>
            </w:tcMar>
            <w:vAlign w:val="center"/>
          </w:tcPr>
          <w:p w14:paraId="15978C4D">
            <w:pPr>
              <w:tabs>
                <w:tab w:val="left" w:pos="516"/>
              </w:tabs>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一</w:t>
            </w:r>
          </w:p>
        </w:tc>
        <w:tc>
          <w:tcPr>
            <w:tcW w:w="3734" w:type="dxa"/>
            <w:tcMar>
              <w:top w:w="15" w:type="dxa"/>
              <w:left w:w="15" w:type="dxa"/>
              <w:bottom w:w="0" w:type="dxa"/>
              <w:right w:w="15" w:type="dxa"/>
            </w:tcMar>
            <w:vAlign w:val="center"/>
          </w:tcPr>
          <w:p w14:paraId="7630E0A1">
            <w:pPr>
              <w:tabs>
                <w:tab w:val="left" w:pos="516"/>
              </w:tabs>
              <w:jc w:val="center"/>
              <w:textAlignment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区域化居家养老服务</w:t>
            </w:r>
          </w:p>
        </w:tc>
        <w:tc>
          <w:tcPr>
            <w:tcW w:w="1050" w:type="dxa"/>
            <w:tcMar>
              <w:top w:w="15" w:type="dxa"/>
              <w:left w:w="15" w:type="dxa"/>
              <w:bottom w:w="0" w:type="dxa"/>
              <w:right w:w="15" w:type="dxa"/>
            </w:tcMar>
            <w:vAlign w:val="center"/>
          </w:tcPr>
          <w:p w14:paraId="36D384EE">
            <w:pPr>
              <w:tabs>
                <w:tab w:val="left" w:pos="516"/>
              </w:tabs>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1162" w:type="dxa"/>
            <w:tcMar>
              <w:top w:w="15" w:type="dxa"/>
              <w:left w:w="15" w:type="dxa"/>
              <w:bottom w:w="0" w:type="dxa"/>
              <w:right w:w="15" w:type="dxa"/>
            </w:tcMar>
            <w:vAlign w:val="center"/>
          </w:tcPr>
          <w:p w14:paraId="378BA8E7">
            <w:pPr>
              <w:tabs>
                <w:tab w:val="left" w:pos="516"/>
              </w:tabs>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w:t>
            </w:r>
          </w:p>
        </w:tc>
        <w:tc>
          <w:tcPr>
            <w:tcW w:w="2575" w:type="dxa"/>
            <w:shd w:val="clear" w:color="auto" w:fill="auto"/>
            <w:vAlign w:val="center"/>
          </w:tcPr>
          <w:p w14:paraId="72A90F08">
            <w:pPr>
              <w:tabs>
                <w:tab w:val="left" w:pos="516"/>
              </w:tabs>
              <w:jc w:val="center"/>
              <w:textAlignment w:val="center"/>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6家</w:t>
            </w:r>
          </w:p>
        </w:tc>
      </w:tr>
      <w:tr w14:paraId="5E9F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8" w:hRule="atLeast"/>
        </w:trPr>
        <w:tc>
          <w:tcPr>
            <w:tcW w:w="869" w:type="dxa"/>
            <w:tcMar>
              <w:top w:w="15" w:type="dxa"/>
              <w:left w:w="15" w:type="dxa"/>
              <w:bottom w:w="0" w:type="dxa"/>
              <w:right w:w="15" w:type="dxa"/>
            </w:tcMar>
            <w:vAlign w:val="center"/>
          </w:tcPr>
          <w:p w14:paraId="255A2F33">
            <w:pPr>
              <w:tabs>
                <w:tab w:val="left" w:pos="516"/>
              </w:tabs>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二</w:t>
            </w:r>
          </w:p>
        </w:tc>
        <w:tc>
          <w:tcPr>
            <w:tcW w:w="3734" w:type="dxa"/>
            <w:tcMar>
              <w:top w:w="15" w:type="dxa"/>
              <w:left w:w="15" w:type="dxa"/>
              <w:bottom w:w="0" w:type="dxa"/>
              <w:right w:w="15" w:type="dxa"/>
            </w:tcMar>
            <w:vAlign w:val="center"/>
          </w:tcPr>
          <w:p w14:paraId="55BCC9F1">
            <w:pPr>
              <w:tabs>
                <w:tab w:val="left" w:pos="516"/>
              </w:tabs>
              <w:jc w:val="center"/>
              <w:textAlignment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居家养老上门服务</w:t>
            </w:r>
          </w:p>
        </w:tc>
        <w:tc>
          <w:tcPr>
            <w:tcW w:w="1050" w:type="dxa"/>
            <w:tcMar>
              <w:top w:w="15" w:type="dxa"/>
              <w:left w:w="15" w:type="dxa"/>
              <w:bottom w:w="0" w:type="dxa"/>
              <w:right w:w="15" w:type="dxa"/>
            </w:tcMar>
            <w:vAlign w:val="center"/>
          </w:tcPr>
          <w:p w14:paraId="09E52E1C">
            <w:pPr>
              <w:tabs>
                <w:tab w:val="left" w:pos="516"/>
              </w:tabs>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w:t>
            </w:r>
          </w:p>
        </w:tc>
        <w:tc>
          <w:tcPr>
            <w:tcW w:w="1162" w:type="dxa"/>
            <w:tcMar>
              <w:top w:w="15" w:type="dxa"/>
              <w:left w:w="15" w:type="dxa"/>
              <w:bottom w:w="0" w:type="dxa"/>
              <w:right w:w="15" w:type="dxa"/>
            </w:tcMar>
            <w:vAlign w:val="center"/>
          </w:tcPr>
          <w:p w14:paraId="4DBCEE87">
            <w:pPr>
              <w:tabs>
                <w:tab w:val="left" w:pos="516"/>
              </w:tabs>
              <w:jc w:val="center"/>
              <w:textAlignment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w:t>
            </w:r>
          </w:p>
        </w:tc>
        <w:tc>
          <w:tcPr>
            <w:tcW w:w="2575" w:type="dxa"/>
            <w:shd w:val="clear" w:color="auto" w:fill="auto"/>
            <w:vAlign w:val="center"/>
          </w:tcPr>
          <w:p w14:paraId="3F621CE7">
            <w:pPr>
              <w:tabs>
                <w:tab w:val="left" w:pos="516"/>
              </w:tabs>
              <w:jc w:val="center"/>
              <w:textAlignment w:val="cente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6家</w:t>
            </w:r>
          </w:p>
        </w:tc>
      </w:tr>
    </w:tbl>
    <w:p w14:paraId="569223FF">
      <w:pPr>
        <w:keepNext w:val="0"/>
        <w:keepLines w:val="0"/>
        <w:pageBreakBefore w:val="0"/>
        <w:widowControl w:val="0"/>
        <w:kinsoku/>
        <w:wordWrap/>
        <w:overflowPunct/>
        <w:topLinePunct w:val="0"/>
        <w:autoSpaceDE/>
        <w:autoSpaceDN/>
        <w:bidi w:val="0"/>
        <w:adjustRightInd w:val="0"/>
        <w:snapToGrid/>
        <w:spacing w:line="400" w:lineRule="exact"/>
        <w:jc w:val="left"/>
        <w:textAlignment w:val="auto"/>
        <w:rPr>
          <w:rFonts w:hint="eastAsia" w:ascii="仿宋" w:hAnsi="仿宋" w:eastAsia="仿宋" w:cs="仿宋"/>
          <w:b/>
          <w:bCs/>
          <w:color w:val="auto"/>
          <w:sz w:val="24"/>
          <w:szCs w:val="24"/>
          <w:highlight w:val="none"/>
        </w:rPr>
      </w:pPr>
    </w:p>
    <w:p w14:paraId="13D9259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rPr>
        <w:t>注：</w:t>
      </w:r>
      <w:r>
        <w:rPr>
          <w:rFonts w:hint="eastAsia" w:ascii="仿宋" w:hAnsi="仿宋" w:eastAsia="仿宋" w:cs="仿宋"/>
          <w:b/>
          <w:bCs/>
          <w:color w:val="auto"/>
          <w:sz w:val="24"/>
          <w:szCs w:val="24"/>
          <w:highlight w:val="none"/>
          <w:lang w:val="en-US" w:eastAsia="zh-CN"/>
        </w:rPr>
        <w:t>本项目分2个标项（详见招标一览表），供应商可自行选择其中一个或者多个标项响应，本次评审次序按标项一、标项二的顺序进行评审。</w:t>
      </w:r>
    </w:p>
    <w:p w14:paraId="55BAE8A6">
      <w:pPr>
        <w:pStyle w:val="2"/>
        <w:ind w:left="0" w:firstLine="0"/>
        <w:jc w:val="center"/>
        <w:rPr>
          <w:rFonts w:hint="eastAsia" w:ascii="仿宋" w:hAnsi="仿宋" w:eastAsia="仿宋" w:cs="仿宋"/>
          <w:color w:val="auto"/>
          <w:highlight w:val="none"/>
          <w:lang w:val="en-US" w:eastAsia="zh-CN"/>
        </w:rPr>
      </w:pPr>
    </w:p>
    <w:p w14:paraId="0AECD365">
      <w:pPr>
        <w:pStyle w:val="2"/>
        <w:ind w:left="0" w:firstLine="0"/>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二、</w:t>
      </w:r>
      <w:r>
        <w:rPr>
          <w:rFonts w:hint="eastAsia" w:ascii="仿宋" w:hAnsi="仿宋" w:eastAsia="仿宋" w:cs="仿宋"/>
          <w:color w:val="auto"/>
          <w:highlight w:val="none"/>
          <w:lang w:val="en-US"/>
        </w:rPr>
        <w:t>招标</w:t>
      </w:r>
      <w:r>
        <w:rPr>
          <w:rFonts w:hint="eastAsia" w:ascii="仿宋" w:hAnsi="仿宋" w:eastAsia="仿宋" w:cs="仿宋"/>
          <w:color w:val="auto"/>
          <w:highlight w:val="none"/>
        </w:rPr>
        <w:t>需求</w:t>
      </w:r>
    </w:p>
    <w:p w14:paraId="698DD6D7">
      <w:pPr>
        <w:pageBreakBefore w:val="0"/>
        <w:kinsoku/>
        <w:wordWrap/>
        <w:overflowPunct/>
        <w:topLinePunct w:val="0"/>
        <w:autoSpaceDE/>
        <w:autoSpaceDN/>
        <w:bidi w:val="0"/>
        <w:spacing w:line="500" w:lineRule="exact"/>
        <w:ind w:firstLine="42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为提升</w:t>
      </w:r>
      <w:r>
        <w:rPr>
          <w:rFonts w:hint="eastAsia" w:ascii="仿宋" w:hAnsi="仿宋" w:eastAsia="仿宋" w:cs="仿宋"/>
          <w:color w:val="auto"/>
          <w:sz w:val="24"/>
          <w:szCs w:val="24"/>
          <w:highlight w:val="none"/>
          <w:lang w:val="en-US" w:eastAsia="zh-CN"/>
        </w:rPr>
        <w:t>杭州市滨江</w:t>
      </w:r>
      <w:r>
        <w:rPr>
          <w:rFonts w:hint="eastAsia" w:ascii="仿宋" w:hAnsi="仿宋" w:eastAsia="仿宋" w:cs="仿宋"/>
          <w:color w:val="auto"/>
          <w:sz w:val="24"/>
          <w:szCs w:val="24"/>
          <w:highlight w:val="none"/>
        </w:rPr>
        <w:t>区居民养老服务水平</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根据实际需求及有关规定，杭州市滨江区民政局就</w:t>
      </w:r>
      <w:r>
        <w:rPr>
          <w:rFonts w:hint="eastAsia" w:ascii="仿宋" w:hAnsi="仿宋" w:eastAsia="仿宋" w:cs="仿宋"/>
          <w:color w:val="auto"/>
          <w:sz w:val="24"/>
          <w:szCs w:val="24"/>
          <w:highlight w:val="none"/>
          <w:lang w:val="en-US" w:eastAsia="zh-CN"/>
        </w:rPr>
        <w:t>居家养老综合服务项目</w:t>
      </w:r>
      <w:r>
        <w:rPr>
          <w:rFonts w:hint="eastAsia" w:ascii="仿宋" w:hAnsi="仿宋" w:eastAsia="仿宋" w:cs="仿宋"/>
          <w:color w:val="auto"/>
          <w:sz w:val="24"/>
          <w:szCs w:val="24"/>
          <w:highlight w:val="none"/>
        </w:rPr>
        <w:t>进行采购。</w:t>
      </w:r>
    </w:p>
    <w:p w14:paraId="216D55E9">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一、采购内容</w:t>
      </w:r>
    </w:p>
    <w:p w14:paraId="03499091">
      <w:pPr>
        <w:keepNext w:val="0"/>
        <w:keepLines w:val="0"/>
        <w:pageBreakBefore w:val="0"/>
        <w:widowControl/>
        <w:kinsoku/>
        <w:wordWrap/>
        <w:overflowPunct/>
        <w:topLinePunct w:val="0"/>
        <w:autoSpaceDE/>
        <w:autoSpaceDN/>
        <w:bidi w:val="0"/>
        <w:adjustRightInd/>
        <w:snapToGrid/>
        <w:spacing w:line="500" w:lineRule="exact"/>
        <w:ind w:firstLine="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（一）标项及服务范围</w:t>
      </w:r>
    </w:p>
    <w:p w14:paraId="47EB2590">
      <w:pPr>
        <w:spacing w:line="500" w:lineRule="exact"/>
        <w:ind w:firstLine="42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1.1标项一：</w:t>
      </w:r>
      <w:r>
        <w:rPr>
          <w:rFonts w:hint="eastAsia" w:ascii="仿宋" w:hAnsi="仿宋" w:eastAsia="仿宋" w:cs="仿宋"/>
          <w:b w:val="0"/>
          <w:bCs w:val="0"/>
          <w:snapToGrid/>
          <w:color w:val="auto"/>
          <w:kern w:val="2"/>
          <w:sz w:val="24"/>
          <w:szCs w:val="24"/>
          <w:highlight w:val="none"/>
          <w:lang w:val="en-US" w:eastAsia="zh-CN"/>
        </w:rPr>
        <w:t>区域化居家养老服务，内容主要包括：</w:t>
      </w:r>
      <w:r>
        <w:rPr>
          <w:rFonts w:hint="eastAsia" w:ascii="仿宋" w:hAnsi="仿宋" w:eastAsia="仿宋" w:cs="仿宋"/>
          <w:bCs/>
          <w:snapToGrid/>
          <w:color w:val="auto"/>
          <w:kern w:val="2"/>
          <w:sz w:val="24"/>
          <w:szCs w:val="24"/>
          <w:highlight w:val="none"/>
          <w:lang w:val="en-US" w:eastAsia="zh-CN"/>
        </w:rPr>
        <w:t>为杭州市滨江区</w:t>
      </w:r>
      <w:r>
        <w:rPr>
          <w:rFonts w:hint="eastAsia" w:ascii="仿宋" w:hAnsi="仿宋" w:eastAsia="仿宋" w:cs="仿宋"/>
          <w:color w:val="auto"/>
          <w:kern w:val="0"/>
          <w:sz w:val="24"/>
          <w:szCs w:val="24"/>
          <w:highlight w:val="none"/>
        </w:rPr>
        <w:t>西兴</w:t>
      </w:r>
      <w:r>
        <w:rPr>
          <w:rFonts w:hint="eastAsia" w:ascii="仿宋" w:hAnsi="仿宋" w:eastAsia="仿宋" w:cs="仿宋"/>
          <w:color w:val="auto"/>
          <w:kern w:val="0"/>
          <w:sz w:val="24"/>
          <w:szCs w:val="24"/>
          <w:highlight w:val="none"/>
          <w:lang w:eastAsia="zh-CN"/>
        </w:rPr>
        <w:t>、</w:t>
      </w:r>
      <w:r>
        <w:rPr>
          <w:rFonts w:hint="eastAsia" w:ascii="仿宋" w:hAnsi="仿宋" w:eastAsia="仿宋" w:cs="仿宋"/>
          <w:bCs/>
          <w:snapToGrid/>
          <w:color w:val="auto"/>
          <w:kern w:val="2"/>
          <w:sz w:val="24"/>
          <w:szCs w:val="24"/>
          <w:highlight w:val="none"/>
          <w:lang w:val="en-US" w:eastAsia="zh-CN"/>
        </w:rPr>
        <w:t>长河、浦沿街道辖区范围内的</w:t>
      </w:r>
      <w:r>
        <w:rPr>
          <w:rFonts w:hint="eastAsia" w:ascii="仿宋" w:hAnsi="仿宋" w:eastAsia="仿宋" w:cs="仿宋"/>
          <w:b w:val="0"/>
          <w:bCs w:val="0"/>
          <w:color w:val="auto"/>
          <w:spacing w:val="0"/>
          <w:kern w:val="2"/>
          <w:sz w:val="24"/>
          <w:szCs w:val="24"/>
          <w:highlight w:val="none"/>
          <w:lang w:val="en-US" w:eastAsia="zh-CN" w:bidi="ar-SA"/>
        </w:rPr>
        <w:t>场馆运营、活动开展、养老服务规划、食堂管理、配餐服务（食堂服务人数约为10000人）提供运营服务和上门服务等。</w:t>
      </w:r>
    </w:p>
    <w:p w14:paraId="523C0CC1">
      <w:pPr>
        <w:spacing w:line="500" w:lineRule="exact"/>
        <w:ind w:firstLine="42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1.2标项二：</w:t>
      </w:r>
      <w:r>
        <w:rPr>
          <w:rFonts w:hint="eastAsia" w:ascii="仿宋" w:hAnsi="仿宋" w:eastAsia="仿宋" w:cs="仿宋"/>
          <w:b w:val="0"/>
          <w:bCs w:val="0"/>
          <w:color w:val="auto"/>
          <w:kern w:val="2"/>
          <w:sz w:val="24"/>
          <w:szCs w:val="24"/>
          <w:highlight w:val="none"/>
          <w:lang w:val="en-US" w:eastAsia="zh-CN" w:bidi="ar-SA"/>
        </w:rPr>
        <w:t>居家养老上门服务，</w:t>
      </w:r>
      <w:r>
        <w:rPr>
          <w:rFonts w:hint="eastAsia" w:ascii="仿宋" w:hAnsi="仿宋" w:eastAsia="仿宋" w:cs="仿宋"/>
          <w:b w:val="0"/>
          <w:bCs w:val="0"/>
          <w:snapToGrid/>
          <w:color w:val="auto"/>
          <w:kern w:val="2"/>
          <w:sz w:val="24"/>
          <w:szCs w:val="24"/>
          <w:highlight w:val="none"/>
          <w:lang w:val="en-US" w:eastAsia="zh-CN"/>
        </w:rPr>
        <w:t>内容主要包括：</w:t>
      </w:r>
      <w:r>
        <w:rPr>
          <w:rFonts w:hint="eastAsia" w:ascii="仿宋" w:hAnsi="仿宋" w:eastAsia="仿宋" w:cs="仿宋"/>
          <w:bCs/>
          <w:snapToGrid/>
          <w:color w:val="auto"/>
          <w:kern w:val="2"/>
          <w:sz w:val="24"/>
          <w:szCs w:val="24"/>
          <w:highlight w:val="none"/>
          <w:lang w:val="en-US" w:eastAsia="zh-CN"/>
        </w:rPr>
        <w:t>为杭州市滨江区</w:t>
      </w:r>
      <w:r>
        <w:rPr>
          <w:rFonts w:hint="eastAsia" w:ascii="仿宋" w:hAnsi="仿宋" w:eastAsia="仿宋" w:cs="仿宋"/>
          <w:color w:val="auto"/>
          <w:kern w:val="0"/>
          <w:sz w:val="24"/>
          <w:szCs w:val="24"/>
          <w:highlight w:val="none"/>
        </w:rPr>
        <w:t>西兴</w:t>
      </w:r>
      <w:r>
        <w:rPr>
          <w:rFonts w:hint="eastAsia" w:ascii="仿宋" w:hAnsi="仿宋" w:eastAsia="仿宋" w:cs="仿宋"/>
          <w:color w:val="auto"/>
          <w:kern w:val="0"/>
          <w:sz w:val="24"/>
          <w:szCs w:val="24"/>
          <w:highlight w:val="none"/>
          <w:lang w:eastAsia="zh-CN"/>
        </w:rPr>
        <w:t>、</w:t>
      </w:r>
      <w:r>
        <w:rPr>
          <w:rFonts w:hint="eastAsia" w:ascii="仿宋" w:hAnsi="仿宋" w:eastAsia="仿宋" w:cs="仿宋"/>
          <w:bCs/>
          <w:snapToGrid/>
          <w:color w:val="auto"/>
          <w:kern w:val="2"/>
          <w:sz w:val="24"/>
          <w:szCs w:val="24"/>
          <w:highlight w:val="none"/>
          <w:lang w:val="en-US" w:eastAsia="zh-CN"/>
        </w:rPr>
        <w:t>长河、浦沿街道辖区范围内符合滨江区民[2025]2号文件规定的老年人提供居家养老服务</w:t>
      </w:r>
      <w:r>
        <w:rPr>
          <w:rFonts w:hint="eastAsia" w:ascii="仿宋" w:hAnsi="仿宋" w:eastAsia="仿宋" w:cs="仿宋"/>
          <w:b w:val="0"/>
          <w:bCs w:val="0"/>
          <w:color w:val="auto"/>
          <w:spacing w:val="0"/>
          <w:kern w:val="2"/>
          <w:sz w:val="24"/>
          <w:szCs w:val="24"/>
          <w:highlight w:val="none"/>
          <w:lang w:val="en-US" w:eastAsia="zh-CN" w:bidi="ar-SA"/>
        </w:rPr>
        <w:t>等。</w:t>
      </w:r>
    </w:p>
    <w:p w14:paraId="6AD65B08">
      <w:pPr>
        <w:keepNext w:val="0"/>
        <w:keepLines w:val="0"/>
        <w:adjustRightInd w:val="0"/>
        <w:spacing w:line="500" w:lineRule="exact"/>
        <w:ind w:firstLine="42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滨江区区域化综合养老服务数据参考</w:t>
      </w:r>
    </w:p>
    <w:tbl>
      <w:tblPr>
        <w:tblStyle w:val="49"/>
        <w:tblW w:w="9379" w:type="dxa"/>
        <w:jc w:val="center"/>
        <w:tblLayout w:type="fixed"/>
        <w:tblCellMar>
          <w:top w:w="0" w:type="dxa"/>
          <w:left w:w="108" w:type="dxa"/>
          <w:bottom w:w="0" w:type="dxa"/>
          <w:right w:w="108" w:type="dxa"/>
        </w:tblCellMar>
      </w:tblPr>
      <w:tblGrid>
        <w:gridCol w:w="712"/>
        <w:gridCol w:w="759"/>
        <w:gridCol w:w="1429"/>
        <w:gridCol w:w="3182"/>
        <w:gridCol w:w="2392"/>
        <w:gridCol w:w="905"/>
      </w:tblGrid>
      <w:tr w14:paraId="129A4D07">
        <w:tblPrEx>
          <w:tblCellMar>
            <w:top w:w="0" w:type="dxa"/>
            <w:left w:w="108" w:type="dxa"/>
            <w:bottom w:w="0" w:type="dxa"/>
            <w:right w:w="108" w:type="dxa"/>
          </w:tblCellMar>
        </w:tblPrEx>
        <w:trPr>
          <w:trHeight w:val="1264"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6635DD57">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759" w:type="dxa"/>
            <w:tcBorders>
              <w:top w:val="single" w:color="auto" w:sz="4" w:space="0"/>
              <w:left w:val="single" w:color="auto" w:sz="4" w:space="0"/>
              <w:bottom w:val="single" w:color="auto" w:sz="4" w:space="0"/>
              <w:right w:val="single" w:color="auto" w:sz="4" w:space="0"/>
            </w:tcBorders>
            <w:noWrap w:val="0"/>
            <w:vAlign w:val="center"/>
          </w:tcPr>
          <w:p w14:paraId="360FAB05">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街道</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D540E46">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社区名称</w:t>
            </w:r>
          </w:p>
        </w:tc>
        <w:tc>
          <w:tcPr>
            <w:tcW w:w="3182" w:type="dxa"/>
            <w:tcBorders>
              <w:top w:val="single" w:color="auto" w:sz="4" w:space="0"/>
              <w:left w:val="nil"/>
              <w:bottom w:val="single" w:color="auto" w:sz="4" w:space="0"/>
              <w:right w:val="single" w:color="auto" w:sz="4" w:space="0"/>
            </w:tcBorders>
            <w:noWrap w:val="0"/>
            <w:vAlign w:val="center"/>
          </w:tcPr>
          <w:p w14:paraId="7D8B194A">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照料中心</w:t>
            </w:r>
          </w:p>
        </w:tc>
        <w:tc>
          <w:tcPr>
            <w:tcW w:w="2392" w:type="dxa"/>
            <w:tcBorders>
              <w:top w:val="single" w:color="auto" w:sz="4" w:space="0"/>
              <w:left w:val="nil"/>
              <w:bottom w:val="single" w:color="auto" w:sz="4" w:space="0"/>
              <w:right w:val="single" w:color="auto" w:sz="4" w:space="0"/>
            </w:tcBorders>
            <w:noWrap w:val="0"/>
            <w:vAlign w:val="center"/>
          </w:tcPr>
          <w:p w14:paraId="6F0012BD">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老年食堂</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0939916B">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享受上门服务人数</w:t>
            </w:r>
          </w:p>
        </w:tc>
      </w:tr>
      <w:tr w14:paraId="0235CA5D">
        <w:tblPrEx>
          <w:tblCellMar>
            <w:top w:w="0" w:type="dxa"/>
            <w:left w:w="108" w:type="dxa"/>
            <w:bottom w:w="0" w:type="dxa"/>
            <w:right w:w="108" w:type="dxa"/>
          </w:tblCellMar>
        </w:tblPrEx>
        <w:trPr>
          <w:trHeight w:val="54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3E1E255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p>
        </w:tc>
        <w:tc>
          <w:tcPr>
            <w:tcW w:w="759" w:type="dxa"/>
            <w:vMerge w:val="restart"/>
            <w:tcBorders>
              <w:top w:val="single" w:color="auto" w:sz="4" w:space="0"/>
              <w:left w:val="single" w:color="auto" w:sz="4" w:space="0"/>
              <w:bottom w:val="single" w:color="auto" w:sz="4" w:space="0"/>
              <w:right w:val="single" w:color="auto" w:sz="4" w:space="0"/>
            </w:tcBorders>
            <w:noWrap w:val="0"/>
            <w:vAlign w:val="center"/>
          </w:tcPr>
          <w:p w14:paraId="05E4D73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西兴街道</w:t>
            </w:r>
          </w:p>
        </w:tc>
        <w:tc>
          <w:tcPr>
            <w:tcW w:w="1429" w:type="dxa"/>
            <w:tcBorders>
              <w:top w:val="single" w:color="auto" w:sz="4" w:space="0"/>
              <w:left w:val="single" w:color="auto" w:sz="4" w:space="0"/>
              <w:bottom w:val="single" w:color="auto" w:sz="4" w:space="0"/>
              <w:right w:val="single" w:color="auto" w:sz="4" w:space="0"/>
            </w:tcBorders>
            <w:noWrap w:val="0"/>
            <w:vAlign w:val="center"/>
          </w:tcPr>
          <w:p w14:paraId="257C415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水电社区</w:t>
            </w:r>
          </w:p>
        </w:tc>
        <w:tc>
          <w:tcPr>
            <w:tcW w:w="3182" w:type="dxa"/>
            <w:tcBorders>
              <w:top w:val="single" w:color="auto" w:sz="4" w:space="0"/>
              <w:left w:val="single" w:color="auto" w:sz="4" w:space="0"/>
              <w:bottom w:val="single" w:color="auto" w:sz="4" w:space="0"/>
              <w:right w:val="single" w:color="auto" w:sz="4" w:space="0"/>
            </w:tcBorders>
            <w:noWrap w:val="0"/>
            <w:vAlign w:val="center"/>
          </w:tcPr>
          <w:p w14:paraId="1DC9A71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水电社区居家养老照料中心</w:t>
            </w:r>
          </w:p>
        </w:tc>
        <w:tc>
          <w:tcPr>
            <w:tcW w:w="2392" w:type="dxa"/>
            <w:tcBorders>
              <w:top w:val="single" w:color="auto" w:sz="4" w:space="0"/>
              <w:left w:val="single" w:color="auto" w:sz="4" w:space="0"/>
              <w:bottom w:val="single" w:color="auto" w:sz="4" w:space="0"/>
              <w:right w:val="single" w:color="auto" w:sz="4" w:space="0"/>
            </w:tcBorders>
            <w:noWrap w:val="0"/>
            <w:vAlign w:val="center"/>
          </w:tcPr>
          <w:p w14:paraId="11AF67D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西兴街道水电社区助餐点</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7FA83A1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168</w:t>
            </w:r>
          </w:p>
        </w:tc>
      </w:tr>
      <w:tr w14:paraId="1765B1F1">
        <w:tblPrEx>
          <w:tblCellMar>
            <w:top w:w="0" w:type="dxa"/>
            <w:left w:w="108" w:type="dxa"/>
            <w:bottom w:w="0" w:type="dxa"/>
            <w:right w:w="108"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33211AD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3970C44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single" w:color="auto" w:sz="4" w:space="0"/>
              <w:bottom w:val="single" w:color="auto" w:sz="4" w:space="0"/>
              <w:right w:val="single" w:color="auto" w:sz="4" w:space="0"/>
            </w:tcBorders>
            <w:noWrap w:val="0"/>
            <w:vAlign w:val="center"/>
          </w:tcPr>
          <w:p w14:paraId="4379EE5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官河社区</w:t>
            </w:r>
          </w:p>
        </w:tc>
        <w:tc>
          <w:tcPr>
            <w:tcW w:w="3182" w:type="dxa"/>
            <w:tcBorders>
              <w:top w:val="single" w:color="auto" w:sz="4" w:space="0"/>
              <w:left w:val="single" w:color="auto" w:sz="4" w:space="0"/>
              <w:bottom w:val="single" w:color="auto" w:sz="4" w:space="0"/>
              <w:right w:val="single" w:color="auto" w:sz="4" w:space="0"/>
            </w:tcBorders>
            <w:noWrap w:val="0"/>
            <w:vAlign w:val="center"/>
          </w:tcPr>
          <w:p w14:paraId="1D65014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官河社区居家养老照料中心</w:t>
            </w:r>
          </w:p>
        </w:tc>
        <w:tc>
          <w:tcPr>
            <w:tcW w:w="2392" w:type="dxa"/>
            <w:tcBorders>
              <w:top w:val="single" w:color="auto" w:sz="4" w:space="0"/>
              <w:left w:val="single" w:color="auto" w:sz="4" w:space="0"/>
              <w:bottom w:val="single" w:color="auto" w:sz="4" w:space="0"/>
              <w:right w:val="single" w:color="auto" w:sz="4" w:space="0"/>
            </w:tcBorders>
            <w:noWrap w:val="0"/>
            <w:vAlign w:val="center"/>
          </w:tcPr>
          <w:p w14:paraId="40000C5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西兴街道官河社区助餐点</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044C52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r>
      <w:tr w14:paraId="2D80896D">
        <w:tblPrEx>
          <w:tblCellMar>
            <w:top w:w="0" w:type="dxa"/>
            <w:left w:w="108" w:type="dxa"/>
            <w:bottom w:w="0" w:type="dxa"/>
            <w:right w:w="108" w:type="dxa"/>
          </w:tblCellMar>
        </w:tblPrEx>
        <w:trPr>
          <w:trHeight w:val="34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6DCCF39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p>
        </w:tc>
        <w:tc>
          <w:tcPr>
            <w:tcW w:w="759" w:type="dxa"/>
            <w:vMerge w:val="continue"/>
            <w:tcBorders>
              <w:top w:val="single" w:color="auto" w:sz="4" w:space="0"/>
              <w:left w:val="single" w:color="auto" w:sz="4" w:space="0"/>
              <w:right w:val="single" w:color="auto" w:sz="4" w:space="0"/>
            </w:tcBorders>
            <w:noWrap w:val="0"/>
            <w:vAlign w:val="center"/>
          </w:tcPr>
          <w:p w14:paraId="0C1BFFD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0"/>
            <w:vAlign w:val="center"/>
          </w:tcPr>
          <w:p w14:paraId="5EDC64C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西兴社区</w:t>
            </w:r>
          </w:p>
        </w:tc>
        <w:tc>
          <w:tcPr>
            <w:tcW w:w="3182" w:type="dxa"/>
            <w:tcBorders>
              <w:top w:val="single" w:color="auto" w:sz="4" w:space="0"/>
              <w:left w:val="nil"/>
              <w:bottom w:val="single" w:color="auto" w:sz="4" w:space="0"/>
              <w:right w:val="single" w:color="auto" w:sz="4" w:space="0"/>
            </w:tcBorders>
            <w:noWrap w:val="0"/>
            <w:vAlign w:val="center"/>
          </w:tcPr>
          <w:p w14:paraId="7B8ED68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西兴社区居家养老照料中心</w:t>
            </w:r>
          </w:p>
        </w:tc>
        <w:tc>
          <w:tcPr>
            <w:tcW w:w="2392" w:type="dxa"/>
            <w:tcBorders>
              <w:top w:val="single" w:color="auto" w:sz="4" w:space="0"/>
              <w:left w:val="nil"/>
              <w:bottom w:val="single" w:color="auto" w:sz="4" w:space="0"/>
              <w:right w:val="single" w:color="auto" w:sz="4" w:space="0"/>
            </w:tcBorders>
            <w:noWrap w:val="0"/>
            <w:vAlign w:val="center"/>
          </w:tcPr>
          <w:p w14:paraId="3DD7CEA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西兴街道西兴社区助餐点</w:t>
            </w:r>
          </w:p>
        </w:tc>
        <w:tc>
          <w:tcPr>
            <w:tcW w:w="905" w:type="dxa"/>
            <w:tcBorders>
              <w:top w:val="single" w:color="auto" w:sz="4" w:space="0"/>
              <w:left w:val="nil"/>
              <w:bottom w:val="single" w:color="auto" w:sz="4" w:space="0"/>
              <w:right w:val="single" w:color="auto" w:sz="4" w:space="0"/>
            </w:tcBorders>
            <w:noWrap w:val="0"/>
            <w:vAlign w:val="center"/>
          </w:tcPr>
          <w:p w14:paraId="4AD772A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95</w:t>
            </w:r>
          </w:p>
        </w:tc>
      </w:tr>
      <w:tr w14:paraId="521D85F6">
        <w:tblPrEx>
          <w:tblCellMar>
            <w:top w:w="0" w:type="dxa"/>
            <w:left w:w="108" w:type="dxa"/>
            <w:bottom w:w="0" w:type="dxa"/>
            <w:right w:w="108" w:type="dxa"/>
          </w:tblCellMar>
        </w:tblPrEx>
        <w:trPr>
          <w:trHeight w:val="519" w:hRule="atLeast"/>
          <w:jc w:val="center"/>
        </w:trPr>
        <w:tc>
          <w:tcPr>
            <w:tcW w:w="712" w:type="dxa"/>
            <w:tcBorders>
              <w:top w:val="nil"/>
              <w:left w:val="single" w:color="auto" w:sz="4" w:space="0"/>
              <w:bottom w:val="single" w:color="auto" w:sz="4" w:space="0"/>
              <w:right w:val="single" w:color="auto" w:sz="4" w:space="0"/>
            </w:tcBorders>
            <w:noWrap w:val="0"/>
            <w:vAlign w:val="center"/>
          </w:tcPr>
          <w:p w14:paraId="1B5B85D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p>
        </w:tc>
        <w:tc>
          <w:tcPr>
            <w:tcW w:w="759" w:type="dxa"/>
            <w:vMerge w:val="continue"/>
            <w:tcBorders>
              <w:left w:val="single" w:color="auto" w:sz="4" w:space="0"/>
              <w:right w:val="single" w:color="auto" w:sz="4" w:space="0"/>
            </w:tcBorders>
            <w:noWrap w:val="0"/>
            <w:vAlign w:val="center"/>
          </w:tcPr>
          <w:p w14:paraId="681CDDF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0"/>
            <w:vAlign w:val="center"/>
          </w:tcPr>
          <w:p w14:paraId="236B8C9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西陵社区</w:t>
            </w:r>
          </w:p>
        </w:tc>
        <w:tc>
          <w:tcPr>
            <w:tcW w:w="3182" w:type="dxa"/>
            <w:tcBorders>
              <w:top w:val="nil"/>
              <w:left w:val="nil"/>
              <w:bottom w:val="single" w:color="auto" w:sz="4" w:space="0"/>
              <w:right w:val="single" w:color="auto" w:sz="4" w:space="0"/>
            </w:tcBorders>
            <w:noWrap w:val="0"/>
            <w:vAlign w:val="center"/>
          </w:tcPr>
          <w:p w14:paraId="354D5AF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西陵社区居家养老照料中心</w:t>
            </w:r>
          </w:p>
        </w:tc>
        <w:tc>
          <w:tcPr>
            <w:tcW w:w="2392" w:type="dxa"/>
            <w:tcBorders>
              <w:top w:val="nil"/>
              <w:left w:val="nil"/>
              <w:bottom w:val="single" w:color="auto" w:sz="4" w:space="0"/>
              <w:right w:val="single" w:color="auto" w:sz="4" w:space="0"/>
            </w:tcBorders>
            <w:noWrap w:val="0"/>
            <w:vAlign w:val="center"/>
          </w:tcPr>
          <w:p w14:paraId="0430756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905" w:type="dxa"/>
            <w:tcBorders>
              <w:top w:val="nil"/>
              <w:left w:val="nil"/>
              <w:bottom w:val="single" w:color="auto" w:sz="4" w:space="0"/>
              <w:right w:val="single" w:color="auto" w:sz="4" w:space="0"/>
            </w:tcBorders>
            <w:noWrap w:val="0"/>
            <w:vAlign w:val="center"/>
          </w:tcPr>
          <w:p w14:paraId="7C3016F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286</w:t>
            </w:r>
          </w:p>
        </w:tc>
      </w:tr>
      <w:tr w14:paraId="5958689C">
        <w:tblPrEx>
          <w:tblCellMar>
            <w:top w:w="0" w:type="dxa"/>
            <w:left w:w="108" w:type="dxa"/>
            <w:bottom w:w="0" w:type="dxa"/>
            <w:right w:w="108" w:type="dxa"/>
          </w:tblCellMar>
        </w:tblPrEx>
        <w:trPr>
          <w:trHeight w:val="390" w:hRule="atLeast"/>
          <w:jc w:val="center"/>
        </w:trPr>
        <w:tc>
          <w:tcPr>
            <w:tcW w:w="712" w:type="dxa"/>
            <w:tcBorders>
              <w:top w:val="nil"/>
              <w:left w:val="single" w:color="auto" w:sz="4" w:space="0"/>
              <w:bottom w:val="single" w:color="auto" w:sz="4" w:space="0"/>
              <w:right w:val="single" w:color="auto" w:sz="4" w:space="0"/>
            </w:tcBorders>
            <w:noWrap w:val="0"/>
            <w:vAlign w:val="center"/>
          </w:tcPr>
          <w:p w14:paraId="2EBBF4F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p>
        </w:tc>
        <w:tc>
          <w:tcPr>
            <w:tcW w:w="759" w:type="dxa"/>
            <w:vMerge w:val="continue"/>
            <w:tcBorders>
              <w:left w:val="single" w:color="auto" w:sz="4" w:space="0"/>
              <w:right w:val="single" w:color="auto" w:sz="4" w:space="0"/>
            </w:tcBorders>
            <w:noWrap w:val="0"/>
            <w:vAlign w:val="center"/>
          </w:tcPr>
          <w:p w14:paraId="0CF4645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0"/>
            <w:vAlign w:val="center"/>
          </w:tcPr>
          <w:p w14:paraId="5BED25F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金东方社区</w:t>
            </w:r>
          </w:p>
        </w:tc>
        <w:tc>
          <w:tcPr>
            <w:tcW w:w="3182" w:type="dxa"/>
            <w:tcBorders>
              <w:top w:val="nil"/>
              <w:left w:val="nil"/>
              <w:bottom w:val="single" w:color="auto" w:sz="4" w:space="0"/>
              <w:right w:val="single" w:color="auto" w:sz="4" w:space="0"/>
            </w:tcBorders>
            <w:noWrap w:val="0"/>
            <w:vAlign w:val="center"/>
          </w:tcPr>
          <w:p w14:paraId="62CEC51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金东方社区居家养老照料中心</w:t>
            </w:r>
          </w:p>
        </w:tc>
        <w:tc>
          <w:tcPr>
            <w:tcW w:w="2392" w:type="dxa"/>
            <w:tcBorders>
              <w:top w:val="nil"/>
              <w:left w:val="nil"/>
              <w:bottom w:val="single" w:color="auto" w:sz="4" w:space="0"/>
              <w:right w:val="single" w:color="auto" w:sz="4" w:space="0"/>
            </w:tcBorders>
            <w:noWrap w:val="0"/>
            <w:vAlign w:val="center"/>
          </w:tcPr>
          <w:p w14:paraId="645C30F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西兴街道金东方社区助餐点</w:t>
            </w:r>
          </w:p>
        </w:tc>
        <w:tc>
          <w:tcPr>
            <w:tcW w:w="905" w:type="dxa"/>
            <w:tcBorders>
              <w:top w:val="nil"/>
              <w:left w:val="nil"/>
              <w:bottom w:val="single" w:color="auto" w:sz="4" w:space="0"/>
              <w:right w:val="single" w:color="auto" w:sz="4" w:space="0"/>
            </w:tcBorders>
            <w:noWrap w:val="0"/>
            <w:vAlign w:val="center"/>
          </w:tcPr>
          <w:p w14:paraId="4AEB1EF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29</w:t>
            </w:r>
          </w:p>
        </w:tc>
      </w:tr>
      <w:tr w14:paraId="785C7831">
        <w:tblPrEx>
          <w:tblCellMar>
            <w:top w:w="0" w:type="dxa"/>
            <w:left w:w="108" w:type="dxa"/>
            <w:bottom w:w="0" w:type="dxa"/>
            <w:right w:w="108" w:type="dxa"/>
          </w:tblCellMar>
        </w:tblPrEx>
        <w:trPr>
          <w:trHeight w:val="435" w:hRule="atLeast"/>
          <w:jc w:val="center"/>
        </w:trPr>
        <w:tc>
          <w:tcPr>
            <w:tcW w:w="712" w:type="dxa"/>
            <w:tcBorders>
              <w:top w:val="nil"/>
              <w:left w:val="single" w:color="auto" w:sz="4" w:space="0"/>
              <w:bottom w:val="single" w:color="auto" w:sz="4" w:space="0"/>
              <w:right w:val="single" w:color="auto" w:sz="4" w:space="0"/>
            </w:tcBorders>
            <w:noWrap w:val="0"/>
            <w:vAlign w:val="center"/>
          </w:tcPr>
          <w:p w14:paraId="6DBEF11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p>
        </w:tc>
        <w:tc>
          <w:tcPr>
            <w:tcW w:w="759" w:type="dxa"/>
            <w:vMerge w:val="continue"/>
            <w:tcBorders>
              <w:left w:val="single" w:color="auto" w:sz="4" w:space="0"/>
              <w:right w:val="single" w:color="auto" w:sz="4" w:space="0"/>
            </w:tcBorders>
            <w:noWrap w:val="0"/>
            <w:vAlign w:val="center"/>
          </w:tcPr>
          <w:p w14:paraId="4C41F10D">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0"/>
            <w:vAlign w:val="center"/>
          </w:tcPr>
          <w:p w14:paraId="575560D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奥体社区</w:t>
            </w:r>
          </w:p>
        </w:tc>
        <w:tc>
          <w:tcPr>
            <w:tcW w:w="3182" w:type="dxa"/>
            <w:tcBorders>
              <w:top w:val="nil"/>
              <w:left w:val="nil"/>
              <w:bottom w:val="single" w:color="auto" w:sz="4" w:space="0"/>
              <w:right w:val="single" w:color="auto" w:sz="4" w:space="0"/>
            </w:tcBorders>
            <w:noWrap w:val="0"/>
            <w:vAlign w:val="center"/>
          </w:tcPr>
          <w:p w14:paraId="20B14D5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奥体社区居家养老照料中心</w:t>
            </w:r>
          </w:p>
        </w:tc>
        <w:tc>
          <w:tcPr>
            <w:tcW w:w="2392" w:type="dxa"/>
            <w:tcBorders>
              <w:top w:val="nil"/>
              <w:left w:val="nil"/>
              <w:bottom w:val="single" w:color="auto" w:sz="4" w:space="0"/>
              <w:right w:val="single" w:color="auto" w:sz="4" w:space="0"/>
            </w:tcBorders>
            <w:noWrap w:val="0"/>
            <w:vAlign w:val="center"/>
          </w:tcPr>
          <w:p w14:paraId="089802A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w:t>
            </w:r>
          </w:p>
        </w:tc>
        <w:tc>
          <w:tcPr>
            <w:tcW w:w="905" w:type="dxa"/>
            <w:tcBorders>
              <w:top w:val="nil"/>
              <w:left w:val="nil"/>
              <w:bottom w:val="single" w:color="auto" w:sz="4" w:space="0"/>
              <w:right w:val="single" w:color="auto" w:sz="4" w:space="0"/>
            </w:tcBorders>
            <w:noWrap w:val="0"/>
            <w:vAlign w:val="center"/>
          </w:tcPr>
          <w:p w14:paraId="7B5A88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24</w:t>
            </w:r>
          </w:p>
        </w:tc>
      </w:tr>
      <w:tr w14:paraId="0F2A2BB6">
        <w:tblPrEx>
          <w:tblCellMar>
            <w:top w:w="0" w:type="dxa"/>
            <w:left w:w="108" w:type="dxa"/>
            <w:bottom w:w="0" w:type="dxa"/>
            <w:right w:w="108" w:type="dxa"/>
          </w:tblCellMar>
        </w:tblPrEx>
        <w:trPr>
          <w:trHeight w:val="324" w:hRule="atLeast"/>
          <w:jc w:val="center"/>
        </w:trPr>
        <w:tc>
          <w:tcPr>
            <w:tcW w:w="712" w:type="dxa"/>
            <w:tcBorders>
              <w:top w:val="nil"/>
              <w:left w:val="single" w:color="auto" w:sz="4" w:space="0"/>
              <w:bottom w:val="single" w:color="auto" w:sz="4" w:space="0"/>
              <w:right w:val="single" w:color="auto" w:sz="4" w:space="0"/>
            </w:tcBorders>
            <w:noWrap w:val="0"/>
            <w:vAlign w:val="center"/>
          </w:tcPr>
          <w:p w14:paraId="2381A56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p>
        </w:tc>
        <w:tc>
          <w:tcPr>
            <w:tcW w:w="759" w:type="dxa"/>
            <w:vMerge w:val="continue"/>
            <w:tcBorders>
              <w:left w:val="single" w:color="auto" w:sz="4" w:space="0"/>
              <w:right w:val="single" w:color="auto" w:sz="4" w:space="0"/>
            </w:tcBorders>
            <w:noWrap w:val="0"/>
            <w:vAlign w:val="center"/>
          </w:tcPr>
          <w:p w14:paraId="5D614D3B">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0"/>
            <w:vAlign w:val="center"/>
          </w:tcPr>
          <w:p w14:paraId="7577B40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新州社区</w:t>
            </w:r>
          </w:p>
        </w:tc>
        <w:tc>
          <w:tcPr>
            <w:tcW w:w="3182" w:type="dxa"/>
            <w:tcBorders>
              <w:top w:val="nil"/>
              <w:left w:val="nil"/>
              <w:bottom w:val="single" w:color="auto" w:sz="4" w:space="0"/>
              <w:right w:val="single" w:color="auto" w:sz="4" w:space="0"/>
            </w:tcBorders>
            <w:noWrap w:val="0"/>
            <w:vAlign w:val="center"/>
          </w:tcPr>
          <w:p w14:paraId="3BFCAA4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新州社区居家养老照料中心</w:t>
            </w:r>
          </w:p>
        </w:tc>
        <w:tc>
          <w:tcPr>
            <w:tcW w:w="2392" w:type="dxa"/>
            <w:tcBorders>
              <w:top w:val="nil"/>
              <w:left w:val="nil"/>
              <w:bottom w:val="single" w:color="auto" w:sz="4" w:space="0"/>
              <w:right w:val="single" w:color="auto" w:sz="4" w:space="0"/>
            </w:tcBorders>
            <w:noWrap w:val="0"/>
            <w:vAlign w:val="center"/>
          </w:tcPr>
          <w:p w14:paraId="726C4A3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905" w:type="dxa"/>
            <w:tcBorders>
              <w:top w:val="nil"/>
              <w:left w:val="nil"/>
              <w:bottom w:val="single" w:color="auto" w:sz="4" w:space="0"/>
              <w:right w:val="single" w:color="auto" w:sz="4" w:space="0"/>
            </w:tcBorders>
            <w:noWrap w:val="0"/>
            <w:vAlign w:val="center"/>
          </w:tcPr>
          <w:p w14:paraId="586A71F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135</w:t>
            </w:r>
          </w:p>
        </w:tc>
      </w:tr>
      <w:tr w14:paraId="6BA2333D">
        <w:tblPrEx>
          <w:tblCellMar>
            <w:top w:w="0" w:type="dxa"/>
            <w:left w:w="108" w:type="dxa"/>
            <w:bottom w:w="0" w:type="dxa"/>
            <w:right w:w="108" w:type="dxa"/>
          </w:tblCellMar>
        </w:tblPrEx>
        <w:trPr>
          <w:trHeight w:val="319" w:hRule="atLeast"/>
          <w:jc w:val="center"/>
        </w:trPr>
        <w:tc>
          <w:tcPr>
            <w:tcW w:w="712" w:type="dxa"/>
            <w:tcBorders>
              <w:top w:val="nil"/>
              <w:left w:val="single" w:color="auto" w:sz="4" w:space="0"/>
              <w:bottom w:val="single" w:color="auto" w:sz="4" w:space="0"/>
              <w:right w:val="single" w:color="auto" w:sz="4" w:space="0"/>
            </w:tcBorders>
            <w:noWrap w:val="0"/>
            <w:vAlign w:val="center"/>
          </w:tcPr>
          <w:p w14:paraId="6FB30E8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w:t>
            </w:r>
          </w:p>
        </w:tc>
        <w:tc>
          <w:tcPr>
            <w:tcW w:w="759" w:type="dxa"/>
            <w:vMerge w:val="continue"/>
            <w:tcBorders>
              <w:left w:val="single" w:color="auto" w:sz="4" w:space="0"/>
              <w:right w:val="single" w:color="auto" w:sz="4" w:space="0"/>
            </w:tcBorders>
            <w:noWrap w:val="0"/>
            <w:vAlign w:val="center"/>
          </w:tcPr>
          <w:p w14:paraId="116BE5E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0"/>
            <w:vAlign w:val="center"/>
          </w:tcPr>
          <w:p w14:paraId="54A51B7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物联网社区</w:t>
            </w:r>
          </w:p>
        </w:tc>
        <w:tc>
          <w:tcPr>
            <w:tcW w:w="3182" w:type="dxa"/>
            <w:tcBorders>
              <w:top w:val="nil"/>
              <w:left w:val="nil"/>
              <w:bottom w:val="single" w:color="auto" w:sz="4" w:space="0"/>
              <w:right w:val="single" w:color="auto" w:sz="4" w:space="0"/>
            </w:tcBorders>
            <w:noWrap w:val="0"/>
            <w:vAlign w:val="center"/>
          </w:tcPr>
          <w:p w14:paraId="5C8494C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物联网社区居家养老照料中心</w:t>
            </w:r>
          </w:p>
        </w:tc>
        <w:tc>
          <w:tcPr>
            <w:tcW w:w="2392" w:type="dxa"/>
            <w:tcBorders>
              <w:top w:val="nil"/>
              <w:left w:val="nil"/>
              <w:bottom w:val="single" w:color="auto" w:sz="4" w:space="0"/>
              <w:right w:val="single" w:color="auto" w:sz="4" w:space="0"/>
            </w:tcBorders>
            <w:noWrap w:val="0"/>
            <w:vAlign w:val="center"/>
          </w:tcPr>
          <w:p w14:paraId="113130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905" w:type="dxa"/>
            <w:tcBorders>
              <w:top w:val="nil"/>
              <w:left w:val="nil"/>
              <w:bottom w:val="single" w:color="auto" w:sz="4" w:space="0"/>
              <w:right w:val="single" w:color="auto" w:sz="4" w:space="0"/>
            </w:tcBorders>
            <w:noWrap w:val="0"/>
            <w:vAlign w:val="center"/>
          </w:tcPr>
          <w:p w14:paraId="6AEBB2F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29</w:t>
            </w:r>
          </w:p>
        </w:tc>
      </w:tr>
      <w:tr w14:paraId="0BC329E8">
        <w:tblPrEx>
          <w:tblCellMar>
            <w:top w:w="0" w:type="dxa"/>
            <w:left w:w="108" w:type="dxa"/>
            <w:bottom w:w="0" w:type="dxa"/>
            <w:right w:w="108" w:type="dxa"/>
          </w:tblCellMar>
        </w:tblPrEx>
        <w:trPr>
          <w:trHeight w:val="436" w:hRule="atLeast"/>
          <w:jc w:val="center"/>
        </w:trPr>
        <w:tc>
          <w:tcPr>
            <w:tcW w:w="712" w:type="dxa"/>
            <w:tcBorders>
              <w:top w:val="nil"/>
              <w:left w:val="single" w:color="auto" w:sz="4" w:space="0"/>
              <w:bottom w:val="single" w:color="auto" w:sz="4" w:space="0"/>
              <w:right w:val="single" w:color="auto" w:sz="4" w:space="0"/>
            </w:tcBorders>
            <w:noWrap w:val="0"/>
            <w:vAlign w:val="center"/>
          </w:tcPr>
          <w:p w14:paraId="10C6EA5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小计</w:t>
            </w:r>
          </w:p>
        </w:tc>
        <w:tc>
          <w:tcPr>
            <w:tcW w:w="759" w:type="dxa"/>
            <w:vMerge w:val="continue"/>
            <w:tcBorders>
              <w:left w:val="single" w:color="auto" w:sz="4" w:space="0"/>
              <w:bottom w:val="single" w:color="auto" w:sz="4" w:space="0"/>
              <w:right w:val="single" w:color="auto" w:sz="4" w:space="0"/>
            </w:tcBorders>
            <w:noWrap w:val="0"/>
            <w:vAlign w:val="center"/>
          </w:tcPr>
          <w:p w14:paraId="3D353334">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7003" w:type="dxa"/>
            <w:gridSpan w:val="3"/>
            <w:tcBorders>
              <w:top w:val="nil"/>
              <w:left w:val="nil"/>
              <w:bottom w:val="single" w:color="auto" w:sz="4" w:space="0"/>
              <w:right w:val="single" w:color="auto" w:sz="4" w:space="0"/>
            </w:tcBorders>
            <w:noWrap w:val="0"/>
            <w:vAlign w:val="center"/>
          </w:tcPr>
          <w:p w14:paraId="26163DC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p>
        </w:tc>
        <w:tc>
          <w:tcPr>
            <w:tcW w:w="905" w:type="dxa"/>
            <w:tcBorders>
              <w:top w:val="nil"/>
              <w:left w:val="nil"/>
              <w:bottom w:val="single" w:color="auto" w:sz="4" w:space="0"/>
              <w:right w:val="single" w:color="auto" w:sz="4" w:space="0"/>
            </w:tcBorders>
            <w:noWrap w:val="0"/>
            <w:vAlign w:val="center"/>
          </w:tcPr>
          <w:p w14:paraId="51C34A2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786</w:t>
            </w:r>
          </w:p>
        </w:tc>
      </w:tr>
      <w:tr w14:paraId="2CB744AE">
        <w:tblPrEx>
          <w:tblCellMar>
            <w:top w:w="0" w:type="dxa"/>
            <w:left w:w="108" w:type="dxa"/>
            <w:bottom w:w="0" w:type="dxa"/>
            <w:right w:w="108" w:type="dxa"/>
          </w:tblCellMar>
        </w:tblPrEx>
        <w:trPr>
          <w:trHeight w:val="187" w:hRule="atLeast"/>
          <w:jc w:val="center"/>
        </w:trPr>
        <w:tc>
          <w:tcPr>
            <w:tcW w:w="712" w:type="dxa"/>
            <w:tcBorders>
              <w:top w:val="nil"/>
              <w:left w:val="single" w:color="auto" w:sz="4" w:space="0"/>
              <w:bottom w:val="single" w:color="auto" w:sz="4" w:space="0"/>
              <w:right w:val="single" w:color="auto" w:sz="4" w:space="0"/>
            </w:tcBorders>
            <w:noWrap w:val="0"/>
            <w:vAlign w:val="center"/>
          </w:tcPr>
          <w:p w14:paraId="6757E6C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9</w:t>
            </w:r>
          </w:p>
        </w:tc>
        <w:tc>
          <w:tcPr>
            <w:tcW w:w="759" w:type="dxa"/>
            <w:vMerge w:val="restart"/>
            <w:tcBorders>
              <w:top w:val="nil"/>
              <w:left w:val="single" w:color="auto" w:sz="4" w:space="0"/>
              <w:right w:val="single" w:color="auto" w:sz="4" w:space="0"/>
            </w:tcBorders>
            <w:noWrap w:val="0"/>
            <w:vAlign w:val="center"/>
          </w:tcPr>
          <w:p w14:paraId="57E5352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长河街道</w:t>
            </w:r>
          </w:p>
        </w:tc>
        <w:tc>
          <w:tcPr>
            <w:tcW w:w="1429" w:type="dxa"/>
            <w:tcBorders>
              <w:top w:val="nil"/>
              <w:left w:val="nil"/>
              <w:bottom w:val="single" w:color="auto" w:sz="4" w:space="0"/>
              <w:right w:val="single" w:color="auto" w:sz="4" w:space="0"/>
            </w:tcBorders>
            <w:noWrap/>
            <w:vAlign w:val="center"/>
          </w:tcPr>
          <w:p w14:paraId="1F4B6B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长二社区</w:t>
            </w:r>
          </w:p>
        </w:tc>
        <w:tc>
          <w:tcPr>
            <w:tcW w:w="3182" w:type="dxa"/>
            <w:tcBorders>
              <w:top w:val="nil"/>
              <w:left w:val="nil"/>
              <w:bottom w:val="single" w:color="auto" w:sz="4" w:space="0"/>
              <w:right w:val="single" w:color="auto" w:sz="4" w:space="0"/>
            </w:tcBorders>
            <w:noWrap/>
            <w:vAlign w:val="center"/>
          </w:tcPr>
          <w:p w14:paraId="0C32A89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长二社区</w:t>
            </w:r>
            <w:r>
              <w:rPr>
                <w:rFonts w:hint="eastAsia" w:ascii="仿宋" w:hAnsi="仿宋" w:eastAsia="仿宋" w:cs="仿宋"/>
                <w:color w:val="auto"/>
                <w:kern w:val="0"/>
                <w:sz w:val="24"/>
                <w:szCs w:val="24"/>
                <w:highlight w:val="none"/>
                <w:lang w:eastAsia="zh-CN"/>
              </w:rPr>
              <w:t>居家养老照料中心</w:t>
            </w:r>
          </w:p>
        </w:tc>
        <w:tc>
          <w:tcPr>
            <w:tcW w:w="2392" w:type="dxa"/>
            <w:tcBorders>
              <w:top w:val="nil"/>
              <w:left w:val="nil"/>
              <w:bottom w:val="single" w:color="auto" w:sz="4" w:space="0"/>
              <w:right w:val="single" w:color="auto" w:sz="4" w:space="0"/>
            </w:tcBorders>
            <w:noWrap/>
            <w:vAlign w:val="center"/>
          </w:tcPr>
          <w:p w14:paraId="110F7D2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长</w:t>
            </w:r>
            <w:r>
              <w:rPr>
                <w:rFonts w:hint="eastAsia" w:ascii="仿宋" w:hAnsi="仿宋" w:eastAsia="仿宋" w:cs="仿宋"/>
                <w:color w:val="auto"/>
                <w:kern w:val="0"/>
                <w:sz w:val="24"/>
                <w:szCs w:val="24"/>
                <w:highlight w:val="none"/>
                <w:lang w:eastAsia="zh-CN"/>
              </w:rPr>
              <w:t>二</w:t>
            </w:r>
            <w:r>
              <w:rPr>
                <w:rFonts w:hint="eastAsia" w:ascii="仿宋" w:hAnsi="仿宋" w:eastAsia="仿宋" w:cs="仿宋"/>
                <w:color w:val="auto"/>
                <w:kern w:val="0"/>
                <w:sz w:val="24"/>
                <w:szCs w:val="24"/>
                <w:highlight w:val="none"/>
              </w:rPr>
              <w:t>社区助餐点</w:t>
            </w:r>
          </w:p>
        </w:tc>
        <w:tc>
          <w:tcPr>
            <w:tcW w:w="905" w:type="dxa"/>
            <w:tcBorders>
              <w:top w:val="nil"/>
              <w:left w:val="nil"/>
              <w:bottom w:val="single" w:color="auto" w:sz="4" w:space="0"/>
              <w:right w:val="single" w:color="auto" w:sz="4" w:space="0"/>
            </w:tcBorders>
            <w:noWrap w:val="0"/>
            <w:vAlign w:val="center"/>
          </w:tcPr>
          <w:p w14:paraId="5593725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w:t>
            </w:r>
          </w:p>
        </w:tc>
      </w:tr>
      <w:tr w14:paraId="24E53AA2">
        <w:tblPrEx>
          <w:tblCellMar>
            <w:top w:w="0" w:type="dxa"/>
            <w:left w:w="108" w:type="dxa"/>
            <w:bottom w:w="0" w:type="dxa"/>
            <w:right w:w="108" w:type="dxa"/>
          </w:tblCellMar>
        </w:tblPrEx>
        <w:trPr>
          <w:trHeight w:val="180" w:hRule="atLeast"/>
          <w:jc w:val="center"/>
        </w:trPr>
        <w:tc>
          <w:tcPr>
            <w:tcW w:w="712" w:type="dxa"/>
            <w:tcBorders>
              <w:top w:val="nil"/>
              <w:left w:val="single" w:color="auto" w:sz="4" w:space="0"/>
              <w:bottom w:val="single" w:color="auto" w:sz="4" w:space="0"/>
              <w:right w:val="single" w:color="auto" w:sz="4" w:space="0"/>
            </w:tcBorders>
            <w:noWrap w:val="0"/>
            <w:vAlign w:val="center"/>
          </w:tcPr>
          <w:p w14:paraId="19B5C8E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w:t>
            </w:r>
          </w:p>
        </w:tc>
        <w:tc>
          <w:tcPr>
            <w:tcW w:w="759" w:type="dxa"/>
            <w:vMerge w:val="continue"/>
            <w:tcBorders>
              <w:left w:val="single" w:color="auto" w:sz="4" w:space="0"/>
              <w:right w:val="single" w:color="auto" w:sz="4" w:space="0"/>
            </w:tcBorders>
            <w:noWrap w:val="0"/>
            <w:vAlign w:val="center"/>
          </w:tcPr>
          <w:p w14:paraId="24F7B51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ign w:val="center"/>
          </w:tcPr>
          <w:p w14:paraId="1557AD9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长河社区</w:t>
            </w:r>
          </w:p>
        </w:tc>
        <w:tc>
          <w:tcPr>
            <w:tcW w:w="3182" w:type="dxa"/>
            <w:tcBorders>
              <w:top w:val="nil"/>
              <w:left w:val="nil"/>
              <w:bottom w:val="single" w:color="auto" w:sz="4" w:space="0"/>
              <w:right w:val="single" w:color="auto" w:sz="4" w:space="0"/>
            </w:tcBorders>
            <w:noWrap/>
            <w:vAlign w:val="center"/>
          </w:tcPr>
          <w:p w14:paraId="517C381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长河社区</w:t>
            </w:r>
            <w:r>
              <w:rPr>
                <w:rFonts w:hint="eastAsia" w:ascii="仿宋" w:hAnsi="仿宋" w:eastAsia="仿宋" w:cs="仿宋"/>
                <w:color w:val="auto"/>
                <w:kern w:val="0"/>
                <w:sz w:val="24"/>
                <w:szCs w:val="24"/>
                <w:highlight w:val="none"/>
                <w:lang w:eastAsia="zh-CN"/>
              </w:rPr>
              <w:t>居家养老照料中心</w:t>
            </w:r>
          </w:p>
        </w:tc>
        <w:tc>
          <w:tcPr>
            <w:tcW w:w="2392" w:type="dxa"/>
            <w:tcBorders>
              <w:top w:val="nil"/>
              <w:left w:val="nil"/>
              <w:bottom w:val="single" w:color="auto" w:sz="4" w:space="0"/>
              <w:right w:val="single" w:color="auto" w:sz="4" w:space="0"/>
            </w:tcBorders>
            <w:noWrap/>
            <w:vAlign w:val="center"/>
          </w:tcPr>
          <w:p w14:paraId="385AC1D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长河社区助餐点</w:t>
            </w:r>
          </w:p>
        </w:tc>
        <w:tc>
          <w:tcPr>
            <w:tcW w:w="905" w:type="dxa"/>
            <w:tcBorders>
              <w:top w:val="nil"/>
              <w:left w:val="nil"/>
              <w:bottom w:val="single" w:color="auto" w:sz="4" w:space="0"/>
              <w:right w:val="single" w:color="auto" w:sz="4" w:space="0"/>
            </w:tcBorders>
            <w:noWrap w:val="0"/>
            <w:vAlign w:val="center"/>
          </w:tcPr>
          <w:p w14:paraId="3E623A6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51</w:t>
            </w:r>
          </w:p>
        </w:tc>
      </w:tr>
      <w:tr w14:paraId="460A001B">
        <w:tblPrEx>
          <w:tblCellMar>
            <w:top w:w="0" w:type="dxa"/>
            <w:left w:w="108" w:type="dxa"/>
            <w:bottom w:w="0" w:type="dxa"/>
            <w:right w:w="108" w:type="dxa"/>
          </w:tblCellMar>
        </w:tblPrEx>
        <w:trPr>
          <w:trHeight w:val="294" w:hRule="atLeast"/>
          <w:jc w:val="center"/>
        </w:trPr>
        <w:tc>
          <w:tcPr>
            <w:tcW w:w="712" w:type="dxa"/>
            <w:tcBorders>
              <w:top w:val="nil"/>
              <w:left w:val="single" w:color="auto" w:sz="4" w:space="0"/>
              <w:bottom w:val="single" w:color="auto" w:sz="4" w:space="0"/>
              <w:right w:val="single" w:color="auto" w:sz="4" w:space="0"/>
            </w:tcBorders>
            <w:noWrap w:val="0"/>
            <w:vAlign w:val="center"/>
          </w:tcPr>
          <w:p w14:paraId="7939B2B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11</w:t>
            </w:r>
          </w:p>
        </w:tc>
        <w:tc>
          <w:tcPr>
            <w:tcW w:w="759" w:type="dxa"/>
            <w:vMerge w:val="continue"/>
            <w:tcBorders>
              <w:left w:val="single" w:color="auto" w:sz="4" w:space="0"/>
              <w:bottom w:val="single" w:color="auto" w:sz="4" w:space="0"/>
              <w:right w:val="single" w:color="auto" w:sz="4" w:space="0"/>
            </w:tcBorders>
            <w:noWrap w:val="0"/>
            <w:vAlign w:val="center"/>
          </w:tcPr>
          <w:p w14:paraId="00BD3FE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ign w:val="center"/>
          </w:tcPr>
          <w:p w14:paraId="166C272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天官社区</w:t>
            </w:r>
          </w:p>
        </w:tc>
        <w:tc>
          <w:tcPr>
            <w:tcW w:w="3182" w:type="dxa"/>
            <w:tcBorders>
              <w:top w:val="nil"/>
              <w:left w:val="nil"/>
              <w:bottom w:val="single" w:color="auto" w:sz="4" w:space="0"/>
              <w:right w:val="single" w:color="auto" w:sz="4" w:space="0"/>
            </w:tcBorders>
            <w:noWrap/>
            <w:vAlign w:val="center"/>
          </w:tcPr>
          <w:p w14:paraId="7647DBC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天官社区居家养老照料中心</w:t>
            </w:r>
          </w:p>
          <w:p w14:paraId="6C5F98BD">
            <w:pPr>
              <w:pStyle w:val="2"/>
              <w:rPr>
                <w:rFonts w:hint="eastAsia" w:eastAsia="仿宋"/>
                <w:color w:val="auto"/>
                <w:highlight w:val="none"/>
                <w:lang w:val="en-US" w:eastAsia="zh-CN"/>
              </w:rPr>
            </w:pPr>
            <w:r>
              <w:rPr>
                <w:rFonts w:hint="eastAsia" w:ascii="仿宋" w:eastAsia="仿宋" w:cs="仿宋"/>
                <w:b w:val="0"/>
                <w:bCs w:val="0"/>
                <w:color w:val="auto"/>
                <w:kern w:val="0"/>
                <w:sz w:val="24"/>
                <w:szCs w:val="24"/>
                <w:highlight w:val="none"/>
                <w:lang w:val="en-US" w:eastAsia="zh-CN"/>
              </w:rPr>
              <w:t>（建设中2026年1月1日前完成）</w:t>
            </w:r>
          </w:p>
        </w:tc>
        <w:tc>
          <w:tcPr>
            <w:tcW w:w="2392" w:type="dxa"/>
            <w:tcBorders>
              <w:top w:val="nil"/>
              <w:left w:val="nil"/>
              <w:bottom w:val="single" w:color="auto" w:sz="4" w:space="0"/>
              <w:right w:val="single" w:color="auto" w:sz="4" w:space="0"/>
            </w:tcBorders>
            <w:noWrap/>
            <w:vAlign w:val="center"/>
          </w:tcPr>
          <w:p w14:paraId="0466104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天官社区助餐点</w:t>
            </w:r>
          </w:p>
          <w:p w14:paraId="6B5E2CFA">
            <w:pPr>
              <w:pStyle w:val="2"/>
              <w:rPr>
                <w:rFonts w:hint="eastAsia"/>
                <w:color w:val="auto"/>
                <w:highlight w:val="none"/>
                <w:lang w:val="en-US" w:eastAsia="zh-CN"/>
              </w:rPr>
            </w:pPr>
            <w:r>
              <w:rPr>
                <w:rFonts w:hint="eastAsia" w:ascii="仿宋" w:eastAsia="仿宋" w:cs="仿宋"/>
                <w:b w:val="0"/>
                <w:bCs w:val="0"/>
                <w:color w:val="auto"/>
                <w:kern w:val="0"/>
                <w:sz w:val="24"/>
                <w:szCs w:val="24"/>
                <w:highlight w:val="none"/>
                <w:lang w:val="en-US" w:eastAsia="zh-CN"/>
              </w:rPr>
              <w:t>（建设中2026年1月1日前完成）</w:t>
            </w:r>
          </w:p>
        </w:tc>
        <w:tc>
          <w:tcPr>
            <w:tcW w:w="905" w:type="dxa"/>
            <w:tcBorders>
              <w:top w:val="nil"/>
              <w:left w:val="nil"/>
              <w:bottom w:val="single" w:color="auto" w:sz="4" w:space="0"/>
              <w:right w:val="single" w:color="auto" w:sz="4" w:space="0"/>
            </w:tcBorders>
            <w:noWrap w:val="0"/>
            <w:vAlign w:val="center"/>
          </w:tcPr>
          <w:p w14:paraId="78C05B0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115</w:t>
            </w:r>
          </w:p>
        </w:tc>
      </w:tr>
      <w:tr w14:paraId="57D96B24">
        <w:tblPrEx>
          <w:tblCellMar>
            <w:top w:w="0" w:type="dxa"/>
            <w:left w:w="108" w:type="dxa"/>
            <w:bottom w:w="0" w:type="dxa"/>
            <w:right w:w="108" w:type="dxa"/>
          </w:tblCellMar>
        </w:tblPrEx>
        <w:trPr>
          <w:trHeight w:val="27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37CF008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12</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768AD91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24257CB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白马湖社区</w:t>
            </w:r>
          </w:p>
        </w:tc>
        <w:tc>
          <w:tcPr>
            <w:tcW w:w="3182" w:type="dxa"/>
            <w:tcBorders>
              <w:top w:val="single" w:color="auto" w:sz="4" w:space="0"/>
              <w:left w:val="nil"/>
              <w:bottom w:val="single" w:color="auto" w:sz="4" w:space="0"/>
              <w:right w:val="single" w:color="auto" w:sz="4" w:space="0"/>
            </w:tcBorders>
            <w:noWrap/>
            <w:vAlign w:val="center"/>
          </w:tcPr>
          <w:p w14:paraId="58FC15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白马湖社区居家养老照料中心</w:t>
            </w:r>
          </w:p>
        </w:tc>
        <w:tc>
          <w:tcPr>
            <w:tcW w:w="2392" w:type="dxa"/>
            <w:tcBorders>
              <w:top w:val="single" w:color="auto" w:sz="4" w:space="0"/>
              <w:left w:val="nil"/>
              <w:bottom w:val="single" w:color="auto" w:sz="4" w:space="0"/>
              <w:right w:val="single" w:color="auto" w:sz="4" w:space="0"/>
            </w:tcBorders>
            <w:noWrap/>
            <w:vAlign w:val="center"/>
          </w:tcPr>
          <w:p w14:paraId="7A0D2FE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白马湖社区助餐点</w:t>
            </w:r>
          </w:p>
        </w:tc>
        <w:tc>
          <w:tcPr>
            <w:tcW w:w="905" w:type="dxa"/>
            <w:tcBorders>
              <w:top w:val="single" w:color="auto" w:sz="4" w:space="0"/>
              <w:left w:val="nil"/>
              <w:bottom w:val="single" w:color="auto" w:sz="4" w:space="0"/>
              <w:right w:val="single" w:color="auto" w:sz="4" w:space="0"/>
            </w:tcBorders>
            <w:noWrap w:val="0"/>
            <w:vAlign w:val="center"/>
          </w:tcPr>
          <w:p w14:paraId="25D5FAE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209</w:t>
            </w:r>
          </w:p>
        </w:tc>
      </w:tr>
      <w:tr w14:paraId="4A50A9F5">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0D37E6C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13</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241D4F2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131135C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月亮湾社区</w:t>
            </w:r>
          </w:p>
        </w:tc>
        <w:tc>
          <w:tcPr>
            <w:tcW w:w="3182" w:type="dxa"/>
            <w:tcBorders>
              <w:top w:val="single" w:color="auto" w:sz="4" w:space="0"/>
              <w:left w:val="nil"/>
              <w:bottom w:val="single" w:color="auto" w:sz="4" w:space="0"/>
              <w:right w:val="single" w:color="auto" w:sz="4" w:space="0"/>
            </w:tcBorders>
            <w:noWrap/>
            <w:vAlign w:val="center"/>
          </w:tcPr>
          <w:p w14:paraId="77E2E97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月亮湾社区居家养老照料中心</w:t>
            </w:r>
          </w:p>
        </w:tc>
        <w:tc>
          <w:tcPr>
            <w:tcW w:w="2392" w:type="dxa"/>
            <w:tcBorders>
              <w:top w:val="single" w:color="auto" w:sz="4" w:space="0"/>
              <w:left w:val="nil"/>
              <w:bottom w:val="single" w:color="auto" w:sz="4" w:space="0"/>
              <w:right w:val="single" w:color="auto" w:sz="4" w:space="0"/>
            </w:tcBorders>
            <w:noWrap/>
            <w:vAlign w:val="center"/>
          </w:tcPr>
          <w:p w14:paraId="7188942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月亮湾社区助餐点</w:t>
            </w:r>
          </w:p>
        </w:tc>
        <w:tc>
          <w:tcPr>
            <w:tcW w:w="905" w:type="dxa"/>
            <w:tcBorders>
              <w:top w:val="single" w:color="auto" w:sz="4" w:space="0"/>
              <w:left w:val="nil"/>
              <w:bottom w:val="single" w:color="auto" w:sz="4" w:space="0"/>
              <w:right w:val="single" w:color="auto" w:sz="4" w:space="0"/>
            </w:tcBorders>
            <w:noWrap w:val="0"/>
            <w:vAlign w:val="center"/>
          </w:tcPr>
          <w:p w14:paraId="5C55FF2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r>
      <w:tr w14:paraId="229BE6BD">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158EEF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3C94FF0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56C00B3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竹山社区</w:t>
            </w:r>
          </w:p>
        </w:tc>
        <w:tc>
          <w:tcPr>
            <w:tcW w:w="3182" w:type="dxa"/>
            <w:tcBorders>
              <w:top w:val="single" w:color="auto" w:sz="4" w:space="0"/>
              <w:left w:val="nil"/>
              <w:bottom w:val="single" w:color="auto" w:sz="4" w:space="0"/>
              <w:right w:val="single" w:color="auto" w:sz="4" w:space="0"/>
            </w:tcBorders>
            <w:noWrap/>
            <w:vAlign w:val="center"/>
          </w:tcPr>
          <w:p w14:paraId="3826915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竹山</w:t>
            </w:r>
            <w:r>
              <w:rPr>
                <w:rFonts w:hint="eastAsia" w:ascii="仿宋" w:hAnsi="仿宋" w:eastAsia="仿宋" w:cs="仿宋"/>
                <w:color w:val="auto"/>
                <w:kern w:val="0"/>
                <w:sz w:val="24"/>
                <w:szCs w:val="24"/>
                <w:highlight w:val="none"/>
              </w:rPr>
              <w:t>社区居家养老照料中心</w:t>
            </w:r>
          </w:p>
        </w:tc>
        <w:tc>
          <w:tcPr>
            <w:tcW w:w="2392" w:type="dxa"/>
            <w:tcBorders>
              <w:top w:val="single" w:color="auto" w:sz="4" w:space="0"/>
              <w:left w:val="nil"/>
              <w:bottom w:val="single" w:color="auto" w:sz="4" w:space="0"/>
              <w:right w:val="single" w:color="auto" w:sz="4" w:space="0"/>
            </w:tcBorders>
            <w:noWrap/>
            <w:vAlign w:val="center"/>
          </w:tcPr>
          <w:p w14:paraId="5553064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905" w:type="dxa"/>
            <w:tcBorders>
              <w:top w:val="single" w:color="auto" w:sz="4" w:space="0"/>
              <w:left w:val="nil"/>
              <w:bottom w:val="single" w:color="auto" w:sz="4" w:space="0"/>
              <w:right w:val="single" w:color="auto" w:sz="4" w:space="0"/>
            </w:tcBorders>
            <w:noWrap w:val="0"/>
            <w:vAlign w:val="center"/>
          </w:tcPr>
          <w:p w14:paraId="4F1D524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r>
      <w:tr w14:paraId="5BFF7E69">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A835C9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15</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4E961FA5">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270CF66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山一社区</w:t>
            </w:r>
          </w:p>
        </w:tc>
        <w:tc>
          <w:tcPr>
            <w:tcW w:w="3182" w:type="dxa"/>
            <w:tcBorders>
              <w:top w:val="single" w:color="auto" w:sz="4" w:space="0"/>
              <w:left w:val="nil"/>
              <w:bottom w:val="single" w:color="auto" w:sz="4" w:space="0"/>
              <w:right w:val="single" w:color="auto" w:sz="4" w:space="0"/>
            </w:tcBorders>
            <w:noWrap/>
            <w:vAlign w:val="center"/>
          </w:tcPr>
          <w:p w14:paraId="5CD6EED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山一</w:t>
            </w:r>
            <w:r>
              <w:rPr>
                <w:rFonts w:hint="eastAsia" w:ascii="仿宋" w:hAnsi="仿宋" w:eastAsia="仿宋" w:cs="仿宋"/>
                <w:color w:val="auto"/>
                <w:kern w:val="0"/>
                <w:sz w:val="24"/>
                <w:szCs w:val="24"/>
                <w:highlight w:val="none"/>
              </w:rPr>
              <w:t>社区居家养老照料中心</w:t>
            </w:r>
          </w:p>
        </w:tc>
        <w:tc>
          <w:tcPr>
            <w:tcW w:w="2392" w:type="dxa"/>
            <w:tcBorders>
              <w:top w:val="single" w:color="auto" w:sz="4" w:space="0"/>
              <w:left w:val="nil"/>
              <w:bottom w:val="single" w:color="auto" w:sz="4" w:space="0"/>
              <w:right w:val="single" w:color="auto" w:sz="4" w:space="0"/>
            </w:tcBorders>
            <w:noWrap/>
            <w:vAlign w:val="center"/>
          </w:tcPr>
          <w:p w14:paraId="37CE3C3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山一</w:t>
            </w:r>
            <w:r>
              <w:rPr>
                <w:rFonts w:hint="eastAsia" w:ascii="仿宋" w:hAnsi="仿宋" w:eastAsia="仿宋" w:cs="仿宋"/>
                <w:color w:val="auto"/>
                <w:kern w:val="0"/>
                <w:sz w:val="24"/>
                <w:szCs w:val="24"/>
                <w:highlight w:val="none"/>
              </w:rPr>
              <w:t>社区助餐点</w:t>
            </w:r>
          </w:p>
        </w:tc>
        <w:tc>
          <w:tcPr>
            <w:tcW w:w="905" w:type="dxa"/>
            <w:tcBorders>
              <w:top w:val="single" w:color="auto" w:sz="4" w:space="0"/>
              <w:left w:val="nil"/>
              <w:bottom w:val="single" w:color="auto" w:sz="4" w:space="0"/>
              <w:right w:val="single" w:color="auto" w:sz="4" w:space="0"/>
            </w:tcBorders>
            <w:noWrap w:val="0"/>
            <w:vAlign w:val="center"/>
          </w:tcPr>
          <w:p w14:paraId="659F16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93</w:t>
            </w:r>
          </w:p>
        </w:tc>
      </w:tr>
      <w:tr w14:paraId="179F9173">
        <w:tblPrEx>
          <w:tblCellMar>
            <w:top w:w="0" w:type="dxa"/>
            <w:left w:w="108" w:type="dxa"/>
            <w:bottom w:w="0" w:type="dxa"/>
            <w:right w:w="108" w:type="dxa"/>
          </w:tblCellMar>
        </w:tblPrEx>
        <w:trPr>
          <w:trHeight w:val="300"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5D612B2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16</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5D77A37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24E8429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越王社区</w:t>
            </w:r>
          </w:p>
        </w:tc>
        <w:tc>
          <w:tcPr>
            <w:tcW w:w="3182" w:type="dxa"/>
            <w:tcBorders>
              <w:top w:val="single" w:color="auto" w:sz="4" w:space="0"/>
              <w:left w:val="nil"/>
              <w:bottom w:val="single" w:color="auto" w:sz="4" w:space="0"/>
              <w:right w:val="single" w:color="auto" w:sz="4" w:space="0"/>
            </w:tcBorders>
            <w:noWrap/>
            <w:vAlign w:val="center"/>
          </w:tcPr>
          <w:p w14:paraId="3D91513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越王社区居家养老照料中心</w:t>
            </w:r>
          </w:p>
        </w:tc>
        <w:tc>
          <w:tcPr>
            <w:tcW w:w="2392" w:type="dxa"/>
            <w:tcBorders>
              <w:top w:val="single" w:color="auto" w:sz="4" w:space="0"/>
              <w:left w:val="nil"/>
              <w:bottom w:val="single" w:color="auto" w:sz="4" w:space="0"/>
              <w:right w:val="single" w:color="auto" w:sz="4" w:space="0"/>
            </w:tcBorders>
            <w:noWrap/>
            <w:vAlign w:val="center"/>
          </w:tcPr>
          <w:p w14:paraId="558C42B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eastAsia="zh-CN"/>
              </w:rPr>
              <w:t>越王</w:t>
            </w:r>
            <w:r>
              <w:rPr>
                <w:rFonts w:hint="eastAsia" w:ascii="仿宋" w:hAnsi="仿宋" w:eastAsia="仿宋" w:cs="仿宋"/>
                <w:color w:val="auto"/>
                <w:kern w:val="0"/>
                <w:sz w:val="24"/>
                <w:szCs w:val="24"/>
                <w:highlight w:val="none"/>
              </w:rPr>
              <w:t>社区助餐点</w:t>
            </w:r>
          </w:p>
        </w:tc>
        <w:tc>
          <w:tcPr>
            <w:tcW w:w="905" w:type="dxa"/>
            <w:tcBorders>
              <w:top w:val="single" w:color="auto" w:sz="4" w:space="0"/>
              <w:left w:val="nil"/>
              <w:bottom w:val="single" w:color="auto" w:sz="4" w:space="0"/>
              <w:right w:val="single" w:color="auto" w:sz="4" w:space="0"/>
            </w:tcBorders>
            <w:noWrap w:val="0"/>
            <w:vAlign w:val="center"/>
          </w:tcPr>
          <w:p w14:paraId="5BB7771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110</w:t>
            </w:r>
          </w:p>
        </w:tc>
      </w:tr>
      <w:tr w14:paraId="29073930">
        <w:tblPrEx>
          <w:tblCellMar>
            <w:top w:w="0" w:type="dxa"/>
            <w:left w:w="108" w:type="dxa"/>
            <w:bottom w:w="0" w:type="dxa"/>
            <w:right w:w="108" w:type="dxa"/>
          </w:tblCellMar>
        </w:tblPrEx>
        <w:trPr>
          <w:trHeight w:val="25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37B0059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17</w:t>
            </w:r>
          </w:p>
        </w:tc>
        <w:tc>
          <w:tcPr>
            <w:tcW w:w="759" w:type="dxa"/>
            <w:vMerge w:val="continue"/>
            <w:tcBorders>
              <w:top w:val="single" w:color="auto" w:sz="4" w:space="0"/>
              <w:left w:val="single" w:color="auto" w:sz="4" w:space="0"/>
              <w:right w:val="single" w:color="auto" w:sz="4" w:space="0"/>
            </w:tcBorders>
            <w:noWrap w:val="0"/>
            <w:vAlign w:val="center"/>
          </w:tcPr>
          <w:p w14:paraId="487BD2E7">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5EBA8E2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长一社区</w:t>
            </w:r>
          </w:p>
        </w:tc>
        <w:tc>
          <w:tcPr>
            <w:tcW w:w="3182" w:type="dxa"/>
            <w:tcBorders>
              <w:top w:val="single" w:color="auto" w:sz="4" w:space="0"/>
              <w:left w:val="nil"/>
              <w:bottom w:val="single" w:color="auto" w:sz="4" w:space="0"/>
              <w:right w:val="single" w:color="auto" w:sz="4" w:space="0"/>
            </w:tcBorders>
            <w:noWrap/>
            <w:vAlign w:val="center"/>
          </w:tcPr>
          <w:p w14:paraId="7877FA5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长一社区居家养老照料中心</w:t>
            </w:r>
          </w:p>
        </w:tc>
        <w:tc>
          <w:tcPr>
            <w:tcW w:w="2392" w:type="dxa"/>
            <w:tcBorders>
              <w:top w:val="single" w:color="auto" w:sz="4" w:space="0"/>
              <w:left w:val="nil"/>
              <w:bottom w:val="single" w:color="auto" w:sz="4" w:space="0"/>
              <w:right w:val="single" w:color="auto" w:sz="4" w:space="0"/>
            </w:tcBorders>
            <w:noWrap/>
            <w:vAlign w:val="center"/>
          </w:tcPr>
          <w:p w14:paraId="30C66A4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长一社区老年食堂</w:t>
            </w:r>
          </w:p>
        </w:tc>
        <w:tc>
          <w:tcPr>
            <w:tcW w:w="905" w:type="dxa"/>
            <w:tcBorders>
              <w:top w:val="single" w:color="auto" w:sz="4" w:space="0"/>
              <w:left w:val="nil"/>
              <w:bottom w:val="single" w:color="auto" w:sz="4" w:space="0"/>
              <w:right w:val="single" w:color="auto" w:sz="4" w:space="0"/>
            </w:tcBorders>
            <w:noWrap w:val="0"/>
            <w:vAlign w:val="center"/>
          </w:tcPr>
          <w:p w14:paraId="69F3913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159</w:t>
            </w:r>
          </w:p>
        </w:tc>
      </w:tr>
      <w:tr w14:paraId="3F6AE033">
        <w:tblPrEx>
          <w:tblCellMar>
            <w:top w:w="0" w:type="dxa"/>
            <w:left w:w="108" w:type="dxa"/>
            <w:bottom w:w="0" w:type="dxa"/>
            <w:right w:w="108" w:type="dxa"/>
          </w:tblCellMar>
        </w:tblPrEx>
        <w:trPr>
          <w:trHeight w:val="422" w:hRule="atLeast"/>
          <w:jc w:val="center"/>
        </w:trPr>
        <w:tc>
          <w:tcPr>
            <w:tcW w:w="712" w:type="dxa"/>
            <w:tcBorders>
              <w:top w:val="nil"/>
              <w:left w:val="single" w:color="auto" w:sz="4" w:space="0"/>
              <w:bottom w:val="single" w:color="auto" w:sz="4" w:space="0"/>
              <w:right w:val="single" w:color="auto" w:sz="4" w:space="0"/>
            </w:tcBorders>
            <w:noWrap w:val="0"/>
            <w:vAlign w:val="center"/>
          </w:tcPr>
          <w:p w14:paraId="5C3D6C4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小计</w:t>
            </w:r>
          </w:p>
        </w:tc>
        <w:tc>
          <w:tcPr>
            <w:tcW w:w="759" w:type="dxa"/>
            <w:vMerge w:val="continue"/>
            <w:tcBorders>
              <w:left w:val="single" w:color="auto" w:sz="4" w:space="0"/>
              <w:bottom w:val="single" w:color="auto" w:sz="4" w:space="0"/>
              <w:right w:val="single" w:color="auto" w:sz="4" w:space="0"/>
            </w:tcBorders>
            <w:noWrap w:val="0"/>
            <w:vAlign w:val="center"/>
          </w:tcPr>
          <w:p w14:paraId="214C8362">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7003" w:type="dxa"/>
            <w:gridSpan w:val="3"/>
            <w:tcBorders>
              <w:top w:val="nil"/>
              <w:left w:val="nil"/>
              <w:bottom w:val="single" w:color="auto" w:sz="4" w:space="0"/>
              <w:right w:val="single" w:color="auto" w:sz="4" w:space="0"/>
            </w:tcBorders>
            <w:noWrap/>
            <w:vAlign w:val="center"/>
          </w:tcPr>
          <w:p w14:paraId="6B64B11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rPr>
            </w:pPr>
          </w:p>
        </w:tc>
        <w:tc>
          <w:tcPr>
            <w:tcW w:w="905" w:type="dxa"/>
            <w:tcBorders>
              <w:top w:val="nil"/>
              <w:left w:val="nil"/>
              <w:bottom w:val="single" w:color="auto" w:sz="4" w:space="0"/>
              <w:right w:val="single" w:color="auto" w:sz="4" w:space="0"/>
            </w:tcBorders>
            <w:noWrap w:val="0"/>
            <w:vAlign w:val="center"/>
          </w:tcPr>
          <w:p w14:paraId="1A6EDAA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817</w:t>
            </w:r>
          </w:p>
        </w:tc>
      </w:tr>
      <w:tr w14:paraId="4BF1407A">
        <w:tblPrEx>
          <w:tblCellMar>
            <w:top w:w="0" w:type="dxa"/>
            <w:left w:w="108" w:type="dxa"/>
            <w:bottom w:w="0" w:type="dxa"/>
            <w:right w:w="108" w:type="dxa"/>
          </w:tblCellMar>
        </w:tblPrEx>
        <w:trPr>
          <w:trHeight w:val="90" w:hRule="atLeast"/>
          <w:jc w:val="center"/>
        </w:trPr>
        <w:tc>
          <w:tcPr>
            <w:tcW w:w="712" w:type="dxa"/>
            <w:tcBorders>
              <w:top w:val="nil"/>
              <w:left w:val="single" w:color="auto" w:sz="4" w:space="0"/>
              <w:bottom w:val="single" w:color="auto" w:sz="4" w:space="0"/>
              <w:right w:val="single" w:color="auto" w:sz="4" w:space="0"/>
            </w:tcBorders>
            <w:shd w:val="clear" w:color="auto" w:fill="auto"/>
            <w:noWrap w:val="0"/>
            <w:vAlign w:val="center"/>
          </w:tcPr>
          <w:p w14:paraId="6AA66F4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8</w:t>
            </w:r>
          </w:p>
        </w:tc>
        <w:tc>
          <w:tcPr>
            <w:tcW w:w="759" w:type="dxa"/>
            <w:vMerge w:val="restart"/>
            <w:tcBorders>
              <w:top w:val="nil"/>
              <w:left w:val="single" w:color="auto" w:sz="4" w:space="0"/>
              <w:right w:val="single" w:color="auto" w:sz="4" w:space="0"/>
            </w:tcBorders>
            <w:shd w:val="clear" w:color="auto" w:fill="auto"/>
            <w:noWrap w:val="0"/>
            <w:vAlign w:val="center"/>
          </w:tcPr>
          <w:p w14:paraId="129697D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浦沿街道</w:t>
            </w:r>
          </w:p>
        </w:tc>
        <w:tc>
          <w:tcPr>
            <w:tcW w:w="1429" w:type="dxa"/>
            <w:tcBorders>
              <w:top w:val="nil"/>
              <w:left w:val="nil"/>
              <w:bottom w:val="single" w:color="auto" w:sz="4" w:space="0"/>
              <w:right w:val="single" w:color="auto" w:sz="4" w:space="0"/>
            </w:tcBorders>
            <w:shd w:val="clear" w:color="auto" w:fill="auto"/>
            <w:noWrap/>
            <w:vAlign w:val="center"/>
          </w:tcPr>
          <w:p w14:paraId="333B5BD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六和社区</w:t>
            </w:r>
          </w:p>
        </w:tc>
        <w:tc>
          <w:tcPr>
            <w:tcW w:w="3182" w:type="dxa"/>
            <w:tcBorders>
              <w:top w:val="nil"/>
              <w:left w:val="nil"/>
              <w:bottom w:val="single" w:color="auto" w:sz="4" w:space="0"/>
              <w:right w:val="single" w:color="auto" w:sz="4" w:space="0"/>
            </w:tcBorders>
            <w:shd w:val="clear" w:color="000000" w:fill="FFFFFF"/>
            <w:noWrap/>
            <w:vAlign w:val="center"/>
          </w:tcPr>
          <w:p w14:paraId="0215460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2392" w:type="dxa"/>
            <w:tcBorders>
              <w:top w:val="nil"/>
              <w:left w:val="nil"/>
              <w:bottom w:val="single" w:color="auto" w:sz="4" w:space="0"/>
              <w:right w:val="single" w:color="auto" w:sz="4" w:space="0"/>
            </w:tcBorders>
            <w:noWrap/>
            <w:vAlign w:val="center"/>
          </w:tcPr>
          <w:p w14:paraId="6DC0E2C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六和社区助餐点</w:t>
            </w:r>
          </w:p>
        </w:tc>
        <w:tc>
          <w:tcPr>
            <w:tcW w:w="905" w:type="dxa"/>
            <w:tcBorders>
              <w:top w:val="nil"/>
              <w:left w:val="nil"/>
              <w:bottom w:val="single" w:color="auto" w:sz="4" w:space="0"/>
              <w:right w:val="single" w:color="auto" w:sz="4" w:space="0"/>
            </w:tcBorders>
            <w:noWrap w:val="0"/>
            <w:vAlign w:val="center"/>
          </w:tcPr>
          <w:p w14:paraId="665AE9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73</w:t>
            </w:r>
          </w:p>
        </w:tc>
      </w:tr>
      <w:tr w14:paraId="1FE3A76D">
        <w:tblPrEx>
          <w:tblCellMar>
            <w:top w:w="0" w:type="dxa"/>
            <w:left w:w="108" w:type="dxa"/>
            <w:bottom w:w="0" w:type="dxa"/>
            <w:right w:w="108" w:type="dxa"/>
          </w:tblCellMar>
        </w:tblPrEx>
        <w:trPr>
          <w:trHeight w:val="384" w:hRule="atLeast"/>
          <w:jc w:val="center"/>
        </w:trPr>
        <w:tc>
          <w:tcPr>
            <w:tcW w:w="712" w:type="dxa"/>
            <w:tcBorders>
              <w:top w:val="nil"/>
              <w:left w:val="single" w:color="auto" w:sz="4" w:space="0"/>
              <w:bottom w:val="single" w:color="auto" w:sz="4" w:space="0"/>
              <w:right w:val="single" w:color="auto" w:sz="4" w:space="0"/>
            </w:tcBorders>
            <w:noWrap w:val="0"/>
            <w:vAlign w:val="center"/>
          </w:tcPr>
          <w:p w14:paraId="6533175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9</w:t>
            </w:r>
          </w:p>
        </w:tc>
        <w:tc>
          <w:tcPr>
            <w:tcW w:w="759" w:type="dxa"/>
            <w:vMerge w:val="continue"/>
            <w:tcBorders>
              <w:left w:val="single" w:color="auto" w:sz="4" w:space="0"/>
              <w:right w:val="single" w:color="auto" w:sz="4" w:space="0"/>
            </w:tcBorders>
            <w:noWrap w:val="0"/>
            <w:vAlign w:val="center"/>
          </w:tcPr>
          <w:p w14:paraId="2DF14E9A">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ign w:val="center"/>
          </w:tcPr>
          <w:p w14:paraId="2E44F6D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新和社区</w:t>
            </w:r>
          </w:p>
        </w:tc>
        <w:tc>
          <w:tcPr>
            <w:tcW w:w="3182" w:type="dxa"/>
            <w:tcBorders>
              <w:top w:val="nil"/>
              <w:left w:val="nil"/>
              <w:bottom w:val="single" w:color="auto" w:sz="4" w:space="0"/>
              <w:right w:val="single" w:color="auto" w:sz="4" w:space="0"/>
            </w:tcBorders>
            <w:noWrap w:val="0"/>
            <w:vAlign w:val="center"/>
          </w:tcPr>
          <w:p w14:paraId="6850564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新和社区居家养老照料中心</w:t>
            </w:r>
          </w:p>
        </w:tc>
        <w:tc>
          <w:tcPr>
            <w:tcW w:w="2392" w:type="dxa"/>
            <w:tcBorders>
              <w:top w:val="nil"/>
              <w:left w:val="nil"/>
              <w:bottom w:val="single" w:color="auto" w:sz="4" w:space="0"/>
              <w:right w:val="single" w:color="auto" w:sz="4" w:space="0"/>
            </w:tcBorders>
            <w:noWrap/>
            <w:vAlign w:val="center"/>
          </w:tcPr>
          <w:p w14:paraId="315DFC4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新和社区助餐点</w:t>
            </w:r>
          </w:p>
        </w:tc>
        <w:tc>
          <w:tcPr>
            <w:tcW w:w="905" w:type="dxa"/>
            <w:tcBorders>
              <w:top w:val="nil"/>
              <w:left w:val="nil"/>
              <w:bottom w:val="single" w:color="auto" w:sz="4" w:space="0"/>
              <w:right w:val="single" w:color="auto" w:sz="4" w:space="0"/>
            </w:tcBorders>
            <w:noWrap w:val="0"/>
            <w:vAlign w:val="center"/>
          </w:tcPr>
          <w:p w14:paraId="0245507A">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r>
              <w:rPr>
                <w:rFonts w:hint="default" w:ascii="仿宋" w:hAnsi="仿宋" w:eastAsia="仿宋" w:cs="仿宋"/>
                <w:color w:val="auto"/>
                <w:kern w:val="0"/>
                <w:sz w:val="24"/>
                <w:szCs w:val="24"/>
                <w:highlight w:val="none"/>
              </w:rPr>
              <w:t>2</w:t>
            </w:r>
          </w:p>
        </w:tc>
      </w:tr>
      <w:tr w14:paraId="4CD6F3BE">
        <w:tblPrEx>
          <w:tblCellMar>
            <w:top w:w="0" w:type="dxa"/>
            <w:left w:w="108" w:type="dxa"/>
            <w:bottom w:w="0" w:type="dxa"/>
            <w:right w:w="108" w:type="dxa"/>
          </w:tblCellMar>
        </w:tblPrEx>
        <w:trPr>
          <w:trHeight w:val="330" w:hRule="atLeast"/>
          <w:jc w:val="center"/>
        </w:trPr>
        <w:tc>
          <w:tcPr>
            <w:tcW w:w="712" w:type="dxa"/>
            <w:tcBorders>
              <w:top w:val="nil"/>
              <w:left w:val="single" w:color="auto" w:sz="4" w:space="0"/>
              <w:bottom w:val="single" w:color="auto" w:sz="4" w:space="0"/>
              <w:right w:val="single" w:color="auto" w:sz="4" w:space="0"/>
            </w:tcBorders>
            <w:noWrap w:val="0"/>
            <w:vAlign w:val="center"/>
          </w:tcPr>
          <w:p w14:paraId="2AA0A0B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20</w:t>
            </w:r>
          </w:p>
        </w:tc>
        <w:tc>
          <w:tcPr>
            <w:tcW w:w="759" w:type="dxa"/>
            <w:vMerge w:val="continue"/>
            <w:tcBorders>
              <w:left w:val="single" w:color="auto" w:sz="4" w:space="0"/>
              <w:right w:val="single" w:color="auto" w:sz="4" w:space="0"/>
            </w:tcBorders>
            <w:noWrap w:val="0"/>
            <w:vAlign w:val="center"/>
          </w:tcPr>
          <w:p w14:paraId="5F242E6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ign w:val="center"/>
          </w:tcPr>
          <w:p w14:paraId="12C417D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东信社区</w:t>
            </w:r>
          </w:p>
        </w:tc>
        <w:tc>
          <w:tcPr>
            <w:tcW w:w="3182" w:type="dxa"/>
            <w:tcBorders>
              <w:top w:val="nil"/>
              <w:left w:val="nil"/>
              <w:bottom w:val="single" w:color="auto" w:sz="4" w:space="0"/>
              <w:right w:val="single" w:color="auto" w:sz="4" w:space="0"/>
            </w:tcBorders>
            <w:noWrap w:val="0"/>
            <w:vAlign w:val="center"/>
          </w:tcPr>
          <w:p w14:paraId="78EDAA6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东信社区居家养老照料中心</w:t>
            </w:r>
          </w:p>
        </w:tc>
        <w:tc>
          <w:tcPr>
            <w:tcW w:w="2392" w:type="dxa"/>
            <w:tcBorders>
              <w:top w:val="nil"/>
              <w:left w:val="nil"/>
              <w:bottom w:val="single" w:color="auto" w:sz="4" w:space="0"/>
              <w:right w:val="single" w:color="auto" w:sz="4" w:space="0"/>
            </w:tcBorders>
            <w:noWrap/>
            <w:vAlign w:val="center"/>
          </w:tcPr>
          <w:p w14:paraId="77D513B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905" w:type="dxa"/>
            <w:tcBorders>
              <w:top w:val="nil"/>
              <w:left w:val="nil"/>
              <w:bottom w:val="single" w:color="auto" w:sz="4" w:space="0"/>
              <w:right w:val="single" w:color="auto" w:sz="4" w:space="0"/>
            </w:tcBorders>
            <w:noWrap w:val="0"/>
            <w:vAlign w:val="center"/>
          </w:tcPr>
          <w:p w14:paraId="5A4DCE4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52</w:t>
            </w:r>
          </w:p>
        </w:tc>
      </w:tr>
      <w:tr w14:paraId="709708ED">
        <w:tblPrEx>
          <w:tblCellMar>
            <w:top w:w="0" w:type="dxa"/>
            <w:left w:w="108" w:type="dxa"/>
            <w:bottom w:w="0" w:type="dxa"/>
            <w:right w:w="108" w:type="dxa"/>
          </w:tblCellMar>
        </w:tblPrEx>
        <w:trPr>
          <w:trHeight w:val="236" w:hRule="atLeast"/>
          <w:jc w:val="center"/>
        </w:trPr>
        <w:tc>
          <w:tcPr>
            <w:tcW w:w="712" w:type="dxa"/>
            <w:tcBorders>
              <w:top w:val="nil"/>
              <w:left w:val="single" w:color="auto" w:sz="4" w:space="0"/>
              <w:bottom w:val="single" w:color="auto" w:sz="4" w:space="0"/>
              <w:right w:val="single" w:color="auto" w:sz="4" w:space="0"/>
            </w:tcBorders>
            <w:noWrap w:val="0"/>
            <w:vAlign w:val="center"/>
          </w:tcPr>
          <w:p w14:paraId="0B79243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21</w:t>
            </w:r>
          </w:p>
        </w:tc>
        <w:tc>
          <w:tcPr>
            <w:tcW w:w="759" w:type="dxa"/>
            <w:vMerge w:val="continue"/>
            <w:tcBorders>
              <w:left w:val="single" w:color="auto" w:sz="4" w:space="0"/>
              <w:right w:val="single" w:color="auto" w:sz="4" w:space="0"/>
            </w:tcBorders>
            <w:noWrap w:val="0"/>
            <w:vAlign w:val="center"/>
          </w:tcPr>
          <w:p w14:paraId="328BC95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ign w:val="center"/>
          </w:tcPr>
          <w:p w14:paraId="567CB01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西浦社区</w:t>
            </w:r>
          </w:p>
        </w:tc>
        <w:tc>
          <w:tcPr>
            <w:tcW w:w="3182" w:type="dxa"/>
            <w:tcBorders>
              <w:top w:val="nil"/>
              <w:left w:val="nil"/>
              <w:bottom w:val="single" w:color="auto" w:sz="4" w:space="0"/>
              <w:right w:val="single" w:color="auto" w:sz="4" w:space="0"/>
            </w:tcBorders>
            <w:noWrap w:val="0"/>
            <w:vAlign w:val="center"/>
          </w:tcPr>
          <w:p w14:paraId="5952E6E0">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西浦社区居家养老照料中心</w:t>
            </w:r>
          </w:p>
        </w:tc>
        <w:tc>
          <w:tcPr>
            <w:tcW w:w="2392" w:type="dxa"/>
            <w:tcBorders>
              <w:top w:val="nil"/>
              <w:left w:val="nil"/>
              <w:bottom w:val="single" w:color="auto" w:sz="4" w:space="0"/>
              <w:right w:val="single" w:color="auto" w:sz="4" w:space="0"/>
            </w:tcBorders>
            <w:noWrap/>
            <w:vAlign w:val="center"/>
          </w:tcPr>
          <w:p w14:paraId="7B4840A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西浦社区助餐点</w:t>
            </w:r>
          </w:p>
        </w:tc>
        <w:tc>
          <w:tcPr>
            <w:tcW w:w="905" w:type="dxa"/>
            <w:tcBorders>
              <w:top w:val="nil"/>
              <w:left w:val="nil"/>
              <w:bottom w:val="single" w:color="auto" w:sz="4" w:space="0"/>
              <w:right w:val="single" w:color="auto" w:sz="4" w:space="0"/>
            </w:tcBorders>
            <w:noWrap w:val="0"/>
            <w:vAlign w:val="center"/>
          </w:tcPr>
          <w:p w14:paraId="7119516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1</w:t>
            </w:r>
          </w:p>
        </w:tc>
      </w:tr>
      <w:tr w14:paraId="04DEF87C">
        <w:tblPrEx>
          <w:tblCellMar>
            <w:top w:w="0" w:type="dxa"/>
            <w:left w:w="108" w:type="dxa"/>
            <w:bottom w:w="0" w:type="dxa"/>
            <w:right w:w="108" w:type="dxa"/>
          </w:tblCellMar>
        </w:tblPrEx>
        <w:trPr>
          <w:trHeight w:val="90" w:hRule="atLeast"/>
          <w:jc w:val="center"/>
        </w:trPr>
        <w:tc>
          <w:tcPr>
            <w:tcW w:w="712" w:type="dxa"/>
            <w:tcBorders>
              <w:top w:val="nil"/>
              <w:left w:val="single" w:color="auto" w:sz="4" w:space="0"/>
              <w:bottom w:val="single" w:color="auto" w:sz="4" w:space="0"/>
              <w:right w:val="single" w:color="auto" w:sz="4" w:space="0"/>
            </w:tcBorders>
            <w:noWrap w:val="0"/>
            <w:vAlign w:val="center"/>
          </w:tcPr>
          <w:p w14:paraId="4E62312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22</w:t>
            </w:r>
          </w:p>
        </w:tc>
        <w:tc>
          <w:tcPr>
            <w:tcW w:w="759" w:type="dxa"/>
            <w:vMerge w:val="continue"/>
            <w:tcBorders>
              <w:left w:val="single" w:color="auto" w:sz="4" w:space="0"/>
              <w:bottom w:val="single" w:color="auto" w:sz="4" w:space="0"/>
              <w:right w:val="single" w:color="auto" w:sz="4" w:space="0"/>
            </w:tcBorders>
            <w:noWrap w:val="0"/>
            <w:vAlign w:val="center"/>
          </w:tcPr>
          <w:p w14:paraId="2DBA66A9">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nil"/>
              <w:left w:val="nil"/>
              <w:bottom w:val="single" w:color="auto" w:sz="4" w:space="0"/>
              <w:right w:val="single" w:color="auto" w:sz="4" w:space="0"/>
            </w:tcBorders>
            <w:noWrap/>
            <w:vAlign w:val="center"/>
          </w:tcPr>
          <w:p w14:paraId="3D97C8E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新生社区</w:t>
            </w:r>
          </w:p>
        </w:tc>
        <w:tc>
          <w:tcPr>
            <w:tcW w:w="3182" w:type="dxa"/>
            <w:tcBorders>
              <w:top w:val="nil"/>
              <w:left w:val="nil"/>
              <w:bottom w:val="single" w:color="auto" w:sz="4" w:space="0"/>
              <w:right w:val="single" w:color="auto" w:sz="4" w:space="0"/>
            </w:tcBorders>
            <w:noWrap/>
            <w:vAlign w:val="center"/>
          </w:tcPr>
          <w:p w14:paraId="2F23D4C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新</w:t>
            </w:r>
            <w:r>
              <w:rPr>
                <w:rFonts w:hint="eastAsia" w:ascii="仿宋" w:hAnsi="仿宋" w:eastAsia="仿宋" w:cs="仿宋"/>
                <w:color w:val="auto"/>
                <w:kern w:val="0"/>
                <w:sz w:val="24"/>
                <w:szCs w:val="24"/>
                <w:highlight w:val="none"/>
                <w:lang w:eastAsia="zh-CN"/>
              </w:rPr>
              <w:t>生</w:t>
            </w:r>
            <w:r>
              <w:rPr>
                <w:rFonts w:hint="eastAsia" w:ascii="仿宋" w:hAnsi="仿宋" w:eastAsia="仿宋" w:cs="仿宋"/>
                <w:color w:val="auto"/>
                <w:kern w:val="0"/>
                <w:sz w:val="24"/>
                <w:szCs w:val="24"/>
                <w:highlight w:val="none"/>
              </w:rPr>
              <w:t>社区居家养老照料中心</w:t>
            </w:r>
          </w:p>
        </w:tc>
        <w:tc>
          <w:tcPr>
            <w:tcW w:w="2392" w:type="dxa"/>
            <w:tcBorders>
              <w:top w:val="nil"/>
              <w:left w:val="nil"/>
              <w:bottom w:val="single" w:color="auto" w:sz="4" w:space="0"/>
              <w:right w:val="single" w:color="auto" w:sz="4" w:space="0"/>
            </w:tcBorders>
            <w:noWrap/>
            <w:vAlign w:val="center"/>
          </w:tcPr>
          <w:p w14:paraId="5EE40D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905" w:type="dxa"/>
            <w:tcBorders>
              <w:top w:val="nil"/>
              <w:left w:val="nil"/>
              <w:bottom w:val="single" w:color="auto" w:sz="4" w:space="0"/>
              <w:right w:val="single" w:color="auto" w:sz="4" w:space="0"/>
            </w:tcBorders>
            <w:noWrap w:val="0"/>
            <w:vAlign w:val="center"/>
          </w:tcPr>
          <w:p w14:paraId="229E66C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403</w:t>
            </w:r>
          </w:p>
        </w:tc>
      </w:tr>
      <w:tr w14:paraId="6B45024B">
        <w:tblPrEx>
          <w:tblCellMar>
            <w:top w:w="0" w:type="dxa"/>
            <w:left w:w="108" w:type="dxa"/>
            <w:bottom w:w="0" w:type="dxa"/>
            <w:right w:w="108" w:type="dxa"/>
          </w:tblCellMar>
        </w:tblPrEx>
        <w:trPr>
          <w:trHeight w:val="26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2E3300C9">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3</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7F22049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300B8DE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新浦社区</w:t>
            </w:r>
          </w:p>
        </w:tc>
        <w:tc>
          <w:tcPr>
            <w:tcW w:w="3182" w:type="dxa"/>
            <w:tcBorders>
              <w:top w:val="single" w:color="auto" w:sz="4" w:space="0"/>
              <w:left w:val="nil"/>
              <w:bottom w:val="single" w:color="auto" w:sz="4" w:space="0"/>
              <w:right w:val="single" w:color="auto" w:sz="4" w:space="0"/>
            </w:tcBorders>
            <w:noWrap w:val="0"/>
            <w:vAlign w:val="center"/>
          </w:tcPr>
          <w:p w14:paraId="5EF7969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浦沿街道夕阳红居家养老服务中心</w:t>
            </w:r>
          </w:p>
        </w:tc>
        <w:tc>
          <w:tcPr>
            <w:tcW w:w="2392" w:type="dxa"/>
            <w:tcBorders>
              <w:top w:val="single" w:color="auto" w:sz="4" w:space="0"/>
              <w:left w:val="nil"/>
              <w:bottom w:val="single" w:color="auto" w:sz="4" w:space="0"/>
              <w:right w:val="single" w:color="auto" w:sz="4" w:space="0"/>
            </w:tcBorders>
            <w:noWrap/>
            <w:vAlign w:val="center"/>
          </w:tcPr>
          <w:p w14:paraId="0795FC9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905" w:type="dxa"/>
            <w:tcBorders>
              <w:top w:val="single" w:color="auto" w:sz="4" w:space="0"/>
              <w:left w:val="nil"/>
              <w:bottom w:val="single" w:color="auto" w:sz="4" w:space="0"/>
              <w:right w:val="single" w:color="auto" w:sz="4" w:space="0"/>
            </w:tcBorders>
            <w:noWrap w:val="0"/>
            <w:vAlign w:val="center"/>
          </w:tcPr>
          <w:p w14:paraId="35D8CD93">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07</w:t>
            </w:r>
          </w:p>
        </w:tc>
      </w:tr>
      <w:tr w14:paraId="34EFFB94">
        <w:tblPrEx>
          <w:tblCellMar>
            <w:top w:w="0" w:type="dxa"/>
            <w:left w:w="108" w:type="dxa"/>
            <w:bottom w:w="0" w:type="dxa"/>
            <w:right w:w="108" w:type="dxa"/>
          </w:tblCellMar>
        </w:tblPrEx>
        <w:trPr>
          <w:trHeight w:val="26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CF7DA26">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24</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30EDDD4E">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7CA17BC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华悦湾社区</w:t>
            </w:r>
          </w:p>
        </w:tc>
        <w:tc>
          <w:tcPr>
            <w:tcW w:w="3182" w:type="dxa"/>
            <w:tcBorders>
              <w:top w:val="single" w:color="auto" w:sz="4" w:space="0"/>
              <w:left w:val="nil"/>
              <w:bottom w:val="single" w:color="auto" w:sz="4" w:space="0"/>
              <w:right w:val="single" w:color="auto" w:sz="4" w:space="0"/>
            </w:tcBorders>
            <w:noWrap w:val="0"/>
            <w:vAlign w:val="center"/>
          </w:tcPr>
          <w:p w14:paraId="4E5F9847">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2392" w:type="dxa"/>
            <w:tcBorders>
              <w:top w:val="single" w:color="auto" w:sz="4" w:space="0"/>
              <w:left w:val="nil"/>
              <w:bottom w:val="single" w:color="auto" w:sz="4" w:space="0"/>
              <w:right w:val="single" w:color="auto" w:sz="4" w:space="0"/>
            </w:tcBorders>
            <w:noWrap/>
            <w:vAlign w:val="center"/>
          </w:tcPr>
          <w:p w14:paraId="699C12CC">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rPr>
            </w:pPr>
            <w:r>
              <w:rPr>
                <w:rFonts w:hint="default" w:ascii="仿宋" w:hAnsi="仿宋" w:eastAsia="仿宋" w:cs="仿宋"/>
                <w:color w:val="auto"/>
                <w:kern w:val="0"/>
                <w:sz w:val="24"/>
                <w:szCs w:val="24"/>
                <w:highlight w:val="none"/>
              </w:rPr>
              <w:t>华悦湾社区</w:t>
            </w:r>
            <w:r>
              <w:rPr>
                <w:rFonts w:hint="eastAsia" w:ascii="仿宋" w:hAnsi="仿宋" w:eastAsia="仿宋" w:cs="仿宋"/>
                <w:color w:val="auto"/>
                <w:kern w:val="0"/>
                <w:sz w:val="24"/>
                <w:szCs w:val="24"/>
                <w:highlight w:val="none"/>
                <w:lang w:eastAsia="zh-CN"/>
              </w:rPr>
              <w:t>老年食堂</w:t>
            </w:r>
          </w:p>
        </w:tc>
        <w:tc>
          <w:tcPr>
            <w:tcW w:w="905" w:type="dxa"/>
            <w:tcBorders>
              <w:top w:val="single" w:color="auto" w:sz="4" w:space="0"/>
              <w:left w:val="nil"/>
              <w:bottom w:val="single" w:color="auto" w:sz="4" w:space="0"/>
              <w:right w:val="single" w:color="auto" w:sz="4" w:space="0"/>
            </w:tcBorders>
            <w:noWrap w:val="0"/>
            <w:vAlign w:val="center"/>
          </w:tcPr>
          <w:p w14:paraId="087CC78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16</w:t>
            </w:r>
          </w:p>
        </w:tc>
      </w:tr>
      <w:tr w14:paraId="56263C11">
        <w:tblPrEx>
          <w:tblCellMar>
            <w:top w:w="0" w:type="dxa"/>
            <w:left w:w="108" w:type="dxa"/>
            <w:bottom w:w="0" w:type="dxa"/>
            <w:right w:w="108" w:type="dxa"/>
          </w:tblCellMar>
        </w:tblPrEx>
        <w:trPr>
          <w:trHeight w:val="26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1745BD4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25</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3B62DCFC">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37C41F2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潮涌社区</w:t>
            </w:r>
          </w:p>
        </w:tc>
        <w:tc>
          <w:tcPr>
            <w:tcW w:w="3182" w:type="dxa"/>
            <w:tcBorders>
              <w:top w:val="single" w:color="auto" w:sz="4" w:space="0"/>
              <w:left w:val="nil"/>
              <w:bottom w:val="single" w:color="auto" w:sz="4" w:space="0"/>
              <w:right w:val="single" w:color="auto" w:sz="4" w:space="0"/>
            </w:tcBorders>
            <w:noWrap w:val="0"/>
            <w:vAlign w:val="center"/>
          </w:tcPr>
          <w:p w14:paraId="5075645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潮涌社区居家养老照料中心（建设中11月前完成）</w:t>
            </w:r>
          </w:p>
        </w:tc>
        <w:tc>
          <w:tcPr>
            <w:tcW w:w="2392" w:type="dxa"/>
            <w:tcBorders>
              <w:top w:val="single" w:color="auto" w:sz="4" w:space="0"/>
              <w:left w:val="nil"/>
              <w:bottom w:val="single" w:color="auto" w:sz="4" w:space="0"/>
              <w:right w:val="single" w:color="auto" w:sz="4" w:space="0"/>
            </w:tcBorders>
            <w:noWrap/>
            <w:vAlign w:val="center"/>
          </w:tcPr>
          <w:p w14:paraId="423094C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w:t>
            </w:r>
          </w:p>
        </w:tc>
        <w:tc>
          <w:tcPr>
            <w:tcW w:w="905" w:type="dxa"/>
            <w:tcBorders>
              <w:top w:val="single" w:color="auto" w:sz="4" w:space="0"/>
              <w:left w:val="nil"/>
              <w:bottom w:val="single" w:color="auto" w:sz="4" w:space="0"/>
              <w:right w:val="single" w:color="auto" w:sz="4" w:space="0"/>
            </w:tcBorders>
            <w:noWrap w:val="0"/>
            <w:vAlign w:val="center"/>
          </w:tcPr>
          <w:p w14:paraId="6FE8ECC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default" w:ascii="仿宋" w:hAnsi="仿宋" w:eastAsia="仿宋" w:cs="仿宋"/>
                <w:color w:val="auto"/>
                <w:kern w:val="0"/>
                <w:sz w:val="24"/>
                <w:szCs w:val="24"/>
                <w:highlight w:val="none"/>
              </w:rPr>
              <w:t>0</w:t>
            </w:r>
          </w:p>
        </w:tc>
      </w:tr>
      <w:tr w14:paraId="3743DFE5">
        <w:tblPrEx>
          <w:tblCellMar>
            <w:top w:w="0" w:type="dxa"/>
            <w:left w:w="108" w:type="dxa"/>
            <w:bottom w:w="0" w:type="dxa"/>
            <w:right w:w="108" w:type="dxa"/>
          </w:tblCellMar>
        </w:tblPrEx>
        <w:trPr>
          <w:trHeight w:val="26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F7AAE9B">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26</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4C21D813">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2F062AB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明德社区</w:t>
            </w:r>
          </w:p>
        </w:tc>
        <w:tc>
          <w:tcPr>
            <w:tcW w:w="3182" w:type="dxa"/>
            <w:tcBorders>
              <w:top w:val="single" w:color="auto" w:sz="4" w:space="0"/>
              <w:left w:val="nil"/>
              <w:bottom w:val="single" w:color="auto" w:sz="4" w:space="0"/>
              <w:right w:val="single" w:color="auto" w:sz="4" w:space="0"/>
            </w:tcBorders>
            <w:noWrap w:val="0"/>
            <w:vAlign w:val="center"/>
          </w:tcPr>
          <w:p w14:paraId="786491A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明德</w:t>
            </w:r>
            <w:r>
              <w:rPr>
                <w:rFonts w:hint="eastAsia" w:ascii="仿宋" w:hAnsi="仿宋" w:eastAsia="仿宋" w:cs="仿宋"/>
                <w:color w:val="auto"/>
                <w:kern w:val="0"/>
                <w:sz w:val="24"/>
                <w:szCs w:val="24"/>
                <w:highlight w:val="none"/>
              </w:rPr>
              <w:t>社区居家养老照料中心</w:t>
            </w:r>
          </w:p>
        </w:tc>
        <w:tc>
          <w:tcPr>
            <w:tcW w:w="2392" w:type="dxa"/>
            <w:tcBorders>
              <w:top w:val="single" w:color="auto" w:sz="4" w:space="0"/>
              <w:left w:val="nil"/>
              <w:bottom w:val="single" w:color="auto" w:sz="4" w:space="0"/>
              <w:right w:val="single" w:color="auto" w:sz="4" w:space="0"/>
            </w:tcBorders>
            <w:noWrap/>
            <w:vAlign w:val="center"/>
          </w:tcPr>
          <w:p w14:paraId="639FAD6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w:t>
            </w:r>
          </w:p>
        </w:tc>
        <w:tc>
          <w:tcPr>
            <w:tcW w:w="905" w:type="dxa"/>
            <w:tcBorders>
              <w:top w:val="single" w:color="auto" w:sz="4" w:space="0"/>
              <w:left w:val="nil"/>
              <w:bottom w:val="single" w:color="auto" w:sz="4" w:space="0"/>
              <w:right w:val="single" w:color="auto" w:sz="4" w:space="0"/>
            </w:tcBorders>
            <w:noWrap w:val="0"/>
            <w:vAlign w:val="center"/>
          </w:tcPr>
          <w:p w14:paraId="3596052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r>
      <w:tr w14:paraId="23F4F94B">
        <w:tblPrEx>
          <w:tblCellMar>
            <w:top w:w="0" w:type="dxa"/>
            <w:left w:w="108" w:type="dxa"/>
            <w:bottom w:w="0" w:type="dxa"/>
            <w:right w:w="108" w:type="dxa"/>
          </w:tblCellMar>
        </w:tblPrEx>
        <w:trPr>
          <w:trHeight w:val="26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75EE09AF">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27</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5018C0D0">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1429" w:type="dxa"/>
            <w:tcBorders>
              <w:top w:val="single" w:color="auto" w:sz="4" w:space="0"/>
              <w:left w:val="nil"/>
              <w:bottom w:val="single" w:color="auto" w:sz="4" w:space="0"/>
              <w:right w:val="single" w:color="auto" w:sz="4" w:space="0"/>
            </w:tcBorders>
            <w:noWrap/>
            <w:vAlign w:val="center"/>
          </w:tcPr>
          <w:p w14:paraId="3017E944">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浦联社区</w:t>
            </w:r>
          </w:p>
        </w:tc>
        <w:tc>
          <w:tcPr>
            <w:tcW w:w="3182" w:type="dxa"/>
            <w:tcBorders>
              <w:top w:val="single" w:color="auto" w:sz="4" w:space="0"/>
              <w:left w:val="nil"/>
              <w:bottom w:val="single" w:color="auto" w:sz="4" w:space="0"/>
              <w:right w:val="single" w:color="auto" w:sz="4" w:space="0"/>
            </w:tcBorders>
            <w:noWrap w:val="0"/>
            <w:vAlign w:val="center"/>
          </w:tcPr>
          <w:p w14:paraId="351C99D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rPr>
            </w:pPr>
            <w:r>
              <w:rPr>
                <w:rFonts w:hint="default" w:ascii="仿宋" w:hAnsi="仿宋" w:eastAsia="仿宋" w:cs="仿宋"/>
                <w:color w:val="auto"/>
                <w:kern w:val="0"/>
                <w:sz w:val="24"/>
                <w:szCs w:val="24"/>
                <w:highlight w:val="none"/>
              </w:rPr>
              <w:t>浦联</w:t>
            </w:r>
            <w:r>
              <w:rPr>
                <w:rFonts w:hint="eastAsia" w:ascii="仿宋" w:hAnsi="仿宋" w:eastAsia="仿宋" w:cs="仿宋"/>
                <w:color w:val="auto"/>
                <w:kern w:val="0"/>
                <w:sz w:val="24"/>
                <w:szCs w:val="24"/>
                <w:highlight w:val="none"/>
              </w:rPr>
              <w:t>社区居家养老照料中心</w:t>
            </w:r>
          </w:p>
        </w:tc>
        <w:tc>
          <w:tcPr>
            <w:tcW w:w="2392" w:type="dxa"/>
            <w:tcBorders>
              <w:top w:val="single" w:color="auto" w:sz="4" w:space="0"/>
              <w:left w:val="nil"/>
              <w:bottom w:val="single" w:color="auto" w:sz="4" w:space="0"/>
              <w:right w:val="single" w:color="auto" w:sz="4" w:space="0"/>
            </w:tcBorders>
            <w:noWrap/>
            <w:vAlign w:val="center"/>
          </w:tcPr>
          <w:p w14:paraId="707E1CA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w:t>
            </w:r>
          </w:p>
        </w:tc>
        <w:tc>
          <w:tcPr>
            <w:tcW w:w="905" w:type="dxa"/>
            <w:tcBorders>
              <w:top w:val="single" w:color="auto" w:sz="4" w:space="0"/>
              <w:left w:val="nil"/>
              <w:bottom w:val="single" w:color="auto" w:sz="4" w:space="0"/>
              <w:right w:val="single" w:color="auto" w:sz="4" w:space="0"/>
            </w:tcBorders>
            <w:noWrap w:val="0"/>
            <w:vAlign w:val="center"/>
          </w:tcPr>
          <w:p w14:paraId="65D6043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326</w:t>
            </w:r>
          </w:p>
        </w:tc>
      </w:tr>
      <w:tr w14:paraId="3BE0BDED">
        <w:tblPrEx>
          <w:tblCellMar>
            <w:top w:w="0" w:type="dxa"/>
            <w:left w:w="108" w:type="dxa"/>
            <w:bottom w:w="0" w:type="dxa"/>
            <w:right w:w="108" w:type="dxa"/>
          </w:tblCellMar>
        </w:tblPrEx>
        <w:trPr>
          <w:trHeight w:val="265" w:hRule="atLeast"/>
          <w:jc w:val="center"/>
        </w:trPr>
        <w:tc>
          <w:tcPr>
            <w:tcW w:w="712" w:type="dxa"/>
            <w:tcBorders>
              <w:top w:val="single" w:color="auto" w:sz="4" w:space="0"/>
              <w:left w:val="single" w:color="auto" w:sz="4" w:space="0"/>
              <w:bottom w:val="single" w:color="auto" w:sz="4" w:space="0"/>
              <w:right w:val="single" w:color="auto" w:sz="4" w:space="0"/>
            </w:tcBorders>
            <w:noWrap w:val="0"/>
            <w:vAlign w:val="center"/>
          </w:tcPr>
          <w:p w14:paraId="3E43ED2E">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小计</w:t>
            </w:r>
          </w:p>
        </w:tc>
        <w:tc>
          <w:tcPr>
            <w:tcW w:w="759" w:type="dxa"/>
            <w:vMerge w:val="continue"/>
            <w:tcBorders>
              <w:top w:val="single" w:color="auto" w:sz="4" w:space="0"/>
              <w:left w:val="single" w:color="auto" w:sz="4" w:space="0"/>
              <w:bottom w:val="single" w:color="auto" w:sz="4" w:space="0"/>
              <w:right w:val="single" w:color="auto" w:sz="4" w:space="0"/>
            </w:tcBorders>
            <w:noWrap w:val="0"/>
            <w:vAlign w:val="center"/>
          </w:tcPr>
          <w:p w14:paraId="67EE24CF">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hint="eastAsia" w:ascii="仿宋" w:hAnsi="仿宋" w:eastAsia="仿宋" w:cs="仿宋"/>
                <w:color w:val="auto"/>
                <w:kern w:val="0"/>
                <w:sz w:val="24"/>
                <w:szCs w:val="24"/>
                <w:highlight w:val="none"/>
              </w:rPr>
            </w:pPr>
          </w:p>
        </w:tc>
        <w:tc>
          <w:tcPr>
            <w:tcW w:w="7003" w:type="dxa"/>
            <w:gridSpan w:val="3"/>
            <w:tcBorders>
              <w:top w:val="single" w:color="auto" w:sz="4" w:space="0"/>
              <w:left w:val="single" w:color="auto" w:sz="4" w:space="0"/>
              <w:bottom w:val="single" w:color="auto" w:sz="4" w:space="0"/>
              <w:right w:val="single" w:color="auto" w:sz="4" w:space="0"/>
            </w:tcBorders>
            <w:noWrap/>
            <w:vAlign w:val="center"/>
          </w:tcPr>
          <w:p w14:paraId="47D7433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rPr>
            </w:pPr>
          </w:p>
        </w:tc>
        <w:tc>
          <w:tcPr>
            <w:tcW w:w="905" w:type="dxa"/>
            <w:tcBorders>
              <w:top w:val="single" w:color="auto" w:sz="4" w:space="0"/>
              <w:left w:val="single" w:color="auto" w:sz="4" w:space="0"/>
              <w:bottom w:val="single" w:color="auto" w:sz="4" w:space="0"/>
              <w:right w:val="single" w:color="auto" w:sz="4" w:space="0"/>
            </w:tcBorders>
            <w:noWrap w:val="0"/>
            <w:vAlign w:val="center"/>
          </w:tcPr>
          <w:p w14:paraId="0F798825">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1035</w:t>
            </w:r>
          </w:p>
        </w:tc>
      </w:tr>
      <w:tr w14:paraId="3F4D54AD">
        <w:tblPrEx>
          <w:tblCellMar>
            <w:top w:w="0" w:type="dxa"/>
            <w:left w:w="108" w:type="dxa"/>
            <w:bottom w:w="0" w:type="dxa"/>
            <w:right w:w="108" w:type="dxa"/>
          </w:tblCellMar>
        </w:tblPrEx>
        <w:trPr>
          <w:trHeight w:val="295" w:hRule="atLeast"/>
          <w:jc w:val="center"/>
        </w:trPr>
        <w:tc>
          <w:tcPr>
            <w:tcW w:w="8474" w:type="dxa"/>
            <w:gridSpan w:val="5"/>
            <w:tcBorders>
              <w:top w:val="single" w:color="auto" w:sz="4" w:space="0"/>
              <w:left w:val="single" w:color="auto" w:sz="4" w:space="0"/>
              <w:bottom w:val="single" w:color="auto" w:sz="4" w:space="0"/>
              <w:right w:val="single" w:color="auto" w:sz="4" w:space="0"/>
            </w:tcBorders>
            <w:noWrap w:val="0"/>
            <w:vAlign w:val="center"/>
          </w:tcPr>
          <w:p w14:paraId="2279B5E8">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总计</w:t>
            </w:r>
          </w:p>
        </w:tc>
        <w:tc>
          <w:tcPr>
            <w:tcW w:w="905" w:type="dxa"/>
            <w:tcBorders>
              <w:top w:val="single" w:color="auto" w:sz="4" w:space="0"/>
              <w:left w:val="single" w:color="auto" w:sz="4" w:space="0"/>
              <w:bottom w:val="single" w:color="auto" w:sz="4" w:space="0"/>
              <w:right w:val="single" w:color="auto" w:sz="4" w:space="0"/>
            </w:tcBorders>
            <w:noWrap w:val="0"/>
            <w:vAlign w:val="center"/>
          </w:tcPr>
          <w:p w14:paraId="2EB3E502">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2638</w:t>
            </w:r>
          </w:p>
        </w:tc>
      </w:tr>
    </w:tbl>
    <w:p w14:paraId="60F560C1">
      <w:pPr>
        <w:spacing w:line="340" w:lineRule="exact"/>
        <w:rPr>
          <w:color w:val="auto"/>
          <w:highlight w:val="none"/>
        </w:rPr>
      </w:pPr>
    </w:p>
    <w:p w14:paraId="4C8BCAE9">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（二）服务人员数量要求</w:t>
      </w:r>
    </w:p>
    <w:tbl>
      <w:tblPr>
        <w:tblStyle w:val="49"/>
        <w:tblW w:w="93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8251"/>
      </w:tblGrid>
      <w:tr w14:paraId="07EC2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jc w:val="center"/>
        </w:trPr>
        <w:tc>
          <w:tcPr>
            <w:tcW w:w="1082" w:type="dxa"/>
            <w:tcBorders>
              <w:bottom w:val="single" w:color="auto" w:sz="4" w:space="0"/>
            </w:tcBorders>
            <w:noWrap w:val="0"/>
            <w:vAlign w:val="center"/>
          </w:tcPr>
          <w:p w14:paraId="7C16A560">
            <w:pPr>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序号</w:t>
            </w:r>
          </w:p>
        </w:tc>
        <w:tc>
          <w:tcPr>
            <w:tcW w:w="8251" w:type="dxa"/>
            <w:tcBorders>
              <w:bottom w:val="single" w:color="auto" w:sz="4" w:space="0"/>
            </w:tcBorders>
            <w:noWrap w:val="0"/>
            <w:vAlign w:val="center"/>
          </w:tcPr>
          <w:p w14:paraId="0EFC40D7">
            <w:pPr>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项目组成员安排</w:t>
            </w:r>
          </w:p>
        </w:tc>
      </w:tr>
      <w:tr w14:paraId="7110C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82" w:type="dxa"/>
            <w:tcBorders>
              <w:top w:val="single" w:color="auto" w:sz="4" w:space="0"/>
              <w:left w:val="single" w:color="auto" w:sz="4" w:space="0"/>
              <w:right w:val="single" w:color="auto" w:sz="4" w:space="0"/>
            </w:tcBorders>
            <w:noWrap w:val="0"/>
            <w:vAlign w:val="center"/>
          </w:tcPr>
          <w:p w14:paraId="09872B92">
            <w:pPr>
              <w:spacing w:line="360" w:lineRule="auto"/>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8251" w:type="dxa"/>
            <w:tcBorders>
              <w:top w:val="single" w:color="auto" w:sz="4" w:space="0"/>
              <w:left w:val="single" w:color="auto" w:sz="4" w:space="0"/>
              <w:bottom w:val="single" w:color="auto" w:sz="4" w:space="0"/>
              <w:right w:val="single" w:color="auto" w:sz="4" w:space="0"/>
            </w:tcBorders>
            <w:noWrap w:val="0"/>
            <w:vAlign w:val="top"/>
          </w:tcPr>
          <w:p w14:paraId="6791D1CA">
            <w:pPr>
              <w:spacing w:line="360" w:lineRule="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标项一</w:t>
            </w:r>
            <w:r>
              <w:rPr>
                <w:rFonts w:hint="eastAsia" w:ascii="仿宋" w:hAnsi="仿宋" w:eastAsia="仿宋" w:cs="仿宋"/>
                <w:b w:val="0"/>
                <w:bCs w:val="0"/>
                <w:color w:val="auto"/>
                <w:kern w:val="2"/>
                <w:sz w:val="24"/>
                <w:szCs w:val="24"/>
                <w:highlight w:val="none"/>
                <w:lang w:val="en-US" w:eastAsia="zh-CN" w:bidi="ar-SA"/>
              </w:rPr>
              <w:t>区域化居家养老服务</w:t>
            </w:r>
            <w:r>
              <w:rPr>
                <w:rFonts w:hint="eastAsia" w:ascii="仿宋" w:hAnsi="仿宋" w:eastAsia="仿宋" w:cs="仿宋"/>
                <w:b w:val="0"/>
                <w:bCs w:val="0"/>
                <w:color w:val="auto"/>
                <w:spacing w:val="0"/>
                <w:kern w:val="2"/>
                <w:sz w:val="24"/>
                <w:szCs w:val="24"/>
                <w:highlight w:val="none"/>
                <w:lang w:val="en-US" w:eastAsia="zh-CN" w:bidi="ar-SA"/>
              </w:rPr>
              <w:t>配备项目总负责人1名，负责</w:t>
            </w:r>
            <w:r>
              <w:rPr>
                <w:rFonts w:hint="eastAsia" w:ascii="仿宋" w:hAnsi="仿宋" w:eastAsia="仿宋" w:cs="仿宋"/>
                <w:b w:val="0"/>
                <w:bCs w:val="0"/>
                <w:snapToGrid/>
                <w:color w:val="auto"/>
                <w:kern w:val="2"/>
                <w:sz w:val="24"/>
                <w:szCs w:val="24"/>
                <w:highlight w:val="none"/>
                <w:lang w:val="en-US" w:eastAsia="zh-CN"/>
              </w:rPr>
              <w:t>项目的</w:t>
            </w:r>
            <w:r>
              <w:rPr>
                <w:rFonts w:hint="eastAsia" w:ascii="仿宋" w:hAnsi="仿宋" w:eastAsia="仿宋" w:cs="仿宋"/>
                <w:b w:val="0"/>
                <w:bCs w:val="0"/>
                <w:color w:val="auto"/>
                <w:spacing w:val="0"/>
                <w:kern w:val="2"/>
                <w:sz w:val="24"/>
                <w:szCs w:val="24"/>
                <w:highlight w:val="none"/>
                <w:lang w:val="en-US" w:eastAsia="zh-CN" w:bidi="ar-SA"/>
              </w:rPr>
              <w:t>统筹协调及与采购人的沟通协调工作，服务期内不得兼职其他岗位及其他与本项目的无关工作。</w:t>
            </w:r>
          </w:p>
          <w:p w14:paraId="1894C19F">
            <w:pPr>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配备上门服务</w:t>
            </w:r>
            <w:r>
              <w:rPr>
                <w:rFonts w:hint="eastAsia" w:ascii="仿宋" w:hAnsi="仿宋" w:eastAsia="仿宋" w:cs="仿宋"/>
                <w:b w:val="0"/>
                <w:bCs w:val="0"/>
                <w:color w:val="auto"/>
                <w:sz w:val="24"/>
                <w:szCs w:val="24"/>
                <w:highlight w:val="none"/>
              </w:rPr>
              <w:t>负责人1人</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点位负责人1人，每个点位</w:t>
            </w:r>
            <w:r>
              <w:rPr>
                <w:rFonts w:hint="eastAsia" w:ascii="仿宋" w:hAnsi="仿宋" w:eastAsia="仿宋" w:cs="仿宋"/>
                <w:color w:val="auto"/>
                <w:spacing w:val="0"/>
                <w:kern w:val="2"/>
                <w:sz w:val="24"/>
                <w:szCs w:val="24"/>
                <w:highlight w:val="none"/>
                <w:lang w:val="en-US" w:eastAsia="zh-CN" w:bidi="ar-SA"/>
              </w:rPr>
              <w:t>专职服务人</w:t>
            </w:r>
            <w:r>
              <w:rPr>
                <w:rFonts w:hint="eastAsia" w:ascii="仿宋" w:hAnsi="仿宋" w:eastAsia="仿宋" w:cs="仿宋"/>
                <w:b w:val="0"/>
                <w:bCs w:val="0"/>
                <w:color w:val="auto"/>
                <w:sz w:val="24"/>
                <w:szCs w:val="24"/>
                <w:highlight w:val="none"/>
              </w:rPr>
              <w:t>员不少于</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人（如居家养老照料中心和助餐服务</w:t>
            </w:r>
            <w:r>
              <w:rPr>
                <w:rFonts w:hint="eastAsia" w:ascii="仿宋" w:hAnsi="仿宋" w:eastAsia="仿宋" w:cs="仿宋"/>
                <w:b w:val="0"/>
                <w:bCs w:val="0"/>
                <w:color w:val="auto"/>
                <w:sz w:val="24"/>
                <w:szCs w:val="24"/>
                <w:highlight w:val="none"/>
                <w:lang w:val="en-US" w:eastAsia="zh-CN"/>
              </w:rPr>
              <w:t>点</w:t>
            </w:r>
            <w:r>
              <w:rPr>
                <w:rFonts w:hint="eastAsia" w:ascii="仿宋" w:hAnsi="仿宋" w:eastAsia="仿宋" w:cs="仿宋"/>
                <w:b w:val="0"/>
                <w:bCs w:val="0"/>
                <w:color w:val="auto"/>
                <w:sz w:val="24"/>
                <w:szCs w:val="24"/>
                <w:highlight w:val="none"/>
              </w:rPr>
              <w:t>不在同一地点则需提供</w:t>
            </w:r>
            <w:r>
              <w:rPr>
                <w:rFonts w:hint="eastAsia" w:ascii="仿宋" w:hAnsi="仿宋" w:eastAsia="仿宋" w:cs="仿宋"/>
                <w:color w:val="auto"/>
                <w:spacing w:val="0"/>
                <w:kern w:val="2"/>
                <w:sz w:val="24"/>
                <w:szCs w:val="24"/>
                <w:highlight w:val="none"/>
                <w:lang w:val="en-US" w:eastAsia="zh-CN" w:bidi="ar-SA"/>
              </w:rPr>
              <w:t>专职服务人</w:t>
            </w:r>
            <w:r>
              <w:rPr>
                <w:rFonts w:hint="eastAsia" w:ascii="仿宋" w:hAnsi="仿宋" w:eastAsia="仿宋" w:cs="仿宋"/>
                <w:b w:val="0"/>
                <w:bCs w:val="0"/>
                <w:color w:val="auto"/>
                <w:sz w:val="24"/>
                <w:szCs w:val="24"/>
                <w:highlight w:val="none"/>
              </w:rPr>
              <w:t>员不</w:t>
            </w:r>
            <w:r>
              <w:rPr>
                <w:rFonts w:hint="eastAsia" w:ascii="仿宋" w:hAnsi="仿宋" w:eastAsia="仿宋" w:cs="仿宋"/>
                <w:b w:val="0"/>
                <w:bCs w:val="0"/>
                <w:color w:val="auto"/>
                <w:sz w:val="24"/>
                <w:szCs w:val="24"/>
                <w:highlight w:val="none"/>
                <w:lang w:val="en-US" w:eastAsia="zh-CN"/>
              </w:rPr>
              <w:t>少于2</w:t>
            </w:r>
            <w:r>
              <w:rPr>
                <w:rFonts w:hint="eastAsia" w:ascii="仿宋" w:hAnsi="仿宋" w:eastAsia="仿宋" w:cs="仿宋"/>
                <w:b w:val="0"/>
                <w:bCs w:val="0"/>
                <w:color w:val="auto"/>
                <w:sz w:val="24"/>
                <w:szCs w:val="24"/>
                <w:highlight w:val="none"/>
              </w:rPr>
              <w:t>人），</w:t>
            </w:r>
            <w:r>
              <w:rPr>
                <w:rFonts w:hint="eastAsia" w:ascii="仿宋" w:hAnsi="仿宋" w:eastAsia="仿宋" w:cs="仿宋"/>
                <w:b w:val="0"/>
                <w:bCs w:val="0"/>
                <w:color w:val="auto"/>
                <w:sz w:val="24"/>
                <w:szCs w:val="24"/>
                <w:highlight w:val="none"/>
                <w:lang w:eastAsia="zh-CN"/>
              </w:rPr>
              <w:t>年龄不超过55周岁，高中及以上学历</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每个点位</w:t>
            </w:r>
            <w:r>
              <w:rPr>
                <w:rFonts w:hint="eastAsia" w:ascii="仿宋" w:hAnsi="仿宋" w:eastAsia="仿宋" w:cs="仿宋"/>
                <w:b w:val="0"/>
                <w:bCs w:val="0"/>
                <w:color w:val="auto"/>
                <w:sz w:val="24"/>
                <w:szCs w:val="24"/>
                <w:highlight w:val="none"/>
              </w:rPr>
              <w:t>协管人员不少于</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rPr>
              <w:t>人（如居家养老照料中心和助餐服务</w:t>
            </w:r>
            <w:r>
              <w:rPr>
                <w:rFonts w:hint="eastAsia" w:ascii="仿宋" w:hAnsi="仿宋" w:eastAsia="仿宋" w:cs="仿宋"/>
                <w:b w:val="0"/>
                <w:bCs w:val="0"/>
                <w:color w:val="auto"/>
                <w:sz w:val="24"/>
                <w:szCs w:val="24"/>
                <w:highlight w:val="none"/>
                <w:lang w:val="en-US" w:eastAsia="zh-CN"/>
              </w:rPr>
              <w:t>点</w:t>
            </w:r>
            <w:r>
              <w:rPr>
                <w:rFonts w:hint="eastAsia" w:ascii="仿宋" w:hAnsi="仿宋" w:eastAsia="仿宋" w:cs="仿宋"/>
                <w:b w:val="0"/>
                <w:bCs w:val="0"/>
                <w:color w:val="auto"/>
                <w:sz w:val="24"/>
                <w:szCs w:val="24"/>
                <w:highlight w:val="none"/>
              </w:rPr>
              <w:t>不在同一地点则需提供协管人员不</w:t>
            </w:r>
            <w:r>
              <w:rPr>
                <w:rFonts w:hint="eastAsia" w:ascii="仿宋" w:hAnsi="仿宋" w:eastAsia="仿宋" w:cs="仿宋"/>
                <w:b w:val="0"/>
                <w:bCs w:val="0"/>
                <w:color w:val="auto"/>
                <w:sz w:val="24"/>
                <w:szCs w:val="24"/>
                <w:highlight w:val="none"/>
                <w:lang w:val="en-US" w:eastAsia="zh-CN"/>
              </w:rPr>
              <w:t>少于2</w:t>
            </w:r>
            <w:r>
              <w:rPr>
                <w:rFonts w:hint="eastAsia" w:ascii="仿宋" w:hAnsi="仿宋" w:eastAsia="仿宋" w:cs="仿宋"/>
                <w:b w:val="0"/>
                <w:bCs w:val="0"/>
                <w:color w:val="auto"/>
                <w:sz w:val="24"/>
                <w:szCs w:val="24"/>
                <w:highlight w:val="none"/>
              </w:rPr>
              <w:t>人），年龄不超过60</w:t>
            </w:r>
            <w:r>
              <w:rPr>
                <w:rFonts w:hint="eastAsia" w:ascii="仿宋" w:hAnsi="仿宋" w:eastAsia="仿宋" w:cs="仿宋"/>
                <w:b w:val="0"/>
                <w:bCs w:val="0"/>
                <w:color w:val="auto"/>
                <w:sz w:val="24"/>
                <w:szCs w:val="24"/>
                <w:highlight w:val="none"/>
                <w:lang w:eastAsia="zh-CN"/>
              </w:rPr>
              <w:t>周岁；</w:t>
            </w:r>
            <w:r>
              <w:rPr>
                <w:rFonts w:hint="eastAsia" w:ascii="仿宋" w:hAnsi="仿宋" w:eastAsia="仿宋" w:cs="仿宋"/>
                <w:b w:val="0"/>
                <w:bCs w:val="0"/>
                <w:color w:val="auto"/>
                <w:sz w:val="24"/>
                <w:szCs w:val="24"/>
                <w:highlight w:val="none"/>
                <w:lang w:val="en-US" w:eastAsia="zh-CN"/>
              </w:rPr>
              <w:t>西兴街道辖区内配备持证护理员需不少于10人、长河街道辖区内配备持证护理员需不少于15人、浦沿街道辖区内配备持证护理员需不少于12人，其中护理员须具备养老护理员职业技能等级证书五级及以上且人员年龄均不得超过60周岁。</w:t>
            </w:r>
          </w:p>
        </w:tc>
      </w:tr>
      <w:tr w14:paraId="64CBC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082" w:type="dxa"/>
            <w:tcBorders>
              <w:left w:val="single" w:color="auto" w:sz="4" w:space="0"/>
              <w:right w:val="single" w:color="auto" w:sz="4" w:space="0"/>
            </w:tcBorders>
            <w:noWrap w:val="0"/>
            <w:vAlign w:val="center"/>
          </w:tcPr>
          <w:p w14:paraId="4F5BD74A">
            <w:pPr>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w:t>
            </w:r>
          </w:p>
        </w:tc>
        <w:tc>
          <w:tcPr>
            <w:tcW w:w="8251" w:type="dxa"/>
            <w:tcBorders>
              <w:top w:val="single" w:color="auto" w:sz="4" w:space="0"/>
              <w:left w:val="single" w:color="auto" w:sz="4" w:space="0"/>
              <w:bottom w:val="single" w:color="auto" w:sz="4" w:space="0"/>
              <w:right w:val="single" w:color="auto" w:sz="4" w:space="0"/>
            </w:tcBorders>
            <w:noWrap w:val="0"/>
            <w:vAlign w:val="top"/>
          </w:tcPr>
          <w:p w14:paraId="201535B9">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标项二居家养老上门服务配备负责人1名，每个街道配备站长1人，同时需配备持证护理员需不少于30人，其中护理员须具备养老护理员职业技能等级证书五级及以上且人员年龄均不得超过60周岁。</w:t>
            </w:r>
          </w:p>
        </w:tc>
      </w:tr>
    </w:tbl>
    <w:p w14:paraId="3DC84F0C">
      <w:pPr>
        <w:keepNext w:val="0"/>
        <w:keepLines w:val="0"/>
        <w:pageBreakBefore w:val="0"/>
        <w:widowControl w:val="0"/>
        <w:numPr>
          <w:ilvl w:val="0"/>
          <w:numId w:val="5"/>
        </w:numPr>
        <w:kinsoku/>
        <w:wordWrap/>
        <w:overflowPunct/>
        <w:topLinePunct w:val="0"/>
        <w:autoSpaceDE/>
        <w:autoSpaceDN/>
        <w:bidi w:val="0"/>
        <w:adjustRightInd w:val="0"/>
        <w:snapToGrid/>
        <w:spacing w:line="500" w:lineRule="exact"/>
        <w:ind w:firstLine="420"/>
        <w:jc w:val="center"/>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采购要求</w:t>
      </w:r>
    </w:p>
    <w:p w14:paraId="0298BF10">
      <w:pPr>
        <w:pStyle w:val="60"/>
        <w:numPr>
          <w:ilvl w:val="0"/>
          <w:numId w:val="0"/>
        </w:numP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一、项目内容</w:t>
      </w:r>
    </w:p>
    <w:p w14:paraId="0AD0D70B">
      <w:pPr>
        <w:keepNext w:val="0"/>
        <w:keepLines w:val="0"/>
        <w:pageBreakBefore w:val="0"/>
        <w:widowControl w:val="0"/>
        <w:kinsoku/>
        <w:wordWrap/>
        <w:overflowPunct/>
        <w:topLinePunct w:val="0"/>
        <w:autoSpaceDE/>
        <w:autoSpaceDN/>
        <w:bidi w:val="0"/>
        <w:adjustRightInd w:val="0"/>
        <w:snapToGrid/>
        <w:spacing w:line="500" w:lineRule="exact"/>
        <w:ind w:firstLine="420"/>
        <w:jc w:val="both"/>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（一）标项一：区域化居家养老服务内容</w:t>
      </w:r>
    </w:p>
    <w:p w14:paraId="3D48CE90">
      <w:pPr>
        <w:pageBreakBefore w:val="0"/>
        <w:numPr>
          <w:ilvl w:val="0"/>
          <w:numId w:val="0"/>
        </w:numPr>
        <w:kinsoku/>
        <w:wordWrap/>
        <w:overflowPunct/>
        <w:topLinePunct w:val="0"/>
        <w:autoSpaceDE/>
        <w:autoSpaceDN/>
        <w:bidi w:val="0"/>
        <w:snapToGrid w:val="0"/>
        <w:spacing w:line="500" w:lineRule="exact"/>
        <w:ind w:firstLine="480" w:firstLineChars="200"/>
        <w:jc w:val="left"/>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val="0"/>
          <w:bCs/>
          <w:snapToGrid/>
          <w:color w:val="auto"/>
          <w:kern w:val="2"/>
          <w:sz w:val="24"/>
          <w:szCs w:val="24"/>
          <w:highlight w:val="none"/>
          <w:lang w:val="en-US" w:eastAsia="zh-CN"/>
        </w:rPr>
        <w:t>区域化居家养老服务内容主要包括：</w:t>
      </w:r>
      <w:r>
        <w:rPr>
          <w:rFonts w:hint="eastAsia" w:ascii="仿宋" w:hAnsi="仿宋" w:eastAsia="仿宋" w:cs="仿宋"/>
          <w:b w:val="0"/>
          <w:bCs/>
          <w:color w:val="auto"/>
          <w:spacing w:val="0"/>
          <w:kern w:val="2"/>
          <w:sz w:val="24"/>
          <w:szCs w:val="24"/>
          <w:highlight w:val="none"/>
          <w:lang w:val="en-US" w:eastAsia="zh-CN" w:bidi="ar-SA"/>
        </w:rPr>
        <w:t>场馆运营、活动开展、养老服务规划、食堂管理、配餐服务（食堂服务人数约为10000人）、上门服务等。运营机构按照采购人要求的人数派遣符合采购人要求的工作人员在工作日内工作，</w:t>
      </w:r>
      <w:r>
        <w:rPr>
          <w:rFonts w:hint="eastAsia" w:ascii="仿宋" w:hAnsi="仿宋" w:eastAsia="仿宋" w:cs="仿宋"/>
          <w:color w:val="auto"/>
          <w:spacing w:val="0"/>
          <w:kern w:val="2"/>
          <w:sz w:val="24"/>
          <w:szCs w:val="24"/>
          <w:highlight w:val="none"/>
          <w:lang w:val="en-US" w:eastAsia="zh-CN" w:bidi="ar-SA"/>
        </w:rPr>
        <w:t>专职服务人</w:t>
      </w:r>
      <w:r>
        <w:rPr>
          <w:rFonts w:hint="eastAsia" w:ascii="仿宋" w:hAnsi="仿宋" w:eastAsia="仿宋" w:cs="仿宋"/>
          <w:b w:val="0"/>
          <w:bCs w:val="0"/>
          <w:color w:val="auto"/>
          <w:sz w:val="24"/>
          <w:szCs w:val="24"/>
          <w:highlight w:val="none"/>
        </w:rPr>
        <w:t>员</w:t>
      </w:r>
      <w:r>
        <w:rPr>
          <w:rFonts w:hint="eastAsia" w:ascii="仿宋" w:hAnsi="仿宋" w:eastAsia="仿宋" w:cs="仿宋"/>
          <w:b w:val="0"/>
          <w:bCs/>
          <w:color w:val="auto"/>
          <w:spacing w:val="0"/>
          <w:kern w:val="2"/>
          <w:sz w:val="24"/>
          <w:szCs w:val="24"/>
          <w:highlight w:val="none"/>
          <w:lang w:val="en-US" w:eastAsia="zh-CN" w:bidi="ar-SA"/>
        </w:rPr>
        <w:t>须遵守采购人制度，服从采购人管理，按照采购人规定的时间上、下班，每周对采购人汇报进展情况。运营机构派驻专职人员在采购人场地工作时所发生的意外事故，均由供应商负责处理并承担相应经济及法律责任。</w:t>
      </w:r>
    </w:p>
    <w:p w14:paraId="7DEB16E8">
      <w:pPr>
        <w:pageBreakBefore w:val="0"/>
        <w:numPr>
          <w:ilvl w:val="0"/>
          <w:numId w:val="0"/>
        </w:numPr>
        <w:kinsoku/>
        <w:wordWrap/>
        <w:overflowPunct/>
        <w:topLinePunct w:val="0"/>
        <w:autoSpaceDE/>
        <w:autoSpaceDN/>
        <w:bidi w:val="0"/>
        <w:snapToGrid w:val="0"/>
        <w:spacing w:line="500" w:lineRule="exact"/>
        <w:ind w:firstLine="482" w:firstLineChars="200"/>
        <w:jc w:val="left"/>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1.1人员配备</w:t>
      </w:r>
    </w:p>
    <w:p w14:paraId="79F8776F">
      <w:pPr>
        <w:pStyle w:val="21"/>
        <w:snapToGrid/>
        <w:spacing w:line="500" w:lineRule="exact"/>
        <w:ind w:firstLine="480" w:firstLineChars="200"/>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1.1.1</w:t>
      </w:r>
      <w:r>
        <w:rPr>
          <w:rFonts w:hint="eastAsia" w:ascii="仿宋" w:hAnsi="仿宋" w:eastAsia="仿宋" w:cs="仿宋"/>
          <w:b w:val="0"/>
          <w:bCs w:val="0"/>
          <w:color w:val="auto"/>
          <w:kern w:val="2"/>
          <w:sz w:val="24"/>
          <w:szCs w:val="24"/>
          <w:highlight w:val="none"/>
          <w:lang w:val="en-US" w:eastAsia="zh-CN" w:bidi="ar-SA"/>
        </w:rPr>
        <w:t>区域化居家养老服务</w:t>
      </w:r>
      <w:r>
        <w:rPr>
          <w:rFonts w:hint="eastAsia" w:ascii="仿宋" w:hAnsi="仿宋" w:eastAsia="仿宋" w:cs="仿宋"/>
          <w:b w:val="0"/>
          <w:bCs w:val="0"/>
          <w:color w:val="auto"/>
          <w:spacing w:val="0"/>
          <w:kern w:val="2"/>
          <w:sz w:val="24"/>
          <w:szCs w:val="24"/>
          <w:highlight w:val="none"/>
          <w:lang w:val="en-US" w:eastAsia="zh-CN" w:bidi="ar-SA"/>
        </w:rPr>
        <w:t>配备项目总负责人1名，负责</w:t>
      </w:r>
      <w:r>
        <w:rPr>
          <w:rFonts w:hint="eastAsia" w:ascii="仿宋" w:hAnsi="仿宋" w:eastAsia="仿宋" w:cs="仿宋"/>
          <w:b w:val="0"/>
          <w:bCs w:val="0"/>
          <w:snapToGrid/>
          <w:color w:val="auto"/>
          <w:kern w:val="2"/>
          <w:sz w:val="24"/>
          <w:szCs w:val="24"/>
          <w:highlight w:val="none"/>
          <w:lang w:val="en-US" w:eastAsia="zh-CN"/>
        </w:rPr>
        <w:t>项目的</w:t>
      </w:r>
      <w:r>
        <w:rPr>
          <w:rFonts w:hint="eastAsia" w:ascii="仿宋" w:hAnsi="仿宋" w:eastAsia="仿宋" w:cs="仿宋"/>
          <w:b w:val="0"/>
          <w:bCs w:val="0"/>
          <w:color w:val="auto"/>
          <w:spacing w:val="0"/>
          <w:kern w:val="2"/>
          <w:sz w:val="24"/>
          <w:szCs w:val="24"/>
          <w:highlight w:val="none"/>
          <w:lang w:val="en-US" w:eastAsia="zh-CN" w:bidi="ar-SA"/>
        </w:rPr>
        <w:t>统筹协调及与采购人的沟通协调工作，服务期内不得兼职其他岗位及其他与本项目的无关工作。</w:t>
      </w:r>
    </w:p>
    <w:p w14:paraId="14CA3110">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配备上门服务负责人1人、点位负责人1人，每个点位专职服务人员不少于1人（如居家养老照料中心和助餐服务点不在同一地点则需提供专职服务人员不少于2人），年龄不超过55周岁，高中及以上学历；每个点位协管人员不少于1人（如居家养老照料中心和助餐服务点不在同一地点则需提供协管人员不少于2人），年龄不超过60周岁；西兴街道辖区内配备持证护理员需不少于10人、长河街道辖区内配备持证护理员需不少于15人、浦沿街道辖区内配备持证护理员需不少于12人，其中护理员须具备养老护理员职业技能等级证书五级及以上且人员年龄均不得超过60周岁。</w:t>
      </w:r>
    </w:p>
    <w:p w14:paraId="194F5560">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1.1.2专职服务人员应具备一定的养老服务相关专业知识，应持有老年人服务与管理、家政服务与管理、护理（或老年护理方向）、中医护理、中医康复保健、康复技术、康复治疗技术、护理学、康复治疗学专业毕业证书，或持有人力社保部门颁发的社会工作者证书、心理咨询师证书、健康管理师证书、营养师证书、护士执业证书等。（至少1人持有1项即可，需提供加盖投标单位公章的毕业证书复印件或职业资格证书复印件）</w:t>
      </w:r>
    </w:p>
    <w:p w14:paraId="11AA7CFB">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1.1.3卫生保洁人员若干（可兼职）。</w:t>
      </w:r>
    </w:p>
    <w:p w14:paraId="0F376ED7">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1.1.4尊重并保护老年人隐私及相关信息。</w:t>
      </w:r>
    </w:p>
    <w:p w14:paraId="4CB742BD">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1.1.5服务人员、养老护理人员应经过相应上岗培训，掌握服务项目所需的知识与技能，热情服务，举止得当，统一服装。</w:t>
      </w:r>
    </w:p>
    <w:p w14:paraId="739446F0">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1.2服务环境</w:t>
      </w:r>
    </w:p>
    <w:p w14:paraId="4D195A30">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1.2.1定期检查消防设施、器具应完好有效，疏散指示标志明显。</w:t>
      </w:r>
    </w:p>
    <w:p w14:paraId="6DDA4CB0">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1.2.2保证场所门面整洁、美观，场所内环境、卫生、通风条件良好；居家养老服务标志清晰、牢固，服务场所内公共信息图形符号符合规定要求。</w:t>
      </w:r>
    </w:p>
    <w:p w14:paraId="0DE40D95">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1.2.3服务指南和管理制度完善，卫生防疫制度和突发事件处理应急预案健全。</w:t>
      </w:r>
    </w:p>
    <w:p w14:paraId="1789133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1.2.4保证居家养老服务电话、网络畅通，多媒体设施、报纸、刊物、健身器材和乐器等设备完好；床位和防寒降暑设施完好。</w:t>
      </w:r>
    </w:p>
    <w:p w14:paraId="1DB9CF03">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1.2.5保证各功能教室等服务场所每天开放。</w:t>
      </w:r>
    </w:p>
    <w:p w14:paraId="2CFAB3B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1.2.6保证采卫生间通风系统完好，室内地面干燥、防滑，无障碍设施及紧急呼叫按钮完好。</w:t>
      </w:r>
    </w:p>
    <w:p w14:paraId="3822AB50">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1.2.7按食品卫生安全规定要求对老年人就餐厨（餐）具进行消毒。</w:t>
      </w:r>
    </w:p>
    <w:p w14:paraId="40A43863">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1.3老人服务内容</w:t>
      </w:r>
    </w:p>
    <w:p w14:paraId="27C0A62B">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1.3.1服务对象覆盖本辖区内的所有老年人，掌握失独、孤寡、空巢老人情况并落实日常看护。</w:t>
      </w:r>
    </w:p>
    <w:p w14:paraId="2D8BD1B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1.3.2立管理制度，服务人员、服务项目、服务承诺、收费标准公示上墙。</w:t>
      </w:r>
    </w:p>
    <w:p w14:paraId="4178DE7A">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1.3.3建立服务对象信息档案，各项服务资料完整，保证信息安全。</w:t>
      </w:r>
    </w:p>
    <w:p w14:paraId="60F872CD">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1.3.4提供上门服务格式合同（条款包括服务对象姓名、住址、服务时间、服务内容及质量标准、收费标准、约定的其他事项等），服务时签订合同。</w:t>
      </w:r>
    </w:p>
    <w:p w14:paraId="0A3B5D27">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1.3.5参与辖区内的养老服务需求评估、养老服务补贴和低保老人等工作。</w:t>
      </w:r>
    </w:p>
    <w:p w14:paraId="18BF64B3">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1.3.6根据县民政局安排，为享受政府养老服务补贴、并接受居家养老服务的困难老人提供相关上门服务。若上级部门统一购买其他项目服务，并由专业从事居家养老服务的组织和机构提供服务的，要主动做好相关配合工作。</w:t>
      </w:r>
    </w:p>
    <w:p w14:paraId="625C6C0B">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1.3.7提供医养结合、助餐、送餐等服务。同时，向辖区内的其他老年人提供无偿或有偿的上门服务。</w:t>
      </w:r>
    </w:p>
    <w:p w14:paraId="4B533995">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1.3.8在工作时间内，接到服务预约需求电话，应在10分钟内给予安排并回复。</w:t>
      </w:r>
    </w:p>
    <w:p w14:paraId="56BFAEE9">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1.3.9运行资金专款专用，有详细使用记录。</w:t>
      </w:r>
    </w:p>
    <w:p w14:paraId="5E132E9A">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1.3.10建立服务规范，有较为完善的员工管理考核办法，并按章实施。</w:t>
      </w:r>
    </w:p>
    <w:p w14:paraId="0DDEE7F5">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1.3.11建立社会公众、志愿者、专职服务人员等参与社会公益活动的激励机制。</w:t>
      </w:r>
    </w:p>
    <w:p w14:paraId="31AA6162">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1.3.12能通过定期召开座谈会、设立意见箱或意见簿、询问服务对象等形式听取群众的意见和建议；服务对象提出的合理意见和建议能及时研究采纳，并在工作加以改进。</w:t>
      </w:r>
    </w:p>
    <w:p w14:paraId="7EE6E2E9">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1.4提供助餐服务要求</w:t>
      </w:r>
    </w:p>
    <w:p w14:paraId="0D7D36CD">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1.4.1积极配合上级部门对老年食堂工作的检查、考 察、评估等工作,配合做好其他单位参观、学习等工作。</w:t>
      </w:r>
    </w:p>
    <w:p w14:paraId="7A43A5C3">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1.4.2应做好被服务老人的个人隐私资料的保密工作，不得随意泄露，不得利用资料谋取不正当利益。</w:t>
      </w:r>
    </w:p>
    <w:p w14:paraId="5732AB43">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1.4.3负责食堂的日常管理与运营。</w:t>
      </w:r>
    </w:p>
    <w:p w14:paraId="52BEAD3F">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1.4.4引入具体服务项目的合作单位、社会组织应具有合法的服务资质。严禁向老年人变相推销保健产品、收取高额或不合理费用。对查证属实乱收费行为的，立即终止合同，并根据相关规定进行相应处理。</w:t>
      </w:r>
    </w:p>
    <w:p w14:paraId="706DB002">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1.4.5运营的食堂应管理制度上墙，场所卫生整洁，食堂工作人员应体检、培训合格。</w:t>
      </w:r>
    </w:p>
    <w:p w14:paraId="3B164F38">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1.4.6如出现饭菜质量差、卫生状况差、就餐人员意见反应强烈等问题，且拒不改正，采购单位有权单方面终止协议。</w:t>
      </w:r>
    </w:p>
    <w:p w14:paraId="3DFAFBB3">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1.4.7除不可抗力事件外，不得以任何理由不及时或不充足供应采购人居民膳食。否则，乙方应赔偿由此造成的全部损失。</w:t>
      </w:r>
    </w:p>
    <w:p w14:paraId="3B316944">
      <w:pPr>
        <w:pStyle w:val="21"/>
        <w:keepNext w:val="0"/>
        <w:keepLines w:val="0"/>
        <w:pageBreakBefore w:val="0"/>
        <w:widowControl w:val="0"/>
        <w:kinsoku/>
        <w:wordWrap/>
        <w:overflowPunct/>
        <w:topLinePunct w:val="0"/>
        <w:autoSpaceDE/>
        <w:autoSpaceDN/>
        <w:bidi w:val="0"/>
        <w:adjustRightInd w:val="0"/>
        <w:snapToGrid/>
        <w:spacing w:line="500" w:lineRule="exact"/>
        <w:ind w:firstLineChars="200"/>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color w:val="auto"/>
          <w:kern w:val="2"/>
          <w:sz w:val="24"/>
          <w:szCs w:val="24"/>
          <w:highlight w:val="none"/>
          <w:lang w:val="en-US" w:eastAsia="zh-CN"/>
        </w:rPr>
        <w:t>1.5上门服务内容</w:t>
      </w:r>
    </w:p>
    <w:tbl>
      <w:tblPr>
        <w:tblStyle w:val="49"/>
        <w:tblW w:w="9728"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1"/>
        <w:gridCol w:w="816"/>
        <w:gridCol w:w="1294"/>
        <w:gridCol w:w="2700"/>
        <w:gridCol w:w="1863"/>
        <w:gridCol w:w="1175"/>
        <w:gridCol w:w="1119"/>
      </w:tblGrid>
      <w:tr w14:paraId="6470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3BC15A7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序号</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1D62B42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服务</w:t>
            </w:r>
          </w:p>
          <w:p w14:paraId="1A6B0FE3">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分类</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B6FF62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服务项目</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EF307B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rPr>
              <w:t>服务内容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3DB6E32">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color w:val="auto"/>
                <w:sz w:val="24"/>
                <w:szCs w:val="24"/>
                <w:highlight w:val="none"/>
              </w:rPr>
              <w:t>指导价</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C5B95E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最低服务时长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C2FC83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备注</w:t>
            </w:r>
          </w:p>
        </w:tc>
      </w:tr>
      <w:tr w14:paraId="4AD9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7368EF7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3E1AB4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助餐</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B434ED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送餐上门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A79AD3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根据老年人需要,将餐食送达老年人的家中或者其他指定地点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69CA1E5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2重阳分</w:t>
            </w:r>
            <w:r>
              <w:rPr>
                <w:rFonts w:hint="eastAsia" w:ascii="仿宋" w:hAnsi="仿宋" w:eastAsia="仿宋" w:cs="仿宋"/>
                <w:color w:val="auto"/>
                <w:sz w:val="24"/>
                <w:szCs w:val="24"/>
                <w:highlight w:val="none"/>
              </w:rPr>
              <w:t>/次</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23F0D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25F174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6A778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BDAB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5943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9187F6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上门烹饪</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035DAA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使用老人家中炊具进行食材清洗、菜肴烹调</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73A6DB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FBF68B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250FD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3E7FE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2BA838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3B1EF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助浴</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23F37B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上门洗浴</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7CF96D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服务人员携带专业助浴工具、借助老年人家庭洗浴环境和设备，为老年人提供居家洗浴服务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355C4E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DF15AD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8489D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609F0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E8AE0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E6829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A96351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流动洗浴</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928D6D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利用专门的可移动洗浴设施设备和专业的服务人员，协助老年人完成洗浴的过程</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25874A2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105重阳分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81F278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856E8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2E34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B2A4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F5B7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DE16D7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擦洗身体</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573199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用清洁工具擦拭身体</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47B885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E549DD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E795E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31E89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0870B0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700B5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助洁</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D38DC6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头部清洁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20643C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头部清洁（含洗脸、梳头、理发洗头、剃须、清理耳内耵聍等）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AA7F1F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95B4D5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C2AFD0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7ACAD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22B37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448A1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84501C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口腔清洁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F1D498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口腔清洁（含刷卡、漱口、义齿清洗等）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552DC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CA1E7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E66E5B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38527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78F39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D1013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B2C315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手足清理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6FA866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泡脚、修剪趾甲等手足清理</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A568D1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4CD879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4911A8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5DB4D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1EF2F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A2EBC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124AB5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排泄清理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B1C660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为老人开展协助如厕、更换尿不湿等排泄物清理服务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987F6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F6CE36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16F47D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439F4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2E39D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271D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B7CFC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床上清洁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150F189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为老年人提供更换床单被罩，床位清洁，擦拭整理等床上清洁</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2CC4A9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75BB9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B570A0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54207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6D579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91FF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093AE4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洗涤服务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F1CED1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为老年人提供衣物、床上用品、窗帘等物品洗涤及晾晒服务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7425F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119A7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2C3E3F4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12C68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4823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E54D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8D6233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居室基础清洁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06C8CD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为老年人提供居室、卫生间、厨房、客厅等房间的日常清洁</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68E38F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9A4D52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78B45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13A3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311604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6ABE4D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助行</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5ED08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协助下床活动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06171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协助老人下床活动</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0E15440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/次</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1CB6885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A889F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0EA2E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0DBF4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8C4C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38A65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外出陪同</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41FC73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陪同老人前往相关地点，以提供陪伴和支持为主要目的的服务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66A91C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B10486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EF01FC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2DA88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9B41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90EE0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E672DF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代办代购</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23BB20A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为老年人提供代购、代缴、代订、代为申请等相关服务（含交通费）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1289BE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7C77F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6E9928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1B6DD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8DEB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362AC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auto" w:sz="4" w:space="0"/>
              <w:right w:val="single" w:color="000000" w:sz="4" w:space="0"/>
            </w:tcBorders>
            <w:noWrap w:val="0"/>
            <w:vAlign w:val="center"/>
          </w:tcPr>
          <w:p w14:paraId="44170D9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日常维修</w:t>
            </w:r>
          </w:p>
        </w:tc>
        <w:tc>
          <w:tcPr>
            <w:tcW w:w="2700" w:type="dxa"/>
            <w:tcBorders>
              <w:top w:val="single" w:color="000000" w:sz="4" w:space="0"/>
              <w:left w:val="single" w:color="000000" w:sz="4" w:space="0"/>
              <w:bottom w:val="single" w:color="auto" w:sz="4" w:space="0"/>
              <w:right w:val="single" w:color="000000" w:sz="4" w:space="0"/>
            </w:tcBorders>
            <w:noWrap w:val="0"/>
            <w:vAlign w:val="center"/>
          </w:tcPr>
          <w:p w14:paraId="449CC4CB">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为有需求的老年人提供各类入户维修服务</w:t>
            </w:r>
          </w:p>
        </w:tc>
        <w:tc>
          <w:tcPr>
            <w:tcW w:w="1863" w:type="dxa"/>
            <w:tcBorders>
              <w:top w:val="single" w:color="000000" w:sz="4" w:space="0"/>
              <w:left w:val="single" w:color="000000" w:sz="4" w:space="0"/>
              <w:bottom w:val="single" w:color="auto" w:sz="4" w:space="0"/>
              <w:right w:val="single" w:color="000000" w:sz="4" w:space="0"/>
            </w:tcBorders>
            <w:noWrap w:val="0"/>
            <w:vAlign w:val="center"/>
          </w:tcPr>
          <w:p w14:paraId="779BB2F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eastAsia="zh-CN"/>
              </w:rPr>
              <w:t>（仅为上门</w:t>
            </w:r>
            <w:r>
              <w:rPr>
                <w:rFonts w:hint="eastAsia" w:ascii="仿宋" w:hAnsi="仿宋" w:eastAsia="仿宋" w:cs="仿宋"/>
                <w:color w:val="auto"/>
                <w:sz w:val="24"/>
                <w:szCs w:val="24"/>
                <w:highlight w:val="none"/>
                <w:lang w:val="en-US" w:eastAsia="zh-CN"/>
              </w:rPr>
              <w:t>费</w:t>
            </w:r>
            <w:r>
              <w:rPr>
                <w:rFonts w:hint="eastAsia" w:ascii="仿宋" w:hAnsi="仿宋" w:eastAsia="仿宋" w:cs="仿宋"/>
                <w:color w:val="auto"/>
                <w:sz w:val="24"/>
                <w:szCs w:val="24"/>
                <w:highlight w:val="none"/>
                <w:lang w:eastAsia="zh-CN"/>
              </w:rPr>
              <w:t>，不含材料费）</w:t>
            </w:r>
          </w:p>
        </w:tc>
        <w:tc>
          <w:tcPr>
            <w:tcW w:w="1175" w:type="dxa"/>
            <w:tcBorders>
              <w:top w:val="single" w:color="000000" w:sz="4" w:space="0"/>
              <w:left w:val="single" w:color="000000" w:sz="4" w:space="0"/>
              <w:bottom w:val="single" w:color="auto" w:sz="4" w:space="0"/>
              <w:right w:val="single" w:color="000000" w:sz="4" w:space="0"/>
            </w:tcBorders>
            <w:noWrap w:val="0"/>
            <w:vAlign w:val="center"/>
          </w:tcPr>
          <w:p w14:paraId="21B4209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auto" w:sz="4" w:space="0"/>
              <w:right w:val="single" w:color="000000" w:sz="4" w:space="0"/>
            </w:tcBorders>
            <w:noWrap w:val="0"/>
            <w:vAlign w:val="center"/>
          </w:tcPr>
          <w:p w14:paraId="016997C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4A4C2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14:paraId="722B2D9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006E9D9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0E16A7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精神慰藉</w:t>
            </w:r>
          </w:p>
        </w:tc>
        <w:tc>
          <w:tcPr>
            <w:tcW w:w="2700" w:type="dxa"/>
            <w:tcBorders>
              <w:top w:val="single" w:color="auto" w:sz="4" w:space="0"/>
              <w:left w:val="single" w:color="auto" w:sz="4" w:space="0"/>
              <w:bottom w:val="single" w:color="auto" w:sz="4" w:space="0"/>
              <w:right w:val="single" w:color="000000" w:sz="4" w:space="0"/>
            </w:tcBorders>
            <w:noWrap w:val="0"/>
            <w:vAlign w:val="center"/>
          </w:tcPr>
          <w:p w14:paraId="6F015F43">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为老年人提供心灵需求和情感状态的关注、支持和关怀</w:t>
            </w:r>
          </w:p>
        </w:tc>
        <w:tc>
          <w:tcPr>
            <w:tcW w:w="1863" w:type="dxa"/>
            <w:tcBorders>
              <w:top w:val="single" w:color="auto" w:sz="4" w:space="0"/>
              <w:left w:val="single" w:color="000000" w:sz="4" w:space="0"/>
              <w:bottom w:val="single" w:color="auto" w:sz="4" w:space="0"/>
              <w:right w:val="single" w:color="000000" w:sz="4" w:space="0"/>
            </w:tcBorders>
            <w:noWrap w:val="0"/>
            <w:vAlign w:val="center"/>
          </w:tcPr>
          <w:p w14:paraId="328124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105重阳分</w:t>
            </w:r>
            <w:r>
              <w:rPr>
                <w:rFonts w:hint="eastAsia" w:ascii="仿宋" w:hAnsi="仿宋" w:eastAsia="仿宋" w:cs="仿宋"/>
                <w:color w:val="auto"/>
                <w:sz w:val="24"/>
                <w:szCs w:val="24"/>
                <w:highlight w:val="none"/>
              </w:rPr>
              <w:t>/次</w:t>
            </w:r>
          </w:p>
        </w:tc>
        <w:tc>
          <w:tcPr>
            <w:tcW w:w="1175" w:type="dxa"/>
            <w:tcBorders>
              <w:top w:val="single" w:color="auto" w:sz="4" w:space="0"/>
              <w:left w:val="single" w:color="000000" w:sz="4" w:space="0"/>
              <w:bottom w:val="single" w:color="auto" w:sz="4" w:space="0"/>
              <w:right w:val="single" w:color="000000" w:sz="4" w:space="0"/>
            </w:tcBorders>
            <w:noWrap w:val="0"/>
            <w:vAlign w:val="center"/>
          </w:tcPr>
          <w:p w14:paraId="5DCE5B4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auto" w:sz="4" w:space="0"/>
              <w:left w:val="single" w:color="000000" w:sz="4" w:space="0"/>
              <w:bottom w:val="single" w:color="auto" w:sz="4" w:space="0"/>
              <w:right w:val="single" w:color="auto" w:sz="4" w:space="0"/>
            </w:tcBorders>
            <w:noWrap w:val="0"/>
            <w:vAlign w:val="center"/>
          </w:tcPr>
          <w:p w14:paraId="6A3793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需持有心理咨询师证</w:t>
            </w:r>
          </w:p>
        </w:tc>
      </w:tr>
    </w:tbl>
    <w:p w14:paraId="2EE71FB0">
      <w:pPr>
        <w:keepNext w:val="0"/>
        <w:keepLines w:val="0"/>
        <w:pageBreakBefore w:val="0"/>
        <w:widowControl/>
        <w:numPr>
          <w:ilvl w:val="0"/>
          <w:numId w:val="0"/>
        </w:numPr>
        <w:kinsoku/>
        <w:wordWrap w:val="0"/>
        <w:topLinePunct/>
        <w:bidi w:val="0"/>
        <w:adjustRightInd w:val="0"/>
        <w:snapToGrid/>
        <w:spacing w:line="440" w:lineRule="exact"/>
        <w:ind w:firstLine="480" w:firstLineChars="200"/>
        <w:textAlignment w:val="baseline"/>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注：</w:t>
      </w:r>
      <w:r>
        <w:rPr>
          <w:rFonts w:hint="eastAsia" w:ascii="仿宋" w:hAnsi="仿宋" w:eastAsia="仿宋" w:cs="仿宋"/>
          <w:bCs/>
          <w:color w:val="auto"/>
          <w:kern w:val="0"/>
          <w:sz w:val="24"/>
          <w:szCs w:val="24"/>
          <w:highlight w:val="none"/>
        </w:rPr>
        <w:t>如合同有效期间因国家、省、市养老政策</w:t>
      </w:r>
      <w:r>
        <w:rPr>
          <w:rFonts w:hint="eastAsia" w:ascii="仿宋" w:hAnsi="仿宋" w:eastAsia="仿宋" w:cs="仿宋"/>
          <w:bCs/>
          <w:color w:val="auto"/>
          <w:kern w:val="0"/>
          <w:sz w:val="24"/>
          <w:szCs w:val="24"/>
          <w:highlight w:val="none"/>
          <w:lang w:val="en-US" w:eastAsia="zh-CN"/>
        </w:rPr>
        <w:t>发生</w:t>
      </w:r>
      <w:r>
        <w:rPr>
          <w:rFonts w:hint="eastAsia" w:ascii="仿宋" w:hAnsi="仿宋" w:eastAsia="仿宋" w:cs="仿宋"/>
          <w:bCs/>
          <w:color w:val="auto"/>
          <w:kern w:val="0"/>
          <w:sz w:val="24"/>
          <w:szCs w:val="24"/>
          <w:highlight w:val="none"/>
        </w:rPr>
        <w:t>调整</w:t>
      </w:r>
      <w:r>
        <w:rPr>
          <w:rFonts w:hint="eastAsia" w:ascii="仿宋" w:hAnsi="仿宋" w:eastAsia="仿宋" w:cs="仿宋"/>
          <w:bCs/>
          <w:color w:val="auto"/>
          <w:kern w:val="0"/>
          <w:sz w:val="24"/>
          <w:szCs w:val="24"/>
          <w:highlight w:val="none"/>
          <w:lang w:val="en-US" w:eastAsia="zh-CN"/>
        </w:rPr>
        <w:t>的，以实际调整后的文件为准。</w:t>
      </w:r>
    </w:p>
    <w:p w14:paraId="3D370A80">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1.6运行补助情况</w:t>
      </w:r>
    </w:p>
    <w:p w14:paraId="69E5EAD4">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本服务内容价格实行基本运营补助和绩效考核奖励补助。基本运行补助标准为：托老园（街道级）、五星级、四星级、三星级及以下居家养老服务照料中心等级，每家每年运营补助分别为12万元、8万元、6万元、4万元，委托社会化管理并提供助餐服务的补助标准上浮30%。按优秀占10%、良好占30%、合格和不合格占60%划分。每家每年奖励补助标准为：优秀3万元、良好2万元、合格1万元。12个月考核未扣分的为优秀，10（含）个月未扣分且累计扣分未达10分及以上为良好。8（含）个月未扣分且累计扣分未达15分及以上为合格，其余为不合格。对于自行管理并提供助餐服务的达到良好以上的社区，给予补助标准上浮30%的补助。对开展连锁运营的运营机构，从第二家开始按照料中心家数每家每年增加补助5000元，由运营机构直接申请补助。</w:t>
      </w:r>
    </w:p>
    <w:p w14:paraId="1C6C16D0">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1.7付款方式</w:t>
      </w:r>
    </w:p>
    <w:p w14:paraId="7F895A5E">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1.7.1区域化居家养老服务付款方式：</w:t>
      </w:r>
    </w:p>
    <w:p w14:paraId="672D4891">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1.7.1.1上门服务：</w:t>
      </w:r>
    </w:p>
    <w:p w14:paraId="3E8BB0A9">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采购人和所服务的街社核实每月服务明细后由街社进行支付。</w:t>
      </w:r>
    </w:p>
    <w:p w14:paraId="5E2CA437">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本项目每月按照实际服务时间进行结算。</w:t>
      </w:r>
    </w:p>
    <w:p w14:paraId="5C3FEC53">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由供应商每月按实际发生的各项服务时间，凭供应商开具的正式发票和相关台账，向所服务的街道进行结算。</w:t>
      </w:r>
    </w:p>
    <w:p w14:paraId="5E8CB7F9">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如省市要求有变化，采购人要求更换资金结算支付方式的，需改用采购人要求的支付方式，具体以双方协商为准。</w:t>
      </w:r>
    </w:p>
    <w:p w14:paraId="78052B65">
      <w:pPr>
        <w:pStyle w:val="21"/>
        <w:keepNext w:val="0"/>
        <w:keepLines w:val="0"/>
        <w:pageBreakBefore w:val="0"/>
        <w:widowControl w:val="0"/>
        <w:numPr>
          <w:ilvl w:val="-1"/>
          <w:numId w:val="0"/>
        </w:numPr>
        <w:kinsoku/>
        <w:wordWrap/>
        <w:overflowPunct/>
        <w:topLinePunct w:val="0"/>
        <w:autoSpaceDE/>
        <w:autoSpaceDN/>
        <w:bidi w:val="0"/>
        <w:snapToGrid/>
        <w:spacing w:line="500" w:lineRule="exact"/>
        <w:ind w:left="0" w:leftChars="0" w:firstLine="480" w:firstLineChars="200"/>
        <w:textAlignment w:val="auto"/>
        <w:rPr>
          <w:rFonts w:hint="default"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1.7.1.2点位运营相关补贴：根据实际运营情况，结合考核结果由供应商按要求提供相关票据与街道、社区按年度进行结算。</w:t>
      </w:r>
    </w:p>
    <w:p w14:paraId="656ABDAC">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（二）标项二：居家养老上门服务内容</w:t>
      </w:r>
    </w:p>
    <w:p w14:paraId="2F07CF97">
      <w:pPr>
        <w:keepNext w:val="0"/>
        <w:keepLines w:val="0"/>
        <w:pageBreakBefore w:val="0"/>
        <w:widowControl w:val="0"/>
        <w:kinsoku/>
        <w:wordWrap/>
        <w:overflowPunct/>
        <w:topLinePunct w:val="0"/>
        <w:autoSpaceDE/>
        <w:autoSpaceDN/>
        <w:bidi w:val="0"/>
        <w:adjustRightInd w:val="0"/>
        <w:spacing w:line="500" w:lineRule="exact"/>
        <w:ind w:firstLine="482"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2.1服务对象</w:t>
      </w:r>
    </w:p>
    <w:p w14:paraId="3D8A9AEE">
      <w:pPr>
        <w:keepNext w:val="0"/>
        <w:keepLines w:val="0"/>
        <w:pageBreakBefore w:val="0"/>
        <w:widowControl w:val="0"/>
        <w:tabs>
          <w:tab w:val="left" w:pos="6050"/>
        </w:tabs>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2.1.1享受</w:t>
      </w:r>
      <w:r>
        <w:rPr>
          <w:rFonts w:hint="eastAsia" w:ascii="仿宋" w:hAnsi="仿宋" w:eastAsia="仿宋" w:cs="仿宋"/>
          <w:color w:val="auto"/>
          <w:sz w:val="24"/>
          <w:szCs w:val="24"/>
          <w:highlight w:val="none"/>
        </w:rPr>
        <w:t>养老服务补贴、养老护理补贴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账户有重阳分的老年人</w:t>
      </w:r>
      <w:r>
        <w:rPr>
          <w:rFonts w:hint="eastAsia" w:ascii="仿宋" w:hAnsi="仿宋" w:eastAsia="仿宋" w:cs="仿宋"/>
          <w:color w:val="auto"/>
          <w:sz w:val="24"/>
          <w:szCs w:val="24"/>
          <w:highlight w:val="none"/>
        </w:rPr>
        <w:t>，采取电子积分</w:t>
      </w:r>
      <w:r>
        <w:rPr>
          <w:rFonts w:hint="eastAsia" w:ascii="仿宋" w:hAnsi="仿宋" w:eastAsia="仿宋" w:cs="仿宋"/>
          <w:color w:val="auto"/>
          <w:sz w:val="24"/>
          <w:szCs w:val="24"/>
          <w:highlight w:val="none"/>
          <w:lang w:eastAsia="zh-CN"/>
        </w:rPr>
        <w:t>（以下简称重阳分）</w:t>
      </w:r>
      <w:r>
        <w:rPr>
          <w:rFonts w:hint="eastAsia" w:ascii="仿宋" w:hAnsi="仿宋" w:eastAsia="仿宋" w:cs="仿宋"/>
          <w:color w:val="auto"/>
          <w:sz w:val="24"/>
          <w:szCs w:val="24"/>
          <w:highlight w:val="none"/>
        </w:rPr>
        <w:t>的形式按月发放至老年人本人的</w:t>
      </w:r>
      <w:r>
        <w:rPr>
          <w:rFonts w:hint="eastAsia" w:ascii="仿宋" w:hAnsi="仿宋" w:eastAsia="仿宋" w:cs="仿宋"/>
          <w:color w:val="auto"/>
          <w:sz w:val="24"/>
          <w:szCs w:val="24"/>
          <w:highlight w:val="none"/>
          <w:lang w:eastAsia="zh-CN"/>
        </w:rPr>
        <w:t>爱心卡</w:t>
      </w:r>
      <w:r>
        <w:rPr>
          <w:rFonts w:hint="eastAsia" w:ascii="仿宋" w:hAnsi="仿宋" w:eastAsia="仿宋" w:cs="仿宋"/>
          <w:color w:val="auto"/>
          <w:sz w:val="24"/>
          <w:szCs w:val="24"/>
          <w:highlight w:val="none"/>
        </w:rPr>
        <w:t>专用账户中，以服务给付的方式用于日常生活照料、照护服务范围内的消费结算。</w:t>
      </w:r>
    </w:p>
    <w:p w14:paraId="7C6F1955">
      <w:pPr>
        <w:keepNext w:val="0"/>
        <w:keepLines w:val="0"/>
        <w:pageBreakBefore w:val="0"/>
        <w:widowControl w:val="0"/>
        <w:tabs>
          <w:tab w:val="left" w:pos="6050"/>
        </w:tabs>
        <w:kinsoku/>
        <w:wordWrap/>
        <w:overflowPunct/>
        <w:topLinePunct w:val="0"/>
        <w:autoSpaceDE/>
        <w:autoSpaceDN/>
        <w:bidi w:val="0"/>
        <w:adjustRightInd w:val="0"/>
        <w:spacing w:line="50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2.2</w:t>
      </w:r>
      <w:r>
        <w:rPr>
          <w:rFonts w:hint="eastAsia" w:ascii="仿宋" w:hAnsi="仿宋" w:eastAsia="仿宋" w:cs="仿宋"/>
          <w:b/>
          <w:bCs/>
          <w:color w:val="auto"/>
          <w:sz w:val="24"/>
          <w:szCs w:val="24"/>
          <w:highlight w:val="none"/>
        </w:rPr>
        <w:t>其他事项</w:t>
      </w:r>
    </w:p>
    <w:p w14:paraId="55A54D13">
      <w:pPr>
        <w:keepNext w:val="0"/>
        <w:keepLines w:val="0"/>
        <w:pageBreakBefore w:val="0"/>
        <w:widowControl w:val="0"/>
        <w:tabs>
          <w:tab w:val="left" w:pos="6050"/>
        </w:tabs>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2.2.1</w:t>
      </w:r>
      <w:r>
        <w:rPr>
          <w:rFonts w:hint="eastAsia" w:ascii="仿宋" w:hAnsi="仿宋" w:eastAsia="仿宋" w:cs="仿宋"/>
          <w:color w:val="auto"/>
          <w:sz w:val="24"/>
          <w:szCs w:val="24"/>
          <w:highlight w:val="none"/>
        </w:rPr>
        <w:t>人户分离的老年人，可由户籍地民政</w:t>
      </w:r>
      <w:r>
        <w:rPr>
          <w:rFonts w:hint="eastAsia" w:ascii="仿宋" w:hAnsi="仿宋" w:eastAsia="仿宋" w:cs="仿宋"/>
          <w:color w:val="auto"/>
          <w:sz w:val="24"/>
          <w:szCs w:val="24"/>
          <w:highlight w:val="none"/>
          <w:lang w:eastAsia="zh-CN"/>
        </w:rPr>
        <w:t>部门</w:t>
      </w:r>
      <w:r>
        <w:rPr>
          <w:rFonts w:hint="eastAsia" w:ascii="仿宋" w:hAnsi="仿宋" w:eastAsia="仿宋" w:cs="仿宋"/>
          <w:color w:val="auto"/>
          <w:sz w:val="24"/>
          <w:szCs w:val="24"/>
          <w:highlight w:val="none"/>
        </w:rPr>
        <w:t>委托居住地民政部门负责评估，</w:t>
      </w:r>
      <w:r>
        <w:rPr>
          <w:rFonts w:hint="eastAsia" w:ascii="仿宋" w:hAnsi="仿宋" w:eastAsia="仿宋" w:cs="仿宋"/>
          <w:color w:val="auto"/>
          <w:sz w:val="24"/>
          <w:szCs w:val="24"/>
          <w:highlight w:val="none"/>
          <w:lang w:eastAsia="zh-CN"/>
        </w:rPr>
        <w:t>重阳分</w:t>
      </w:r>
      <w:r>
        <w:rPr>
          <w:rFonts w:hint="eastAsia" w:ascii="仿宋" w:hAnsi="仿宋" w:eastAsia="仿宋" w:cs="仿宋"/>
          <w:color w:val="auto"/>
          <w:sz w:val="24"/>
          <w:szCs w:val="24"/>
          <w:highlight w:val="none"/>
        </w:rPr>
        <w:t>发放按照户籍地民政</w:t>
      </w:r>
      <w:r>
        <w:rPr>
          <w:rFonts w:hint="eastAsia" w:ascii="仿宋" w:hAnsi="仿宋" w:eastAsia="仿宋" w:cs="仿宋"/>
          <w:color w:val="auto"/>
          <w:sz w:val="24"/>
          <w:szCs w:val="24"/>
          <w:highlight w:val="none"/>
          <w:lang w:eastAsia="zh-CN"/>
        </w:rPr>
        <w:t>部门</w:t>
      </w:r>
      <w:r>
        <w:rPr>
          <w:rFonts w:hint="eastAsia" w:ascii="仿宋" w:hAnsi="仿宋" w:eastAsia="仿宋" w:cs="仿宋"/>
          <w:color w:val="auto"/>
          <w:sz w:val="24"/>
          <w:szCs w:val="24"/>
          <w:highlight w:val="none"/>
        </w:rPr>
        <w:t>相关规定执行。</w:t>
      </w:r>
    </w:p>
    <w:p w14:paraId="2B3AB2C9">
      <w:pPr>
        <w:keepNext w:val="0"/>
        <w:keepLines w:val="0"/>
        <w:pageBreakBefore w:val="0"/>
        <w:widowControl w:val="0"/>
        <w:tabs>
          <w:tab w:val="left" w:pos="6050"/>
        </w:tabs>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2.2.2</w:t>
      </w:r>
      <w:r>
        <w:rPr>
          <w:rFonts w:hint="eastAsia" w:ascii="仿宋" w:hAnsi="仿宋" w:eastAsia="仿宋" w:cs="仿宋"/>
          <w:color w:val="auto"/>
          <w:sz w:val="24"/>
          <w:szCs w:val="24"/>
          <w:highlight w:val="none"/>
        </w:rPr>
        <w:t>按规定实施老年人能力评估，首次评估费用由区财政资金保障。老年人再次评估或对评估结果有异议且复核评估维持原结果的，评估费用由老人自理，可使用</w:t>
      </w:r>
      <w:r>
        <w:rPr>
          <w:rFonts w:hint="eastAsia" w:ascii="仿宋" w:hAnsi="仿宋" w:eastAsia="仿宋" w:cs="仿宋"/>
          <w:color w:val="auto"/>
          <w:sz w:val="24"/>
          <w:szCs w:val="24"/>
          <w:highlight w:val="none"/>
          <w:lang w:eastAsia="zh-CN"/>
        </w:rPr>
        <w:t>重阳分</w:t>
      </w:r>
      <w:r>
        <w:rPr>
          <w:rFonts w:hint="eastAsia" w:ascii="仿宋" w:hAnsi="仿宋" w:eastAsia="仿宋" w:cs="仿宋"/>
          <w:color w:val="auto"/>
          <w:sz w:val="24"/>
          <w:szCs w:val="24"/>
          <w:highlight w:val="none"/>
        </w:rPr>
        <w:t>抵扣。</w:t>
      </w:r>
    </w:p>
    <w:p w14:paraId="1C8AF64E">
      <w:pPr>
        <w:keepNext w:val="0"/>
        <w:keepLines w:val="0"/>
        <w:pageBreakBefore w:val="0"/>
        <w:widowControl w:val="0"/>
        <w:tabs>
          <w:tab w:val="left" w:pos="6050"/>
        </w:tabs>
        <w:kinsoku/>
        <w:wordWrap/>
        <w:overflowPunct/>
        <w:topLinePunct w:val="0"/>
        <w:autoSpaceDE/>
        <w:autoSpaceDN/>
        <w:bidi w:val="0"/>
        <w:adjustRightIn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2.2.3</w:t>
      </w:r>
      <w:r>
        <w:rPr>
          <w:rFonts w:hint="eastAsia" w:ascii="仿宋" w:hAnsi="仿宋" w:eastAsia="仿宋" w:cs="仿宋"/>
          <w:color w:val="auto"/>
          <w:sz w:val="24"/>
          <w:szCs w:val="24"/>
          <w:highlight w:val="none"/>
        </w:rPr>
        <w:t>享受对象提供虚假材料或做虚假陈述经查实的，责令退回非法获取的津贴，并根据相关规定处理。</w:t>
      </w:r>
    </w:p>
    <w:p w14:paraId="3D00C907">
      <w:pPr>
        <w:keepNext w:val="0"/>
        <w:keepLines w:val="0"/>
        <w:pageBreakBefore w:val="0"/>
        <w:widowControl w:val="0"/>
        <w:tabs>
          <w:tab w:val="left" w:pos="6050"/>
        </w:tabs>
        <w:kinsoku/>
        <w:wordWrap/>
        <w:overflowPunct/>
        <w:topLinePunct w:val="0"/>
        <w:autoSpaceDE/>
        <w:autoSpaceDN/>
        <w:bidi w:val="0"/>
        <w:adjustRightInd w:val="0"/>
        <w:snapToGrid w:val="0"/>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2.2.4</w:t>
      </w:r>
      <w:r>
        <w:rPr>
          <w:rFonts w:hint="eastAsia" w:ascii="仿宋" w:hAnsi="仿宋" w:eastAsia="仿宋" w:cs="仿宋"/>
          <w:color w:val="auto"/>
          <w:sz w:val="24"/>
          <w:szCs w:val="24"/>
          <w:highlight w:val="none"/>
        </w:rPr>
        <w:t>老年人能力评估机构、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和第三方运营监管机构（含满意度测评）应当进行相互回避，评估机构、</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和监管机构管理人不能为同一人或者不能存在直接控股、管理关系；同时回避直系亲属在同一行政区域从事养老服务的评估、监管、审核审批工作。</w:t>
      </w:r>
    </w:p>
    <w:p w14:paraId="5FE569D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2.3</w:t>
      </w:r>
      <w:r>
        <w:rPr>
          <w:rFonts w:hint="eastAsia" w:ascii="仿宋" w:hAnsi="仿宋" w:eastAsia="仿宋" w:cs="仿宋"/>
          <w:b/>
          <w:bCs/>
          <w:color w:val="auto"/>
          <w:sz w:val="24"/>
          <w:szCs w:val="24"/>
          <w:highlight w:val="none"/>
          <w:shd w:val="clear" w:color="auto" w:fill="auto"/>
        </w:rPr>
        <w:t>服务</w:t>
      </w:r>
      <w:r>
        <w:rPr>
          <w:rFonts w:hint="eastAsia" w:ascii="仿宋" w:hAnsi="仿宋" w:eastAsia="仿宋" w:cs="仿宋"/>
          <w:b/>
          <w:bCs/>
          <w:color w:val="auto"/>
          <w:sz w:val="24"/>
          <w:szCs w:val="24"/>
          <w:highlight w:val="none"/>
          <w:shd w:val="clear" w:color="auto" w:fill="auto"/>
          <w:lang w:val="en-US" w:eastAsia="zh-CN"/>
        </w:rPr>
        <w:t>人员</w:t>
      </w:r>
      <w:r>
        <w:rPr>
          <w:rFonts w:hint="eastAsia" w:ascii="仿宋" w:hAnsi="仿宋" w:eastAsia="仿宋" w:cs="仿宋"/>
          <w:b/>
          <w:bCs/>
          <w:color w:val="auto"/>
          <w:sz w:val="24"/>
          <w:szCs w:val="24"/>
          <w:highlight w:val="none"/>
          <w:shd w:val="clear" w:color="auto" w:fill="auto"/>
        </w:rPr>
        <w:t>要求</w:t>
      </w:r>
    </w:p>
    <w:p w14:paraId="12A6875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2.3.1</w:t>
      </w:r>
      <w:r>
        <w:rPr>
          <w:rFonts w:hint="eastAsia" w:ascii="仿宋" w:hAnsi="仿宋" w:eastAsia="仿宋" w:cs="仿宋"/>
          <w:color w:val="auto"/>
          <w:sz w:val="24"/>
          <w:szCs w:val="24"/>
          <w:highlight w:val="none"/>
          <w:shd w:val="clear" w:color="auto" w:fill="auto"/>
        </w:rPr>
        <w:t>基本要求</w:t>
      </w:r>
    </w:p>
    <w:p w14:paraId="23817DD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（1）具备合法的劳动从业资格；</w:t>
      </w:r>
    </w:p>
    <w:p w14:paraId="1689B4B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（2）信守职业道德，遵纪守法，熟悉居家养老服务程序和规范要求；</w:t>
      </w:r>
    </w:p>
    <w:p w14:paraId="7DB4F6C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（3）具有符合岗位要求的文化程度、健康状况证明及语言表达能力</w:t>
      </w:r>
      <w:r>
        <w:rPr>
          <w:rFonts w:hint="eastAsia" w:ascii="仿宋" w:hAnsi="仿宋" w:eastAsia="仿宋" w:cs="仿宋"/>
          <w:color w:val="auto"/>
          <w:sz w:val="24"/>
          <w:szCs w:val="24"/>
          <w:highlight w:val="none"/>
          <w:shd w:val="clear" w:color="auto" w:fill="auto"/>
          <w:lang w:val="en-US" w:eastAsia="zh-CN"/>
        </w:rPr>
        <w:t>；</w:t>
      </w:r>
    </w:p>
    <w:p w14:paraId="147CE44B">
      <w:pPr>
        <w:pStyle w:val="21"/>
        <w:snapToGrid/>
        <w:spacing w:line="500" w:lineRule="exact"/>
        <w:rPr>
          <w:rFonts w:hint="eastAsia"/>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（4）项目应标服务人员与实际服务人员需保持一致，不得更换，否则按考核条款作出相应处罚。</w:t>
      </w:r>
    </w:p>
    <w:p w14:paraId="7997E71C">
      <w:pPr>
        <w:pStyle w:val="21"/>
        <w:snapToGrid/>
        <w:spacing w:line="500" w:lineRule="exact"/>
        <w:rPr>
          <w:rFonts w:hint="eastAsia"/>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（5）服务人员数量要求：</w:t>
      </w:r>
      <w:r>
        <w:rPr>
          <w:rFonts w:hint="eastAsia" w:ascii="仿宋" w:hAnsi="仿宋" w:eastAsia="仿宋" w:cs="仿宋"/>
          <w:b w:val="0"/>
          <w:bCs w:val="0"/>
          <w:color w:val="auto"/>
          <w:sz w:val="24"/>
          <w:szCs w:val="24"/>
          <w:highlight w:val="none"/>
          <w:lang w:val="en-US" w:eastAsia="zh-CN"/>
        </w:rPr>
        <w:t>居家养老上门服务配备负责人1名，每个街道配备站长1人，同时需配备持证护理员需不少于30人，其中护理员须具备养老护理员职业技能等级证书五级及以上且人员年龄均不得超过60周岁。</w:t>
      </w:r>
    </w:p>
    <w:p w14:paraId="28B1795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2.3.2</w:t>
      </w:r>
      <w:r>
        <w:rPr>
          <w:rFonts w:hint="eastAsia" w:ascii="仿宋" w:hAnsi="仿宋" w:eastAsia="仿宋" w:cs="仿宋"/>
          <w:color w:val="auto"/>
          <w:sz w:val="24"/>
          <w:szCs w:val="24"/>
          <w:highlight w:val="none"/>
          <w:shd w:val="clear" w:color="auto" w:fill="auto"/>
        </w:rPr>
        <w:t>管理人员</w:t>
      </w:r>
    </w:p>
    <w:p w14:paraId="7A307EC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（1）了解国家和行业主管部门有关居家养老服务的法律、法规和规定；</w:t>
      </w:r>
    </w:p>
    <w:p w14:paraId="37D2669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（2）掌握企业管理、经营项目的有关专业知识及专业技术；</w:t>
      </w:r>
    </w:p>
    <w:p w14:paraId="62A223F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（3）具有高中以上文化程度和一定年限的管理工作经历；</w:t>
      </w:r>
    </w:p>
    <w:p w14:paraId="58036FA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（4）每年至少参加1次以上管理培训活动。</w:t>
      </w:r>
    </w:p>
    <w:p w14:paraId="1532CCB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w:t>
      </w:r>
      <w:r>
        <w:rPr>
          <w:rFonts w:hint="eastAsia" w:ascii="仿宋" w:hAnsi="仿宋" w:eastAsia="仿宋" w:cs="仿宋"/>
          <w:color w:val="auto"/>
          <w:sz w:val="24"/>
          <w:szCs w:val="24"/>
          <w:highlight w:val="none"/>
          <w:shd w:val="clear" w:color="auto" w:fill="auto"/>
          <w:lang w:val="en-US" w:eastAsia="zh-CN"/>
        </w:rPr>
        <w:t>项目应标负责人与实际服务负责人需保持一致，不得更换。</w:t>
      </w:r>
    </w:p>
    <w:p w14:paraId="3BF3CAE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2.3.3</w:t>
      </w:r>
      <w:r>
        <w:rPr>
          <w:rFonts w:hint="eastAsia" w:ascii="仿宋" w:hAnsi="仿宋" w:eastAsia="仿宋" w:cs="仿宋"/>
          <w:color w:val="auto"/>
          <w:sz w:val="24"/>
          <w:szCs w:val="24"/>
          <w:highlight w:val="none"/>
        </w:rPr>
        <w:t>居家养老服务</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员</w:t>
      </w:r>
    </w:p>
    <w:p w14:paraId="6DA7EAF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（1）具备与服务内容相适应的岗位技能；</w:t>
      </w:r>
    </w:p>
    <w:p w14:paraId="743F043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（2）年龄在18周岁以上、60周岁以下，初中以上文化程度；</w:t>
      </w:r>
    </w:p>
    <w:p w14:paraId="7A1A079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（3）无精神病史和各类传染病；</w:t>
      </w:r>
    </w:p>
    <w:p w14:paraId="6C8C3EF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（4）每年在岗培训不少于10学时</w:t>
      </w:r>
      <w:r>
        <w:rPr>
          <w:rFonts w:hint="eastAsia" w:ascii="仿宋" w:hAnsi="仿宋" w:eastAsia="仿宋" w:cs="仿宋"/>
          <w:color w:val="auto"/>
          <w:sz w:val="24"/>
          <w:szCs w:val="24"/>
          <w:highlight w:val="none"/>
          <w:lang w:val="en-US" w:eastAsia="zh-CN"/>
        </w:rPr>
        <w:t>；</w:t>
      </w:r>
    </w:p>
    <w:p w14:paraId="0C6B332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（5）护理员上岗持证率100%</w:t>
      </w:r>
      <w:r>
        <w:rPr>
          <w:rFonts w:hint="eastAsia" w:ascii="仿宋" w:hAnsi="仿宋" w:eastAsia="仿宋" w:cs="仿宋"/>
          <w:color w:val="auto"/>
          <w:sz w:val="24"/>
          <w:szCs w:val="24"/>
          <w:highlight w:val="none"/>
          <w:lang w:val="en-US" w:eastAsia="zh-CN"/>
        </w:rPr>
        <w:t>；</w:t>
      </w:r>
    </w:p>
    <w:p w14:paraId="07A7AEE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（6）所有服务员须配备智能手机上岗。</w:t>
      </w:r>
    </w:p>
    <w:p w14:paraId="151DF61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2.3.4</w:t>
      </w:r>
      <w:r>
        <w:rPr>
          <w:rFonts w:hint="eastAsia" w:ascii="仿宋" w:hAnsi="仿宋" w:eastAsia="仿宋" w:cs="仿宋"/>
          <w:color w:val="auto"/>
          <w:sz w:val="24"/>
          <w:szCs w:val="24"/>
          <w:highlight w:val="none"/>
        </w:rPr>
        <w:t>行为规范</w:t>
      </w:r>
    </w:p>
    <w:p w14:paraId="5F5099A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（1）仪表仪容端庄、大方、整洁；</w:t>
      </w:r>
    </w:p>
    <w:p w14:paraId="7143488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（2）统一着装、配备工号牌；</w:t>
      </w:r>
    </w:p>
    <w:p w14:paraId="36F62B4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（3）提倡使用普通话，语言文明、简洁、清晰；</w:t>
      </w:r>
    </w:p>
    <w:p w14:paraId="3B1EB710">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（4）主动服务，符合相应岗位的服务礼仪规范；</w:t>
      </w:r>
    </w:p>
    <w:p w14:paraId="08CB8F3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（5）尊老敬老，对老年人富有爱心。</w:t>
      </w:r>
    </w:p>
    <w:p w14:paraId="60BD8C46">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2.4</w:t>
      </w:r>
      <w:r>
        <w:rPr>
          <w:rFonts w:hint="eastAsia" w:ascii="仿宋" w:hAnsi="仿宋" w:eastAsia="仿宋" w:cs="仿宋"/>
          <w:b/>
          <w:bCs/>
          <w:color w:val="auto"/>
          <w:sz w:val="24"/>
          <w:szCs w:val="24"/>
          <w:highlight w:val="none"/>
        </w:rPr>
        <w:t>服务规范</w:t>
      </w:r>
    </w:p>
    <w:p w14:paraId="7B80D8D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2.4.1</w:t>
      </w:r>
      <w:r>
        <w:rPr>
          <w:rFonts w:hint="eastAsia" w:ascii="仿宋" w:hAnsi="仿宋" w:eastAsia="仿宋" w:cs="仿宋"/>
          <w:color w:val="auto"/>
          <w:sz w:val="24"/>
          <w:szCs w:val="24"/>
          <w:highlight w:val="none"/>
        </w:rPr>
        <w:t>基本要求</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老人</w:t>
      </w:r>
      <w:r>
        <w:rPr>
          <w:rFonts w:hint="eastAsia" w:ascii="仿宋" w:hAnsi="仿宋" w:eastAsia="仿宋" w:cs="仿宋"/>
          <w:color w:val="auto"/>
          <w:sz w:val="24"/>
          <w:szCs w:val="24"/>
          <w:highlight w:val="none"/>
        </w:rPr>
        <w:t>的需求，合理分工服务人员，制订服务计划，明确服务内容。</w:t>
      </w:r>
    </w:p>
    <w:p w14:paraId="594461A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与服务对象签订服务协议，签约率100%；</w:t>
      </w:r>
    </w:p>
    <w:p w14:paraId="1E1FF11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）制定上门</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方案（含上门服务应急预案等）</w:t>
      </w:r>
      <w:r>
        <w:rPr>
          <w:rFonts w:hint="eastAsia" w:ascii="仿宋" w:hAnsi="仿宋" w:eastAsia="仿宋" w:cs="仿宋"/>
          <w:color w:val="auto"/>
          <w:sz w:val="24"/>
          <w:szCs w:val="24"/>
          <w:highlight w:val="none"/>
        </w:rPr>
        <w:t>；</w:t>
      </w:r>
    </w:p>
    <w:p w14:paraId="35645CB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定期进行检查，并记录检查结果（包含内容、时间、地点、人员、落实情况等）；</w:t>
      </w:r>
    </w:p>
    <w:p w14:paraId="0993E7B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为老年人提供的服务完成率达100%，老年人或监护人满意率≧95%；</w:t>
      </w:r>
    </w:p>
    <w:p w14:paraId="4571389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2.4.2服务流程</w:t>
      </w:r>
    </w:p>
    <w:p w14:paraId="0BEEA2C8">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（1）供应商与所在服务的街道对接，根据街道提供的新增上门服务老人名单进行服务。首次上门，服务人员需与社区沟通、同时在社工陪同下上门。</w:t>
      </w:r>
    </w:p>
    <w:p w14:paraId="731E537E">
      <w:pPr>
        <w:pStyle w:val="21"/>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0"/>
          <w:kern w:val="2"/>
          <w:sz w:val="24"/>
          <w:szCs w:val="24"/>
          <w:highlight w:val="none"/>
          <w:lang w:val="en-US" w:eastAsia="zh-CN" w:bidi="ar-SA"/>
        </w:rPr>
        <w:t>（2）本项目由采购人组织第三方监管单位通过杭州市“互联网+养老”平台进行监管，要求供应商严格按照采购人的服务流程及要求进行服务，实际服务时间以监管平台显示的时间为准。具体服务流程如下：</w:t>
      </w:r>
    </w:p>
    <w:p w14:paraId="4C099436">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上门服务前的准备</w:t>
      </w:r>
    </w:p>
    <w:p w14:paraId="4B4E84A6">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（1）对老人基本状况有一个较深入的了解</w:t>
      </w:r>
    </w:p>
    <w:p w14:paraId="71A27708">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（2）通过电话与老人确认服务时间，了解老人的需求，确定每次服务的内容。</w:t>
      </w:r>
    </w:p>
    <w:p w14:paraId="1195976D">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（3）确定上门服务的服务人员</w:t>
      </w:r>
    </w:p>
    <w:p w14:paraId="46A2905E">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（4）服务人员准备上门服务</w:t>
      </w:r>
    </w:p>
    <w:p w14:paraId="0F671AF7">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上门服务的过程</w:t>
      </w:r>
    </w:p>
    <w:p w14:paraId="5EF9C649">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（1）服务人员穿工作服、佩戴工作卡上门服务</w:t>
      </w:r>
    </w:p>
    <w:p w14:paraId="5C50DFEB">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（2）轻敲三下门，等待服务对象或其家人开门。做自我介绍并说明来意。</w:t>
      </w:r>
    </w:p>
    <w:p w14:paraId="7FB46558">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（3）确定服务内容和需要的服务时间；</w:t>
      </w:r>
    </w:p>
    <w:p w14:paraId="621085F5">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（4）讲明需要用市民卡进行结算；</w:t>
      </w:r>
    </w:p>
    <w:p w14:paraId="7F208604">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（5）确定老人家中财物的摆放和数量；</w:t>
      </w:r>
    </w:p>
    <w:p w14:paraId="4A6A6892">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（6）开展服务时需保持良好的服务态度，并保持微笑，使用敬语。</w:t>
      </w:r>
    </w:p>
    <w:p w14:paraId="498277CB">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（7）服务人员严格按照服务要求足时完成相应服务。</w:t>
      </w:r>
    </w:p>
    <w:p w14:paraId="346C583E">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上门服务的结算</w:t>
      </w:r>
    </w:p>
    <w:p w14:paraId="4FA03675">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（1）请老人拿出市民卡；</w:t>
      </w:r>
    </w:p>
    <w:p w14:paraId="1A16861A">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（2）POS机上操作结束服务，根据POS机所示服务时间及结算金额，向老人进行说明和核实；</w:t>
      </w:r>
    </w:p>
    <w:p w14:paraId="17D7DF29">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（3）刷市民卡进行结算并打印小票交与老人或其家属；</w:t>
      </w:r>
    </w:p>
    <w:p w14:paraId="2A5E8207">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（4）向老人或其家属说明和解释小票内容，提醒市民卡重阳分剩余分数；</w:t>
      </w:r>
    </w:p>
    <w:p w14:paraId="1BF092D3">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结束后请服务人员带好随身工具物品离开老人家里。</w:t>
      </w:r>
    </w:p>
    <w:p w14:paraId="7A0AA420">
      <w:pPr>
        <w:pStyle w:val="21"/>
        <w:keepNext w:val="0"/>
        <w:keepLines w:val="0"/>
        <w:pageBreakBefore w:val="0"/>
        <w:widowControl w:val="0"/>
        <w:kinsoku/>
        <w:wordWrap/>
        <w:overflowPunct/>
        <w:topLinePunct w:val="0"/>
        <w:autoSpaceDE/>
        <w:autoSpaceDN/>
        <w:bidi w:val="0"/>
        <w:adjustRightInd w:val="0"/>
        <w:snapToGrid/>
        <w:spacing w:line="500" w:lineRule="exact"/>
        <w:ind w:firstLineChars="200"/>
        <w:textAlignment w:val="auto"/>
        <w:rPr>
          <w:rFonts w:hint="eastAsia" w:ascii="仿宋" w:hAnsi="仿宋" w:eastAsia="仿宋" w:cs="仿宋"/>
          <w:b/>
          <w:bCs/>
          <w:color w:val="auto"/>
          <w:kern w:val="2"/>
          <w:sz w:val="24"/>
          <w:szCs w:val="24"/>
          <w:highlight w:val="none"/>
        </w:rPr>
      </w:pPr>
      <w:r>
        <w:rPr>
          <w:rFonts w:hint="eastAsia" w:ascii="仿宋" w:hAnsi="仿宋" w:eastAsia="仿宋" w:cs="仿宋"/>
          <w:b/>
          <w:bCs w:val="0"/>
          <w:snapToGrid/>
          <w:color w:val="auto"/>
          <w:kern w:val="2"/>
          <w:sz w:val="24"/>
          <w:szCs w:val="24"/>
          <w:highlight w:val="none"/>
          <w:lang w:val="en-US" w:eastAsia="zh-CN" w:bidi="ar-SA"/>
        </w:rPr>
        <w:t>2.5 上门</w:t>
      </w:r>
      <w:r>
        <w:rPr>
          <w:rFonts w:hint="eastAsia" w:ascii="仿宋" w:hAnsi="仿宋" w:eastAsia="仿宋" w:cs="仿宋"/>
          <w:b/>
          <w:bCs/>
          <w:color w:val="auto"/>
          <w:kern w:val="2"/>
          <w:sz w:val="24"/>
          <w:szCs w:val="24"/>
          <w:highlight w:val="none"/>
          <w:lang w:val="en-US" w:eastAsia="zh-CN"/>
        </w:rPr>
        <w:t>服务内容</w:t>
      </w:r>
    </w:p>
    <w:tbl>
      <w:tblPr>
        <w:tblStyle w:val="49"/>
        <w:tblW w:w="9728" w:type="dxa"/>
        <w:tblInd w:w="-2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1"/>
        <w:gridCol w:w="816"/>
        <w:gridCol w:w="1294"/>
        <w:gridCol w:w="2700"/>
        <w:gridCol w:w="1863"/>
        <w:gridCol w:w="1175"/>
        <w:gridCol w:w="1119"/>
      </w:tblGrid>
      <w:tr w14:paraId="2D845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761" w:type="dxa"/>
            <w:tcBorders>
              <w:top w:val="single" w:color="000000" w:sz="4" w:space="0"/>
              <w:left w:val="single" w:color="000000" w:sz="4" w:space="0"/>
              <w:bottom w:val="single" w:color="000000" w:sz="4" w:space="0"/>
              <w:right w:val="single" w:color="000000" w:sz="4" w:space="0"/>
            </w:tcBorders>
            <w:noWrap w:val="0"/>
            <w:vAlign w:val="center"/>
          </w:tcPr>
          <w:p w14:paraId="051318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序号</w:t>
            </w:r>
          </w:p>
        </w:tc>
        <w:tc>
          <w:tcPr>
            <w:tcW w:w="816" w:type="dxa"/>
            <w:tcBorders>
              <w:top w:val="single" w:color="000000" w:sz="4" w:space="0"/>
              <w:left w:val="single" w:color="000000" w:sz="4" w:space="0"/>
              <w:bottom w:val="single" w:color="000000" w:sz="4" w:space="0"/>
              <w:right w:val="single" w:color="000000" w:sz="4" w:space="0"/>
            </w:tcBorders>
            <w:noWrap w:val="0"/>
            <w:vAlign w:val="center"/>
          </w:tcPr>
          <w:p w14:paraId="35AF1FC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i w:val="0"/>
                <w:iCs w:val="0"/>
                <w:color w:val="auto"/>
                <w:kern w:val="0"/>
                <w:sz w:val="24"/>
                <w:szCs w:val="24"/>
                <w:highlight w:val="none"/>
                <w:u w:val="none"/>
                <w:lang w:val="en-US" w:eastAsia="zh-CN"/>
              </w:rPr>
              <w:t>服务</w:t>
            </w:r>
          </w:p>
          <w:p w14:paraId="6DCB335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分类</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410AB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rPr>
              <w:t>服务项目</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58CB27C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sz w:val="24"/>
                <w:szCs w:val="24"/>
                <w:highlight w:val="none"/>
                <w:u w:val="none"/>
                <w:lang w:val="en-US"/>
              </w:rPr>
            </w:pPr>
            <w:r>
              <w:rPr>
                <w:rFonts w:hint="eastAsia" w:ascii="仿宋" w:hAnsi="仿宋" w:eastAsia="仿宋" w:cs="仿宋"/>
                <w:b/>
                <w:bCs/>
                <w:i w:val="0"/>
                <w:iCs w:val="0"/>
                <w:color w:val="auto"/>
                <w:kern w:val="0"/>
                <w:sz w:val="24"/>
                <w:szCs w:val="24"/>
                <w:highlight w:val="none"/>
                <w:u w:val="none"/>
                <w:lang w:val="en-US" w:eastAsia="zh-CN"/>
              </w:rPr>
              <w:t>服务内容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4C822FA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i w:val="0"/>
                <w:iCs w:val="0"/>
                <w:color w:val="auto"/>
                <w:kern w:val="0"/>
                <w:sz w:val="24"/>
                <w:szCs w:val="24"/>
                <w:highlight w:val="none"/>
                <w:u w:val="none"/>
                <w:lang w:val="en-US" w:eastAsia="zh-CN"/>
              </w:rPr>
            </w:pPr>
            <w:r>
              <w:rPr>
                <w:rFonts w:hint="eastAsia" w:ascii="仿宋" w:hAnsi="仿宋" w:eastAsia="仿宋" w:cs="仿宋"/>
                <w:b/>
                <w:bCs/>
                <w:color w:val="auto"/>
                <w:sz w:val="24"/>
                <w:szCs w:val="24"/>
                <w:highlight w:val="none"/>
              </w:rPr>
              <w:t>指导价</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BC9FC0D">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最低服务时长</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75D26BC">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备注</w:t>
            </w:r>
          </w:p>
        </w:tc>
      </w:tr>
      <w:tr w14:paraId="780C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44DB17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1</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903B4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助餐</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138756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送餐上门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5AB68A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根据老年人需要,将餐食送达老年人的家中或者其他指定地点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29C19D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2重阳分</w:t>
            </w:r>
            <w:r>
              <w:rPr>
                <w:rFonts w:hint="eastAsia" w:ascii="仿宋" w:hAnsi="仿宋" w:eastAsia="仿宋" w:cs="仿宋"/>
                <w:color w:val="auto"/>
                <w:sz w:val="24"/>
                <w:szCs w:val="24"/>
                <w:highlight w:val="none"/>
              </w:rPr>
              <w:t>/次</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D1773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default"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1次</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84146E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3D8FA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D6064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3EA42B">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F96717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上门烹饪</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8A0B4B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使用老人家中炊具进行食材清洗、菜肴烹调</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E13BF4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431EE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148D25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036F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1431A2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2</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02085E0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助浴</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928FF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上门洗浴</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6906C9DA">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服务人员携带专业助浴工具、借助老年人家庭洗浴环境和设备，为老年人提供居家洗浴服务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511773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7565E0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492B22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1266A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30DEE">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BE1E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E82526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流动洗浴</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33389D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利用专门的可移动洗浴设施设备和专业的服务人员，协助老年人完成洗浴的过程</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523A22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105重阳分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29EB3D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A45067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41CF4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A02C6">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5782B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4A79C5E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擦洗身体</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CD51978">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用清洁工具擦拭身体</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3CA6B3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5F9BDDF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B8D473A">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7D73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6B281F9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3</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4AAEC4B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助洁</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22835C6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头部清洁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01EB3F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头部清洁（含洗脸、梳头、理发洗头、剃须、清理耳内耵聍等）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BEF8B6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DDCA20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1B6BA3A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4D64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2DD03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927D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7BA8BAF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口腔清洁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A485929">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口腔清洁（含刷卡、漱口、义齿清洗等）</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6089566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3B07AC5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793894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0AB11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F3898">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E9350">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DD3F6B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手足清理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64E9826">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泡脚、修剪趾甲等手足清理</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37A7FD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BA8C5A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625143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56D1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120AB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B478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3FF552B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排泄清理</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DF1DCB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为老人开展协助如厕、更换尿不湿等排泄物清理服务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19CDD77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EB9E2A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8DA412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7C634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2DCDB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F579A">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49C8C90">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床上清洁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A41A81F">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为老年人提供更换床单被罩，床位清洁，擦拭整理等床上清洁</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555D22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711753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796350B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61903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DA453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836A5C">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FFCDD9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洗涤服务</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3BD9F12C">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为老年人提供衣物、床上用品、窗帘等物品洗涤及晾晒服务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5419A07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4B0AFC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4D7C926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2A39A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E043F">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744FD">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1FC4BCB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居室基础清洁</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04FED5A4">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为老年人提供居室、卫生间、厨房、客厅等房间的日常清洁</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544C73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7835D03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6AB0FAE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72DD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restart"/>
            <w:tcBorders>
              <w:top w:val="single" w:color="000000" w:sz="4" w:space="0"/>
              <w:left w:val="single" w:color="000000" w:sz="4" w:space="0"/>
              <w:bottom w:val="single" w:color="000000" w:sz="4" w:space="0"/>
              <w:right w:val="single" w:color="000000" w:sz="4" w:space="0"/>
            </w:tcBorders>
            <w:noWrap w:val="0"/>
            <w:vAlign w:val="center"/>
          </w:tcPr>
          <w:p w14:paraId="371D77D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4</w:t>
            </w:r>
          </w:p>
        </w:tc>
        <w:tc>
          <w:tcPr>
            <w:tcW w:w="816" w:type="dxa"/>
            <w:vMerge w:val="restart"/>
            <w:tcBorders>
              <w:top w:val="single" w:color="000000" w:sz="4" w:space="0"/>
              <w:left w:val="single" w:color="000000" w:sz="4" w:space="0"/>
              <w:bottom w:val="single" w:color="000000" w:sz="4" w:space="0"/>
              <w:right w:val="single" w:color="000000" w:sz="4" w:space="0"/>
            </w:tcBorders>
            <w:noWrap w:val="0"/>
            <w:vAlign w:val="center"/>
          </w:tcPr>
          <w:p w14:paraId="2458F50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助行</w:t>
            </w: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0C79AE4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协助下床活动</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42DD7DCD">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协助老人下床活动</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0AE29D2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/次</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EBE409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3AABBB2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052F8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D77BA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9893E9">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50224387">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外出陪同</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A274AB7">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陪同老人前往相关地点，以提供陪伴和支持为主要目的的服务</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76C5C725">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03B1A9CD">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B64F019">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3659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0E6F7">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BD4BC4">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000000" w:sz="4" w:space="0"/>
              <w:right w:val="single" w:color="000000" w:sz="4" w:space="0"/>
            </w:tcBorders>
            <w:noWrap w:val="0"/>
            <w:vAlign w:val="center"/>
          </w:tcPr>
          <w:p w14:paraId="6F154E4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代办代购</w:t>
            </w:r>
          </w:p>
        </w:tc>
        <w:tc>
          <w:tcPr>
            <w:tcW w:w="2700" w:type="dxa"/>
            <w:tcBorders>
              <w:top w:val="single" w:color="000000" w:sz="4" w:space="0"/>
              <w:left w:val="single" w:color="000000" w:sz="4" w:space="0"/>
              <w:bottom w:val="single" w:color="000000" w:sz="4" w:space="0"/>
              <w:right w:val="single" w:color="000000" w:sz="4" w:space="0"/>
            </w:tcBorders>
            <w:noWrap w:val="0"/>
            <w:vAlign w:val="center"/>
          </w:tcPr>
          <w:p w14:paraId="7EA01901">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为老年人提供代购、代缴、代订、代为申请等相关服务（含交通费）</w:t>
            </w:r>
          </w:p>
        </w:tc>
        <w:tc>
          <w:tcPr>
            <w:tcW w:w="1863" w:type="dxa"/>
            <w:tcBorders>
              <w:top w:val="single" w:color="000000" w:sz="4" w:space="0"/>
              <w:left w:val="single" w:color="000000" w:sz="4" w:space="0"/>
              <w:bottom w:val="single" w:color="000000" w:sz="4" w:space="0"/>
              <w:right w:val="single" w:color="000000" w:sz="4" w:space="0"/>
            </w:tcBorders>
            <w:noWrap w:val="0"/>
            <w:vAlign w:val="center"/>
          </w:tcPr>
          <w:p w14:paraId="31F78A24">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小时</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14:paraId="6D737386">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000000" w:sz="4" w:space="0"/>
              <w:right w:val="single" w:color="000000" w:sz="4" w:space="0"/>
            </w:tcBorders>
            <w:noWrap w:val="0"/>
            <w:vAlign w:val="center"/>
          </w:tcPr>
          <w:p w14:paraId="06762B1B">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7F618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79A81">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0F5B73">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000000" w:sz="4" w:space="0"/>
              <w:left w:val="single" w:color="000000" w:sz="4" w:space="0"/>
              <w:bottom w:val="single" w:color="auto" w:sz="4" w:space="0"/>
              <w:right w:val="single" w:color="000000" w:sz="4" w:space="0"/>
            </w:tcBorders>
            <w:noWrap w:val="0"/>
            <w:vAlign w:val="center"/>
          </w:tcPr>
          <w:p w14:paraId="3BEB5F8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日常维修</w:t>
            </w:r>
          </w:p>
        </w:tc>
        <w:tc>
          <w:tcPr>
            <w:tcW w:w="2700" w:type="dxa"/>
            <w:tcBorders>
              <w:top w:val="single" w:color="000000" w:sz="4" w:space="0"/>
              <w:left w:val="single" w:color="000000" w:sz="4" w:space="0"/>
              <w:bottom w:val="single" w:color="auto" w:sz="4" w:space="0"/>
              <w:right w:val="single" w:color="000000" w:sz="4" w:space="0"/>
            </w:tcBorders>
            <w:noWrap w:val="0"/>
            <w:vAlign w:val="center"/>
          </w:tcPr>
          <w:p w14:paraId="24B3394E">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rPr>
              <w:t>为有需求的老年人提供各类入户维修服务</w:t>
            </w:r>
          </w:p>
        </w:tc>
        <w:tc>
          <w:tcPr>
            <w:tcW w:w="1863" w:type="dxa"/>
            <w:tcBorders>
              <w:top w:val="single" w:color="000000" w:sz="4" w:space="0"/>
              <w:left w:val="single" w:color="000000" w:sz="4" w:space="0"/>
              <w:bottom w:val="single" w:color="auto" w:sz="4" w:space="0"/>
              <w:right w:val="single" w:color="000000" w:sz="4" w:space="0"/>
            </w:tcBorders>
            <w:noWrap w:val="0"/>
            <w:vAlign w:val="center"/>
          </w:tcPr>
          <w:p w14:paraId="78DBC678">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35重阳分</w:t>
            </w:r>
            <w:r>
              <w:rPr>
                <w:rFonts w:hint="eastAsia" w:ascii="仿宋" w:hAnsi="仿宋" w:eastAsia="仿宋" w:cs="仿宋"/>
                <w:color w:val="auto"/>
                <w:sz w:val="24"/>
                <w:szCs w:val="24"/>
                <w:highlight w:val="none"/>
              </w:rPr>
              <w:t>/次</w:t>
            </w:r>
            <w:r>
              <w:rPr>
                <w:rFonts w:hint="eastAsia" w:ascii="仿宋" w:hAnsi="仿宋" w:eastAsia="仿宋" w:cs="仿宋"/>
                <w:color w:val="auto"/>
                <w:sz w:val="24"/>
                <w:szCs w:val="24"/>
                <w:highlight w:val="none"/>
                <w:lang w:eastAsia="zh-CN"/>
              </w:rPr>
              <w:t>（仅为上门</w:t>
            </w:r>
            <w:r>
              <w:rPr>
                <w:rFonts w:hint="eastAsia" w:ascii="仿宋" w:hAnsi="仿宋" w:eastAsia="仿宋" w:cs="仿宋"/>
                <w:color w:val="auto"/>
                <w:sz w:val="24"/>
                <w:szCs w:val="24"/>
                <w:highlight w:val="none"/>
                <w:lang w:val="en-US" w:eastAsia="zh-CN"/>
              </w:rPr>
              <w:t>费</w:t>
            </w:r>
            <w:r>
              <w:rPr>
                <w:rFonts w:hint="eastAsia" w:ascii="仿宋" w:hAnsi="仿宋" w:eastAsia="仿宋" w:cs="仿宋"/>
                <w:color w:val="auto"/>
                <w:sz w:val="24"/>
                <w:szCs w:val="24"/>
                <w:highlight w:val="none"/>
                <w:lang w:eastAsia="zh-CN"/>
              </w:rPr>
              <w:t>，不含材料费）</w:t>
            </w:r>
          </w:p>
        </w:tc>
        <w:tc>
          <w:tcPr>
            <w:tcW w:w="1175" w:type="dxa"/>
            <w:tcBorders>
              <w:top w:val="single" w:color="000000" w:sz="4" w:space="0"/>
              <w:left w:val="single" w:color="000000" w:sz="4" w:space="0"/>
              <w:bottom w:val="single" w:color="auto" w:sz="4" w:space="0"/>
              <w:right w:val="single" w:color="000000" w:sz="4" w:space="0"/>
            </w:tcBorders>
            <w:noWrap w:val="0"/>
            <w:vAlign w:val="center"/>
          </w:tcPr>
          <w:p w14:paraId="2C11D1CF">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000000" w:sz="4" w:space="0"/>
              <w:left w:val="single" w:color="000000" w:sz="4" w:space="0"/>
              <w:bottom w:val="single" w:color="auto" w:sz="4" w:space="0"/>
              <w:right w:val="single" w:color="000000" w:sz="4" w:space="0"/>
            </w:tcBorders>
            <w:noWrap w:val="0"/>
            <w:vAlign w:val="center"/>
          </w:tcPr>
          <w:p w14:paraId="11F46021">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p>
        </w:tc>
      </w:tr>
      <w:tr w14:paraId="5A9FF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trPr>
        <w:tc>
          <w:tcPr>
            <w:tcW w:w="761" w:type="dxa"/>
            <w:vMerge w:val="continue"/>
            <w:tcBorders>
              <w:top w:val="single" w:color="auto" w:sz="4" w:space="0"/>
              <w:left w:val="single" w:color="auto" w:sz="4" w:space="0"/>
              <w:bottom w:val="single" w:color="auto" w:sz="4" w:space="0"/>
              <w:right w:val="single" w:color="auto" w:sz="4" w:space="0"/>
            </w:tcBorders>
            <w:noWrap w:val="0"/>
            <w:vAlign w:val="center"/>
          </w:tcPr>
          <w:p w14:paraId="3905FD72">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14:paraId="7D0BEE55">
            <w:pPr>
              <w:keepNext w:val="0"/>
              <w:keepLines w:val="0"/>
              <w:pageBreakBefore w:val="0"/>
              <w:kinsoku/>
              <w:wordWrap/>
              <w:overflowPunct/>
              <w:topLinePunct w:val="0"/>
              <w:autoSpaceDE/>
              <w:autoSpaceDN/>
              <w:bidi w:val="0"/>
              <w:adjustRightInd w:val="0"/>
              <w:snapToGrid w:val="0"/>
              <w:jc w:val="center"/>
              <w:rPr>
                <w:rFonts w:hint="eastAsia" w:ascii="仿宋" w:hAnsi="仿宋" w:eastAsia="仿宋" w:cs="仿宋"/>
                <w:i w:val="0"/>
                <w:iCs w:val="0"/>
                <w:color w:val="auto"/>
                <w:sz w:val="24"/>
                <w:szCs w:val="24"/>
                <w:highlight w:val="none"/>
                <w:u w:val="none"/>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742BBE6C">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精神慰藉</w:t>
            </w:r>
          </w:p>
        </w:tc>
        <w:tc>
          <w:tcPr>
            <w:tcW w:w="2700" w:type="dxa"/>
            <w:tcBorders>
              <w:top w:val="single" w:color="auto" w:sz="4" w:space="0"/>
              <w:left w:val="single" w:color="auto" w:sz="4" w:space="0"/>
              <w:bottom w:val="single" w:color="auto" w:sz="4" w:space="0"/>
              <w:right w:val="single" w:color="000000" w:sz="4" w:space="0"/>
            </w:tcBorders>
            <w:noWrap w:val="0"/>
            <w:vAlign w:val="center"/>
          </w:tcPr>
          <w:p w14:paraId="73FC5232">
            <w:pPr>
              <w:keepNext w:val="0"/>
              <w:keepLines w:val="0"/>
              <w:pageBreakBefore w:val="0"/>
              <w:widowControl/>
              <w:suppressLineNumbers w:val="0"/>
              <w:kinsoku/>
              <w:wordWrap/>
              <w:overflowPunct/>
              <w:topLinePunct w:val="0"/>
              <w:autoSpaceDE/>
              <w:autoSpaceDN/>
              <w:bidi w:val="0"/>
              <w:adjustRightInd w:val="0"/>
              <w:snapToGrid w:val="0"/>
              <w:jc w:val="left"/>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为老年人提供心灵需求和情感状态的关注、支持和关怀</w:t>
            </w:r>
          </w:p>
        </w:tc>
        <w:tc>
          <w:tcPr>
            <w:tcW w:w="1863" w:type="dxa"/>
            <w:tcBorders>
              <w:top w:val="single" w:color="auto" w:sz="4" w:space="0"/>
              <w:left w:val="single" w:color="000000" w:sz="4" w:space="0"/>
              <w:bottom w:val="single" w:color="auto" w:sz="4" w:space="0"/>
              <w:right w:val="single" w:color="000000" w:sz="4" w:space="0"/>
            </w:tcBorders>
            <w:noWrap w:val="0"/>
            <w:vAlign w:val="center"/>
          </w:tcPr>
          <w:p w14:paraId="7507CC82">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105重阳分</w:t>
            </w:r>
            <w:r>
              <w:rPr>
                <w:rFonts w:hint="eastAsia" w:ascii="仿宋" w:hAnsi="仿宋" w:eastAsia="仿宋" w:cs="仿宋"/>
                <w:color w:val="auto"/>
                <w:sz w:val="24"/>
                <w:szCs w:val="24"/>
                <w:highlight w:val="none"/>
              </w:rPr>
              <w:t>/次</w:t>
            </w:r>
          </w:p>
        </w:tc>
        <w:tc>
          <w:tcPr>
            <w:tcW w:w="1175" w:type="dxa"/>
            <w:tcBorders>
              <w:top w:val="single" w:color="auto" w:sz="4" w:space="0"/>
              <w:left w:val="single" w:color="000000" w:sz="4" w:space="0"/>
              <w:bottom w:val="single" w:color="auto" w:sz="4" w:space="0"/>
              <w:right w:val="single" w:color="000000" w:sz="4" w:space="0"/>
            </w:tcBorders>
            <w:noWrap w:val="0"/>
            <w:vAlign w:val="center"/>
          </w:tcPr>
          <w:p w14:paraId="7C46A41E">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1小时</w:t>
            </w:r>
          </w:p>
        </w:tc>
        <w:tc>
          <w:tcPr>
            <w:tcW w:w="1119" w:type="dxa"/>
            <w:tcBorders>
              <w:top w:val="single" w:color="auto" w:sz="4" w:space="0"/>
              <w:left w:val="single" w:color="000000" w:sz="4" w:space="0"/>
              <w:bottom w:val="single" w:color="auto" w:sz="4" w:space="0"/>
              <w:right w:val="single" w:color="auto" w:sz="4" w:space="0"/>
            </w:tcBorders>
            <w:noWrap w:val="0"/>
            <w:vAlign w:val="center"/>
          </w:tcPr>
          <w:p w14:paraId="27AF4C13">
            <w:pPr>
              <w:keepNext w:val="0"/>
              <w:keepLines w:val="0"/>
              <w:pageBreakBefore w:val="0"/>
              <w:widowControl/>
              <w:suppressLineNumbers w:val="0"/>
              <w:kinsoku/>
              <w:wordWrap/>
              <w:overflowPunct/>
              <w:topLinePunct w:val="0"/>
              <w:autoSpaceDE/>
              <w:autoSpaceDN/>
              <w:bidi w:val="0"/>
              <w:adjustRightInd w:val="0"/>
              <w:snapToGrid w:val="0"/>
              <w:jc w:val="center"/>
              <w:textAlignment w:val="center"/>
              <w:rPr>
                <w:rFonts w:hint="eastAsia" w:ascii="仿宋" w:hAnsi="仿宋" w:eastAsia="仿宋" w:cs="仿宋"/>
                <w:i w:val="0"/>
                <w:iCs w:val="0"/>
                <w:color w:val="auto"/>
                <w:kern w:val="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rPr>
              <w:t>需持有心理咨询师证</w:t>
            </w:r>
          </w:p>
        </w:tc>
      </w:tr>
    </w:tbl>
    <w:p w14:paraId="0AE8E006">
      <w:pPr>
        <w:keepNext w:val="0"/>
        <w:keepLines w:val="0"/>
        <w:pageBreakBefore w:val="0"/>
        <w:widowControl/>
        <w:numPr>
          <w:ilvl w:val="0"/>
          <w:numId w:val="0"/>
        </w:numPr>
        <w:kinsoku/>
        <w:wordWrap w:val="0"/>
        <w:topLinePunct/>
        <w:bidi w:val="0"/>
        <w:adjustRightInd w:val="0"/>
        <w:snapToGrid/>
        <w:spacing w:line="440" w:lineRule="exact"/>
        <w:ind w:firstLine="480" w:firstLineChars="200"/>
        <w:textAlignment w:val="baseline"/>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注：</w:t>
      </w:r>
      <w:r>
        <w:rPr>
          <w:rFonts w:hint="eastAsia" w:ascii="仿宋" w:hAnsi="仿宋" w:eastAsia="仿宋" w:cs="仿宋"/>
          <w:bCs/>
          <w:color w:val="auto"/>
          <w:kern w:val="0"/>
          <w:sz w:val="24"/>
          <w:szCs w:val="24"/>
          <w:highlight w:val="none"/>
        </w:rPr>
        <w:t>如合同有效期间因国家、省、市养老政策</w:t>
      </w:r>
      <w:r>
        <w:rPr>
          <w:rFonts w:hint="eastAsia" w:ascii="仿宋" w:hAnsi="仿宋" w:eastAsia="仿宋" w:cs="仿宋"/>
          <w:bCs/>
          <w:color w:val="auto"/>
          <w:kern w:val="0"/>
          <w:sz w:val="24"/>
          <w:szCs w:val="24"/>
          <w:highlight w:val="none"/>
          <w:lang w:val="en-US" w:eastAsia="zh-CN"/>
        </w:rPr>
        <w:t>发生</w:t>
      </w:r>
      <w:r>
        <w:rPr>
          <w:rFonts w:hint="eastAsia" w:ascii="仿宋" w:hAnsi="仿宋" w:eastAsia="仿宋" w:cs="仿宋"/>
          <w:bCs/>
          <w:color w:val="auto"/>
          <w:kern w:val="0"/>
          <w:sz w:val="24"/>
          <w:szCs w:val="24"/>
          <w:highlight w:val="none"/>
        </w:rPr>
        <w:t>调整</w:t>
      </w:r>
      <w:r>
        <w:rPr>
          <w:rFonts w:hint="eastAsia" w:ascii="仿宋" w:hAnsi="仿宋" w:eastAsia="仿宋" w:cs="仿宋"/>
          <w:bCs/>
          <w:color w:val="auto"/>
          <w:kern w:val="0"/>
          <w:sz w:val="24"/>
          <w:szCs w:val="24"/>
          <w:highlight w:val="none"/>
          <w:lang w:val="en-US" w:eastAsia="zh-CN"/>
        </w:rPr>
        <w:t>的，以实际调整后的文件为准。</w:t>
      </w:r>
    </w:p>
    <w:p w14:paraId="34481DD3">
      <w:pPr>
        <w:keepNext w:val="0"/>
        <w:keepLines w:val="0"/>
        <w:pageBreakBefore w:val="0"/>
        <w:widowControl w:val="0"/>
        <w:numPr>
          <w:ilvl w:val="0"/>
          <w:numId w:val="0"/>
        </w:numPr>
        <w:kinsoku/>
        <w:wordWrap/>
        <w:overflowPunct/>
        <w:topLinePunct w:val="0"/>
        <w:autoSpaceDE/>
        <w:autoSpaceDN/>
        <w:bidi w:val="0"/>
        <w:adjustRightInd w:val="0"/>
        <w:snapToGrid/>
        <w:spacing w:line="500" w:lineRule="exact"/>
        <w:ind w:left="0" w:leftChars="0" w:firstLine="482" w:firstLineChars="200"/>
        <w:textAlignment w:val="auto"/>
        <w:rPr>
          <w:rFonts w:hint="default" w:ascii="仿宋" w:hAnsi="仿宋" w:eastAsia="仿宋" w:cs="仿宋"/>
          <w:b/>
          <w:bCs w:val="0"/>
          <w:snapToGrid/>
          <w:color w:val="auto"/>
          <w:kern w:val="2"/>
          <w:sz w:val="24"/>
          <w:szCs w:val="24"/>
          <w:highlight w:val="none"/>
          <w:lang w:val="en-US" w:eastAsia="zh-CN" w:bidi="ar-SA"/>
        </w:rPr>
      </w:pPr>
      <w:r>
        <w:rPr>
          <w:rFonts w:hint="eastAsia" w:ascii="仿宋" w:hAnsi="仿宋" w:eastAsia="仿宋" w:cs="仿宋"/>
          <w:b/>
          <w:bCs w:val="0"/>
          <w:snapToGrid/>
          <w:color w:val="auto"/>
          <w:kern w:val="2"/>
          <w:sz w:val="24"/>
          <w:szCs w:val="24"/>
          <w:highlight w:val="none"/>
          <w:lang w:val="en-US" w:eastAsia="zh-CN" w:bidi="ar-SA"/>
        </w:rPr>
        <w:t>2.6服务价格</w:t>
      </w:r>
    </w:p>
    <w:p w14:paraId="03803A31">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2.6.1本服务内容价格按照固定单价进行报价，固定单价为35元/小时，固定单价包括实施该项目的所有人工费、开展日常工作所必需的行政办公费用、税费、利润、招标代理费等全部费用。固定单价不区分服务内容，按照服务时间的合计计费。固定单价在整个合同执行期间不调整。（合同期如上级部门发生价格调整情况则以上级部门调整后的金额进行结算）</w:t>
      </w:r>
    </w:p>
    <w:p w14:paraId="16F162DC">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2.6.2本项目要求供应商给居家养老服务员购买意外伤害保险，费用已经包含在固定单价内。</w:t>
      </w:r>
    </w:p>
    <w:p w14:paraId="09F956EE">
      <w:pPr>
        <w:pStyle w:val="21"/>
        <w:keepNext w:val="0"/>
        <w:keepLines w:val="0"/>
        <w:pageBreakBefore w:val="0"/>
        <w:widowControl w:val="0"/>
        <w:kinsoku/>
        <w:wordWrap/>
        <w:overflowPunct/>
        <w:topLinePunct w:val="0"/>
        <w:autoSpaceDE/>
        <w:autoSpaceDN/>
        <w:bidi w:val="0"/>
        <w:snapToGrid/>
        <w:spacing w:line="500" w:lineRule="exact"/>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2.7付款方式</w:t>
      </w:r>
    </w:p>
    <w:p w14:paraId="65E55652">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2.7.1采购人和所服务的街社核实每月服务明细后由街社进行支付。</w:t>
      </w:r>
    </w:p>
    <w:p w14:paraId="1EA83134">
      <w:pPr>
        <w:keepNext w:val="0"/>
        <w:keepLines w:val="0"/>
        <w:pageBreakBefore w:val="0"/>
        <w:widowControl w:val="0"/>
        <w:kinsoku/>
        <w:wordWrap/>
        <w:overflowPunct/>
        <w:topLinePunct w:val="0"/>
        <w:autoSpaceDE/>
        <w:autoSpaceDN/>
        <w:bidi w:val="0"/>
        <w:snapToGrid/>
        <w:spacing w:line="500" w:lineRule="exact"/>
        <w:ind w:firstLine="48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2.7.2本项目每月按照实际服务时间进行结算。</w:t>
      </w:r>
    </w:p>
    <w:p w14:paraId="29CF9030">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2.7.3由供应商每月按实际发生的各项服务时间，凭供应商开具的正式发票和相关台账，向所服务的街道进行结算。</w:t>
      </w:r>
    </w:p>
    <w:p w14:paraId="237DD067">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2.7.4如省市要求有变化，采购人要求更换资金结算支付方式的，需改用采购人要求的支付方式，具体以双方协商为准。</w:t>
      </w:r>
    </w:p>
    <w:p w14:paraId="2F9DA180">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pacing w:val="0"/>
          <w:kern w:val="2"/>
          <w:sz w:val="24"/>
          <w:szCs w:val="24"/>
          <w:highlight w:val="none"/>
          <w:lang w:val="en-US" w:eastAsia="zh-CN" w:bidi="ar-SA"/>
        </w:rPr>
        <w:t>二、</w:t>
      </w:r>
      <w:r>
        <w:rPr>
          <w:rFonts w:hint="eastAsia" w:ascii="仿宋" w:hAnsi="仿宋" w:eastAsia="仿宋" w:cs="仿宋"/>
          <w:b/>
          <w:bCs/>
          <w:color w:val="auto"/>
          <w:sz w:val="24"/>
          <w:szCs w:val="24"/>
          <w:highlight w:val="none"/>
          <w:lang w:val="en-US" w:eastAsia="zh-CN"/>
        </w:rPr>
        <w:t>供应商要求</w:t>
      </w:r>
    </w:p>
    <w:p w14:paraId="318A165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（1）供应商应为依法设立并续存，具有相应服务团队且年检合格的专业养老服务机构，包括依法登记成立的养老服务企业、养老服务社会组织；</w:t>
      </w:r>
    </w:p>
    <w:p w14:paraId="28759D56">
      <w:pPr>
        <w:pStyle w:val="22"/>
        <w:pageBreakBefore w:val="0"/>
        <w:kinsoku/>
        <w:wordWrap/>
        <w:overflowPunct/>
        <w:topLinePunct w:val="0"/>
        <w:autoSpaceDE/>
        <w:autoSpaceDN/>
        <w:bidi w:val="0"/>
        <w:spacing w:line="500" w:lineRule="exact"/>
        <w:ind w:firstLine="48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val="0"/>
          <w:bCs w:val="0"/>
          <w:color w:val="auto"/>
          <w:sz w:val="24"/>
          <w:szCs w:val="24"/>
          <w:highlight w:val="none"/>
          <w:shd w:val="clear" w:color="auto" w:fill="auto"/>
          <w:lang w:val="en-US" w:eastAsia="zh-CN"/>
        </w:rPr>
        <w:t>（2）应具有与其业务范围相适应固定的场地以及相应设施设备。</w:t>
      </w:r>
    </w:p>
    <w:p w14:paraId="5B82CD6D">
      <w:pPr>
        <w:pStyle w:val="22"/>
        <w:pageBreakBefore w:val="0"/>
        <w:kinsoku/>
        <w:wordWrap/>
        <w:overflowPunct/>
        <w:topLinePunct w:val="0"/>
        <w:autoSpaceDE/>
        <w:autoSpaceDN/>
        <w:bidi w:val="0"/>
        <w:spacing w:line="500" w:lineRule="exact"/>
        <w:ind w:firstLine="48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三、考核机制</w:t>
      </w:r>
    </w:p>
    <w:p w14:paraId="7E7110FA">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本项目服务期两年，具体起止时间在合同中约定。合同一年一签，服务期内上门服务项目实行月度考核。服务期内供应商月度考核分出现两次85分（不含）以下的或满足“清退机制”条件之一的，签约方有权随时与供应商暂停服务终止合同，因合同终止对签约方造成的损失由供应商自行承担。</w:t>
      </w:r>
    </w:p>
    <w:p w14:paraId="3EB3D145">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（1）考核细则</w:t>
      </w:r>
    </w:p>
    <w:p w14:paraId="71627F06">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服务期内，点位运营为年度考核，根据考核结果发放运行补助。上门服务项目对供应商进行月度考核（考核细则见下表）。服务期内供应商月度考核分出现90分（不含）以下，月度考核所扣每1分按照每分罚款1000元计算，由采购人从待付款项中一次性扣除，如待付款项不足支付考核罚款，供应商应当在知晓具体金额后10日内补足罚款。</w:t>
      </w:r>
    </w:p>
    <w:tbl>
      <w:tblPr>
        <w:tblStyle w:val="49"/>
        <w:tblW w:w="9051" w:type="dxa"/>
        <w:jc w:val="center"/>
        <w:tblLayout w:type="fixed"/>
        <w:tblCellMar>
          <w:top w:w="0" w:type="dxa"/>
          <w:left w:w="108" w:type="dxa"/>
          <w:bottom w:w="0" w:type="dxa"/>
          <w:right w:w="108" w:type="dxa"/>
        </w:tblCellMar>
      </w:tblPr>
      <w:tblGrid>
        <w:gridCol w:w="689"/>
        <w:gridCol w:w="487"/>
        <w:gridCol w:w="4692"/>
        <w:gridCol w:w="1621"/>
        <w:gridCol w:w="675"/>
        <w:gridCol w:w="887"/>
      </w:tblGrid>
      <w:tr w14:paraId="18C86B33">
        <w:tblPrEx>
          <w:tblCellMar>
            <w:top w:w="0" w:type="dxa"/>
            <w:left w:w="108" w:type="dxa"/>
            <w:bottom w:w="0" w:type="dxa"/>
            <w:right w:w="108" w:type="dxa"/>
          </w:tblCellMar>
        </w:tblPrEx>
        <w:trPr>
          <w:trHeight w:val="186" w:hRule="atLeast"/>
          <w:jc w:val="center"/>
        </w:trPr>
        <w:tc>
          <w:tcPr>
            <w:tcW w:w="9051" w:type="dxa"/>
            <w:gridSpan w:val="6"/>
            <w:tcBorders>
              <w:top w:val="single" w:color="auto" w:sz="4" w:space="0"/>
              <w:left w:val="single" w:color="auto" w:sz="4" w:space="0"/>
              <w:bottom w:val="single" w:color="auto" w:sz="4" w:space="0"/>
              <w:right w:val="single" w:color="auto" w:sz="4" w:space="0"/>
            </w:tcBorders>
            <w:noWrap w:val="0"/>
            <w:vAlign w:val="center"/>
          </w:tcPr>
          <w:p w14:paraId="73DC474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考核细则</w:t>
            </w:r>
          </w:p>
        </w:tc>
      </w:tr>
      <w:tr w14:paraId="5030954A">
        <w:tblPrEx>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6FC377B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评分项目</w:t>
            </w:r>
          </w:p>
        </w:tc>
        <w:tc>
          <w:tcPr>
            <w:tcW w:w="5179" w:type="dxa"/>
            <w:gridSpan w:val="2"/>
            <w:tcBorders>
              <w:top w:val="single" w:color="auto" w:sz="4" w:space="0"/>
              <w:left w:val="single" w:color="auto" w:sz="4" w:space="0"/>
              <w:bottom w:val="single" w:color="auto" w:sz="4" w:space="0"/>
              <w:right w:val="single" w:color="auto" w:sz="4" w:space="0"/>
            </w:tcBorders>
            <w:noWrap w:val="0"/>
            <w:vAlign w:val="center"/>
          </w:tcPr>
          <w:p w14:paraId="526BC17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auto"/>
                <w:kern w:val="2"/>
                <w:sz w:val="20"/>
                <w:szCs w:val="20"/>
                <w:highlight w:val="none"/>
                <w:u w:val="none"/>
                <w:shd w:val="clear" w:color="auto" w:fill="auto"/>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具体内容</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33F6AD9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0"/>
                <w:szCs w:val="20"/>
                <w:highlight w:val="none"/>
              </w:rPr>
              <w:t>分值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816EB54">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0"/>
                <w:szCs w:val="20"/>
                <w:highlight w:val="none"/>
              </w:rPr>
              <w:t>扣分</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31BA226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0"/>
                <w:szCs w:val="20"/>
                <w:highlight w:val="none"/>
              </w:rPr>
              <w:t>扣分点</w:t>
            </w:r>
          </w:p>
        </w:tc>
      </w:tr>
      <w:tr w14:paraId="53057051">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73D15C9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服务内容</w:t>
            </w:r>
          </w:p>
          <w:p w14:paraId="1B9D9E3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7073D85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6D659D6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bidi="ar"/>
              </w:rPr>
            </w:pPr>
            <w:r>
              <w:rPr>
                <w:rFonts w:hint="eastAsia" w:ascii="仿宋" w:hAnsi="仿宋" w:eastAsia="仿宋" w:cs="仿宋"/>
                <w:i w:val="0"/>
                <w:iCs w:val="0"/>
                <w:color w:val="auto"/>
                <w:kern w:val="0"/>
                <w:sz w:val="20"/>
                <w:szCs w:val="20"/>
                <w:highlight w:val="none"/>
                <w:u w:val="none"/>
                <w:lang w:val="en-US" w:eastAsia="zh-CN" w:bidi="ar"/>
              </w:rPr>
              <w:t>首次上门未按要求与接受服务的老年人或其代理人签订具有法律效力的服务协议并发放服务卡（内容包括但不限于老人名称、补贴金额、服务内容、点单方式等），或未补充每月新增。（需提供协议复印件）</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6335450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2E2F65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59E631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049CFBA">
        <w:tblPrEx>
          <w:tblCellMar>
            <w:top w:w="0" w:type="dxa"/>
            <w:left w:w="108" w:type="dxa"/>
            <w:bottom w:w="0" w:type="dxa"/>
            <w:right w:w="108" w:type="dxa"/>
          </w:tblCellMar>
        </w:tblPrEx>
        <w:trPr>
          <w:trHeight w:val="69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2CB9AE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2F3C6E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6C075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对享受政府购买服务的居家养老服务对象提供服务时服务人员未携带能正常使用的POS机上门为服务对象服务或未全程电子化管理。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1F6AD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D1D3B6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198A850">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EDBE82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EC7C21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0E18CD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0B267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供应商未按照招投标文件及服务协议进行服务。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39C9D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F5F2AE6">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D3B7E7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F59580E">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70FCF4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04096A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47F33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shd w:val="clear"/>
                <w:lang w:val="en-US" w:eastAsia="zh-CN" w:bidi="ar"/>
              </w:rPr>
              <w:t>上门服务前未与老人提前预约时间。服务结束后未及时结算。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D0F18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DD60A26">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611FFB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650769C">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352F3F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BB40F7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738EB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服务开始与结束未向老人讲明和解释服务全过程，未足时按采购人服务要求进行服务，服务结束后未与老人沟通服务满意度或老人的服务满意度少于100分。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247F1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D6457A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35FFE2F">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9AD83A4">
        <w:tblPrEx>
          <w:tblCellMar>
            <w:top w:w="0" w:type="dxa"/>
            <w:left w:w="108" w:type="dxa"/>
            <w:bottom w:w="0" w:type="dxa"/>
            <w:right w:w="108" w:type="dxa"/>
          </w:tblCellMar>
        </w:tblPrEx>
        <w:trPr>
          <w:trHeight w:val="300" w:hRule="atLeast"/>
          <w:jc w:val="center"/>
        </w:trPr>
        <w:tc>
          <w:tcPr>
            <w:tcW w:w="689" w:type="dxa"/>
            <w:vMerge w:val="restart"/>
            <w:tcBorders>
              <w:top w:val="single" w:color="auto" w:sz="4" w:space="0"/>
              <w:left w:val="single" w:color="auto" w:sz="4" w:space="0"/>
              <w:right w:val="single" w:color="auto" w:sz="4" w:space="0"/>
            </w:tcBorders>
            <w:noWrap w:val="0"/>
            <w:vAlign w:val="center"/>
          </w:tcPr>
          <w:p w14:paraId="4CE273B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w:t>
            </w:r>
          </w:p>
          <w:p w14:paraId="515DE5A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73FCC22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64EA6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服务人员不具有合法的劳动从业资格或服务期内年龄低于60周岁。（需提供服务人员身份证、意外险、健康证、劳动合同/劳务协议、上岗证或者职业技能培训证等文件的复印件）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C8B90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DFAE01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AEBA072">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A0341CB">
        <w:tblPrEx>
          <w:tblCellMar>
            <w:top w:w="0" w:type="dxa"/>
            <w:left w:w="108" w:type="dxa"/>
            <w:bottom w:w="0" w:type="dxa"/>
            <w:right w:w="108" w:type="dxa"/>
          </w:tblCellMar>
        </w:tblPrEx>
        <w:trPr>
          <w:trHeight w:val="300" w:hRule="atLeast"/>
          <w:jc w:val="center"/>
        </w:trPr>
        <w:tc>
          <w:tcPr>
            <w:tcW w:w="689" w:type="dxa"/>
            <w:vMerge w:val="continue"/>
            <w:tcBorders>
              <w:left w:val="single" w:color="auto" w:sz="4" w:space="0"/>
              <w:right w:val="single" w:color="auto" w:sz="4" w:space="0"/>
            </w:tcBorders>
            <w:noWrap w:val="0"/>
            <w:vAlign w:val="center"/>
          </w:tcPr>
          <w:p w14:paraId="620ACFF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0AC73A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98E44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供应商每季度未组织至少一次的服务人员培训，包括技能、礼仪、奖惩等内容。（提供相关培训内容、签到表、照片、活动记录表等台账资料）</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B1250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63573C5">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04B1F96">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681C53B">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7221CC7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FA2D99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1DE625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服务人员未统一着装、佩戴工牌。</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C98F6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83D2690">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7AB2390">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79BAE80">
        <w:tblPrEx>
          <w:tblCellMar>
            <w:top w:w="0" w:type="dxa"/>
            <w:left w:w="108" w:type="dxa"/>
            <w:bottom w:w="0" w:type="dxa"/>
            <w:right w:w="108" w:type="dxa"/>
          </w:tblCellMar>
        </w:tblPrEx>
        <w:trPr>
          <w:trHeight w:val="90" w:hRule="atLeast"/>
          <w:jc w:val="center"/>
        </w:trPr>
        <w:tc>
          <w:tcPr>
            <w:tcW w:w="689" w:type="dxa"/>
            <w:vMerge w:val="continue"/>
            <w:tcBorders>
              <w:left w:val="single" w:color="auto" w:sz="4" w:space="0"/>
              <w:right w:val="single" w:color="auto" w:sz="4" w:space="0"/>
            </w:tcBorders>
            <w:noWrap w:val="0"/>
            <w:vAlign w:val="center"/>
          </w:tcPr>
          <w:p w14:paraId="28693FF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1C9ECF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0481A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服务中未文明操作、礼貌待人、主动服务、尊老敬老。</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353104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A844F5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D90CAE2">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AA365BD">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37810EE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E3AE26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17A04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服务人员平台信息</w:t>
            </w:r>
            <w:r>
              <w:rPr>
                <w:rFonts w:hint="eastAsia" w:ascii="仿宋" w:hAnsi="仿宋" w:eastAsia="仿宋" w:cs="仿宋"/>
                <w:i w:val="0"/>
                <w:iCs w:val="0"/>
                <w:color w:val="auto"/>
                <w:kern w:val="0"/>
                <w:sz w:val="20"/>
                <w:szCs w:val="20"/>
                <w:highlight w:val="none"/>
                <w:u w:val="none"/>
                <w:shd w:val="clear"/>
                <w:lang w:val="en-US" w:eastAsia="zh-CN" w:bidi="ar"/>
              </w:rPr>
              <w:t>未及时更新或不符</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7907B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F966A1">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E8B0A5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93A165F">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48353D1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34EFE8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43858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shd w:val="clear"/>
                <w:lang w:val="en-US" w:eastAsia="zh-CN" w:bidi="ar"/>
              </w:rPr>
              <w:t>服务响应不及时</w:t>
            </w:r>
            <w:r>
              <w:rPr>
                <w:rFonts w:hint="eastAsia" w:ascii="仿宋" w:hAnsi="仿宋" w:eastAsia="仿宋" w:cs="仿宋"/>
                <w:i w:val="0"/>
                <w:iCs w:val="0"/>
                <w:color w:val="auto"/>
                <w:kern w:val="0"/>
                <w:sz w:val="20"/>
                <w:szCs w:val="20"/>
                <w:highlight w:val="none"/>
                <w:u w:val="none"/>
                <w:lang w:val="en-US" w:eastAsia="zh-CN" w:bidi="ar"/>
              </w:rPr>
              <w:t>：老人主动预约服务，未按承诺的时间联系老人并确认好具体上门服务的时间的。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E93B9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7BE912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1A58D7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12D2822">
        <w:tblPrEx>
          <w:tblCellMar>
            <w:top w:w="0" w:type="dxa"/>
            <w:left w:w="108" w:type="dxa"/>
            <w:bottom w:w="0" w:type="dxa"/>
            <w:right w:w="108" w:type="dxa"/>
          </w:tblCellMar>
        </w:tblPrEx>
        <w:trPr>
          <w:trHeight w:val="90" w:hRule="atLeast"/>
          <w:jc w:val="center"/>
        </w:trPr>
        <w:tc>
          <w:tcPr>
            <w:tcW w:w="689" w:type="dxa"/>
            <w:vMerge w:val="continue"/>
            <w:tcBorders>
              <w:left w:val="single" w:color="auto" w:sz="4" w:space="0"/>
              <w:right w:val="single" w:color="auto" w:sz="4" w:space="0"/>
            </w:tcBorders>
            <w:noWrap w:val="0"/>
            <w:vAlign w:val="center"/>
          </w:tcPr>
          <w:p w14:paraId="539FFD3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B8F37C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033CA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服务人员或项目负责人平台信息与服务人员或项目负责人实际信息不一致。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F418A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849F76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A3E1B0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92A5F27">
        <w:tblPrEx>
          <w:tblCellMar>
            <w:top w:w="0" w:type="dxa"/>
            <w:left w:w="108" w:type="dxa"/>
            <w:bottom w:w="0" w:type="dxa"/>
            <w:right w:w="108" w:type="dxa"/>
          </w:tblCellMar>
        </w:tblPrEx>
        <w:trPr>
          <w:trHeight w:val="440" w:hRule="atLeast"/>
          <w:jc w:val="center"/>
        </w:trPr>
        <w:tc>
          <w:tcPr>
            <w:tcW w:w="689" w:type="dxa"/>
            <w:vMerge w:val="continue"/>
            <w:tcBorders>
              <w:left w:val="single" w:color="auto" w:sz="4" w:space="0"/>
              <w:right w:val="single" w:color="auto" w:sz="4" w:space="0"/>
            </w:tcBorders>
            <w:noWrap w:val="0"/>
            <w:vAlign w:val="center"/>
          </w:tcPr>
          <w:p w14:paraId="5C0B40B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F4CE16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16C14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供应商更换项目负责人或项目负责人与实际不一致的。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CE122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CF5BA60">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6DD22B6">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F3213C6">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67CDBD5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DDC106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bidi="ar"/>
              </w:rPr>
            </w:pPr>
            <w:r>
              <w:rPr>
                <w:rFonts w:hint="eastAsia" w:ascii="仿宋" w:hAnsi="仿宋" w:eastAsia="仿宋" w:cs="仿宋"/>
                <w:i w:val="0"/>
                <w:iCs w:val="0"/>
                <w:color w:val="auto"/>
                <w:kern w:val="0"/>
                <w:sz w:val="20"/>
                <w:szCs w:val="20"/>
                <w:highlight w:val="none"/>
                <w:u w:val="none"/>
                <w:lang w:val="en-US" w:eastAsia="zh-CN" w:bidi="ar"/>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98EDA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供应商更换服务人员或服务人员与实际不一致的。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66608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28D4DF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AF16CD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D8A4061">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0A64C86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2589D4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169AE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服务人员未按照标段人数配备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D2DDF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C17CD4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C7FEE8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264F5C4">
        <w:tblPrEx>
          <w:tblCellMar>
            <w:top w:w="0" w:type="dxa"/>
            <w:left w:w="108" w:type="dxa"/>
            <w:bottom w:w="0" w:type="dxa"/>
            <w:right w:w="108" w:type="dxa"/>
          </w:tblCellMar>
        </w:tblPrEx>
        <w:trPr>
          <w:trHeight w:val="47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4BE17FF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服务质量考核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4053C3B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DDD55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bidi="ar"/>
              </w:rPr>
            </w:pPr>
            <w:r>
              <w:rPr>
                <w:rFonts w:hint="eastAsia" w:ascii="仿宋" w:hAnsi="仿宋" w:eastAsia="仿宋" w:cs="仿宋"/>
                <w:i w:val="0"/>
                <w:iCs w:val="0"/>
                <w:color w:val="auto"/>
                <w:kern w:val="0"/>
                <w:sz w:val="20"/>
                <w:szCs w:val="20"/>
                <w:highlight w:val="none"/>
                <w:u w:val="none"/>
                <w:lang w:val="en-US" w:eastAsia="zh-CN" w:bidi="ar"/>
              </w:rPr>
              <w:t>上报服务工单的服务时间、服务内容与实际服务时间、服务内容不一致。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37FB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776C7D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C1F034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BBCA305">
        <w:tblPrEx>
          <w:tblCellMar>
            <w:top w:w="0" w:type="dxa"/>
            <w:left w:w="108" w:type="dxa"/>
            <w:bottom w:w="0" w:type="dxa"/>
            <w:right w:w="108" w:type="dxa"/>
          </w:tblCellMar>
        </w:tblPrEx>
        <w:trPr>
          <w:trHeight w:val="4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C2C42A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106F81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5E8A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服务人员入户后未经老人允许就开始服务，或上一单服务未结束就进入下一单服务的。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E47894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9BC72E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3F3F6B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25D6DF9">
        <w:tblPrEx>
          <w:tblCellMar>
            <w:top w:w="0" w:type="dxa"/>
            <w:left w:w="108" w:type="dxa"/>
            <w:bottom w:w="0" w:type="dxa"/>
            <w:right w:w="108" w:type="dxa"/>
          </w:tblCellMar>
        </w:tblPrEx>
        <w:trPr>
          <w:trHeight w:val="6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B951FD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A22A21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4AC8A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对两单间隔时间异常（如跨社区、服务订单无间隔时间或间隔过短情况）或项目重叠的无法提供相应证明的。</w:t>
            </w:r>
            <w:r>
              <w:rPr>
                <w:rFonts w:hint="eastAsia" w:ascii="仿宋" w:hAnsi="仿宋" w:eastAsia="仿宋" w:cs="仿宋"/>
                <w:i w:val="0"/>
                <w:iCs w:val="0"/>
                <w:color w:val="auto"/>
                <w:kern w:val="0"/>
                <w:sz w:val="20"/>
                <w:szCs w:val="20"/>
                <w:highlight w:val="none"/>
                <w:u w:val="none"/>
                <w:shd w:val="clear"/>
                <w:lang w:val="en-US" w:eastAsia="zh-CN" w:bidi="ar"/>
              </w:rPr>
              <w:t>（两单间隔时间不少于20分钟；两单支付时间不少于60分钟）</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630DE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0.3分/次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BF406D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D1901E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AB8645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4150B3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88764A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9A681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网络或电话方式收到老人投诉或负面舆情，由</w:t>
            </w:r>
            <w:r>
              <w:rPr>
                <w:rFonts w:hint="eastAsia" w:ascii="仿宋" w:hAnsi="仿宋" w:eastAsia="仿宋" w:cs="仿宋"/>
                <w:color w:val="auto"/>
                <w:spacing w:val="0"/>
                <w:kern w:val="0"/>
                <w:sz w:val="20"/>
                <w:szCs w:val="20"/>
                <w:highlight w:val="none"/>
                <w:u w:val="none"/>
                <w:lang w:val="en-US" w:eastAsia="zh-CN" w:bidi="ar"/>
              </w:rPr>
              <w:t>第三方监管单位</w:t>
            </w:r>
            <w:r>
              <w:rPr>
                <w:rFonts w:hint="eastAsia" w:ascii="仿宋" w:hAnsi="仿宋" w:eastAsia="仿宋" w:cs="仿宋"/>
                <w:i w:val="0"/>
                <w:iCs w:val="0"/>
                <w:color w:val="auto"/>
                <w:kern w:val="0"/>
                <w:sz w:val="20"/>
                <w:szCs w:val="20"/>
                <w:highlight w:val="none"/>
                <w:u w:val="none"/>
                <w:lang w:val="en-US" w:eastAsia="zh-CN" w:bidi="ar"/>
              </w:rPr>
              <w:t>入户进行核实，核实为有效投诉的。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2C212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FCF85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B11451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6B81E35">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721796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EF3698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E26E6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发生重大责任事故和违法违纪行为等事件的。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70B08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28271B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62EC9F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033E6B3">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EE5CF8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ADDB28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9979E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shd w:val="clear"/>
                <w:lang w:val="en-US" w:eastAsia="zh-CN" w:bidi="ar"/>
              </w:rPr>
              <w:t>未及时结算或隔日结算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0C5302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D1E050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D3C069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19C5E41">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6A451A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31F5F53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7</w:t>
            </w:r>
          </w:p>
        </w:tc>
        <w:tc>
          <w:tcPr>
            <w:tcW w:w="46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D62D9E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服务满意度（由第三方测评单位抽取名单，向老人、家属、社区、街道进行满意度回访。并将相关情况及时反馈街道、社区，由街道、社区及时作出后续处理）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3BC76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&lt;80%  3分/次</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0183776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vMerge w:val="restart"/>
            <w:tcBorders>
              <w:top w:val="single" w:color="auto" w:sz="4" w:space="0"/>
              <w:left w:val="single" w:color="auto" w:sz="4" w:space="0"/>
              <w:bottom w:val="single" w:color="auto" w:sz="4" w:space="0"/>
              <w:right w:val="single" w:color="auto" w:sz="4" w:space="0"/>
            </w:tcBorders>
            <w:noWrap w:val="0"/>
            <w:vAlign w:val="center"/>
          </w:tcPr>
          <w:p w14:paraId="17D879A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006AD41">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1A711D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2E06C5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53ACCC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02A947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80-89% 2分/次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4059C3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72B2C17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CE8802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CB6D6E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92D886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6D76BA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8F85E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90-95% 1分/次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45A4DB8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2C3C646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8D4CF1F">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173169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C9D915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BA2BD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高龄普惠人群占每月服务老人比例不达标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C6A05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C53F10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64FE94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C32BE06">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B71940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9D7E7D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90BB6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1小时单量占每月服务单量比例不达标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19701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3586E3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F70133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997F643">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1070CD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C7B56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EA116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未按标准服务，协助排查过程中出现的自己拿市民卡、带走老人市民卡、服务不足时、中途离开等行为</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B2C92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556F5D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474B70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E5C85B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562775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8BC81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41CBB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非不可抗力原因未开展服务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A6465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34DB14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90FE50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A612106">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10A8D8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0E8B2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4F9B4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服务人员每月服务时长超过200小时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7633D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FD3411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3AFA8C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386BE54">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B7FD97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98C3B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66C57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市局回访服务人员未及时接听电话</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49AF0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0.1分/个</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808659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A58D29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7CF38E0">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2FED34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BDE05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CFB6C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市局回访服务人员未开展服务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6A7DB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735ED8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696144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F5D805B">
        <w:tblPrEx>
          <w:tblCellMar>
            <w:top w:w="0" w:type="dxa"/>
            <w:left w:w="108" w:type="dxa"/>
            <w:bottom w:w="0" w:type="dxa"/>
            <w:right w:w="108" w:type="dxa"/>
          </w:tblCellMar>
        </w:tblPrEx>
        <w:trPr>
          <w:trHeight w:val="34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53A4094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服务完成情况</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3AEF520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A748C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未在每月25日前完成老人信息变动情况（包括老人及其监护人地址电话更新、去世老人、跨区变动、拒单老人）的上报。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7A173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F77EF0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29E6A5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9776C45">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842003E">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8CD5BA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1C4C1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未在每月提交1篇信息稿或专报。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E51741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65F2A9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0F6F0C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C743AEA">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58D1E0D">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5A8ABF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47C63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每年信息稿或专报被区级及以上媒体（含新媒体、纸媒等）录用量少于1篇的。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F40AC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82DD12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212233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141DF87">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4435218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加分项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12F68B1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8AF75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服务特色与创新（须经民政局认定且符合要求的特色服务）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88242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CA22BD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E2557E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EC466D6">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54F4D3B">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3FF6B0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EC933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服务出色，获得老人或家属称赞的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57B0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86A17D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CF7BC9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8A13ACF">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A9503D8">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E0265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4B7188B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为老服务公益性活动</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2FCD702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42BE6A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68AC7F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383E2A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6C131FA">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8C69C2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593B431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遇到突发情况，紧急应对，化险为夷的</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4FC1995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1B1B59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5ADDAB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6316CE7">
        <w:tblPrEx>
          <w:tblCellMar>
            <w:top w:w="0" w:type="dxa"/>
            <w:left w:w="108" w:type="dxa"/>
            <w:bottom w:w="0" w:type="dxa"/>
            <w:right w:w="108" w:type="dxa"/>
          </w:tblCellMar>
        </w:tblPrEx>
        <w:trPr>
          <w:trHeight w:val="190"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3934501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sz w:val="20"/>
                <w:szCs w:val="20"/>
                <w:highlight w:val="none"/>
              </w:rPr>
              <w:t>乙方</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5A14A3A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DD4D0C2">
        <w:tblPrEx>
          <w:tblCellMar>
            <w:top w:w="0" w:type="dxa"/>
            <w:left w:w="108" w:type="dxa"/>
            <w:bottom w:w="0" w:type="dxa"/>
            <w:right w:w="108" w:type="dxa"/>
          </w:tblCellMar>
        </w:tblPrEx>
        <w:trPr>
          <w:trHeight w:val="288"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4560B4A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0"/>
                <w:szCs w:val="20"/>
                <w:highlight w:val="none"/>
              </w:rPr>
              <w:t>小计扣分</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5DF3E14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1"/>
                <w:szCs w:val="21"/>
                <w:highlight w:val="none"/>
                <w:u w:val="none"/>
                <w:lang w:val="en-US" w:eastAsia="zh-CN" w:bidi="ar"/>
              </w:rPr>
            </w:pPr>
          </w:p>
        </w:tc>
      </w:tr>
    </w:tbl>
    <w:p w14:paraId="32B3C7DE">
      <w:pPr>
        <w:pStyle w:val="21"/>
        <w:keepNext w:val="0"/>
        <w:keepLines w:val="0"/>
        <w:pageBreakBefore w:val="0"/>
        <w:widowControl w:val="0"/>
        <w:kinsoku/>
        <w:wordWrap/>
        <w:overflowPunct/>
        <w:topLinePunct w:val="0"/>
        <w:autoSpaceDE/>
        <w:autoSpaceDN/>
        <w:bidi w:val="0"/>
        <w:adjustRightInd w:val="0"/>
        <w:snapToGrid/>
        <w:spacing w:line="520" w:lineRule="exact"/>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（2）清退机制（如有以下行为之一的签约方有权随时与供应商暂停服务终止合同，并视情况列入黑名单，2年内拒绝参加滨江区居家养老综合服务项目）</w:t>
      </w:r>
    </w:p>
    <w:tbl>
      <w:tblPr>
        <w:tblStyle w:val="49"/>
        <w:tblW w:w="9051" w:type="dxa"/>
        <w:jc w:val="center"/>
        <w:tblLayout w:type="fixed"/>
        <w:tblCellMar>
          <w:top w:w="0" w:type="dxa"/>
          <w:left w:w="108" w:type="dxa"/>
          <w:bottom w:w="0" w:type="dxa"/>
          <w:right w:w="108" w:type="dxa"/>
        </w:tblCellMar>
      </w:tblPr>
      <w:tblGrid>
        <w:gridCol w:w="1176"/>
        <w:gridCol w:w="7875"/>
      </w:tblGrid>
      <w:tr w14:paraId="3F1A2F6D">
        <w:tblPrEx>
          <w:tblCellMar>
            <w:top w:w="0" w:type="dxa"/>
            <w:left w:w="108" w:type="dxa"/>
            <w:bottom w:w="0" w:type="dxa"/>
            <w:right w:w="108" w:type="dxa"/>
          </w:tblCellMar>
        </w:tblPrEx>
        <w:trPr>
          <w:trHeight w:val="186" w:hRule="atLeast"/>
          <w:jc w:val="center"/>
        </w:trPr>
        <w:tc>
          <w:tcPr>
            <w:tcW w:w="9051" w:type="dxa"/>
            <w:gridSpan w:val="2"/>
            <w:tcBorders>
              <w:top w:val="single" w:color="000000" w:sz="4" w:space="0"/>
              <w:left w:val="single" w:color="000000" w:sz="4" w:space="0"/>
              <w:bottom w:val="single" w:color="000000" w:sz="4" w:space="0"/>
              <w:right w:val="single" w:color="000000" w:sz="4" w:space="0"/>
            </w:tcBorders>
            <w:noWrap w:val="0"/>
            <w:vAlign w:val="center"/>
          </w:tcPr>
          <w:p w14:paraId="31EEB40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清退机制细则</w:t>
            </w:r>
          </w:p>
        </w:tc>
      </w:tr>
      <w:tr w14:paraId="502BB70D">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6468A0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16F1EC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具体内容</w:t>
            </w:r>
          </w:p>
        </w:tc>
      </w:tr>
      <w:tr w14:paraId="03A9E78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FC3FAC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4C0E586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sz w:val="20"/>
                <w:szCs w:val="20"/>
                <w:highlight w:val="none"/>
                <w:u w:val="none"/>
                <w:lang w:val="en-US" w:eastAsia="zh-CN"/>
              </w:rPr>
              <w:t>供应商更换后的项目负责人或服务人员，不满足采购需求的年龄、证件等要求的。</w:t>
            </w:r>
          </w:p>
        </w:tc>
      </w:tr>
      <w:tr w14:paraId="2DB98427">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0FB782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A097B1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逾期未交月度考核罚款的。</w:t>
            </w:r>
          </w:p>
        </w:tc>
      </w:tr>
      <w:tr w14:paraId="4C22DBC9">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BE9352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09927B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服务期内月度考核分出现两次85分（不含）以下的。</w:t>
            </w:r>
          </w:p>
        </w:tc>
      </w:tr>
      <w:tr w14:paraId="11B697D0">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49B794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EA6735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非法骗取套取政府财政资金，发现虚假交易、套现补贴且金额超5000元及以上的（退一罚十）。</w:t>
            </w:r>
          </w:p>
        </w:tc>
      </w:tr>
      <w:tr w14:paraId="59CA4D18">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18CF6F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5</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708B8D6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违法违规开展服务协议外的其他活动。</w:t>
            </w:r>
          </w:p>
        </w:tc>
      </w:tr>
      <w:tr w14:paraId="3E4C93F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A85226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6</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98051F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泄露老人个人隐私信息。</w:t>
            </w:r>
          </w:p>
        </w:tc>
      </w:tr>
      <w:tr w14:paraId="15A74809">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F95C31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7</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081F8A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发生殴打、体罚等欺老虐老行为。</w:t>
            </w:r>
          </w:p>
        </w:tc>
      </w:tr>
      <w:tr w14:paraId="17ECEC54">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81979A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8</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14246F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未按操作规程或标准提供服务，引发较大安全责任事故。</w:t>
            </w:r>
          </w:p>
        </w:tc>
      </w:tr>
      <w:tr w14:paraId="45C2A83B">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894BE2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9</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DE3908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故意隐瞒不及时报安全责任事故，检查发现安全隐患拒不整改。</w:t>
            </w:r>
          </w:p>
        </w:tc>
      </w:tr>
      <w:tr w14:paraId="6D9B3A4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BE6354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4FB74A0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经查实，被老年人或及家属等年度投诉不能超过5次（不含5次）。</w:t>
            </w:r>
          </w:p>
        </w:tc>
      </w:tr>
      <w:tr w14:paraId="4F777D5D">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D888DD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F389C2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因合同纠纷造成群体性事件或不良社会舆论，或其他不良行为。</w:t>
            </w:r>
          </w:p>
        </w:tc>
      </w:tr>
      <w:tr w14:paraId="565AFD93">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A4B92B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18C8093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经第三方测评，年度老人满意度低于95%并核查属实的。</w:t>
            </w:r>
          </w:p>
        </w:tc>
      </w:tr>
      <w:tr w14:paraId="0DFE50E4">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3FD82D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4319CD0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出现违法违规经营行为且超两次或拒不改正的，国家、省、市规定应当列入的其他严重失信情形。</w:t>
            </w:r>
          </w:p>
        </w:tc>
      </w:tr>
    </w:tbl>
    <w:p w14:paraId="0B9F5A5E">
      <w:pPr>
        <w:keepNext w:val="0"/>
        <w:keepLines w:val="0"/>
        <w:pageBreakBefore w:val="0"/>
        <w:widowControl w:val="0"/>
        <w:numPr>
          <w:ilvl w:val="0"/>
          <w:numId w:val="5"/>
        </w:numPr>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框架协议、采购合同签订要求</w:t>
      </w:r>
    </w:p>
    <w:p w14:paraId="5D35F45E">
      <w:pPr>
        <w:autoSpaceDE/>
        <w:autoSpaceDN/>
        <w:spacing w:before="47" w:line="500" w:lineRule="exact"/>
        <w:ind w:firstLine="420"/>
        <w:jc w:val="left"/>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（1）供应商入围后按本项目征集文件的规定和入围通知书的要求及时与征集人签订 框架协议，无正当理由不得主动放弃入围资格或者退出框架协议。</w:t>
      </w:r>
    </w:p>
    <w:p w14:paraId="3C9594FE">
      <w:pPr>
        <w:pStyle w:val="20"/>
        <w:spacing w:before="164" w:line="315" w:lineRule="auto"/>
        <w:ind w:left="3" w:firstLine="480"/>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（2）入围供应商第一阶段的响应报价（协议价格）是采购人确定第二阶段成交供应商的最高限价。供应商在政采云系统中接到采购人订单（采购人合同授予）后，无正当 理由不得拖延、拒绝、取消订单，应按本项目征集文件、框架协议规定及时与采购人签订合同。</w:t>
      </w:r>
    </w:p>
    <w:p w14:paraId="0FF7ED8D">
      <w:pPr>
        <w:pStyle w:val="20"/>
        <w:spacing w:before="160" w:line="219" w:lineRule="auto"/>
        <w:ind w:left="485"/>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（3）按征集文件规定的要求和合同文本格式编制合同。</w:t>
      </w:r>
    </w:p>
    <w:p w14:paraId="2825CABC">
      <w:pPr>
        <w:pStyle w:val="20"/>
        <w:spacing w:before="166" w:line="219" w:lineRule="auto"/>
        <w:ind w:left="455"/>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（4）供应商与采购人签订合同后应积极履行合同义务，并按约定的时间和要求完成。</w:t>
      </w:r>
    </w:p>
    <w:p w14:paraId="20F3AB55">
      <w:pPr>
        <w:pStyle w:val="20"/>
        <w:spacing w:before="164" w:line="283" w:lineRule="auto"/>
        <w:ind w:firstLine="485"/>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（5）其他要求见第二部分“七、框架协议、采购合同签订”和第五部分“拟签订的框架协议文本和采购合同文本”。</w:t>
      </w:r>
    </w:p>
    <w:p w14:paraId="43A853D9">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五、确定第二阶段成交供应商的方式</w:t>
      </w:r>
    </w:p>
    <w:p w14:paraId="346A614A">
      <w:pPr>
        <w:pStyle w:val="21"/>
        <w:keepNext w:val="0"/>
        <w:keepLines w:val="0"/>
        <w:pageBreakBefore w:val="0"/>
        <w:widowControl w:val="0"/>
        <w:kinsoku/>
        <w:wordWrap/>
        <w:overflowPunct/>
        <w:topLinePunct w:val="0"/>
        <w:autoSpaceDE/>
        <w:autoSpaceDN/>
        <w:bidi w:val="0"/>
        <w:snapToGrid/>
        <w:spacing w:line="500" w:lineRule="exact"/>
        <w:ind w:left="0" w:leftChars="0" w:firstLine="480" w:firstLineChars="200"/>
        <w:textAlignment w:val="auto"/>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本项目由杭州市滨江区民政局负责征集采购，确定入围供应商后，由各街道结合实际情况，综合考虑，从相应标段的第一阶段入围供应商中直接选定，各街道与选定的</w:t>
      </w:r>
      <w:r>
        <w:rPr>
          <w:rFonts w:hint="eastAsia" w:ascii="仿宋" w:hAnsi="仿宋" w:eastAsia="仿宋" w:cs="仿宋"/>
          <w:b w:val="0"/>
          <w:bCs/>
          <w:color w:val="auto"/>
          <w:sz w:val="24"/>
          <w:szCs w:val="24"/>
          <w:highlight w:val="none"/>
          <w:lang w:val="en-US" w:eastAsia="zh-CN"/>
        </w:rPr>
        <w:t>成交供应商</w:t>
      </w:r>
      <w:r>
        <w:rPr>
          <w:rFonts w:hint="eastAsia" w:ascii="仿宋" w:hAnsi="仿宋" w:eastAsia="仿宋" w:cs="仿宋"/>
          <w:b w:val="0"/>
          <w:bCs w:val="0"/>
          <w:color w:val="auto"/>
          <w:spacing w:val="0"/>
          <w:kern w:val="2"/>
          <w:sz w:val="24"/>
          <w:szCs w:val="24"/>
          <w:highlight w:val="none"/>
          <w:lang w:val="en-US" w:eastAsia="zh-CN" w:bidi="ar-SA"/>
        </w:rPr>
        <w:t>签订合同。</w:t>
      </w:r>
    </w:p>
    <w:p w14:paraId="326DB378">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六、协议期内日常管理要求</w:t>
      </w:r>
    </w:p>
    <w:p w14:paraId="39467EA6">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（1）在协议期内，入围供应商如有信息变更（如变更法定代表人、主要负责人、联系人、联系电话、地址等），应及时在政采云系统中更新相关信息并通知征集人，按征 集人要求提供相关资料备案。</w:t>
      </w:r>
    </w:p>
    <w:p w14:paraId="44E9EFF3">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（2）在协议期内，供应商应遵守和履行本项目征集文件、框架协议的各项规定，遵守电子系统的操作规定和交易规则，积极配合征集人和采购监管部门的工作。</w:t>
      </w:r>
    </w:p>
    <w:p w14:paraId="6EE8F37A">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七、入围供应商清退规则</w:t>
      </w:r>
    </w:p>
    <w:p w14:paraId="7847FF64">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1.入围供应商有下列情形之一，尚未签订框架协议的，取消其入围资格；已经签订框架协议的，解除与其签订的框架协议：</w:t>
      </w:r>
    </w:p>
    <w:p w14:paraId="47F036AD">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（1）恶意串通谋取入围或者合同成交的；</w:t>
      </w:r>
    </w:p>
    <w:p w14:paraId="08D91856">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（2）提供虚假材料谋取入围或者合同成交的；</w:t>
      </w:r>
    </w:p>
    <w:p w14:paraId="53590FAF">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（3）无正当理由拒不接受合同授予的；</w:t>
      </w:r>
    </w:p>
    <w:p w14:paraId="7168AAD6">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（4）不履行合同义务或者履行合同义务不符合约定，经征集人请求履行后仍不履 行或者仍未按约定履行的；</w:t>
      </w:r>
    </w:p>
    <w:p w14:paraId="40AC4AFA">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（5）框架协议有效期内，因违法行为被禁止或限制参加政府采购活动的；</w:t>
      </w:r>
    </w:p>
    <w:p w14:paraId="3B1D8AF3">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（6）框架协议约定的其他情形。</w:t>
      </w:r>
    </w:p>
    <w:p w14:paraId="7766DFDD">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2.入围供应商无正当理由拒不与征集人签订框架协议的，取消其入围资格。</w:t>
      </w:r>
    </w:p>
    <w:p w14:paraId="0174A875">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3.入围供应商如发生实质性变动（营业执照注销、不再符合本项目资格条件等） 的，尚未签订框架协议的，取消其入围资格；已经签订框架协议的，解除与其签订的框架协议。</w:t>
      </w:r>
    </w:p>
    <w:p w14:paraId="1D43A282">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4.被取消入围资格或者被解除框架协议的供应商不得参加本封闭式框架协议补充 征集。</w:t>
      </w:r>
    </w:p>
    <w:p w14:paraId="40E51AF8">
      <w:pPr>
        <w:keepNext w:val="0"/>
        <w:keepLines w:val="0"/>
        <w:pageBreakBefore w:val="0"/>
        <w:widowControl w:val="0"/>
        <w:kinsoku/>
        <w:wordWrap/>
        <w:overflowPunct/>
        <w:topLinePunct w:val="0"/>
        <w:autoSpaceDE/>
        <w:autoSpaceDN/>
        <w:bidi w:val="0"/>
        <w:adjustRightInd w:val="0"/>
        <w:snapToGrid/>
        <w:spacing w:line="500" w:lineRule="exact"/>
        <w:ind w:firstLine="42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八、入围供应商补充规则</w:t>
      </w:r>
    </w:p>
    <w:p w14:paraId="12846702">
      <w:pPr>
        <w:pStyle w:val="20"/>
        <w:spacing w:before="47" w:line="284" w:lineRule="auto"/>
        <w:ind w:firstLine="498"/>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框架协议有效期内如出现剩余入围供应商不足入围供应商总数70%且影响框架协议 执行的情形时，征集人报财政部门审核同意后，将进行补充征集供应商。补充征集的条 件、程序、评审方法和淘汰比例与初次征集相同。补充征集遵守原框架协议的有效期。 补充征集期间，原框架协议继续履行。</w:t>
      </w:r>
    </w:p>
    <w:p w14:paraId="5B707A54">
      <w:pPr>
        <w:rPr>
          <w:rFonts w:hint="eastAsia" w:ascii="仿宋" w:hAnsi="仿宋" w:eastAsia="仿宋" w:cs="仿宋"/>
          <w:color w:val="auto"/>
          <w:sz w:val="32"/>
          <w:szCs w:val="32"/>
          <w:highlight w:val="none"/>
        </w:rPr>
      </w:pPr>
    </w:p>
    <w:bookmarkEnd w:id="38"/>
    <w:bookmarkEnd w:id="39"/>
    <w:p w14:paraId="1A612C43">
      <w:pPr>
        <w:spacing w:line="240" w:lineRule="auto"/>
        <w:jc w:val="left"/>
        <w:outlineLvl w:val="9"/>
        <w:rPr>
          <w:rFonts w:hint="eastAsia" w:ascii="仿宋" w:hAnsi="仿宋" w:eastAsia="仿宋"/>
          <w:b/>
          <w:color w:val="auto"/>
          <w:sz w:val="36"/>
          <w:szCs w:val="36"/>
          <w:highlight w:val="none"/>
        </w:rPr>
      </w:pPr>
      <w:r>
        <w:rPr>
          <w:rFonts w:hint="eastAsia" w:ascii="仿宋" w:hAnsi="仿宋" w:eastAsia="仿宋"/>
          <w:b/>
          <w:color w:val="auto"/>
          <w:sz w:val="36"/>
          <w:szCs w:val="36"/>
          <w:highlight w:val="none"/>
        </w:rPr>
        <w:br w:type="page"/>
      </w:r>
    </w:p>
    <w:p w14:paraId="10DA0513">
      <w:pPr>
        <w:spacing w:line="360" w:lineRule="auto"/>
        <w:jc w:val="center"/>
        <w:outlineLvl w:val="0"/>
        <w:rPr>
          <w:rFonts w:ascii="仿宋" w:hAnsi="仿宋" w:eastAsia="仿宋"/>
          <w:b/>
          <w:color w:val="auto"/>
          <w:sz w:val="36"/>
          <w:szCs w:val="36"/>
          <w:highlight w:val="none"/>
        </w:rPr>
      </w:pPr>
      <w:r>
        <w:rPr>
          <w:rFonts w:hint="eastAsia" w:ascii="仿宋" w:hAnsi="仿宋" w:eastAsia="仿宋"/>
          <w:b/>
          <w:color w:val="auto"/>
          <w:sz w:val="36"/>
          <w:szCs w:val="36"/>
          <w:highlight w:val="none"/>
        </w:rPr>
        <w:t>第四部分</w:t>
      </w:r>
      <w:bookmarkStart w:id="406" w:name="_Toc11082"/>
      <w:bookmarkStart w:id="407" w:name="_Toc30830"/>
      <w:bookmarkStart w:id="408" w:name="_Toc302396102"/>
      <w:bookmarkStart w:id="409" w:name="_Toc8240"/>
      <w:bookmarkStart w:id="410" w:name="_Toc13823"/>
      <w:bookmarkStart w:id="411" w:name="_Toc18363"/>
      <w:r>
        <w:rPr>
          <w:rFonts w:hint="eastAsia" w:ascii="仿宋" w:hAnsi="仿宋" w:eastAsia="仿宋"/>
          <w:b/>
          <w:color w:val="auto"/>
          <w:sz w:val="36"/>
          <w:szCs w:val="36"/>
          <w:highlight w:val="none"/>
        </w:rPr>
        <w:t>评标方法</w:t>
      </w:r>
      <w:bookmarkEnd w:id="40"/>
      <w:bookmarkEnd w:id="406"/>
      <w:bookmarkEnd w:id="407"/>
      <w:bookmarkEnd w:id="408"/>
      <w:bookmarkEnd w:id="409"/>
      <w:bookmarkEnd w:id="410"/>
      <w:bookmarkEnd w:id="411"/>
      <w:bookmarkStart w:id="412" w:name="_Toc401313705"/>
      <w:bookmarkStart w:id="413" w:name="第五部分"/>
      <w:bookmarkStart w:id="414" w:name="_Toc86217003"/>
    </w:p>
    <w:p w14:paraId="3BB706AF">
      <w:pPr>
        <w:spacing w:line="360" w:lineRule="auto"/>
        <w:jc w:val="center"/>
        <w:outlineLvl w:val="0"/>
        <w:rPr>
          <w:rFonts w:hint="default" w:ascii="仿宋" w:hAnsi="仿宋" w:eastAsia="仿宋"/>
          <w:b/>
          <w:color w:val="auto"/>
          <w:sz w:val="36"/>
          <w:szCs w:val="36"/>
          <w:highlight w:val="none"/>
          <w:lang w:val="en-US" w:eastAsia="zh-CN"/>
        </w:rPr>
      </w:pPr>
      <w:r>
        <w:rPr>
          <w:rFonts w:hint="eastAsia" w:ascii="仿宋" w:hAnsi="仿宋" w:eastAsia="仿宋"/>
          <w:b/>
          <w:color w:val="auto"/>
          <w:sz w:val="36"/>
          <w:szCs w:val="36"/>
          <w:highlight w:val="none"/>
        </w:rPr>
        <w:t>评标办法前附表</w:t>
      </w:r>
      <w:r>
        <w:rPr>
          <w:rFonts w:hint="eastAsia" w:ascii="仿宋" w:hAnsi="仿宋" w:eastAsia="仿宋"/>
          <w:b/>
          <w:color w:val="auto"/>
          <w:sz w:val="36"/>
          <w:szCs w:val="36"/>
          <w:highlight w:val="none"/>
          <w:lang w:val="en-US" w:eastAsia="zh-CN"/>
        </w:rPr>
        <w:t>-标项一</w:t>
      </w:r>
    </w:p>
    <w:tbl>
      <w:tblPr>
        <w:tblStyle w:val="50"/>
        <w:tblW w:w="9014"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577"/>
        <w:gridCol w:w="805"/>
        <w:gridCol w:w="845"/>
        <w:gridCol w:w="1105"/>
      </w:tblGrid>
      <w:tr w14:paraId="480A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097AB648">
            <w:pPr>
              <w:snapToGrid w:val="0"/>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5577" w:type="dxa"/>
            <w:vAlign w:val="center"/>
          </w:tcPr>
          <w:p w14:paraId="441AB914">
            <w:pPr>
              <w:snapToGrid w:val="0"/>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评标标准</w:t>
            </w:r>
          </w:p>
        </w:tc>
        <w:tc>
          <w:tcPr>
            <w:tcW w:w="805" w:type="dxa"/>
            <w:vAlign w:val="center"/>
          </w:tcPr>
          <w:p w14:paraId="2ABF2C33">
            <w:pPr>
              <w:snapToGrid w:val="0"/>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权重</w:t>
            </w:r>
          </w:p>
        </w:tc>
        <w:tc>
          <w:tcPr>
            <w:tcW w:w="845" w:type="dxa"/>
            <w:vAlign w:val="center"/>
          </w:tcPr>
          <w:p w14:paraId="64C985A4">
            <w:pPr>
              <w:snapToGrid w:val="0"/>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主观分/客观分属性</w:t>
            </w:r>
          </w:p>
        </w:tc>
        <w:tc>
          <w:tcPr>
            <w:tcW w:w="1105" w:type="dxa"/>
          </w:tcPr>
          <w:p w14:paraId="1D6176BA">
            <w:pPr>
              <w:snapToGrid w:val="0"/>
              <w:spacing w:line="360" w:lineRule="exact"/>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投标文件中评标标准相应的商务技术资料目录*</w:t>
            </w:r>
          </w:p>
        </w:tc>
      </w:tr>
      <w:tr w14:paraId="7DA8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FB3B11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5577" w:type="dxa"/>
            <w:vAlign w:val="center"/>
          </w:tcPr>
          <w:p w14:paraId="14E7567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投标人具有有效期内的质量管理体系认证证书、环境管理体系认证证书、职业健康安全管理体系认证证书，每提供一个得1分，最高得3分。</w:t>
            </w:r>
          </w:p>
          <w:p w14:paraId="72F8FD5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证明材料：提供有效期内证明材料并投标人加盖公章，未按要求提供证明材料的不得分。</w:t>
            </w:r>
          </w:p>
        </w:tc>
        <w:tc>
          <w:tcPr>
            <w:tcW w:w="805" w:type="dxa"/>
            <w:vAlign w:val="center"/>
          </w:tcPr>
          <w:p w14:paraId="5FB2BB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w:t>
            </w:r>
          </w:p>
        </w:tc>
        <w:tc>
          <w:tcPr>
            <w:tcW w:w="845" w:type="dxa"/>
            <w:vAlign w:val="center"/>
          </w:tcPr>
          <w:p w14:paraId="1077576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c>
          <w:tcPr>
            <w:tcW w:w="1105" w:type="dxa"/>
            <w:vAlign w:val="center"/>
          </w:tcPr>
          <w:p w14:paraId="2DC4D11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体系证书</w:t>
            </w:r>
          </w:p>
        </w:tc>
      </w:tr>
      <w:tr w14:paraId="169F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14:paraId="0670C8B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5577" w:type="dxa"/>
            <w:vAlign w:val="center"/>
          </w:tcPr>
          <w:p w14:paraId="5E9AF1E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根据投标人提供的项目服务实施方案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p>
          <w:p w14:paraId="185A18A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3CA91AB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p>
        </w:tc>
        <w:tc>
          <w:tcPr>
            <w:tcW w:w="845" w:type="dxa"/>
            <w:vAlign w:val="center"/>
          </w:tcPr>
          <w:p w14:paraId="3A8F0C6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Merge w:val="restart"/>
            <w:vAlign w:val="center"/>
          </w:tcPr>
          <w:p w14:paraId="4AB42EC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zh-TW" w:eastAsia="zh-CN"/>
              </w:rPr>
              <w:t>服务方案</w:t>
            </w:r>
          </w:p>
        </w:tc>
      </w:tr>
      <w:tr w14:paraId="3840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642188D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c>
          <w:tcPr>
            <w:tcW w:w="5577" w:type="dxa"/>
            <w:vAlign w:val="center"/>
          </w:tcPr>
          <w:p w14:paraId="3298638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根据投标人提供的项目服务各工序衔接方案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p>
          <w:p w14:paraId="2B96D8D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6D67DB2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845" w:type="dxa"/>
            <w:vAlign w:val="center"/>
          </w:tcPr>
          <w:p w14:paraId="007284D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Merge w:val="continue"/>
            <w:vAlign w:val="center"/>
          </w:tcPr>
          <w:p w14:paraId="40C1C66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p>
        </w:tc>
      </w:tr>
      <w:tr w14:paraId="3D563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07F1B10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c>
          <w:tcPr>
            <w:tcW w:w="5577" w:type="dxa"/>
            <w:vAlign w:val="center"/>
          </w:tcPr>
          <w:p w14:paraId="75BFF1E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根据投标人提出的服务实施方案与项目实施地现状相结合程度，方案中体现的服务效率和服务水平</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p>
          <w:p w14:paraId="7950B12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1E694AD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845" w:type="dxa"/>
            <w:vAlign w:val="center"/>
          </w:tcPr>
          <w:p w14:paraId="12BB0E3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Merge w:val="continue"/>
            <w:vAlign w:val="center"/>
          </w:tcPr>
          <w:p w14:paraId="7A88EA6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p>
        </w:tc>
      </w:tr>
      <w:tr w14:paraId="50B29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82" w:type="dxa"/>
            <w:vAlign w:val="center"/>
          </w:tcPr>
          <w:p w14:paraId="7406392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5577" w:type="dxa"/>
            <w:vAlign w:val="center"/>
          </w:tcPr>
          <w:p w14:paraId="3344123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根据投标人提供的项目质量管理方案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r>
              <w:rPr>
                <w:rFonts w:hint="eastAsia" w:ascii="仿宋" w:hAnsi="仿宋" w:eastAsia="仿宋" w:cs="仿宋"/>
                <w:bCs/>
                <w:color w:val="auto"/>
                <w:szCs w:val="21"/>
                <w:highlight w:val="none"/>
                <w:lang w:val="en-US" w:eastAsia="zh-CN"/>
              </w:rPr>
              <w:t>方案至少包括①质量目标、②质量保证措施、③安全保障措施、④质量监管方法及措施、监管配合、奖罚措施等；</w:t>
            </w:r>
          </w:p>
          <w:p w14:paraId="0155EE3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w:t>
            </w:r>
            <w:r>
              <w:rPr>
                <w:rFonts w:hint="eastAsia" w:ascii="仿宋" w:hAnsi="仿宋" w:eastAsia="仿宋" w:cs="仿宋"/>
                <w:b/>
                <w:bCs w:val="0"/>
                <w:color w:val="auto"/>
                <w:szCs w:val="21"/>
                <w:highlight w:val="none"/>
                <w:lang w:val="en-US" w:eastAsia="zh-CN"/>
              </w:rPr>
              <w:t>每点</w:t>
            </w:r>
            <w:r>
              <w:rPr>
                <w:rFonts w:hint="eastAsia" w:ascii="仿宋" w:hAnsi="仿宋" w:eastAsia="仿宋" w:cs="仿宋"/>
                <w:b/>
                <w:bCs w:val="0"/>
                <w:color w:val="auto"/>
                <w:szCs w:val="21"/>
                <w:highlight w:val="none"/>
              </w:rPr>
              <w:t>内容全面，针对性强的得</w:t>
            </w:r>
            <w:r>
              <w:rPr>
                <w:rFonts w:hint="eastAsia" w:ascii="仿宋" w:hAnsi="仿宋" w:eastAsia="仿宋" w:cs="仿宋"/>
                <w:b/>
                <w:bCs w:val="0"/>
                <w:color w:val="auto"/>
                <w:szCs w:val="21"/>
                <w:highlight w:val="none"/>
                <w:lang w:val="en-US" w:eastAsia="zh-CN"/>
              </w:rPr>
              <w:t>2</w:t>
            </w:r>
            <w:r>
              <w:rPr>
                <w:rFonts w:hint="eastAsia" w:ascii="仿宋" w:hAnsi="仿宋" w:eastAsia="仿宋" w:cs="仿宋"/>
                <w:b/>
                <w:bCs w:val="0"/>
                <w:color w:val="auto"/>
                <w:szCs w:val="21"/>
                <w:highlight w:val="none"/>
              </w:rPr>
              <w:t>分；内容全面性，针对性一般的得</w:t>
            </w:r>
            <w:r>
              <w:rPr>
                <w:rFonts w:hint="eastAsia" w:ascii="仿宋" w:hAnsi="仿宋" w:eastAsia="仿宋" w:cs="仿宋"/>
                <w:b/>
                <w:bCs w:val="0"/>
                <w:color w:val="auto"/>
                <w:szCs w:val="21"/>
                <w:highlight w:val="none"/>
                <w:lang w:val="en-US" w:eastAsia="zh-CN"/>
              </w:rPr>
              <w:t>1</w:t>
            </w:r>
            <w:r>
              <w:rPr>
                <w:rFonts w:hint="eastAsia" w:ascii="仿宋" w:hAnsi="仿宋" w:eastAsia="仿宋" w:cs="仿宋"/>
                <w:b/>
                <w:bCs w:val="0"/>
                <w:color w:val="auto"/>
                <w:szCs w:val="21"/>
                <w:highlight w:val="none"/>
              </w:rPr>
              <w:t>分；内容基本合理的得</w:t>
            </w:r>
            <w:r>
              <w:rPr>
                <w:rFonts w:hint="eastAsia" w:ascii="仿宋" w:hAnsi="仿宋" w:eastAsia="仿宋" w:cs="仿宋"/>
                <w:b/>
                <w:bCs w:val="0"/>
                <w:color w:val="auto"/>
                <w:szCs w:val="21"/>
                <w:highlight w:val="none"/>
                <w:lang w:val="en-US" w:eastAsia="zh-CN"/>
              </w:rPr>
              <w:t>0.5</w:t>
            </w:r>
            <w:r>
              <w:rPr>
                <w:rFonts w:hint="eastAsia" w:ascii="仿宋" w:hAnsi="仿宋" w:eastAsia="仿宋" w:cs="仿宋"/>
                <w:b/>
                <w:bCs w:val="0"/>
                <w:color w:val="auto"/>
                <w:szCs w:val="21"/>
                <w:highlight w:val="none"/>
              </w:rPr>
              <w:t>分；不提供不得分。</w:t>
            </w:r>
          </w:p>
        </w:tc>
        <w:tc>
          <w:tcPr>
            <w:tcW w:w="805" w:type="dxa"/>
            <w:vAlign w:val="center"/>
          </w:tcPr>
          <w:p w14:paraId="481FB51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845" w:type="dxa"/>
            <w:vAlign w:val="center"/>
          </w:tcPr>
          <w:p w14:paraId="559E5EA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Align w:val="center"/>
          </w:tcPr>
          <w:p w14:paraId="113E41A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质量管理</w:t>
            </w:r>
          </w:p>
        </w:tc>
      </w:tr>
      <w:tr w14:paraId="7EA1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682" w:type="dxa"/>
            <w:vAlign w:val="center"/>
          </w:tcPr>
          <w:p w14:paraId="63FBCCA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5577" w:type="dxa"/>
            <w:vAlign w:val="center"/>
          </w:tcPr>
          <w:p w14:paraId="2175ABC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根据投标人提供的项目组织实施方案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r>
              <w:rPr>
                <w:rFonts w:hint="eastAsia" w:ascii="仿宋" w:hAnsi="仿宋" w:eastAsia="仿宋" w:cs="仿宋"/>
                <w:bCs/>
                <w:color w:val="auto"/>
                <w:szCs w:val="21"/>
                <w:highlight w:val="none"/>
                <w:lang w:val="en-US" w:eastAsia="zh-CN"/>
              </w:rPr>
              <w:t>方案至少包括①组织管理、②组织架构等；</w:t>
            </w:r>
          </w:p>
          <w:p w14:paraId="7469164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1FB4EF9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1F33AAC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Align w:val="center"/>
          </w:tcPr>
          <w:p w14:paraId="4EE4B5A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组织管理</w:t>
            </w:r>
          </w:p>
        </w:tc>
      </w:tr>
      <w:tr w14:paraId="37AD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8676BD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5577" w:type="dxa"/>
            <w:vAlign w:val="center"/>
          </w:tcPr>
          <w:p w14:paraId="10CBF13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根据投标人提供的监管制度</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r>
              <w:rPr>
                <w:rFonts w:hint="eastAsia" w:ascii="仿宋" w:hAnsi="仿宋" w:eastAsia="仿宋" w:cs="仿宋"/>
                <w:bCs/>
                <w:color w:val="auto"/>
                <w:szCs w:val="21"/>
                <w:highlight w:val="none"/>
                <w:lang w:val="en-US" w:eastAsia="zh-CN"/>
              </w:rPr>
              <w:t>至少包括①廉政措施、②为防止出具虚假报告的监管制度、措施、惩治办法等、③不按规定验收的监管制度、措施、惩治办法等、④转包业务的监管制度、措施、惩治办法等、⑤其他违规行为的监管制度、措施、惩治办法等；</w:t>
            </w:r>
          </w:p>
          <w:p w14:paraId="716E994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0EE7AAF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2623248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Align w:val="center"/>
          </w:tcPr>
          <w:p w14:paraId="00B8CC0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监管制度</w:t>
            </w:r>
          </w:p>
        </w:tc>
      </w:tr>
      <w:tr w14:paraId="65741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2E81B9C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5577" w:type="dxa"/>
            <w:vAlign w:val="center"/>
          </w:tcPr>
          <w:p w14:paraId="1CD76C1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根据投标人提供的人员管理方案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r>
              <w:rPr>
                <w:rFonts w:hint="eastAsia" w:ascii="仿宋" w:hAnsi="仿宋" w:eastAsia="仿宋" w:cs="仿宋"/>
                <w:bCs/>
                <w:color w:val="auto"/>
                <w:szCs w:val="21"/>
                <w:highlight w:val="none"/>
                <w:lang w:val="en-US" w:eastAsia="zh-CN"/>
              </w:rPr>
              <w:t>至少包括①人员考核方案、②合同执行期间的人员数量保障方案、③人员岗位设置、④服务人员专业能力、⑤人员管理规范等；</w:t>
            </w:r>
          </w:p>
          <w:p w14:paraId="3BFC956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w:t>
            </w:r>
            <w:r>
              <w:rPr>
                <w:rFonts w:hint="eastAsia" w:ascii="仿宋" w:hAnsi="仿宋" w:eastAsia="仿宋" w:cs="仿宋"/>
                <w:b/>
                <w:bCs w:val="0"/>
                <w:color w:val="auto"/>
                <w:szCs w:val="21"/>
                <w:highlight w:val="none"/>
                <w:lang w:val="en-US" w:eastAsia="zh-CN"/>
              </w:rPr>
              <w:t>每点</w:t>
            </w:r>
            <w:r>
              <w:rPr>
                <w:rFonts w:hint="eastAsia" w:ascii="仿宋" w:hAnsi="仿宋" w:eastAsia="仿宋" w:cs="仿宋"/>
                <w:b/>
                <w:bCs w:val="0"/>
                <w:color w:val="auto"/>
                <w:szCs w:val="21"/>
                <w:highlight w:val="none"/>
              </w:rPr>
              <w:t>内容全面，针对性强的得</w:t>
            </w:r>
            <w:r>
              <w:rPr>
                <w:rFonts w:hint="eastAsia" w:ascii="仿宋" w:hAnsi="仿宋" w:eastAsia="仿宋" w:cs="仿宋"/>
                <w:b/>
                <w:bCs w:val="0"/>
                <w:color w:val="auto"/>
                <w:szCs w:val="21"/>
                <w:highlight w:val="none"/>
                <w:lang w:val="en-US" w:eastAsia="zh-CN"/>
              </w:rPr>
              <w:t>2</w:t>
            </w:r>
            <w:r>
              <w:rPr>
                <w:rFonts w:hint="eastAsia" w:ascii="仿宋" w:hAnsi="仿宋" w:eastAsia="仿宋" w:cs="仿宋"/>
                <w:b/>
                <w:bCs w:val="0"/>
                <w:color w:val="auto"/>
                <w:szCs w:val="21"/>
                <w:highlight w:val="none"/>
              </w:rPr>
              <w:t>分；内容全面性，针对性一般的得</w:t>
            </w:r>
            <w:r>
              <w:rPr>
                <w:rFonts w:hint="eastAsia" w:ascii="仿宋" w:hAnsi="仿宋" w:eastAsia="仿宋" w:cs="仿宋"/>
                <w:b/>
                <w:bCs w:val="0"/>
                <w:color w:val="auto"/>
                <w:szCs w:val="21"/>
                <w:highlight w:val="none"/>
                <w:lang w:val="en-US" w:eastAsia="zh-CN"/>
              </w:rPr>
              <w:t>1</w:t>
            </w:r>
            <w:r>
              <w:rPr>
                <w:rFonts w:hint="eastAsia" w:ascii="仿宋" w:hAnsi="仿宋" w:eastAsia="仿宋" w:cs="仿宋"/>
                <w:b/>
                <w:bCs w:val="0"/>
                <w:color w:val="auto"/>
                <w:szCs w:val="21"/>
                <w:highlight w:val="none"/>
              </w:rPr>
              <w:t>分；内容基本合理的得</w:t>
            </w:r>
            <w:r>
              <w:rPr>
                <w:rFonts w:hint="eastAsia" w:ascii="仿宋" w:hAnsi="仿宋" w:eastAsia="仿宋" w:cs="仿宋"/>
                <w:b/>
                <w:bCs w:val="0"/>
                <w:color w:val="auto"/>
                <w:szCs w:val="21"/>
                <w:highlight w:val="none"/>
                <w:lang w:val="en-US" w:eastAsia="zh-CN"/>
              </w:rPr>
              <w:t>0.5</w:t>
            </w:r>
            <w:r>
              <w:rPr>
                <w:rFonts w:hint="eastAsia" w:ascii="仿宋" w:hAnsi="仿宋" w:eastAsia="仿宋" w:cs="仿宋"/>
                <w:b/>
                <w:bCs w:val="0"/>
                <w:color w:val="auto"/>
                <w:szCs w:val="21"/>
                <w:highlight w:val="none"/>
              </w:rPr>
              <w:t>分；不提供不得分。</w:t>
            </w:r>
          </w:p>
        </w:tc>
        <w:tc>
          <w:tcPr>
            <w:tcW w:w="805" w:type="dxa"/>
            <w:vAlign w:val="center"/>
          </w:tcPr>
          <w:p w14:paraId="62ED78C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845" w:type="dxa"/>
            <w:vAlign w:val="center"/>
          </w:tcPr>
          <w:p w14:paraId="485D54B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Align w:val="center"/>
          </w:tcPr>
          <w:p w14:paraId="16C59D3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人员管理方案</w:t>
            </w:r>
          </w:p>
        </w:tc>
      </w:tr>
      <w:tr w14:paraId="62AD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2BB390F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5577" w:type="dxa"/>
            <w:vAlign w:val="center"/>
          </w:tcPr>
          <w:p w14:paraId="64EEE03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根据投标人提供的</w:t>
            </w:r>
            <w:r>
              <w:rPr>
                <w:rFonts w:hint="eastAsia" w:ascii="仿宋" w:hAnsi="仿宋" w:eastAsia="仿宋" w:cs="仿宋"/>
                <w:bCs/>
                <w:color w:val="auto"/>
                <w:szCs w:val="21"/>
                <w:highlight w:val="none"/>
                <w:lang w:val="en-US" w:eastAsia="zh-CN"/>
              </w:rPr>
              <w:t>人员培训方案的</w:t>
            </w:r>
            <w:r>
              <w:rPr>
                <w:rFonts w:hint="eastAsia" w:ascii="仿宋" w:hAnsi="仿宋" w:eastAsia="仿宋" w:cs="仿宋"/>
                <w:bCs/>
                <w:color w:val="auto"/>
                <w:szCs w:val="21"/>
                <w:highlight w:val="none"/>
              </w:rPr>
              <w:t>完整性、合理性、科学性等进行综合评审；</w:t>
            </w:r>
          </w:p>
          <w:p w14:paraId="75F6035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kern w:val="2"/>
                <w:sz w:val="21"/>
                <w:szCs w:val="21"/>
                <w:highlight w:val="none"/>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w:t>
            </w:r>
            <w:r>
              <w:rPr>
                <w:rFonts w:hint="eastAsia" w:ascii="仿宋" w:hAnsi="仿宋" w:eastAsia="仿宋" w:cs="仿宋"/>
                <w:b/>
                <w:bCs w:val="0"/>
                <w:color w:val="auto"/>
                <w:kern w:val="2"/>
                <w:sz w:val="21"/>
                <w:szCs w:val="21"/>
                <w:highlight w:val="none"/>
              </w:rPr>
              <w:t>得4分；内容全面性，针对性一般的得3分；内容基本合理的得2分；内容有所欠缺的得1分；不提供不得分。</w:t>
            </w:r>
          </w:p>
        </w:tc>
        <w:tc>
          <w:tcPr>
            <w:tcW w:w="805" w:type="dxa"/>
            <w:vAlign w:val="center"/>
          </w:tcPr>
          <w:p w14:paraId="5174CFF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7CD297B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1105" w:type="dxa"/>
            <w:vAlign w:val="center"/>
          </w:tcPr>
          <w:p w14:paraId="0475717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人员培训方案</w:t>
            </w:r>
          </w:p>
        </w:tc>
      </w:tr>
      <w:tr w14:paraId="3769F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70BB9EF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8</w:t>
            </w:r>
          </w:p>
        </w:tc>
        <w:tc>
          <w:tcPr>
            <w:tcW w:w="5577" w:type="dxa"/>
            <w:vAlign w:val="center"/>
          </w:tcPr>
          <w:p w14:paraId="64510A6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根据投标人提供的</w:t>
            </w:r>
            <w:r>
              <w:rPr>
                <w:rFonts w:hint="eastAsia" w:ascii="仿宋" w:hAnsi="仿宋" w:eastAsia="仿宋" w:cs="仿宋"/>
                <w:bCs/>
                <w:color w:val="auto"/>
                <w:szCs w:val="21"/>
                <w:highlight w:val="none"/>
                <w:lang w:val="en-US" w:eastAsia="zh-CN"/>
              </w:rPr>
              <w:t>①膳食管理（清洁制度、定期大扫除、定期消毒、菜品存放、库房管理），②日常饮食保障措施（食材源控制、安全操作、膳食保障、食谱公告、营养防治等），③食堂工作人员情况（年龄45岁以下、人员配比，岗位设置、厨师配置情况）等的整体食堂运营方案符合上级消防部门和食品监督部门的管理要求等情况</w:t>
            </w:r>
            <w:r>
              <w:rPr>
                <w:rFonts w:hint="eastAsia" w:ascii="仿宋" w:hAnsi="仿宋" w:eastAsia="仿宋" w:cs="仿宋"/>
                <w:bCs/>
                <w:color w:val="auto"/>
                <w:szCs w:val="21"/>
                <w:highlight w:val="none"/>
              </w:rPr>
              <w:t>进行综合评审；</w:t>
            </w:r>
          </w:p>
          <w:p w14:paraId="4918DFA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w:t>
            </w:r>
            <w:r>
              <w:rPr>
                <w:rFonts w:hint="eastAsia" w:ascii="仿宋" w:hAnsi="仿宋" w:eastAsia="仿宋" w:cs="仿宋"/>
                <w:b/>
                <w:bCs w:val="0"/>
                <w:color w:val="auto"/>
                <w:kern w:val="2"/>
                <w:sz w:val="21"/>
                <w:szCs w:val="21"/>
                <w:highlight w:val="none"/>
              </w:rPr>
              <w:t>得4分；内容全面性，针对性一般的得3分；内容基本合理的得2分；内容有所欠缺的得1分；不提供不得分。</w:t>
            </w:r>
          </w:p>
        </w:tc>
        <w:tc>
          <w:tcPr>
            <w:tcW w:w="805" w:type="dxa"/>
            <w:vAlign w:val="center"/>
          </w:tcPr>
          <w:p w14:paraId="5976538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7878C02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1105" w:type="dxa"/>
            <w:vAlign w:val="center"/>
          </w:tcPr>
          <w:p w14:paraId="0E57764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居家养老服务照料中心食堂运营方案</w:t>
            </w:r>
          </w:p>
        </w:tc>
      </w:tr>
      <w:tr w14:paraId="6613C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0296995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5577" w:type="dxa"/>
            <w:vAlign w:val="center"/>
          </w:tcPr>
          <w:p w14:paraId="746E5EE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根据投标人提供的</w:t>
            </w:r>
            <w:r>
              <w:rPr>
                <w:rFonts w:hint="eastAsia" w:ascii="仿宋" w:hAnsi="仿宋" w:eastAsia="仿宋" w:cs="仿宋"/>
                <w:bCs/>
                <w:color w:val="auto"/>
                <w:szCs w:val="21"/>
                <w:highlight w:val="none"/>
                <w:lang w:val="en-US" w:eastAsia="zh-CN"/>
              </w:rPr>
              <w:t>点位运营方案</w:t>
            </w:r>
            <w:r>
              <w:rPr>
                <w:rFonts w:hint="eastAsia" w:ascii="仿宋" w:hAnsi="仿宋" w:eastAsia="仿宋" w:cs="仿宋"/>
                <w:bCs/>
                <w:color w:val="auto"/>
                <w:szCs w:val="21"/>
                <w:highlight w:val="none"/>
              </w:rPr>
              <w:t>的完整性、合理性、</w:t>
            </w:r>
            <w:r>
              <w:rPr>
                <w:rFonts w:hint="eastAsia" w:ascii="仿宋" w:hAnsi="仿宋" w:eastAsia="仿宋" w:cs="仿宋"/>
                <w:bCs/>
                <w:color w:val="auto"/>
                <w:szCs w:val="21"/>
                <w:highlight w:val="none"/>
                <w:lang w:val="en-US" w:eastAsia="zh-CN"/>
              </w:rPr>
              <w:t>是否符合上级消防部门和民政部门的管理要求等情况</w:t>
            </w:r>
            <w:r>
              <w:rPr>
                <w:rFonts w:hint="eastAsia" w:ascii="仿宋" w:hAnsi="仿宋" w:eastAsia="仿宋" w:cs="仿宋"/>
                <w:bCs/>
                <w:color w:val="auto"/>
                <w:szCs w:val="21"/>
                <w:highlight w:val="none"/>
              </w:rPr>
              <w:t>进行综合评审；</w:t>
            </w:r>
          </w:p>
          <w:p w14:paraId="3CF046B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w:t>
            </w:r>
            <w:r>
              <w:rPr>
                <w:rFonts w:hint="eastAsia" w:ascii="仿宋" w:hAnsi="仿宋" w:eastAsia="仿宋" w:cs="仿宋"/>
                <w:b/>
                <w:bCs w:val="0"/>
                <w:color w:val="auto"/>
                <w:kern w:val="2"/>
                <w:sz w:val="21"/>
                <w:szCs w:val="21"/>
                <w:highlight w:val="none"/>
              </w:rPr>
              <w:t>得4分；内容全面性，针对性一般的得3分；内容基本合理的得2分；内容有所欠缺的得1分；不提供不得分。</w:t>
            </w:r>
          </w:p>
        </w:tc>
        <w:tc>
          <w:tcPr>
            <w:tcW w:w="805" w:type="dxa"/>
            <w:vAlign w:val="center"/>
          </w:tcPr>
          <w:p w14:paraId="042F2C8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1253C8C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1105" w:type="dxa"/>
            <w:vAlign w:val="center"/>
          </w:tcPr>
          <w:p w14:paraId="34213BD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点位运营方案</w:t>
            </w:r>
          </w:p>
        </w:tc>
      </w:tr>
      <w:tr w14:paraId="0702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682" w:type="dxa"/>
            <w:vAlign w:val="center"/>
          </w:tcPr>
          <w:p w14:paraId="6411794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0</w:t>
            </w:r>
          </w:p>
        </w:tc>
        <w:tc>
          <w:tcPr>
            <w:tcW w:w="5577" w:type="dxa"/>
            <w:vAlign w:val="center"/>
          </w:tcPr>
          <w:p w14:paraId="57C7AF9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投标人</w:t>
            </w:r>
            <w:r>
              <w:rPr>
                <w:rFonts w:hint="eastAsia" w:ascii="仿宋" w:hAnsi="仿宋" w:eastAsia="仿宋" w:cs="仿宋"/>
                <w:bCs/>
                <w:color w:val="auto"/>
                <w:szCs w:val="21"/>
                <w:highlight w:val="none"/>
                <w:lang w:val="zh-CN" w:eastAsia="zh-CN"/>
              </w:rPr>
              <w:t>在</w:t>
            </w:r>
            <w:r>
              <w:rPr>
                <w:rFonts w:hint="eastAsia" w:ascii="仿宋" w:hAnsi="仿宋" w:eastAsia="仿宋" w:cs="仿宋"/>
                <w:bCs/>
                <w:color w:val="auto"/>
                <w:szCs w:val="21"/>
                <w:highlight w:val="none"/>
                <w:lang w:val="en-US" w:eastAsia="zh-CN"/>
              </w:rPr>
              <w:t>项目所在地</w:t>
            </w:r>
            <w:r>
              <w:rPr>
                <w:rFonts w:hint="eastAsia" w:ascii="仿宋" w:hAnsi="仿宋" w:eastAsia="仿宋" w:cs="仿宋"/>
                <w:bCs/>
                <w:color w:val="auto"/>
                <w:szCs w:val="21"/>
                <w:highlight w:val="none"/>
                <w:lang w:val="zh-CN" w:eastAsia="zh-CN"/>
              </w:rPr>
              <w:t>是否拥有常驻服务和技术支持机构</w:t>
            </w:r>
            <w:r>
              <w:rPr>
                <w:rFonts w:hint="eastAsia" w:ascii="仿宋" w:hAnsi="仿宋" w:eastAsia="仿宋" w:cs="仿宋"/>
                <w:b/>
                <w:bCs w:val="0"/>
                <w:color w:val="auto"/>
                <w:szCs w:val="21"/>
                <w:highlight w:val="none"/>
                <w:lang w:val="zh-CN" w:eastAsia="zh-CN"/>
              </w:rPr>
              <w:t>（</w:t>
            </w:r>
            <w:r>
              <w:rPr>
                <w:rFonts w:hint="eastAsia" w:ascii="仿宋" w:hAnsi="仿宋" w:eastAsia="仿宋" w:cs="仿宋"/>
                <w:b/>
                <w:bCs w:val="0"/>
                <w:color w:val="auto"/>
                <w:szCs w:val="21"/>
                <w:highlight w:val="none"/>
              </w:rPr>
              <w:t>提供营业执照注册地址或有效的租赁合同</w:t>
            </w:r>
            <w:r>
              <w:rPr>
                <w:rFonts w:hint="eastAsia" w:ascii="仿宋" w:hAnsi="仿宋" w:eastAsia="仿宋" w:cs="仿宋"/>
                <w:b/>
                <w:bCs w:val="0"/>
                <w:color w:val="auto"/>
                <w:szCs w:val="21"/>
                <w:highlight w:val="none"/>
                <w:lang w:val="en-US" w:eastAsia="zh-CN"/>
              </w:rPr>
              <w:t>扫描件）</w:t>
            </w:r>
            <w:r>
              <w:rPr>
                <w:rFonts w:hint="eastAsia" w:ascii="仿宋" w:hAnsi="仿宋" w:eastAsia="仿宋" w:cs="仿宋"/>
                <w:bCs/>
                <w:color w:val="auto"/>
                <w:szCs w:val="21"/>
                <w:highlight w:val="none"/>
                <w:lang w:val="en-US" w:eastAsia="zh-CN"/>
              </w:rPr>
              <w:t>，或承诺中标后设立</w:t>
            </w:r>
            <w:r>
              <w:rPr>
                <w:rFonts w:hint="eastAsia" w:ascii="仿宋" w:hAnsi="仿宋" w:eastAsia="仿宋" w:cs="仿宋"/>
                <w:b/>
                <w:bCs w:val="0"/>
                <w:color w:val="auto"/>
                <w:szCs w:val="21"/>
                <w:highlight w:val="none"/>
                <w:lang w:val="en-US" w:eastAsia="zh-CN"/>
              </w:rPr>
              <w:t>（提供承诺函，格式自拟）</w:t>
            </w:r>
            <w:r>
              <w:rPr>
                <w:rFonts w:hint="eastAsia" w:ascii="仿宋" w:hAnsi="仿宋" w:eastAsia="仿宋" w:cs="仿宋"/>
                <w:bCs/>
                <w:color w:val="auto"/>
                <w:szCs w:val="21"/>
                <w:highlight w:val="none"/>
                <w:lang w:val="en-US" w:eastAsia="zh-CN"/>
              </w:rPr>
              <w:t>。</w:t>
            </w:r>
          </w:p>
        </w:tc>
        <w:tc>
          <w:tcPr>
            <w:tcW w:w="805" w:type="dxa"/>
            <w:vAlign w:val="center"/>
          </w:tcPr>
          <w:p w14:paraId="2DFFD09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3</w:t>
            </w:r>
          </w:p>
        </w:tc>
        <w:tc>
          <w:tcPr>
            <w:tcW w:w="845" w:type="dxa"/>
            <w:vAlign w:val="center"/>
          </w:tcPr>
          <w:p w14:paraId="0434F85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客</w:t>
            </w:r>
            <w:r>
              <w:rPr>
                <w:rFonts w:hint="eastAsia" w:ascii="仿宋" w:hAnsi="仿宋" w:eastAsia="仿宋" w:cs="仿宋"/>
                <w:b w:val="0"/>
                <w:bCs w:val="0"/>
                <w:color w:val="auto"/>
                <w:szCs w:val="21"/>
                <w:highlight w:val="none"/>
              </w:rPr>
              <w:t>观分</w:t>
            </w:r>
          </w:p>
        </w:tc>
        <w:tc>
          <w:tcPr>
            <w:tcW w:w="1105" w:type="dxa"/>
            <w:vMerge w:val="restart"/>
            <w:vAlign w:val="center"/>
          </w:tcPr>
          <w:p w14:paraId="604CC30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应急服务的响应性及可行性</w:t>
            </w:r>
          </w:p>
        </w:tc>
      </w:tr>
      <w:tr w14:paraId="0CCA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B0546A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11</w:t>
            </w:r>
          </w:p>
        </w:tc>
        <w:tc>
          <w:tcPr>
            <w:tcW w:w="5577" w:type="dxa"/>
            <w:vAlign w:val="center"/>
          </w:tcPr>
          <w:p w14:paraId="0409F81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投标人保证提供快捷及时上门服务，保证能够在15（含）分钟能到达的服务地点的得5分，15（不含）-30（含）分钟之内的得4分，30（不含）-45（含）分钟的得3分，45（不含）-60（含）分钟之内的得2分，60（不含）分钟之内的得1分，其余不得分。</w:t>
            </w:r>
            <w:r>
              <w:rPr>
                <w:rFonts w:hint="eastAsia" w:ascii="仿宋" w:hAnsi="仿宋" w:eastAsia="仿宋" w:cs="仿宋"/>
                <w:b/>
                <w:bCs w:val="0"/>
                <w:color w:val="auto"/>
                <w:szCs w:val="21"/>
                <w:highlight w:val="none"/>
                <w:lang w:val="en-US" w:eastAsia="zh-CN"/>
              </w:rPr>
              <w:t>（提供地图软件截图和承诺函，格式自拟）</w:t>
            </w:r>
            <w:r>
              <w:rPr>
                <w:rFonts w:hint="eastAsia" w:ascii="仿宋" w:hAnsi="仿宋" w:eastAsia="仿宋" w:cs="仿宋"/>
                <w:bCs/>
                <w:color w:val="auto"/>
                <w:szCs w:val="21"/>
                <w:highlight w:val="none"/>
                <w:lang w:val="en-US" w:eastAsia="zh-CN"/>
              </w:rPr>
              <w:t>。</w:t>
            </w:r>
          </w:p>
        </w:tc>
        <w:tc>
          <w:tcPr>
            <w:tcW w:w="805" w:type="dxa"/>
            <w:vAlign w:val="center"/>
          </w:tcPr>
          <w:p w14:paraId="01F229F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b w:val="0"/>
                <w:bCs w:val="0"/>
                <w:color w:val="auto"/>
                <w:szCs w:val="21"/>
                <w:highlight w:val="none"/>
                <w:lang w:val="en-US" w:eastAsia="zh-CN"/>
              </w:rPr>
              <w:t>5</w:t>
            </w:r>
          </w:p>
        </w:tc>
        <w:tc>
          <w:tcPr>
            <w:tcW w:w="845" w:type="dxa"/>
            <w:vAlign w:val="center"/>
          </w:tcPr>
          <w:p w14:paraId="67B8BCA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客</w:t>
            </w:r>
            <w:r>
              <w:rPr>
                <w:rFonts w:hint="eastAsia" w:ascii="仿宋" w:hAnsi="仿宋" w:eastAsia="仿宋" w:cs="仿宋"/>
                <w:b w:val="0"/>
                <w:bCs w:val="0"/>
                <w:color w:val="auto"/>
                <w:szCs w:val="21"/>
                <w:highlight w:val="none"/>
              </w:rPr>
              <w:t>观分</w:t>
            </w:r>
          </w:p>
        </w:tc>
        <w:tc>
          <w:tcPr>
            <w:tcW w:w="1105" w:type="dxa"/>
            <w:vMerge w:val="continue"/>
            <w:vAlign w:val="center"/>
          </w:tcPr>
          <w:p w14:paraId="6EF4C4E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r>
      <w:tr w14:paraId="2039B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1FA149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2</w:t>
            </w:r>
          </w:p>
        </w:tc>
        <w:tc>
          <w:tcPr>
            <w:tcW w:w="5577" w:type="dxa"/>
            <w:vAlign w:val="center"/>
          </w:tcPr>
          <w:p w14:paraId="3620CAC8">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根据投标人提供的项目应急处理方案的完整性、合理性、科学性等进行综合评审；</w:t>
            </w:r>
          </w:p>
          <w:p w14:paraId="2503D6D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805" w:type="dxa"/>
            <w:vAlign w:val="center"/>
          </w:tcPr>
          <w:p w14:paraId="737A833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w:t>
            </w:r>
          </w:p>
        </w:tc>
        <w:tc>
          <w:tcPr>
            <w:tcW w:w="845" w:type="dxa"/>
            <w:vAlign w:val="center"/>
          </w:tcPr>
          <w:p w14:paraId="30C81B5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主</w:t>
            </w:r>
            <w:r>
              <w:rPr>
                <w:rFonts w:hint="eastAsia" w:ascii="仿宋" w:hAnsi="仿宋" w:eastAsia="仿宋" w:cs="仿宋"/>
                <w:b w:val="0"/>
                <w:bCs w:val="0"/>
                <w:color w:val="auto"/>
                <w:szCs w:val="21"/>
                <w:highlight w:val="none"/>
              </w:rPr>
              <w:t>观分</w:t>
            </w:r>
          </w:p>
        </w:tc>
        <w:tc>
          <w:tcPr>
            <w:tcW w:w="1105" w:type="dxa"/>
            <w:vMerge w:val="continue"/>
            <w:vAlign w:val="center"/>
          </w:tcPr>
          <w:p w14:paraId="1279C6E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r>
      <w:tr w14:paraId="09C8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CF7864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5577" w:type="dxa"/>
            <w:vAlign w:val="center"/>
          </w:tcPr>
          <w:p w14:paraId="77E0FCB4">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bCs/>
                <w:color w:val="auto"/>
                <w:szCs w:val="21"/>
                <w:highlight w:val="none"/>
                <w:lang w:val="en-US" w:eastAsia="zh-CN"/>
              </w:rPr>
              <w:t>投标人提出有助提高项目服务的建议，每提供1个有效建议得1分，最多得2分。</w:t>
            </w:r>
          </w:p>
        </w:tc>
        <w:tc>
          <w:tcPr>
            <w:tcW w:w="805" w:type="dxa"/>
            <w:vAlign w:val="center"/>
          </w:tcPr>
          <w:p w14:paraId="5EE670B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845" w:type="dxa"/>
            <w:vAlign w:val="center"/>
          </w:tcPr>
          <w:p w14:paraId="08BE7E5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客观分</w:t>
            </w:r>
          </w:p>
        </w:tc>
        <w:tc>
          <w:tcPr>
            <w:tcW w:w="1105" w:type="dxa"/>
            <w:vAlign w:val="center"/>
          </w:tcPr>
          <w:p w14:paraId="4EDA7EE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合理化建议</w:t>
            </w:r>
          </w:p>
        </w:tc>
      </w:tr>
      <w:tr w14:paraId="3831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14:paraId="2E6225A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5577" w:type="dxa"/>
            <w:vAlign w:val="center"/>
          </w:tcPr>
          <w:p w14:paraId="5A83DAF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项目总负责人：</w:t>
            </w:r>
          </w:p>
          <w:p w14:paraId="0D415F1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1、项目总负责人具有四级及以上养老护理员职业技能证书的得2分，本项最高得2分。</w:t>
            </w:r>
          </w:p>
          <w:p w14:paraId="020516B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val="en-US" w:eastAsia="zh-CN"/>
              </w:rPr>
              <w:t>证明材料：同时提供技能证书复印件和投标人为其缴纳的近三个月任意一月的社保证明</w:t>
            </w:r>
            <w:r>
              <w:rPr>
                <w:rFonts w:hint="eastAsia" w:ascii="仿宋" w:hAnsi="仿宋" w:eastAsia="仿宋" w:cs="仿宋"/>
                <w:b/>
                <w:bCs w:val="0"/>
                <w:color w:val="auto"/>
                <w:szCs w:val="21"/>
                <w:highlight w:val="none"/>
              </w:rPr>
              <w:t>，未按要求提供证明材料的不得分。</w:t>
            </w:r>
          </w:p>
          <w:p w14:paraId="7BEB701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val="0"/>
                <w:bCs/>
                <w:color w:val="auto"/>
                <w:szCs w:val="21"/>
                <w:highlight w:val="none"/>
                <w:lang w:val="en-US" w:eastAsia="zh-CN"/>
              </w:rPr>
              <w:t>2、</w:t>
            </w:r>
            <w:r>
              <w:rPr>
                <w:rFonts w:hint="eastAsia" w:ascii="仿宋" w:hAnsi="仿宋" w:eastAsia="仿宋" w:cs="仿宋"/>
                <w:bCs/>
                <w:color w:val="auto"/>
                <w:szCs w:val="21"/>
                <w:highlight w:val="none"/>
                <w:lang w:val="en-US" w:eastAsia="zh-CN"/>
              </w:rPr>
              <w:t>项目总负责人具有①居家养老服务、②点位运营相关工作经验，每提供一类得1分，本项最高得2分。</w:t>
            </w:r>
          </w:p>
          <w:p w14:paraId="3DE9A12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auto"/>
                <w:szCs w:val="21"/>
                <w:highlight w:val="none"/>
              </w:rPr>
            </w:pPr>
            <w:r>
              <w:rPr>
                <w:rFonts w:hint="eastAsia" w:ascii="仿宋" w:hAnsi="仿宋" w:eastAsia="仿宋" w:cs="仿宋"/>
                <w:b/>
                <w:bCs w:val="0"/>
                <w:color w:val="auto"/>
                <w:szCs w:val="21"/>
                <w:highlight w:val="none"/>
              </w:rPr>
              <w:t>证明材料：</w:t>
            </w:r>
            <w:r>
              <w:rPr>
                <w:rFonts w:hint="eastAsia" w:ascii="仿宋" w:hAnsi="仿宋" w:eastAsia="仿宋" w:cs="仿宋"/>
                <w:b/>
                <w:bCs w:val="0"/>
                <w:color w:val="auto"/>
                <w:szCs w:val="21"/>
                <w:highlight w:val="none"/>
                <w:lang w:val="en-US" w:eastAsia="zh-CN"/>
              </w:rPr>
              <w:t>同时提供经验证明材料</w:t>
            </w:r>
            <w:r>
              <w:rPr>
                <w:rFonts w:hint="eastAsia" w:ascii="仿宋" w:hAnsi="仿宋" w:eastAsia="仿宋" w:cs="仿宋"/>
                <w:b/>
                <w:bCs w:val="0"/>
                <w:color w:val="auto"/>
                <w:szCs w:val="21"/>
                <w:highlight w:val="none"/>
              </w:rPr>
              <w:t>复印件</w:t>
            </w:r>
            <w:r>
              <w:rPr>
                <w:rFonts w:hint="eastAsia" w:ascii="仿宋" w:hAnsi="仿宋" w:eastAsia="仿宋" w:cs="仿宋"/>
                <w:b/>
                <w:bCs w:val="0"/>
                <w:color w:val="auto"/>
                <w:szCs w:val="21"/>
                <w:highlight w:val="none"/>
                <w:lang w:val="en-US" w:eastAsia="zh-CN"/>
              </w:rPr>
              <w:t>和投标人为其缴纳的近三个月任意一月的社保证明</w:t>
            </w:r>
            <w:r>
              <w:rPr>
                <w:rFonts w:hint="eastAsia" w:ascii="仿宋" w:hAnsi="仿宋" w:eastAsia="仿宋" w:cs="仿宋"/>
                <w:b/>
                <w:color w:val="auto"/>
                <w:szCs w:val="21"/>
                <w:highlight w:val="none"/>
              </w:rPr>
              <w:t>，未按要求提供证明材料的不得分。</w:t>
            </w:r>
          </w:p>
          <w:p w14:paraId="6D771EB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val="0"/>
                <w:bCs/>
                <w:color w:val="auto"/>
                <w:szCs w:val="21"/>
                <w:highlight w:val="none"/>
                <w:lang w:val="en-US" w:eastAsia="zh-CN"/>
              </w:rPr>
              <w:t>3、</w:t>
            </w:r>
            <w:r>
              <w:rPr>
                <w:rFonts w:hint="eastAsia" w:ascii="仿宋" w:hAnsi="仿宋" w:eastAsia="仿宋" w:cs="仿宋"/>
                <w:bCs/>
                <w:color w:val="auto"/>
                <w:szCs w:val="21"/>
                <w:highlight w:val="none"/>
                <w:lang w:val="en-US" w:eastAsia="zh-CN"/>
              </w:rPr>
              <w:t>项目总负责人具有大学学历的得1分。</w:t>
            </w:r>
          </w:p>
          <w:p w14:paraId="5A3247B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bCs w:val="0"/>
                <w:color w:val="auto"/>
                <w:szCs w:val="21"/>
                <w:highlight w:val="none"/>
              </w:rPr>
              <w:t>证明材料：</w:t>
            </w:r>
            <w:r>
              <w:rPr>
                <w:rFonts w:hint="eastAsia" w:ascii="仿宋" w:hAnsi="仿宋" w:eastAsia="仿宋" w:cs="仿宋"/>
                <w:b/>
                <w:bCs w:val="0"/>
                <w:color w:val="auto"/>
                <w:szCs w:val="21"/>
                <w:highlight w:val="none"/>
                <w:lang w:val="en-US" w:eastAsia="zh-CN"/>
              </w:rPr>
              <w:t>同时提供学历证书</w:t>
            </w:r>
            <w:r>
              <w:rPr>
                <w:rFonts w:hint="eastAsia" w:ascii="仿宋" w:hAnsi="仿宋" w:eastAsia="仿宋" w:cs="仿宋"/>
                <w:b/>
                <w:bCs w:val="0"/>
                <w:color w:val="auto"/>
                <w:szCs w:val="21"/>
                <w:highlight w:val="none"/>
              </w:rPr>
              <w:t>复印件</w:t>
            </w:r>
            <w:r>
              <w:rPr>
                <w:rFonts w:hint="eastAsia" w:ascii="仿宋" w:hAnsi="仿宋" w:eastAsia="仿宋" w:cs="仿宋"/>
                <w:b/>
                <w:bCs w:val="0"/>
                <w:color w:val="auto"/>
                <w:szCs w:val="21"/>
                <w:highlight w:val="none"/>
                <w:lang w:val="en-US" w:eastAsia="zh-CN"/>
              </w:rPr>
              <w:t>和投标人为其缴纳的近三个月任意一月的社保证明</w:t>
            </w:r>
            <w:r>
              <w:rPr>
                <w:rFonts w:hint="eastAsia" w:ascii="仿宋" w:hAnsi="仿宋" w:eastAsia="仿宋" w:cs="仿宋"/>
                <w:b/>
                <w:color w:val="auto"/>
                <w:szCs w:val="21"/>
                <w:highlight w:val="none"/>
              </w:rPr>
              <w:t>，未按要求提供证明材料的不得分。</w:t>
            </w:r>
          </w:p>
        </w:tc>
        <w:tc>
          <w:tcPr>
            <w:tcW w:w="805" w:type="dxa"/>
            <w:vAlign w:val="center"/>
          </w:tcPr>
          <w:p w14:paraId="0BDD2D1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b w:val="0"/>
                <w:bCs w:val="0"/>
                <w:color w:val="auto"/>
                <w:szCs w:val="21"/>
                <w:highlight w:val="none"/>
                <w:lang w:val="en-US" w:eastAsia="zh-CN"/>
              </w:rPr>
              <w:t>5</w:t>
            </w:r>
          </w:p>
        </w:tc>
        <w:tc>
          <w:tcPr>
            <w:tcW w:w="845" w:type="dxa"/>
            <w:vAlign w:val="center"/>
          </w:tcPr>
          <w:p w14:paraId="6224615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客</w:t>
            </w:r>
            <w:r>
              <w:rPr>
                <w:rFonts w:hint="eastAsia" w:ascii="仿宋" w:hAnsi="仿宋" w:eastAsia="仿宋" w:cs="仿宋"/>
                <w:b w:val="0"/>
                <w:bCs w:val="0"/>
                <w:color w:val="auto"/>
                <w:szCs w:val="21"/>
                <w:highlight w:val="none"/>
              </w:rPr>
              <w:t>观分</w:t>
            </w:r>
          </w:p>
        </w:tc>
        <w:tc>
          <w:tcPr>
            <w:tcW w:w="1105" w:type="dxa"/>
            <w:vMerge w:val="restart"/>
            <w:vAlign w:val="center"/>
          </w:tcPr>
          <w:p w14:paraId="300E57D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服务团队情况</w:t>
            </w:r>
          </w:p>
        </w:tc>
      </w:tr>
      <w:tr w14:paraId="4E865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386BD6D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c>
          <w:tcPr>
            <w:tcW w:w="5577" w:type="dxa"/>
            <w:vAlign w:val="center"/>
          </w:tcPr>
          <w:p w14:paraId="2ADF562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项目上门服务负责人：</w:t>
            </w:r>
          </w:p>
          <w:p w14:paraId="067C42E0">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1、项目上门服务负责人具有四级及以上养老护理员职业技能证书的得2分，本项最高得2分。</w:t>
            </w:r>
          </w:p>
          <w:p w14:paraId="067B32B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lang w:val="en-US" w:eastAsia="zh-CN"/>
              </w:rPr>
              <w:t>证明材料：同时提供技能证书复印件和投标人为其缴纳的近三个月任意一月的社保证明</w:t>
            </w:r>
            <w:r>
              <w:rPr>
                <w:rFonts w:hint="eastAsia" w:ascii="仿宋" w:hAnsi="仿宋" w:eastAsia="仿宋" w:cs="仿宋"/>
                <w:b/>
                <w:bCs w:val="0"/>
                <w:color w:val="auto"/>
                <w:szCs w:val="21"/>
                <w:highlight w:val="none"/>
              </w:rPr>
              <w:t>，未按要求提供证明材料的不得分。</w:t>
            </w:r>
          </w:p>
          <w:p w14:paraId="6B78E3B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2、项目上门服务负责人具有区域型居家养老上门服务相关工作经验得1分，本项最高得1分。</w:t>
            </w:r>
          </w:p>
          <w:p w14:paraId="69E484A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rPr>
              <w:t>证明材料：</w:t>
            </w:r>
            <w:r>
              <w:rPr>
                <w:rFonts w:hint="eastAsia" w:ascii="仿宋" w:hAnsi="仿宋" w:eastAsia="仿宋" w:cs="仿宋"/>
                <w:b/>
                <w:bCs w:val="0"/>
                <w:color w:val="auto"/>
                <w:szCs w:val="21"/>
                <w:highlight w:val="none"/>
                <w:lang w:val="en-US" w:eastAsia="zh-CN"/>
              </w:rPr>
              <w:t>同时提供经验证明材料</w:t>
            </w:r>
            <w:r>
              <w:rPr>
                <w:rFonts w:hint="eastAsia" w:ascii="仿宋" w:hAnsi="仿宋" w:eastAsia="仿宋" w:cs="仿宋"/>
                <w:b/>
                <w:bCs w:val="0"/>
                <w:color w:val="auto"/>
                <w:szCs w:val="21"/>
                <w:highlight w:val="none"/>
              </w:rPr>
              <w:t>复印件</w:t>
            </w:r>
            <w:r>
              <w:rPr>
                <w:rFonts w:hint="eastAsia" w:ascii="仿宋" w:hAnsi="仿宋" w:eastAsia="仿宋" w:cs="仿宋"/>
                <w:b/>
                <w:bCs w:val="0"/>
                <w:color w:val="auto"/>
                <w:szCs w:val="21"/>
                <w:highlight w:val="none"/>
                <w:lang w:val="en-US" w:eastAsia="zh-CN"/>
              </w:rPr>
              <w:t>和投标人为其缴纳的近三个月任意一月的社保证明</w:t>
            </w:r>
            <w:r>
              <w:rPr>
                <w:rFonts w:hint="eastAsia" w:ascii="仿宋" w:hAnsi="仿宋" w:eastAsia="仿宋" w:cs="仿宋"/>
                <w:b/>
                <w:color w:val="auto"/>
                <w:szCs w:val="21"/>
                <w:highlight w:val="none"/>
              </w:rPr>
              <w:t>，未按要求提供证明材料的不得分。</w:t>
            </w:r>
          </w:p>
        </w:tc>
        <w:tc>
          <w:tcPr>
            <w:tcW w:w="805" w:type="dxa"/>
            <w:vAlign w:val="center"/>
          </w:tcPr>
          <w:p w14:paraId="7FD879C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3</w:t>
            </w:r>
          </w:p>
        </w:tc>
        <w:tc>
          <w:tcPr>
            <w:tcW w:w="845" w:type="dxa"/>
            <w:vAlign w:val="center"/>
          </w:tcPr>
          <w:p w14:paraId="2F154A1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客</w:t>
            </w:r>
            <w:r>
              <w:rPr>
                <w:rFonts w:hint="eastAsia" w:ascii="仿宋" w:hAnsi="仿宋" w:eastAsia="仿宋" w:cs="仿宋"/>
                <w:b w:val="0"/>
                <w:bCs w:val="0"/>
                <w:color w:val="auto"/>
                <w:szCs w:val="21"/>
                <w:highlight w:val="none"/>
              </w:rPr>
              <w:t>观分</w:t>
            </w:r>
          </w:p>
        </w:tc>
        <w:tc>
          <w:tcPr>
            <w:tcW w:w="1105" w:type="dxa"/>
            <w:vMerge w:val="continue"/>
            <w:vAlign w:val="center"/>
          </w:tcPr>
          <w:p w14:paraId="7870332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r>
      <w:tr w14:paraId="24F5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4824E0A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c>
          <w:tcPr>
            <w:tcW w:w="5577" w:type="dxa"/>
            <w:vAlign w:val="center"/>
          </w:tcPr>
          <w:p w14:paraId="24F9184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项目点位负责人：</w:t>
            </w:r>
          </w:p>
          <w:p w14:paraId="2BC8861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1、项目点位负责人具有四级及以上养老护理员职业技能证书的得2分，本项最高得2分。</w:t>
            </w:r>
          </w:p>
          <w:p w14:paraId="2FEEF39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lang w:val="en-US" w:eastAsia="zh-CN"/>
              </w:rPr>
              <w:t>证明材料：同时提供技能证书复印件和投标人为其缴纳的近三个月任意一月的社保证明</w:t>
            </w:r>
            <w:r>
              <w:rPr>
                <w:rFonts w:hint="eastAsia" w:ascii="仿宋" w:hAnsi="仿宋" w:eastAsia="仿宋" w:cs="仿宋"/>
                <w:b/>
                <w:bCs w:val="0"/>
                <w:color w:val="auto"/>
                <w:szCs w:val="21"/>
                <w:highlight w:val="none"/>
              </w:rPr>
              <w:t>，未按要求提供证明材料的不得分。</w:t>
            </w:r>
          </w:p>
          <w:p w14:paraId="1B6EBC1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2、项目点位负责人具有区域型居家养老点位运营相关工作经验得1分，本项最高得1分。</w:t>
            </w:r>
          </w:p>
          <w:p w14:paraId="67C0FD0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szCs w:val="21"/>
                <w:highlight w:val="none"/>
              </w:rPr>
              <w:t>证明材料：</w:t>
            </w:r>
            <w:r>
              <w:rPr>
                <w:rFonts w:hint="eastAsia" w:ascii="仿宋" w:hAnsi="仿宋" w:eastAsia="仿宋" w:cs="仿宋"/>
                <w:b/>
                <w:bCs w:val="0"/>
                <w:color w:val="auto"/>
                <w:szCs w:val="21"/>
                <w:highlight w:val="none"/>
                <w:lang w:val="en-US" w:eastAsia="zh-CN"/>
              </w:rPr>
              <w:t>同时提供经验证明材料</w:t>
            </w:r>
            <w:r>
              <w:rPr>
                <w:rFonts w:hint="eastAsia" w:ascii="仿宋" w:hAnsi="仿宋" w:eastAsia="仿宋" w:cs="仿宋"/>
                <w:b/>
                <w:bCs w:val="0"/>
                <w:color w:val="auto"/>
                <w:szCs w:val="21"/>
                <w:highlight w:val="none"/>
              </w:rPr>
              <w:t>复印件</w:t>
            </w:r>
            <w:r>
              <w:rPr>
                <w:rFonts w:hint="eastAsia" w:ascii="仿宋" w:hAnsi="仿宋" w:eastAsia="仿宋" w:cs="仿宋"/>
                <w:b/>
                <w:bCs w:val="0"/>
                <w:color w:val="auto"/>
                <w:szCs w:val="21"/>
                <w:highlight w:val="none"/>
                <w:lang w:val="en-US" w:eastAsia="zh-CN"/>
              </w:rPr>
              <w:t>和投标人为其缴纳的近三个月任意一月的社保证明</w:t>
            </w:r>
            <w:r>
              <w:rPr>
                <w:rFonts w:hint="eastAsia" w:ascii="仿宋" w:hAnsi="仿宋" w:eastAsia="仿宋" w:cs="仿宋"/>
                <w:b/>
                <w:color w:val="auto"/>
                <w:szCs w:val="21"/>
                <w:highlight w:val="none"/>
              </w:rPr>
              <w:t>，未按要求提供证明材料的不得分。</w:t>
            </w:r>
          </w:p>
        </w:tc>
        <w:tc>
          <w:tcPr>
            <w:tcW w:w="805" w:type="dxa"/>
            <w:vAlign w:val="center"/>
          </w:tcPr>
          <w:p w14:paraId="337FC7F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3</w:t>
            </w:r>
          </w:p>
        </w:tc>
        <w:tc>
          <w:tcPr>
            <w:tcW w:w="845" w:type="dxa"/>
            <w:vAlign w:val="center"/>
          </w:tcPr>
          <w:p w14:paraId="62B53C6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客观</w:t>
            </w:r>
            <w:r>
              <w:rPr>
                <w:rFonts w:hint="eastAsia" w:ascii="仿宋" w:hAnsi="仿宋" w:eastAsia="仿宋" w:cs="仿宋"/>
                <w:b w:val="0"/>
                <w:bCs w:val="0"/>
                <w:color w:val="auto"/>
                <w:szCs w:val="21"/>
                <w:highlight w:val="none"/>
              </w:rPr>
              <w:t>分</w:t>
            </w:r>
          </w:p>
        </w:tc>
        <w:tc>
          <w:tcPr>
            <w:tcW w:w="1105" w:type="dxa"/>
            <w:vMerge w:val="continue"/>
            <w:vAlign w:val="center"/>
          </w:tcPr>
          <w:p w14:paraId="594E9CB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r>
      <w:tr w14:paraId="78843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4B86D56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c>
          <w:tcPr>
            <w:tcW w:w="5577" w:type="dxa"/>
            <w:vAlign w:val="center"/>
          </w:tcPr>
          <w:p w14:paraId="054AE9D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宋体" w:cs="仿宋"/>
                <w:bCs/>
                <w:color w:val="auto"/>
                <w:szCs w:val="21"/>
                <w:highlight w:val="none"/>
                <w:lang w:eastAsia="zh-CN"/>
              </w:rPr>
            </w:pPr>
            <w:r>
              <w:rPr>
                <w:rFonts w:hint="eastAsia" w:ascii="仿宋" w:hAnsi="仿宋" w:eastAsia="仿宋" w:cs="仿宋"/>
                <w:bCs/>
                <w:color w:val="auto"/>
                <w:szCs w:val="21"/>
                <w:highlight w:val="none"/>
                <w:lang w:val="en-US" w:eastAsia="zh-CN"/>
              </w:rPr>
              <w:t>投标人承诺为本项目配备的项目组成员（即一线服务人员）50%及以上具有良好的方言沟通能力</w:t>
            </w:r>
            <w:r>
              <w:rPr>
                <w:rFonts w:hint="eastAsia" w:ascii="仿宋" w:hAnsi="仿宋" w:eastAsia="仿宋" w:cs="仿宋"/>
                <w:b/>
                <w:bCs w:val="0"/>
                <w:color w:val="auto"/>
                <w:szCs w:val="21"/>
                <w:highlight w:val="none"/>
                <w:lang w:val="en-US" w:eastAsia="zh-CN"/>
              </w:rPr>
              <w:t>（提供承诺函，格式自拟）</w:t>
            </w:r>
            <w:r>
              <w:rPr>
                <w:rFonts w:hint="eastAsia" w:ascii="仿宋" w:hAnsi="仿宋" w:eastAsia="仿宋" w:cs="仿宋"/>
                <w:bCs/>
                <w:color w:val="auto"/>
                <w:szCs w:val="21"/>
                <w:highlight w:val="none"/>
                <w:lang w:val="en-US" w:eastAsia="zh-CN"/>
              </w:rPr>
              <w:t>。</w:t>
            </w:r>
          </w:p>
        </w:tc>
        <w:tc>
          <w:tcPr>
            <w:tcW w:w="805" w:type="dxa"/>
            <w:vAlign w:val="center"/>
          </w:tcPr>
          <w:p w14:paraId="1742163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845" w:type="dxa"/>
            <w:vAlign w:val="center"/>
          </w:tcPr>
          <w:p w14:paraId="74D6524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c>
          <w:tcPr>
            <w:tcW w:w="1105" w:type="dxa"/>
            <w:vMerge w:val="continue"/>
            <w:vAlign w:val="center"/>
          </w:tcPr>
          <w:p w14:paraId="40A8A6A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r>
      <w:tr w14:paraId="6FF3C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397688F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c>
          <w:tcPr>
            <w:tcW w:w="5577" w:type="dxa"/>
            <w:vAlign w:val="center"/>
          </w:tcPr>
          <w:p w14:paraId="4EA22F1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项目组成员（除项目总负责人、</w:t>
            </w:r>
            <w:r>
              <w:rPr>
                <w:rFonts w:hint="eastAsia" w:ascii="仿宋" w:hAnsi="仿宋" w:eastAsia="仿宋" w:cs="仿宋"/>
                <w:b w:val="0"/>
                <w:bCs/>
                <w:color w:val="auto"/>
                <w:sz w:val="21"/>
                <w:szCs w:val="21"/>
                <w:highlight w:val="none"/>
                <w:lang w:val="en-US" w:eastAsia="zh-CN"/>
              </w:rPr>
              <w:t>上门服务</w:t>
            </w:r>
            <w:r>
              <w:rPr>
                <w:rFonts w:hint="eastAsia" w:ascii="仿宋" w:hAnsi="仿宋" w:eastAsia="仿宋" w:cs="仿宋"/>
                <w:b w:val="0"/>
                <w:bCs/>
                <w:color w:val="auto"/>
                <w:sz w:val="21"/>
                <w:szCs w:val="21"/>
                <w:highlight w:val="none"/>
              </w:rPr>
              <w:t>负责人</w:t>
            </w:r>
            <w:r>
              <w:rPr>
                <w:rFonts w:hint="eastAsia" w:ascii="仿宋" w:hAnsi="仿宋" w:eastAsia="仿宋" w:cs="仿宋"/>
                <w:b w:val="0"/>
                <w:bCs/>
                <w:color w:val="auto"/>
                <w:sz w:val="21"/>
                <w:szCs w:val="21"/>
                <w:highlight w:val="none"/>
                <w:lang w:eastAsia="zh-CN"/>
              </w:rPr>
              <w:t>、</w:t>
            </w:r>
            <w:r>
              <w:rPr>
                <w:rFonts w:hint="eastAsia" w:ascii="仿宋" w:hAnsi="仿宋" w:eastAsia="仿宋" w:cs="仿宋"/>
                <w:b w:val="0"/>
                <w:bCs/>
                <w:color w:val="auto"/>
                <w:sz w:val="21"/>
                <w:szCs w:val="21"/>
                <w:highlight w:val="none"/>
                <w:lang w:val="en-US" w:eastAsia="zh-CN"/>
              </w:rPr>
              <w:t>点位负责人</w:t>
            </w:r>
            <w:r>
              <w:rPr>
                <w:rFonts w:hint="eastAsia" w:ascii="仿宋" w:hAnsi="仿宋" w:eastAsia="仿宋" w:cs="仿宋"/>
                <w:bCs/>
                <w:color w:val="auto"/>
                <w:szCs w:val="21"/>
                <w:highlight w:val="none"/>
                <w:lang w:val="en-US" w:eastAsia="zh-CN"/>
              </w:rPr>
              <w:t>外）中具有心理咨询师证书、康复师证书、营养师证书、每具有一类证书的得2分，本项最高得6分。提供证明材料及其缴纳社保的证明材料，如人员为兼职或返聘人员，提供聘用合同或投标单位工资打款（支付）凭证，未提供不得分）。</w:t>
            </w:r>
          </w:p>
          <w:p w14:paraId="23F99B9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szCs w:val="21"/>
                <w:highlight w:val="none"/>
              </w:rPr>
              <w:t>证明材料：</w:t>
            </w:r>
            <w:r>
              <w:rPr>
                <w:rFonts w:hint="eastAsia" w:ascii="仿宋" w:hAnsi="仿宋" w:eastAsia="仿宋" w:cs="仿宋"/>
                <w:b/>
                <w:bCs w:val="0"/>
                <w:color w:val="auto"/>
                <w:szCs w:val="21"/>
                <w:highlight w:val="none"/>
                <w:lang w:val="en-US" w:eastAsia="zh-CN"/>
              </w:rPr>
              <w:t>同时提供证书证明材料</w:t>
            </w:r>
            <w:r>
              <w:rPr>
                <w:rFonts w:hint="eastAsia" w:ascii="仿宋" w:hAnsi="仿宋" w:eastAsia="仿宋" w:cs="仿宋"/>
                <w:b/>
                <w:bCs w:val="0"/>
                <w:color w:val="auto"/>
                <w:szCs w:val="21"/>
                <w:highlight w:val="none"/>
              </w:rPr>
              <w:t>复印件</w:t>
            </w:r>
            <w:r>
              <w:rPr>
                <w:rFonts w:hint="eastAsia" w:ascii="仿宋" w:hAnsi="仿宋" w:eastAsia="仿宋" w:cs="仿宋"/>
                <w:b/>
                <w:bCs w:val="0"/>
                <w:color w:val="auto"/>
                <w:szCs w:val="21"/>
                <w:highlight w:val="none"/>
                <w:lang w:val="en-US" w:eastAsia="zh-CN"/>
              </w:rPr>
              <w:t>和投标人为其缴纳的近三个月任意一月的社保证明（如人员为兼职或返聘人员，提供聘用合同或投标单位工资打款（支付）凭证）</w:t>
            </w:r>
            <w:r>
              <w:rPr>
                <w:rFonts w:hint="eastAsia" w:ascii="仿宋" w:hAnsi="仿宋" w:eastAsia="仿宋" w:cs="仿宋"/>
                <w:b/>
                <w:bCs w:val="0"/>
                <w:color w:val="auto"/>
                <w:szCs w:val="21"/>
                <w:highlight w:val="none"/>
              </w:rPr>
              <w:t>，未按要求提供证明材料的不得分。</w:t>
            </w:r>
          </w:p>
        </w:tc>
        <w:tc>
          <w:tcPr>
            <w:tcW w:w="805" w:type="dxa"/>
            <w:vAlign w:val="center"/>
          </w:tcPr>
          <w:p w14:paraId="2452D96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845" w:type="dxa"/>
            <w:vAlign w:val="center"/>
          </w:tcPr>
          <w:p w14:paraId="71BA36D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c>
          <w:tcPr>
            <w:tcW w:w="1105" w:type="dxa"/>
            <w:vMerge w:val="continue"/>
            <w:vAlign w:val="center"/>
          </w:tcPr>
          <w:p w14:paraId="2C1E034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r>
      <w:tr w14:paraId="2649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63C41F8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5577" w:type="dxa"/>
          </w:tcPr>
          <w:p w14:paraId="31319AB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投标人针对本项目服务期内接触到的项目资料、服务对象资料等其他与本项目相关的资料提供具体有效的保密方案</w:t>
            </w:r>
            <w:r>
              <w:rPr>
                <w:rFonts w:hint="eastAsia" w:ascii="仿宋" w:hAnsi="仿宋" w:eastAsia="仿宋" w:cs="仿宋"/>
                <w:bCs/>
                <w:color w:val="auto"/>
                <w:szCs w:val="21"/>
                <w:highlight w:val="none"/>
              </w:rPr>
              <w:t>进行综合评审；</w:t>
            </w:r>
          </w:p>
          <w:p w14:paraId="5AA1035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Cs w:val="21"/>
                <w:highlight w:val="none"/>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w:t>
            </w:r>
            <w:r>
              <w:rPr>
                <w:rFonts w:hint="eastAsia" w:ascii="仿宋" w:hAnsi="仿宋" w:eastAsia="仿宋" w:cs="仿宋"/>
                <w:b/>
                <w:bCs w:val="0"/>
                <w:color w:val="auto"/>
                <w:kern w:val="2"/>
                <w:sz w:val="21"/>
                <w:szCs w:val="21"/>
                <w:highlight w:val="none"/>
              </w:rPr>
              <w:t>得4分；内容全面性，针对性一般的得3分；内容基本合理的得2分；内容有所欠缺的得1分；不提供不得分。</w:t>
            </w:r>
          </w:p>
        </w:tc>
        <w:tc>
          <w:tcPr>
            <w:tcW w:w="805" w:type="dxa"/>
            <w:vAlign w:val="center"/>
          </w:tcPr>
          <w:p w14:paraId="223190F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76E5C27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主观分</w:t>
            </w:r>
          </w:p>
        </w:tc>
        <w:tc>
          <w:tcPr>
            <w:tcW w:w="1105" w:type="dxa"/>
            <w:vAlign w:val="center"/>
          </w:tcPr>
          <w:p w14:paraId="29ADE0F0">
            <w:pPr>
              <w:keepNext w:val="0"/>
              <w:keepLines w:val="0"/>
              <w:pageBreakBefore w:val="0"/>
              <w:widowControl w:val="0"/>
              <w:kinsoku/>
              <w:wordWrap/>
              <w:overflowPunct/>
              <w:topLinePunct w:val="0"/>
              <w:autoSpaceDE/>
              <w:autoSpaceDN/>
              <w:bidi w:val="0"/>
              <w:adjustRightInd w:val="0"/>
              <w:spacing w:line="320" w:lineRule="exact"/>
              <w:jc w:val="center"/>
              <w:textAlignment w:val="auto"/>
              <w:outlineLvl w:val="0"/>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en-US" w:eastAsia="zh-CN"/>
              </w:rPr>
              <w:t>保密方案</w:t>
            </w:r>
          </w:p>
        </w:tc>
      </w:tr>
    </w:tbl>
    <w:p w14:paraId="01C9678E">
      <w:pPr>
        <w:keepNext w:val="0"/>
        <w:keepLines w:val="0"/>
        <w:pageBreakBefore w:val="0"/>
        <w:widowControl w:val="0"/>
        <w:kinsoku/>
        <w:wordWrap/>
        <w:overflowPunct/>
        <w:topLinePunct w:val="0"/>
        <w:autoSpaceDE/>
        <w:autoSpaceDN/>
        <w:bidi w:val="0"/>
        <w:adjustRightInd w:val="0"/>
        <w:spacing w:line="320" w:lineRule="exact"/>
        <w:jc w:val="center"/>
        <w:textAlignment w:val="auto"/>
        <w:outlineLvl w:val="0"/>
        <w:rPr>
          <w:rFonts w:hint="eastAsia" w:ascii="仿宋" w:hAnsi="仿宋" w:eastAsia="仿宋"/>
          <w:b/>
          <w:color w:val="auto"/>
          <w:sz w:val="36"/>
          <w:szCs w:val="36"/>
          <w:highlight w:val="none"/>
        </w:rPr>
      </w:pPr>
    </w:p>
    <w:p w14:paraId="297E2D62">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outlineLvl w:val="0"/>
        <w:rPr>
          <w:rFonts w:hint="eastAsia" w:ascii="仿宋" w:hAnsi="仿宋" w:eastAsia="仿宋"/>
          <w:b/>
          <w:color w:val="auto"/>
          <w:sz w:val="36"/>
          <w:szCs w:val="36"/>
          <w:highlight w:val="none"/>
        </w:rPr>
      </w:pPr>
    </w:p>
    <w:p w14:paraId="423C405F">
      <w:pPr>
        <w:keepNext w:val="0"/>
        <w:keepLines w:val="0"/>
        <w:pageBreakBefore w:val="0"/>
        <w:widowControl w:val="0"/>
        <w:kinsoku/>
        <w:wordWrap/>
        <w:overflowPunct/>
        <w:topLinePunct w:val="0"/>
        <w:autoSpaceDE/>
        <w:autoSpaceDN/>
        <w:bidi w:val="0"/>
        <w:adjustRightInd w:val="0"/>
        <w:snapToGrid/>
        <w:spacing w:line="580" w:lineRule="exact"/>
        <w:jc w:val="center"/>
        <w:textAlignment w:val="auto"/>
        <w:outlineLvl w:val="0"/>
        <w:rPr>
          <w:rFonts w:hint="default" w:ascii="仿宋" w:hAnsi="仿宋" w:eastAsia="仿宋"/>
          <w:b/>
          <w:color w:val="auto"/>
          <w:sz w:val="36"/>
          <w:szCs w:val="36"/>
          <w:highlight w:val="none"/>
          <w:lang w:val="en-US" w:eastAsia="zh-CN"/>
        </w:rPr>
      </w:pPr>
      <w:r>
        <w:rPr>
          <w:rFonts w:hint="eastAsia" w:ascii="仿宋" w:hAnsi="仿宋" w:eastAsia="仿宋"/>
          <w:b/>
          <w:color w:val="auto"/>
          <w:sz w:val="36"/>
          <w:szCs w:val="36"/>
          <w:highlight w:val="none"/>
        </w:rPr>
        <w:t>评标办法前附表</w:t>
      </w:r>
      <w:r>
        <w:rPr>
          <w:rFonts w:hint="eastAsia" w:ascii="仿宋" w:hAnsi="仿宋" w:eastAsia="仿宋"/>
          <w:b/>
          <w:color w:val="auto"/>
          <w:sz w:val="36"/>
          <w:szCs w:val="36"/>
          <w:highlight w:val="none"/>
          <w:lang w:val="en-US" w:eastAsia="zh-CN"/>
        </w:rPr>
        <w:t>-标项二</w:t>
      </w:r>
    </w:p>
    <w:tbl>
      <w:tblPr>
        <w:tblStyle w:val="50"/>
        <w:tblW w:w="9014" w:type="dxa"/>
        <w:tblInd w:w="-2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5577"/>
        <w:gridCol w:w="805"/>
        <w:gridCol w:w="845"/>
        <w:gridCol w:w="1105"/>
      </w:tblGrid>
      <w:tr w14:paraId="2665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78AC437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5577" w:type="dxa"/>
            <w:vAlign w:val="center"/>
          </w:tcPr>
          <w:p w14:paraId="3F4EE5E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评标标准</w:t>
            </w:r>
          </w:p>
        </w:tc>
        <w:tc>
          <w:tcPr>
            <w:tcW w:w="805" w:type="dxa"/>
            <w:vAlign w:val="center"/>
          </w:tcPr>
          <w:p w14:paraId="1E45B89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权重</w:t>
            </w:r>
          </w:p>
        </w:tc>
        <w:tc>
          <w:tcPr>
            <w:tcW w:w="845" w:type="dxa"/>
            <w:vAlign w:val="center"/>
          </w:tcPr>
          <w:p w14:paraId="330538B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主观分/客观分属性</w:t>
            </w:r>
          </w:p>
        </w:tc>
        <w:tc>
          <w:tcPr>
            <w:tcW w:w="1105" w:type="dxa"/>
          </w:tcPr>
          <w:p w14:paraId="5E7F314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投标文件中评标标准相应的商务技术资料目录*</w:t>
            </w:r>
          </w:p>
        </w:tc>
      </w:tr>
      <w:tr w14:paraId="4D82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7FB2D3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w:t>
            </w:r>
          </w:p>
        </w:tc>
        <w:tc>
          <w:tcPr>
            <w:tcW w:w="5577" w:type="dxa"/>
            <w:vAlign w:val="center"/>
          </w:tcPr>
          <w:p w14:paraId="241272E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投标人具有有效期内的质量管理体系认证证书、环境管理体系认证证书、职业健康安全管理体系认证证书，每提供一个得1分，最高得3分。</w:t>
            </w:r>
          </w:p>
          <w:p w14:paraId="6CD360D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
                <w:color w:val="auto"/>
                <w:szCs w:val="21"/>
                <w:highlight w:val="none"/>
              </w:rPr>
              <w:t>证明材料：提供有效期内证明材料并投标人加盖公章，未按要求提供证明材料的不得分。</w:t>
            </w:r>
          </w:p>
        </w:tc>
        <w:tc>
          <w:tcPr>
            <w:tcW w:w="805" w:type="dxa"/>
            <w:vAlign w:val="center"/>
          </w:tcPr>
          <w:p w14:paraId="0FA351C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3</w:t>
            </w:r>
          </w:p>
        </w:tc>
        <w:tc>
          <w:tcPr>
            <w:tcW w:w="845" w:type="dxa"/>
            <w:vAlign w:val="center"/>
          </w:tcPr>
          <w:p w14:paraId="5D9FFA9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c>
          <w:tcPr>
            <w:tcW w:w="1105" w:type="dxa"/>
            <w:vAlign w:val="center"/>
          </w:tcPr>
          <w:p w14:paraId="6D031DB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体系证书</w:t>
            </w:r>
          </w:p>
        </w:tc>
      </w:tr>
      <w:tr w14:paraId="24F27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14:paraId="527D94A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c>
          <w:tcPr>
            <w:tcW w:w="5577" w:type="dxa"/>
            <w:vAlign w:val="center"/>
          </w:tcPr>
          <w:p w14:paraId="2BBEAA1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根据投标人提供的项目服务实施方案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p>
          <w:p w14:paraId="3048AFC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27F2B24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5</w:t>
            </w:r>
          </w:p>
        </w:tc>
        <w:tc>
          <w:tcPr>
            <w:tcW w:w="845" w:type="dxa"/>
            <w:vAlign w:val="center"/>
          </w:tcPr>
          <w:p w14:paraId="704142F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Merge w:val="restart"/>
            <w:vAlign w:val="center"/>
          </w:tcPr>
          <w:p w14:paraId="4CE228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zh-TW" w:eastAsia="zh-CN"/>
              </w:rPr>
              <w:t>服务方案</w:t>
            </w:r>
          </w:p>
        </w:tc>
      </w:tr>
      <w:tr w14:paraId="161E6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18E4764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c>
          <w:tcPr>
            <w:tcW w:w="5577" w:type="dxa"/>
            <w:vAlign w:val="center"/>
          </w:tcPr>
          <w:p w14:paraId="678D324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根据投标人提供的项目服务各工序衔接方案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p>
          <w:p w14:paraId="7FAF5F6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1DE02B8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845" w:type="dxa"/>
            <w:vAlign w:val="center"/>
          </w:tcPr>
          <w:p w14:paraId="2CA385D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Merge w:val="continue"/>
            <w:vAlign w:val="center"/>
          </w:tcPr>
          <w:p w14:paraId="7DD7CEC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p>
        </w:tc>
      </w:tr>
      <w:tr w14:paraId="2E4E5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7D22DC8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c>
          <w:tcPr>
            <w:tcW w:w="5577" w:type="dxa"/>
            <w:vAlign w:val="center"/>
          </w:tcPr>
          <w:p w14:paraId="5BE2970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根据投标人提出的服务实施方案与项目实施地现状相结合程度，方案中体现的服务效率和服务水平</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p>
          <w:p w14:paraId="07C5CC7F">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0617298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845" w:type="dxa"/>
            <w:vAlign w:val="center"/>
          </w:tcPr>
          <w:p w14:paraId="6FF34C6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Merge w:val="continue"/>
            <w:vAlign w:val="center"/>
          </w:tcPr>
          <w:p w14:paraId="42EBD9D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p>
        </w:tc>
      </w:tr>
      <w:tr w14:paraId="2A1C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682" w:type="dxa"/>
            <w:vAlign w:val="center"/>
          </w:tcPr>
          <w:p w14:paraId="710A88C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c>
          <w:tcPr>
            <w:tcW w:w="5577" w:type="dxa"/>
            <w:vAlign w:val="center"/>
          </w:tcPr>
          <w:p w14:paraId="394F6F54">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根据投标人提供的项目质量管理方案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r>
              <w:rPr>
                <w:rFonts w:hint="eastAsia" w:ascii="仿宋" w:hAnsi="仿宋" w:eastAsia="仿宋" w:cs="仿宋"/>
                <w:bCs/>
                <w:color w:val="auto"/>
                <w:szCs w:val="21"/>
                <w:highlight w:val="none"/>
                <w:lang w:val="en-US" w:eastAsia="zh-CN"/>
              </w:rPr>
              <w:t>方案至少包括①质量目标、②质量保证措施、③安全保障措施、④质量监管方法及措施、监管配合、奖罚措施等；</w:t>
            </w:r>
          </w:p>
          <w:p w14:paraId="56483A2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w:t>
            </w:r>
            <w:r>
              <w:rPr>
                <w:rFonts w:hint="eastAsia" w:ascii="仿宋" w:hAnsi="仿宋" w:eastAsia="仿宋" w:cs="仿宋"/>
                <w:b/>
                <w:bCs w:val="0"/>
                <w:color w:val="auto"/>
                <w:szCs w:val="21"/>
                <w:highlight w:val="none"/>
                <w:lang w:val="en-US" w:eastAsia="zh-CN"/>
              </w:rPr>
              <w:t>每点</w:t>
            </w:r>
            <w:r>
              <w:rPr>
                <w:rFonts w:hint="eastAsia" w:ascii="仿宋" w:hAnsi="仿宋" w:eastAsia="仿宋" w:cs="仿宋"/>
                <w:b/>
                <w:bCs w:val="0"/>
                <w:color w:val="auto"/>
                <w:szCs w:val="21"/>
                <w:highlight w:val="none"/>
              </w:rPr>
              <w:t>内容全面，针对性强的得</w:t>
            </w:r>
            <w:r>
              <w:rPr>
                <w:rFonts w:hint="eastAsia" w:ascii="仿宋" w:hAnsi="仿宋" w:eastAsia="仿宋" w:cs="仿宋"/>
                <w:b/>
                <w:bCs w:val="0"/>
                <w:color w:val="auto"/>
                <w:szCs w:val="21"/>
                <w:highlight w:val="none"/>
                <w:lang w:val="en-US" w:eastAsia="zh-CN"/>
              </w:rPr>
              <w:t>2</w:t>
            </w:r>
            <w:r>
              <w:rPr>
                <w:rFonts w:hint="eastAsia" w:ascii="仿宋" w:hAnsi="仿宋" w:eastAsia="仿宋" w:cs="仿宋"/>
                <w:b/>
                <w:bCs w:val="0"/>
                <w:color w:val="auto"/>
                <w:szCs w:val="21"/>
                <w:highlight w:val="none"/>
              </w:rPr>
              <w:t>分；内容全面性，针对性一般的得</w:t>
            </w:r>
            <w:r>
              <w:rPr>
                <w:rFonts w:hint="eastAsia" w:ascii="仿宋" w:hAnsi="仿宋" w:eastAsia="仿宋" w:cs="仿宋"/>
                <w:b/>
                <w:bCs w:val="0"/>
                <w:color w:val="auto"/>
                <w:szCs w:val="21"/>
                <w:highlight w:val="none"/>
                <w:lang w:val="en-US" w:eastAsia="zh-CN"/>
              </w:rPr>
              <w:t>1</w:t>
            </w:r>
            <w:r>
              <w:rPr>
                <w:rFonts w:hint="eastAsia" w:ascii="仿宋" w:hAnsi="仿宋" w:eastAsia="仿宋" w:cs="仿宋"/>
                <w:b/>
                <w:bCs w:val="0"/>
                <w:color w:val="auto"/>
                <w:szCs w:val="21"/>
                <w:highlight w:val="none"/>
              </w:rPr>
              <w:t>分；内容基本合理的得</w:t>
            </w:r>
            <w:r>
              <w:rPr>
                <w:rFonts w:hint="eastAsia" w:ascii="仿宋" w:hAnsi="仿宋" w:eastAsia="仿宋" w:cs="仿宋"/>
                <w:b/>
                <w:bCs w:val="0"/>
                <w:color w:val="auto"/>
                <w:szCs w:val="21"/>
                <w:highlight w:val="none"/>
                <w:lang w:val="en-US" w:eastAsia="zh-CN"/>
              </w:rPr>
              <w:t>0.5</w:t>
            </w:r>
            <w:r>
              <w:rPr>
                <w:rFonts w:hint="eastAsia" w:ascii="仿宋" w:hAnsi="仿宋" w:eastAsia="仿宋" w:cs="仿宋"/>
                <w:b/>
                <w:bCs w:val="0"/>
                <w:color w:val="auto"/>
                <w:szCs w:val="21"/>
                <w:highlight w:val="none"/>
              </w:rPr>
              <w:t>分；不提供不得分。</w:t>
            </w:r>
          </w:p>
        </w:tc>
        <w:tc>
          <w:tcPr>
            <w:tcW w:w="805" w:type="dxa"/>
            <w:vAlign w:val="center"/>
          </w:tcPr>
          <w:p w14:paraId="0D3C045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845" w:type="dxa"/>
            <w:vAlign w:val="center"/>
          </w:tcPr>
          <w:p w14:paraId="0FF058D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Align w:val="center"/>
          </w:tcPr>
          <w:p w14:paraId="6C1482C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质量管理</w:t>
            </w:r>
          </w:p>
        </w:tc>
      </w:tr>
      <w:tr w14:paraId="7DA3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682" w:type="dxa"/>
            <w:vAlign w:val="center"/>
          </w:tcPr>
          <w:p w14:paraId="5FDE18E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4</w:t>
            </w:r>
          </w:p>
        </w:tc>
        <w:tc>
          <w:tcPr>
            <w:tcW w:w="5577" w:type="dxa"/>
            <w:vAlign w:val="center"/>
          </w:tcPr>
          <w:p w14:paraId="16FEFBE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根据投标人提供的项目组织实施方案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r>
              <w:rPr>
                <w:rFonts w:hint="eastAsia" w:ascii="仿宋" w:hAnsi="仿宋" w:eastAsia="仿宋" w:cs="仿宋"/>
                <w:bCs/>
                <w:color w:val="auto"/>
                <w:szCs w:val="21"/>
                <w:highlight w:val="none"/>
                <w:lang w:val="en-US" w:eastAsia="zh-CN"/>
              </w:rPr>
              <w:t>方案至少包括①组织管理、②组织架构等；</w:t>
            </w:r>
          </w:p>
          <w:p w14:paraId="677A66B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68DA947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7176C79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Align w:val="center"/>
          </w:tcPr>
          <w:p w14:paraId="7BA7BEE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组织管理</w:t>
            </w:r>
          </w:p>
        </w:tc>
      </w:tr>
      <w:tr w14:paraId="7997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92157F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5577" w:type="dxa"/>
            <w:vAlign w:val="center"/>
          </w:tcPr>
          <w:p w14:paraId="6698679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根据投标人提供的监管制度</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r>
              <w:rPr>
                <w:rFonts w:hint="eastAsia" w:ascii="仿宋" w:hAnsi="仿宋" w:eastAsia="仿宋" w:cs="仿宋"/>
                <w:bCs/>
                <w:color w:val="auto"/>
                <w:szCs w:val="21"/>
                <w:highlight w:val="none"/>
                <w:lang w:val="en-US" w:eastAsia="zh-CN"/>
              </w:rPr>
              <w:t>至少包括①廉政措施、②为防止出具虚假报告的监管制度、措施、惩治办法等、③不按规定验收的监管制度、措施、惩治办法等、④转包业务的监管制度、措施、惩治办法等、⑤其他违规行为的监管制度、措施、惩治办法等；</w:t>
            </w:r>
          </w:p>
          <w:p w14:paraId="4F4F1D21">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全面，且有一定针对性的得4分；内容全面性，针对性一般的得3分；内容基本合理的得2分；内容有所欠缺的得1分；不提供不得分。</w:t>
            </w:r>
          </w:p>
        </w:tc>
        <w:tc>
          <w:tcPr>
            <w:tcW w:w="805" w:type="dxa"/>
            <w:vAlign w:val="center"/>
          </w:tcPr>
          <w:p w14:paraId="1A53B6D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26A9AB4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Align w:val="center"/>
          </w:tcPr>
          <w:p w14:paraId="787C801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监管制度</w:t>
            </w:r>
          </w:p>
        </w:tc>
      </w:tr>
      <w:tr w14:paraId="328F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7D3CA4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6</w:t>
            </w:r>
          </w:p>
        </w:tc>
        <w:tc>
          <w:tcPr>
            <w:tcW w:w="5577" w:type="dxa"/>
            <w:vAlign w:val="center"/>
          </w:tcPr>
          <w:p w14:paraId="3220981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根据投标人提供的人员管理方案</w:t>
            </w:r>
            <w:r>
              <w:rPr>
                <w:rFonts w:hint="eastAsia" w:ascii="仿宋" w:hAnsi="仿宋" w:eastAsia="仿宋" w:cs="仿宋"/>
                <w:bCs/>
                <w:color w:val="auto"/>
                <w:szCs w:val="21"/>
                <w:highlight w:val="none"/>
              </w:rPr>
              <w:t>的完整性、合理性、科学性等</w:t>
            </w:r>
            <w:r>
              <w:rPr>
                <w:rFonts w:hint="eastAsia" w:ascii="仿宋" w:hAnsi="仿宋" w:eastAsia="仿宋" w:cs="仿宋"/>
                <w:bCs/>
                <w:color w:val="auto"/>
                <w:szCs w:val="21"/>
                <w:highlight w:val="none"/>
                <w:lang w:val="en-US" w:eastAsia="zh-CN"/>
              </w:rPr>
              <w:t>情况</w:t>
            </w:r>
            <w:r>
              <w:rPr>
                <w:rFonts w:hint="eastAsia" w:ascii="仿宋" w:hAnsi="仿宋" w:eastAsia="仿宋" w:cs="仿宋"/>
                <w:bCs/>
                <w:color w:val="auto"/>
                <w:szCs w:val="21"/>
                <w:highlight w:val="none"/>
              </w:rPr>
              <w:t>进行综合评审；</w:t>
            </w:r>
            <w:r>
              <w:rPr>
                <w:rFonts w:hint="eastAsia" w:ascii="仿宋" w:hAnsi="仿宋" w:eastAsia="仿宋" w:cs="仿宋"/>
                <w:bCs/>
                <w:color w:val="auto"/>
                <w:szCs w:val="21"/>
                <w:highlight w:val="none"/>
                <w:lang w:val="en-US" w:eastAsia="zh-CN"/>
              </w:rPr>
              <w:t>至少包括①人员考核方案、②合同执行期间的人员数量保障方案、③人员岗位设置、④服务人员专业能力、⑤人员管理规范等；</w:t>
            </w:r>
          </w:p>
          <w:p w14:paraId="3AE7201C">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rPr>
              <w:t>投标人提供</w:t>
            </w:r>
            <w:r>
              <w:rPr>
                <w:rFonts w:hint="eastAsia" w:ascii="仿宋" w:hAnsi="仿宋" w:eastAsia="仿宋" w:cs="仿宋"/>
                <w:b/>
                <w:bCs w:val="0"/>
                <w:color w:val="auto"/>
                <w:szCs w:val="21"/>
                <w:highlight w:val="none"/>
                <w:lang w:val="en-US" w:eastAsia="zh-CN"/>
              </w:rPr>
              <w:t>每点</w:t>
            </w:r>
            <w:r>
              <w:rPr>
                <w:rFonts w:hint="eastAsia" w:ascii="仿宋" w:hAnsi="仿宋" w:eastAsia="仿宋" w:cs="仿宋"/>
                <w:b/>
                <w:bCs w:val="0"/>
                <w:color w:val="auto"/>
                <w:szCs w:val="21"/>
                <w:highlight w:val="none"/>
              </w:rPr>
              <w:t>内容全面，针对性强的得</w:t>
            </w:r>
            <w:r>
              <w:rPr>
                <w:rFonts w:hint="eastAsia" w:ascii="仿宋" w:hAnsi="仿宋" w:eastAsia="仿宋" w:cs="仿宋"/>
                <w:b/>
                <w:bCs w:val="0"/>
                <w:color w:val="auto"/>
                <w:szCs w:val="21"/>
                <w:highlight w:val="none"/>
                <w:lang w:val="en-US" w:eastAsia="zh-CN"/>
              </w:rPr>
              <w:t>3</w:t>
            </w:r>
            <w:r>
              <w:rPr>
                <w:rFonts w:hint="eastAsia" w:ascii="仿宋" w:hAnsi="仿宋" w:eastAsia="仿宋" w:cs="仿宋"/>
                <w:b/>
                <w:bCs w:val="0"/>
                <w:color w:val="auto"/>
                <w:szCs w:val="21"/>
                <w:highlight w:val="none"/>
              </w:rPr>
              <w:t>分；内容全面性，针对性一般的得</w:t>
            </w:r>
            <w:r>
              <w:rPr>
                <w:rFonts w:hint="eastAsia" w:ascii="仿宋" w:hAnsi="仿宋" w:eastAsia="仿宋" w:cs="仿宋"/>
                <w:b/>
                <w:bCs w:val="0"/>
                <w:color w:val="auto"/>
                <w:szCs w:val="21"/>
                <w:highlight w:val="none"/>
                <w:lang w:val="en-US" w:eastAsia="zh-CN"/>
              </w:rPr>
              <w:t>2</w:t>
            </w:r>
            <w:r>
              <w:rPr>
                <w:rFonts w:hint="eastAsia" w:ascii="仿宋" w:hAnsi="仿宋" w:eastAsia="仿宋" w:cs="仿宋"/>
                <w:b/>
                <w:bCs w:val="0"/>
                <w:color w:val="auto"/>
                <w:szCs w:val="21"/>
                <w:highlight w:val="none"/>
              </w:rPr>
              <w:t>分；内容基本合理的得</w:t>
            </w:r>
            <w:r>
              <w:rPr>
                <w:rFonts w:hint="eastAsia" w:ascii="仿宋" w:hAnsi="仿宋" w:eastAsia="仿宋" w:cs="仿宋"/>
                <w:b/>
                <w:bCs w:val="0"/>
                <w:color w:val="auto"/>
                <w:szCs w:val="21"/>
                <w:highlight w:val="none"/>
                <w:lang w:val="en-US" w:eastAsia="zh-CN"/>
              </w:rPr>
              <w:t>1</w:t>
            </w:r>
            <w:r>
              <w:rPr>
                <w:rFonts w:hint="eastAsia" w:ascii="仿宋" w:hAnsi="仿宋" w:eastAsia="仿宋" w:cs="仿宋"/>
                <w:b/>
                <w:bCs w:val="0"/>
                <w:color w:val="auto"/>
                <w:szCs w:val="21"/>
                <w:highlight w:val="none"/>
              </w:rPr>
              <w:t>分；不提供不得分。</w:t>
            </w:r>
          </w:p>
        </w:tc>
        <w:tc>
          <w:tcPr>
            <w:tcW w:w="805" w:type="dxa"/>
            <w:vAlign w:val="center"/>
          </w:tcPr>
          <w:p w14:paraId="6F2451B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845" w:type="dxa"/>
            <w:vAlign w:val="center"/>
          </w:tcPr>
          <w:p w14:paraId="26DD75C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主观分</w:t>
            </w:r>
          </w:p>
        </w:tc>
        <w:tc>
          <w:tcPr>
            <w:tcW w:w="1105" w:type="dxa"/>
            <w:vAlign w:val="center"/>
          </w:tcPr>
          <w:p w14:paraId="1B72206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人员管理方案</w:t>
            </w:r>
          </w:p>
        </w:tc>
      </w:tr>
      <w:tr w14:paraId="23C5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57962C8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7</w:t>
            </w:r>
          </w:p>
        </w:tc>
        <w:tc>
          <w:tcPr>
            <w:tcW w:w="5577" w:type="dxa"/>
            <w:vAlign w:val="center"/>
          </w:tcPr>
          <w:p w14:paraId="2356CBA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根据投标人提供的</w:t>
            </w:r>
            <w:r>
              <w:rPr>
                <w:rFonts w:hint="eastAsia" w:ascii="仿宋" w:hAnsi="仿宋" w:eastAsia="仿宋" w:cs="仿宋"/>
                <w:bCs/>
                <w:color w:val="auto"/>
                <w:szCs w:val="21"/>
                <w:highlight w:val="none"/>
                <w:lang w:val="en-US" w:eastAsia="zh-CN"/>
              </w:rPr>
              <w:t>人员培训方案方案的</w:t>
            </w:r>
            <w:r>
              <w:rPr>
                <w:rFonts w:hint="eastAsia" w:ascii="仿宋" w:hAnsi="仿宋" w:eastAsia="仿宋" w:cs="仿宋"/>
                <w:bCs/>
                <w:color w:val="auto"/>
                <w:szCs w:val="21"/>
                <w:highlight w:val="none"/>
              </w:rPr>
              <w:t>完整性、合理性、科学性等进行综合评审；</w:t>
            </w:r>
          </w:p>
          <w:p w14:paraId="2406D65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kern w:val="2"/>
                <w:sz w:val="21"/>
                <w:szCs w:val="21"/>
                <w:highlight w:val="none"/>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w:t>
            </w:r>
            <w:r>
              <w:rPr>
                <w:rFonts w:hint="eastAsia" w:ascii="仿宋" w:hAnsi="仿宋" w:eastAsia="仿宋" w:cs="仿宋"/>
                <w:b/>
                <w:bCs w:val="0"/>
                <w:color w:val="auto"/>
                <w:kern w:val="2"/>
                <w:sz w:val="21"/>
                <w:szCs w:val="21"/>
                <w:highlight w:val="none"/>
              </w:rPr>
              <w:t>得4分；内容全面性，针对性一般的得3分；内容基本合理的得2分；内容有所欠缺的得1分；不提供不得分。</w:t>
            </w:r>
          </w:p>
        </w:tc>
        <w:tc>
          <w:tcPr>
            <w:tcW w:w="805" w:type="dxa"/>
            <w:vAlign w:val="center"/>
          </w:tcPr>
          <w:p w14:paraId="5BDCFC8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23F2987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主观分</w:t>
            </w:r>
          </w:p>
        </w:tc>
        <w:tc>
          <w:tcPr>
            <w:tcW w:w="1105" w:type="dxa"/>
            <w:vAlign w:val="center"/>
          </w:tcPr>
          <w:p w14:paraId="5DBBA0B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人员培训方案</w:t>
            </w:r>
          </w:p>
        </w:tc>
      </w:tr>
      <w:tr w14:paraId="335DE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682" w:type="dxa"/>
            <w:vAlign w:val="center"/>
          </w:tcPr>
          <w:p w14:paraId="2C3F38E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5577" w:type="dxa"/>
            <w:vAlign w:val="center"/>
          </w:tcPr>
          <w:p w14:paraId="3BC873E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投标人</w:t>
            </w:r>
            <w:r>
              <w:rPr>
                <w:rFonts w:hint="eastAsia" w:ascii="仿宋" w:hAnsi="仿宋" w:eastAsia="仿宋" w:cs="仿宋"/>
                <w:bCs/>
                <w:color w:val="auto"/>
                <w:szCs w:val="21"/>
                <w:highlight w:val="none"/>
                <w:lang w:val="zh-CN" w:eastAsia="zh-CN"/>
              </w:rPr>
              <w:t>在</w:t>
            </w:r>
            <w:r>
              <w:rPr>
                <w:rFonts w:hint="eastAsia" w:ascii="仿宋" w:hAnsi="仿宋" w:eastAsia="仿宋" w:cs="仿宋"/>
                <w:bCs/>
                <w:color w:val="auto"/>
                <w:szCs w:val="21"/>
                <w:highlight w:val="none"/>
                <w:lang w:val="en-US" w:eastAsia="zh-CN"/>
              </w:rPr>
              <w:t>项目所在地</w:t>
            </w:r>
            <w:r>
              <w:rPr>
                <w:rFonts w:hint="eastAsia" w:ascii="仿宋" w:hAnsi="仿宋" w:eastAsia="仿宋" w:cs="仿宋"/>
                <w:bCs/>
                <w:color w:val="auto"/>
                <w:szCs w:val="21"/>
                <w:highlight w:val="none"/>
                <w:lang w:val="zh-CN" w:eastAsia="zh-CN"/>
              </w:rPr>
              <w:t>是否拥有常驻服务和技术支持机构</w:t>
            </w:r>
            <w:r>
              <w:rPr>
                <w:rFonts w:hint="eastAsia" w:ascii="仿宋" w:hAnsi="仿宋" w:eastAsia="仿宋" w:cs="仿宋"/>
                <w:b/>
                <w:bCs w:val="0"/>
                <w:color w:val="auto"/>
                <w:szCs w:val="21"/>
                <w:highlight w:val="none"/>
                <w:lang w:val="zh-CN" w:eastAsia="zh-CN"/>
              </w:rPr>
              <w:t>（</w:t>
            </w:r>
            <w:r>
              <w:rPr>
                <w:rFonts w:hint="eastAsia" w:ascii="仿宋" w:hAnsi="仿宋" w:eastAsia="仿宋" w:cs="仿宋"/>
                <w:b/>
                <w:bCs w:val="0"/>
                <w:color w:val="auto"/>
                <w:szCs w:val="21"/>
                <w:highlight w:val="none"/>
              </w:rPr>
              <w:t>提供营业执照注册地址或有效的租赁合同</w:t>
            </w:r>
            <w:r>
              <w:rPr>
                <w:rFonts w:hint="eastAsia" w:ascii="仿宋" w:hAnsi="仿宋" w:eastAsia="仿宋" w:cs="仿宋"/>
                <w:b/>
                <w:bCs w:val="0"/>
                <w:color w:val="auto"/>
                <w:szCs w:val="21"/>
                <w:highlight w:val="none"/>
                <w:lang w:val="en-US" w:eastAsia="zh-CN"/>
              </w:rPr>
              <w:t>扫描件）</w:t>
            </w:r>
            <w:r>
              <w:rPr>
                <w:rFonts w:hint="eastAsia" w:ascii="仿宋" w:hAnsi="仿宋" w:eastAsia="仿宋" w:cs="仿宋"/>
                <w:bCs/>
                <w:color w:val="auto"/>
                <w:szCs w:val="21"/>
                <w:highlight w:val="none"/>
                <w:lang w:val="en-US" w:eastAsia="zh-CN"/>
              </w:rPr>
              <w:t>，或承诺中标后设立</w:t>
            </w:r>
            <w:r>
              <w:rPr>
                <w:rFonts w:hint="eastAsia" w:ascii="仿宋" w:hAnsi="仿宋" w:eastAsia="仿宋" w:cs="仿宋"/>
                <w:b/>
                <w:bCs w:val="0"/>
                <w:color w:val="auto"/>
                <w:szCs w:val="21"/>
                <w:highlight w:val="none"/>
                <w:lang w:val="en-US" w:eastAsia="zh-CN"/>
              </w:rPr>
              <w:t>（提供承诺函，格式自拟）</w:t>
            </w:r>
            <w:r>
              <w:rPr>
                <w:rFonts w:hint="eastAsia" w:ascii="仿宋" w:hAnsi="仿宋" w:eastAsia="仿宋" w:cs="仿宋"/>
                <w:bCs/>
                <w:color w:val="auto"/>
                <w:szCs w:val="21"/>
                <w:highlight w:val="none"/>
                <w:lang w:val="en-US" w:eastAsia="zh-CN"/>
              </w:rPr>
              <w:t>。</w:t>
            </w:r>
          </w:p>
        </w:tc>
        <w:tc>
          <w:tcPr>
            <w:tcW w:w="805" w:type="dxa"/>
            <w:vAlign w:val="center"/>
          </w:tcPr>
          <w:p w14:paraId="528291E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lang w:eastAsia="zh-CN"/>
              </w:rPr>
            </w:pPr>
            <w:r>
              <w:rPr>
                <w:rFonts w:hint="eastAsia" w:ascii="仿宋" w:hAnsi="仿宋" w:eastAsia="仿宋" w:cs="仿宋"/>
                <w:b w:val="0"/>
                <w:bCs w:val="0"/>
                <w:color w:val="auto"/>
                <w:szCs w:val="21"/>
                <w:highlight w:val="none"/>
                <w:lang w:val="en-US" w:eastAsia="zh-CN"/>
              </w:rPr>
              <w:t>3</w:t>
            </w:r>
          </w:p>
        </w:tc>
        <w:tc>
          <w:tcPr>
            <w:tcW w:w="845" w:type="dxa"/>
            <w:vAlign w:val="center"/>
          </w:tcPr>
          <w:p w14:paraId="2D13BBC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rPr>
            </w:pPr>
            <w:r>
              <w:rPr>
                <w:rFonts w:hint="eastAsia" w:ascii="仿宋" w:hAnsi="仿宋" w:eastAsia="仿宋" w:cs="仿宋"/>
                <w:b w:val="0"/>
                <w:bCs w:val="0"/>
                <w:color w:val="auto"/>
                <w:szCs w:val="21"/>
                <w:highlight w:val="none"/>
                <w:lang w:val="en-US" w:eastAsia="zh-CN"/>
              </w:rPr>
              <w:t>客</w:t>
            </w:r>
            <w:r>
              <w:rPr>
                <w:rFonts w:hint="eastAsia" w:ascii="仿宋" w:hAnsi="仿宋" w:eastAsia="仿宋" w:cs="仿宋"/>
                <w:b w:val="0"/>
                <w:bCs w:val="0"/>
                <w:color w:val="auto"/>
                <w:szCs w:val="21"/>
                <w:highlight w:val="none"/>
              </w:rPr>
              <w:t>观分</w:t>
            </w:r>
          </w:p>
        </w:tc>
        <w:tc>
          <w:tcPr>
            <w:tcW w:w="1105" w:type="dxa"/>
            <w:vMerge w:val="restart"/>
            <w:vAlign w:val="center"/>
          </w:tcPr>
          <w:p w14:paraId="6FEE685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应急服务的响应性及可行性</w:t>
            </w:r>
          </w:p>
        </w:tc>
      </w:tr>
      <w:tr w14:paraId="2118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4E6EBCA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9</w:t>
            </w:r>
          </w:p>
        </w:tc>
        <w:tc>
          <w:tcPr>
            <w:tcW w:w="5577" w:type="dxa"/>
            <w:vAlign w:val="center"/>
          </w:tcPr>
          <w:p w14:paraId="5F6F8B2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投标人保证提供快捷及时上门服务，保证能够在15（含）分钟能到达的服务地点的得5分，15（不含）-30（含）分钟之内的得4分，30（不含）-45（含）分钟的得3分，45（不含）-60（含）分钟之内的得2分，60（不含）分钟之内的得1分，其余不得分。</w:t>
            </w:r>
            <w:r>
              <w:rPr>
                <w:rFonts w:hint="eastAsia" w:ascii="仿宋" w:hAnsi="仿宋" w:eastAsia="仿宋" w:cs="仿宋"/>
                <w:b/>
                <w:bCs w:val="0"/>
                <w:color w:val="auto"/>
                <w:szCs w:val="21"/>
                <w:highlight w:val="none"/>
                <w:lang w:val="en-US" w:eastAsia="zh-CN"/>
              </w:rPr>
              <w:t>（提供地图软件截图和承诺函，格式自拟）</w:t>
            </w:r>
            <w:r>
              <w:rPr>
                <w:rFonts w:hint="eastAsia" w:ascii="仿宋" w:hAnsi="仿宋" w:eastAsia="仿宋" w:cs="仿宋"/>
                <w:bCs/>
                <w:color w:val="auto"/>
                <w:szCs w:val="21"/>
                <w:highlight w:val="none"/>
                <w:lang w:val="en-US" w:eastAsia="zh-CN"/>
              </w:rPr>
              <w:t>。</w:t>
            </w:r>
          </w:p>
        </w:tc>
        <w:tc>
          <w:tcPr>
            <w:tcW w:w="805" w:type="dxa"/>
            <w:vAlign w:val="center"/>
          </w:tcPr>
          <w:p w14:paraId="6BBC3C3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b w:val="0"/>
                <w:bCs w:val="0"/>
                <w:color w:val="auto"/>
                <w:szCs w:val="21"/>
                <w:highlight w:val="none"/>
                <w:lang w:val="en-US" w:eastAsia="zh-CN"/>
              </w:rPr>
              <w:t>5</w:t>
            </w:r>
          </w:p>
        </w:tc>
        <w:tc>
          <w:tcPr>
            <w:tcW w:w="845" w:type="dxa"/>
            <w:vAlign w:val="center"/>
          </w:tcPr>
          <w:p w14:paraId="2FA7127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客</w:t>
            </w:r>
            <w:r>
              <w:rPr>
                <w:rFonts w:hint="eastAsia" w:ascii="仿宋" w:hAnsi="仿宋" w:eastAsia="仿宋" w:cs="仿宋"/>
                <w:b w:val="0"/>
                <w:bCs w:val="0"/>
                <w:color w:val="auto"/>
                <w:szCs w:val="21"/>
                <w:highlight w:val="none"/>
              </w:rPr>
              <w:t>观分</w:t>
            </w:r>
          </w:p>
        </w:tc>
        <w:tc>
          <w:tcPr>
            <w:tcW w:w="1105" w:type="dxa"/>
            <w:vMerge w:val="continue"/>
            <w:vAlign w:val="center"/>
          </w:tcPr>
          <w:p w14:paraId="1C1729EA">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r>
      <w:tr w14:paraId="6B08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32BE675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5577" w:type="dxa"/>
            <w:vAlign w:val="center"/>
          </w:tcPr>
          <w:p w14:paraId="5F8920D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根据投标人提供的项目应急处理方案的完整性、合理性、科学性等进行综合评审；</w:t>
            </w:r>
          </w:p>
          <w:p w14:paraId="6C15C91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lang w:val="en-US" w:eastAsia="zh-CN"/>
              </w:rPr>
              <w:t>投标人提供内容全面，针对性强的得5分；内容相对全面，且有一定针对性的得4分；内容全面性，针对性一般的得3分；内容基本合理的得2分；内容有所欠缺的得1分；不提供不得分。</w:t>
            </w:r>
          </w:p>
        </w:tc>
        <w:tc>
          <w:tcPr>
            <w:tcW w:w="805" w:type="dxa"/>
            <w:vAlign w:val="center"/>
          </w:tcPr>
          <w:p w14:paraId="38D06861">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5</w:t>
            </w:r>
          </w:p>
        </w:tc>
        <w:tc>
          <w:tcPr>
            <w:tcW w:w="845" w:type="dxa"/>
            <w:vAlign w:val="center"/>
          </w:tcPr>
          <w:p w14:paraId="4CB3856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主</w:t>
            </w:r>
            <w:r>
              <w:rPr>
                <w:rFonts w:hint="eastAsia" w:ascii="仿宋" w:hAnsi="仿宋" w:eastAsia="仿宋" w:cs="仿宋"/>
                <w:b w:val="0"/>
                <w:bCs w:val="0"/>
                <w:color w:val="auto"/>
                <w:szCs w:val="21"/>
                <w:highlight w:val="none"/>
              </w:rPr>
              <w:t>观分</w:t>
            </w:r>
          </w:p>
        </w:tc>
        <w:tc>
          <w:tcPr>
            <w:tcW w:w="1105" w:type="dxa"/>
            <w:vMerge w:val="continue"/>
            <w:vAlign w:val="center"/>
          </w:tcPr>
          <w:p w14:paraId="00593B9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p>
        </w:tc>
      </w:tr>
      <w:tr w14:paraId="2CB38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5FAF04D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5577" w:type="dxa"/>
            <w:vAlign w:val="center"/>
          </w:tcPr>
          <w:p w14:paraId="31657FA9">
            <w:pPr>
              <w:keepNext w:val="0"/>
              <w:keepLines w:val="0"/>
              <w:pageBreakBefore w:val="0"/>
              <w:widowControl w:val="0"/>
              <w:numPr>
                <w:ilvl w:val="0"/>
                <w:numId w:val="0"/>
              </w:numPr>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highlight w:val="none"/>
                <w:lang w:val="en-US" w:eastAsia="zh-CN"/>
              </w:rPr>
            </w:pPr>
            <w:r>
              <w:rPr>
                <w:rFonts w:hint="eastAsia" w:ascii="仿宋" w:hAnsi="仿宋" w:eastAsia="仿宋" w:cs="仿宋"/>
                <w:bCs/>
                <w:color w:val="auto"/>
                <w:szCs w:val="21"/>
                <w:highlight w:val="none"/>
                <w:lang w:val="en-US" w:eastAsia="zh-CN"/>
              </w:rPr>
              <w:t>投标人提出有助提高项目服务的建议，每提供1个有效建议得2分，最多得4分。</w:t>
            </w:r>
          </w:p>
        </w:tc>
        <w:tc>
          <w:tcPr>
            <w:tcW w:w="805" w:type="dxa"/>
            <w:vAlign w:val="center"/>
          </w:tcPr>
          <w:p w14:paraId="72F57AD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845" w:type="dxa"/>
            <w:vAlign w:val="center"/>
          </w:tcPr>
          <w:p w14:paraId="39277AF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客观分</w:t>
            </w:r>
          </w:p>
        </w:tc>
        <w:tc>
          <w:tcPr>
            <w:tcW w:w="1105" w:type="dxa"/>
            <w:vAlign w:val="center"/>
          </w:tcPr>
          <w:p w14:paraId="6D80022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合理化建议</w:t>
            </w:r>
          </w:p>
        </w:tc>
      </w:tr>
      <w:tr w14:paraId="4FA3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restart"/>
            <w:vAlign w:val="center"/>
          </w:tcPr>
          <w:p w14:paraId="799BD50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5577" w:type="dxa"/>
            <w:vAlign w:val="center"/>
          </w:tcPr>
          <w:p w14:paraId="07D8DF6E">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项目负责人：</w:t>
            </w:r>
          </w:p>
          <w:p w14:paraId="7A8B2329">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1、项目负责人具有四级及以上养老护理员职业技能证书的得3分，本项最高得3分。</w:t>
            </w:r>
          </w:p>
          <w:p w14:paraId="4647331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bCs w:val="0"/>
                <w:color w:val="auto"/>
                <w:szCs w:val="21"/>
                <w:highlight w:val="none"/>
              </w:rPr>
            </w:pPr>
            <w:r>
              <w:rPr>
                <w:rFonts w:hint="eastAsia" w:ascii="仿宋" w:hAnsi="仿宋" w:eastAsia="仿宋" w:cs="仿宋"/>
                <w:b/>
                <w:bCs w:val="0"/>
                <w:color w:val="auto"/>
                <w:szCs w:val="21"/>
                <w:highlight w:val="none"/>
                <w:lang w:val="en-US" w:eastAsia="zh-CN"/>
              </w:rPr>
              <w:t>证明材料：同时提供技能证书复印件和投标人为其缴纳的社保证明</w:t>
            </w:r>
            <w:r>
              <w:rPr>
                <w:rFonts w:hint="eastAsia" w:ascii="仿宋" w:hAnsi="仿宋" w:eastAsia="仿宋" w:cs="仿宋"/>
                <w:b/>
                <w:bCs w:val="0"/>
                <w:color w:val="auto"/>
                <w:szCs w:val="21"/>
                <w:highlight w:val="none"/>
              </w:rPr>
              <w:t>，未按要求提供证明材料的不得分。</w:t>
            </w:r>
          </w:p>
          <w:p w14:paraId="42FCD13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宋体" w:cs="仿宋"/>
                <w:bCs/>
                <w:color w:val="auto"/>
                <w:szCs w:val="21"/>
                <w:highlight w:val="none"/>
                <w:lang w:val="en-US" w:eastAsia="zh-CN"/>
              </w:rPr>
            </w:pPr>
            <w:r>
              <w:rPr>
                <w:rFonts w:hint="eastAsia" w:ascii="仿宋" w:hAnsi="仿宋" w:eastAsia="仿宋" w:cs="仿宋"/>
                <w:b/>
                <w:bCs w:val="0"/>
                <w:color w:val="auto"/>
                <w:szCs w:val="21"/>
                <w:highlight w:val="none"/>
                <w:lang w:val="en-US" w:eastAsia="zh-CN"/>
              </w:rPr>
              <w:t>2、</w:t>
            </w:r>
            <w:r>
              <w:rPr>
                <w:rFonts w:hint="eastAsia" w:ascii="仿宋" w:hAnsi="仿宋" w:eastAsia="仿宋" w:cs="仿宋"/>
                <w:bCs/>
                <w:color w:val="auto"/>
                <w:szCs w:val="21"/>
                <w:highlight w:val="none"/>
                <w:lang w:val="en-US" w:eastAsia="zh-CN"/>
              </w:rPr>
              <w:t>项目负责人类似上门服务工作经验的得2分，本项最高得2分。</w:t>
            </w:r>
          </w:p>
          <w:p w14:paraId="1DB9BAF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auto"/>
                <w:szCs w:val="21"/>
                <w:highlight w:val="none"/>
              </w:rPr>
            </w:pPr>
            <w:r>
              <w:rPr>
                <w:rFonts w:hint="eastAsia" w:ascii="仿宋" w:hAnsi="仿宋" w:eastAsia="仿宋" w:cs="仿宋"/>
                <w:b/>
                <w:bCs w:val="0"/>
                <w:color w:val="auto"/>
                <w:szCs w:val="21"/>
                <w:highlight w:val="none"/>
              </w:rPr>
              <w:t>证明材料：</w:t>
            </w:r>
            <w:r>
              <w:rPr>
                <w:rFonts w:hint="eastAsia" w:ascii="仿宋" w:hAnsi="仿宋" w:eastAsia="仿宋" w:cs="仿宋"/>
                <w:b/>
                <w:bCs w:val="0"/>
                <w:color w:val="auto"/>
                <w:szCs w:val="21"/>
                <w:highlight w:val="none"/>
                <w:lang w:val="en-US" w:eastAsia="zh-CN"/>
              </w:rPr>
              <w:t>同时提供经验证明材料</w:t>
            </w:r>
            <w:r>
              <w:rPr>
                <w:rFonts w:hint="eastAsia" w:ascii="仿宋" w:hAnsi="仿宋" w:eastAsia="仿宋" w:cs="仿宋"/>
                <w:b/>
                <w:bCs w:val="0"/>
                <w:color w:val="auto"/>
                <w:szCs w:val="21"/>
                <w:highlight w:val="none"/>
              </w:rPr>
              <w:t>复印件</w:t>
            </w:r>
            <w:r>
              <w:rPr>
                <w:rFonts w:hint="eastAsia" w:ascii="仿宋" w:hAnsi="仿宋" w:eastAsia="仿宋" w:cs="仿宋"/>
                <w:b/>
                <w:bCs w:val="0"/>
                <w:color w:val="auto"/>
                <w:szCs w:val="21"/>
                <w:highlight w:val="none"/>
                <w:lang w:val="en-US" w:eastAsia="zh-CN"/>
              </w:rPr>
              <w:t>和投标人为其缴纳的近三个月任意一月的社保证明</w:t>
            </w:r>
            <w:r>
              <w:rPr>
                <w:rFonts w:hint="eastAsia" w:ascii="仿宋" w:hAnsi="仿宋" w:eastAsia="仿宋" w:cs="仿宋"/>
                <w:b/>
                <w:color w:val="auto"/>
                <w:szCs w:val="21"/>
                <w:highlight w:val="none"/>
              </w:rPr>
              <w:t>，未按要求提供证明材料的不得分。</w:t>
            </w:r>
          </w:p>
          <w:p w14:paraId="6BEF2CF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color w:val="auto"/>
                <w:szCs w:val="21"/>
                <w:highlight w:val="none"/>
                <w:lang w:val="en-US" w:eastAsia="zh-CN"/>
              </w:rPr>
              <w:t>3、</w:t>
            </w:r>
            <w:r>
              <w:rPr>
                <w:rFonts w:hint="eastAsia" w:ascii="仿宋" w:hAnsi="仿宋" w:eastAsia="仿宋" w:cs="仿宋"/>
                <w:bCs/>
                <w:color w:val="auto"/>
                <w:szCs w:val="21"/>
                <w:highlight w:val="none"/>
                <w:lang w:val="en-US" w:eastAsia="zh-CN"/>
              </w:rPr>
              <w:t>项目负责人具有大学学历的得2分。</w:t>
            </w:r>
          </w:p>
          <w:p w14:paraId="4FCA44DD">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
                <w:color w:val="auto"/>
                <w:szCs w:val="21"/>
                <w:highlight w:val="none"/>
                <w:lang w:val="en-US" w:eastAsia="zh-CN"/>
              </w:rPr>
            </w:pPr>
            <w:r>
              <w:rPr>
                <w:rFonts w:hint="eastAsia" w:ascii="仿宋" w:hAnsi="仿宋" w:eastAsia="仿宋" w:cs="仿宋"/>
                <w:b/>
                <w:bCs w:val="0"/>
                <w:color w:val="auto"/>
                <w:szCs w:val="21"/>
                <w:highlight w:val="none"/>
              </w:rPr>
              <w:t>证明材料：</w:t>
            </w:r>
            <w:r>
              <w:rPr>
                <w:rFonts w:hint="eastAsia" w:ascii="仿宋" w:hAnsi="仿宋" w:eastAsia="仿宋" w:cs="仿宋"/>
                <w:b/>
                <w:bCs w:val="0"/>
                <w:color w:val="auto"/>
                <w:szCs w:val="21"/>
                <w:highlight w:val="none"/>
                <w:lang w:val="en-US" w:eastAsia="zh-CN"/>
              </w:rPr>
              <w:t>同时提供学历证书</w:t>
            </w:r>
            <w:r>
              <w:rPr>
                <w:rFonts w:hint="eastAsia" w:ascii="仿宋" w:hAnsi="仿宋" w:eastAsia="仿宋" w:cs="仿宋"/>
                <w:b/>
                <w:bCs w:val="0"/>
                <w:color w:val="auto"/>
                <w:szCs w:val="21"/>
                <w:highlight w:val="none"/>
              </w:rPr>
              <w:t>复印件</w:t>
            </w:r>
            <w:r>
              <w:rPr>
                <w:rFonts w:hint="eastAsia" w:ascii="仿宋" w:hAnsi="仿宋" w:eastAsia="仿宋" w:cs="仿宋"/>
                <w:b/>
                <w:bCs w:val="0"/>
                <w:color w:val="auto"/>
                <w:szCs w:val="21"/>
                <w:highlight w:val="none"/>
                <w:lang w:val="en-US" w:eastAsia="zh-CN"/>
              </w:rPr>
              <w:t>和投标人为其缴纳的近三个月任意一月的社保证明</w:t>
            </w:r>
            <w:r>
              <w:rPr>
                <w:rFonts w:hint="eastAsia" w:ascii="仿宋" w:hAnsi="仿宋" w:eastAsia="仿宋" w:cs="仿宋"/>
                <w:b/>
                <w:color w:val="auto"/>
                <w:szCs w:val="21"/>
                <w:highlight w:val="none"/>
              </w:rPr>
              <w:t>，未按要求提供证明材料的不得分。</w:t>
            </w:r>
          </w:p>
        </w:tc>
        <w:tc>
          <w:tcPr>
            <w:tcW w:w="805" w:type="dxa"/>
            <w:vAlign w:val="center"/>
          </w:tcPr>
          <w:p w14:paraId="2236FC38">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b w:val="0"/>
                <w:bCs w:val="0"/>
                <w:color w:val="auto"/>
                <w:szCs w:val="21"/>
                <w:highlight w:val="none"/>
                <w:lang w:val="en-US" w:eastAsia="zh-CN"/>
              </w:rPr>
              <w:t>7</w:t>
            </w:r>
          </w:p>
        </w:tc>
        <w:tc>
          <w:tcPr>
            <w:tcW w:w="845" w:type="dxa"/>
            <w:vAlign w:val="center"/>
          </w:tcPr>
          <w:p w14:paraId="256A070F">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客</w:t>
            </w:r>
            <w:r>
              <w:rPr>
                <w:rFonts w:hint="eastAsia" w:ascii="仿宋" w:hAnsi="仿宋" w:eastAsia="仿宋" w:cs="仿宋"/>
                <w:b w:val="0"/>
                <w:bCs w:val="0"/>
                <w:color w:val="auto"/>
                <w:szCs w:val="21"/>
                <w:highlight w:val="none"/>
              </w:rPr>
              <w:t>观分</w:t>
            </w:r>
          </w:p>
        </w:tc>
        <w:tc>
          <w:tcPr>
            <w:tcW w:w="1105" w:type="dxa"/>
            <w:vMerge w:val="restart"/>
            <w:vAlign w:val="center"/>
          </w:tcPr>
          <w:p w14:paraId="41122F06">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服务团队情况</w:t>
            </w:r>
          </w:p>
        </w:tc>
      </w:tr>
      <w:tr w14:paraId="5B3C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7D5967E5">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c>
          <w:tcPr>
            <w:tcW w:w="5577" w:type="dxa"/>
            <w:vAlign w:val="center"/>
          </w:tcPr>
          <w:p w14:paraId="1AB028F7">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投标人为每个街道配备的站长具有四级及以上养老护理员职业技能证书的得2分，本项最高得6分。</w:t>
            </w:r>
          </w:p>
          <w:p w14:paraId="37681A03">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
                <w:bCs w:val="0"/>
                <w:color w:val="auto"/>
                <w:szCs w:val="21"/>
                <w:highlight w:val="none"/>
                <w:lang w:val="en-US" w:eastAsia="zh-CN"/>
              </w:rPr>
              <w:t>证明材料：同时提供技能证书复印件和投标人为其缴纳的社保证明</w:t>
            </w:r>
            <w:r>
              <w:rPr>
                <w:rFonts w:hint="eastAsia" w:ascii="仿宋" w:hAnsi="仿宋" w:eastAsia="仿宋" w:cs="仿宋"/>
                <w:b/>
                <w:bCs w:val="0"/>
                <w:color w:val="auto"/>
                <w:szCs w:val="21"/>
                <w:highlight w:val="none"/>
              </w:rPr>
              <w:t>，未按要求提供证明材料的不得分。</w:t>
            </w:r>
          </w:p>
        </w:tc>
        <w:tc>
          <w:tcPr>
            <w:tcW w:w="805" w:type="dxa"/>
            <w:vAlign w:val="center"/>
          </w:tcPr>
          <w:p w14:paraId="3C1D33DE">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b w:val="0"/>
                <w:bCs w:val="0"/>
                <w:color w:val="auto"/>
                <w:szCs w:val="21"/>
                <w:highlight w:val="none"/>
                <w:lang w:val="en-US" w:eastAsia="zh-CN"/>
              </w:rPr>
              <w:t>6</w:t>
            </w:r>
          </w:p>
        </w:tc>
        <w:tc>
          <w:tcPr>
            <w:tcW w:w="845" w:type="dxa"/>
            <w:vAlign w:val="center"/>
          </w:tcPr>
          <w:p w14:paraId="6F9CFC0D">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b w:val="0"/>
                <w:bCs w:val="0"/>
                <w:color w:val="auto"/>
                <w:szCs w:val="21"/>
                <w:highlight w:val="none"/>
                <w:lang w:val="en-US" w:eastAsia="zh-CN"/>
              </w:rPr>
              <w:t>客</w:t>
            </w:r>
            <w:r>
              <w:rPr>
                <w:rFonts w:hint="eastAsia" w:ascii="仿宋" w:hAnsi="仿宋" w:eastAsia="仿宋" w:cs="仿宋"/>
                <w:b w:val="0"/>
                <w:bCs w:val="0"/>
                <w:color w:val="auto"/>
                <w:szCs w:val="21"/>
                <w:highlight w:val="none"/>
              </w:rPr>
              <w:t>观分</w:t>
            </w:r>
          </w:p>
        </w:tc>
        <w:tc>
          <w:tcPr>
            <w:tcW w:w="1105" w:type="dxa"/>
            <w:vMerge w:val="continue"/>
            <w:vAlign w:val="center"/>
          </w:tcPr>
          <w:p w14:paraId="001622C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r>
      <w:tr w14:paraId="6E11B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5A963E9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c>
          <w:tcPr>
            <w:tcW w:w="5577" w:type="dxa"/>
            <w:vAlign w:val="center"/>
          </w:tcPr>
          <w:p w14:paraId="1FDF2E7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投标人承诺为本项目配备的项目组成员（即一线服务人员）50%及以上具有良好的方言沟通能力</w:t>
            </w:r>
            <w:r>
              <w:rPr>
                <w:rFonts w:hint="eastAsia" w:ascii="仿宋" w:hAnsi="仿宋" w:eastAsia="仿宋" w:cs="仿宋"/>
                <w:b/>
                <w:bCs w:val="0"/>
                <w:color w:val="auto"/>
                <w:szCs w:val="21"/>
                <w:highlight w:val="none"/>
                <w:lang w:val="en-US" w:eastAsia="zh-CN"/>
              </w:rPr>
              <w:t>（提供承诺函，格式自拟）</w:t>
            </w:r>
            <w:r>
              <w:rPr>
                <w:rFonts w:hint="eastAsia" w:ascii="仿宋" w:hAnsi="仿宋" w:eastAsia="仿宋" w:cs="仿宋"/>
                <w:bCs/>
                <w:color w:val="auto"/>
                <w:szCs w:val="21"/>
                <w:highlight w:val="none"/>
                <w:lang w:val="en-US" w:eastAsia="zh-CN"/>
              </w:rPr>
              <w:t>。</w:t>
            </w:r>
          </w:p>
        </w:tc>
        <w:tc>
          <w:tcPr>
            <w:tcW w:w="805" w:type="dxa"/>
            <w:vAlign w:val="center"/>
          </w:tcPr>
          <w:p w14:paraId="37CFC2B0">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845" w:type="dxa"/>
            <w:vAlign w:val="center"/>
          </w:tcPr>
          <w:p w14:paraId="11BDCDB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c>
          <w:tcPr>
            <w:tcW w:w="1105" w:type="dxa"/>
            <w:vMerge w:val="continue"/>
            <w:vAlign w:val="center"/>
          </w:tcPr>
          <w:p w14:paraId="27FC849B">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r>
      <w:tr w14:paraId="1AFE3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Merge w:val="continue"/>
            <w:vAlign w:val="center"/>
          </w:tcPr>
          <w:p w14:paraId="0543F194">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c>
          <w:tcPr>
            <w:tcW w:w="5577" w:type="dxa"/>
            <w:vAlign w:val="center"/>
          </w:tcPr>
          <w:p w14:paraId="7BB52DF2">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lang w:val="en-US" w:eastAsia="zh-CN"/>
              </w:rPr>
            </w:pPr>
            <w:r>
              <w:rPr>
                <w:rFonts w:hint="eastAsia" w:ascii="仿宋" w:hAnsi="仿宋" w:eastAsia="仿宋" w:cs="仿宋"/>
                <w:bCs/>
                <w:color w:val="auto"/>
                <w:szCs w:val="21"/>
                <w:highlight w:val="none"/>
                <w:lang w:val="en-US" w:eastAsia="zh-CN"/>
              </w:rPr>
              <w:t>项目组成员（除项目负责人外）中具有心理咨询师证书、康复师证书、营养师证书每具有一类证书的得2分，本项最高得6分。提供证明材料及其缴纳社保的证明材料，如人员为兼职或返聘人员，提供聘用合同或投标单位工资打款（支付）凭证，未提供不得分）。</w:t>
            </w:r>
          </w:p>
          <w:p w14:paraId="179CF7F6">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
                <w:bCs w:val="0"/>
                <w:color w:val="auto"/>
                <w:szCs w:val="21"/>
                <w:highlight w:val="none"/>
              </w:rPr>
              <w:t>证明材料：</w:t>
            </w:r>
            <w:r>
              <w:rPr>
                <w:rFonts w:hint="eastAsia" w:ascii="仿宋" w:hAnsi="仿宋" w:eastAsia="仿宋" w:cs="仿宋"/>
                <w:b/>
                <w:bCs w:val="0"/>
                <w:color w:val="auto"/>
                <w:szCs w:val="21"/>
                <w:highlight w:val="none"/>
                <w:lang w:val="en-US" w:eastAsia="zh-CN"/>
              </w:rPr>
              <w:t>同时提供证书证明材料</w:t>
            </w:r>
            <w:r>
              <w:rPr>
                <w:rFonts w:hint="eastAsia" w:ascii="仿宋" w:hAnsi="仿宋" w:eastAsia="仿宋" w:cs="仿宋"/>
                <w:b/>
                <w:bCs w:val="0"/>
                <w:color w:val="auto"/>
                <w:szCs w:val="21"/>
                <w:highlight w:val="none"/>
              </w:rPr>
              <w:t>复印件</w:t>
            </w:r>
            <w:r>
              <w:rPr>
                <w:rFonts w:hint="eastAsia" w:ascii="仿宋" w:hAnsi="仿宋" w:eastAsia="仿宋" w:cs="仿宋"/>
                <w:b/>
                <w:bCs w:val="0"/>
                <w:color w:val="auto"/>
                <w:szCs w:val="21"/>
                <w:highlight w:val="none"/>
                <w:lang w:val="en-US" w:eastAsia="zh-CN"/>
              </w:rPr>
              <w:t>和投标人为其缴纳的近三个月任意一月的社保证明（如人员为兼职或返聘人员，提供聘用合同或投标单位工资打款（支付）凭证）</w:t>
            </w:r>
            <w:r>
              <w:rPr>
                <w:rFonts w:hint="eastAsia" w:ascii="仿宋" w:hAnsi="仿宋" w:eastAsia="仿宋" w:cs="仿宋"/>
                <w:b/>
                <w:bCs w:val="0"/>
                <w:color w:val="auto"/>
                <w:szCs w:val="21"/>
                <w:highlight w:val="none"/>
              </w:rPr>
              <w:t>，未按要求提供证明材料的不得分。</w:t>
            </w:r>
          </w:p>
        </w:tc>
        <w:tc>
          <w:tcPr>
            <w:tcW w:w="805" w:type="dxa"/>
            <w:vAlign w:val="center"/>
          </w:tcPr>
          <w:p w14:paraId="376B6173">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845" w:type="dxa"/>
            <w:vAlign w:val="center"/>
          </w:tcPr>
          <w:p w14:paraId="193F65C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客观分</w:t>
            </w:r>
          </w:p>
        </w:tc>
        <w:tc>
          <w:tcPr>
            <w:tcW w:w="1105" w:type="dxa"/>
            <w:vMerge w:val="continue"/>
            <w:vAlign w:val="center"/>
          </w:tcPr>
          <w:p w14:paraId="043D03F2">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p>
        </w:tc>
      </w:tr>
      <w:tr w14:paraId="017D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vAlign w:val="center"/>
          </w:tcPr>
          <w:p w14:paraId="183634A7">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5577" w:type="dxa"/>
          </w:tcPr>
          <w:p w14:paraId="5F85EBEB">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lang w:val="en-US" w:eastAsia="zh-CN"/>
              </w:rPr>
              <w:t>投标人针对本项目服务期内接触到的项目资料、服务对象资料等其他与本项目相关的资料提供具体有效的保密方案</w:t>
            </w:r>
            <w:r>
              <w:rPr>
                <w:rFonts w:hint="eastAsia" w:ascii="仿宋" w:hAnsi="仿宋" w:eastAsia="仿宋" w:cs="仿宋"/>
                <w:bCs/>
                <w:color w:val="auto"/>
                <w:szCs w:val="21"/>
                <w:highlight w:val="none"/>
              </w:rPr>
              <w:t>进行综合评审；</w:t>
            </w:r>
          </w:p>
          <w:p w14:paraId="24DD0365">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hint="eastAsia" w:ascii="仿宋" w:hAnsi="仿宋" w:eastAsia="仿宋" w:cs="仿宋"/>
                <w:color w:val="auto"/>
                <w:szCs w:val="21"/>
                <w:highlight w:val="none"/>
              </w:rPr>
            </w:pPr>
            <w:r>
              <w:rPr>
                <w:rFonts w:hint="eastAsia" w:ascii="仿宋" w:hAnsi="仿宋" w:eastAsia="仿宋" w:cs="仿宋"/>
                <w:b/>
                <w:bCs w:val="0"/>
                <w:color w:val="auto"/>
                <w:szCs w:val="21"/>
                <w:highlight w:val="none"/>
              </w:rPr>
              <w:t>投标人提供内容全面，针对性强的得5分；内容</w:t>
            </w:r>
            <w:r>
              <w:rPr>
                <w:rFonts w:hint="eastAsia" w:ascii="仿宋" w:hAnsi="仿宋" w:eastAsia="仿宋" w:cs="仿宋"/>
                <w:b/>
                <w:bCs w:val="0"/>
                <w:color w:val="auto"/>
                <w:szCs w:val="21"/>
                <w:highlight w:val="none"/>
                <w:lang w:val="en-US" w:eastAsia="zh-CN"/>
              </w:rPr>
              <w:t>相对</w:t>
            </w:r>
            <w:r>
              <w:rPr>
                <w:rFonts w:hint="eastAsia" w:ascii="仿宋" w:hAnsi="仿宋" w:eastAsia="仿宋" w:cs="仿宋"/>
                <w:b/>
                <w:bCs w:val="0"/>
                <w:color w:val="auto"/>
                <w:szCs w:val="21"/>
                <w:highlight w:val="none"/>
              </w:rPr>
              <w:t>全面，且有一定针对性的</w:t>
            </w:r>
            <w:r>
              <w:rPr>
                <w:rFonts w:hint="eastAsia" w:ascii="仿宋" w:hAnsi="仿宋" w:eastAsia="仿宋" w:cs="仿宋"/>
                <w:b/>
                <w:bCs w:val="0"/>
                <w:color w:val="auto"/>
                <w:kern w:val="2"/>
                <w:sz w:val="21"/>
                <w:szCs w:val="21"/>
                <w:highlight w:val="none"/>
              </w:rPr>
              <w:t>得4分；内容全面性，针对性一般的得3分；内容基本合理的得2分；内容有所欠缺的得1分；不提供不得分。</w:t>
            </w:r>
          </w:p>
        </w:tc>
        <w:tc>
          <w:tcPr>
            <w:tcW w:w="805" w:type="dxa"/>
            <w:vAlign w:val="center"/>
          </w:tcPr>
          <w:p w14:paraId="59C7B6A9">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845" w:type="dxa"/>
            <w:vAlign w:val="center"/>
          </w:tcPr>
          <w:p w14:paraId="6FA846DC">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主观分</w:t>
            </w:r>
          </w:p>
        </w:tc>
        <w:tc>
          <w:tcPr>
            <w:tcW w:w="1105" w:type="dxa"/>
            <w:vAlign w:val="center"/>
          </w:tcPr>
          <w:p w14:paraId="59340F7B">
            <w:pPr>
              <w:keepNext w:val="0"/>
              <w:keepLines w:val="0"/>
              <w:pageBreakBefore w:val="0"/>
              <w:widowControl w:val="0"/>
              <w:kinsoku/>
              <w:wordWrap/>
              <w:overflowPunct/>
              <w:topLinePunct w:val="0"/>
              <w:autoSpaceDE/>
              <w:autoSpaceDN/>
              <w:bidi w:val="0"/>
              <w:adjustRightInd w:val="0"/>
              <w:spacing w:line="320" w:lineRule="exact"/>
              <w:jc w:val="center"/>
              <w:textAlignment w:val="auto"/>
              <w:outlineLvl w:val="0"/>
              <w:rPr>
                <w:rFonts w:hint="eastAsia" w:ascii="仿宋" w:hAnsi="仿宋" w:eastAsia="仿宋" w:cs="仿宋"/>
                <w:color w:val="auto"/>
                <w:szCs w:val="21"/>
                <w:highlight w:val="none"/>
              </w:rPr>
            </w:pPr>
            <w:r>
              <w:rPr>
                <w:rFonts w:hint="eastAsia" w:ascii="仿宋" w:hAnsi="仿宋" w:eastAsia="仿宋" w:cs="仿宋"/>
                <w:bCs/>
                <w:color w:val="auto"/>
                <w:szCs w:val="21"/>
                <w:highlight w:val="none"/>
                <w:lang w:val="en-US" w:eastAsia="zh-CN"/>
              </w:rPr>
              <w:t>保密方案</w:t>
            </w:r>
          </w:p>
        </w:tc>
      </w:tr>
    </w:tbl>
    <w:p w14:paraId="1D70412F">
      <w:pPr>
        <w:snapToGrid w:val="0"/>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shd w:val="clear" w:color="auto" w:fill="FFFFFF"/>
        </w:rPr>
        <w:t>*</w:t>
      </w:r>
      <w:r>
        <w:rPr>
          <w:rFonts w:hint="eastAsia" w:ascii="仿宋" w:hAnsi="仿宋" w:eastAsia="仿宋" w:cs="仿宋"/>
          <w:b/>
          <w:color w:val="auto"/>
          <w:sz w:val="24"/>
          <w:highlight w:val="none"/>
        </w:rPr>
        <w:t>备注：</w:t>
      </w:r>
      <w:r>
        <w:rPr>
          <w:rFonts w:hint="eastAsia" w:ascii="仿宋" w:hAnsi="仿宋" w:eastAsia="仿宋" w:cs="仿宋"/>
          <w:b/>
          <w:color w:val="auto"/>
          <w:sz w:val="24"/>
          <w:highlight w:val="none"/>
          <w:lang w:val="en-US" w:eastAsia="zh-CN"/>
        </w:rPr>
        <w:t>①</w:t>
      </w:r>
      <w:r>
        <w:rPr>
          <w:rFonts w:hint="eastAsia" w:ascii="仿宋" w:hAnsi="仿宋" w:eastAsia="仿宋" w:cs="仿宋"/>
          <w:color w:val="auto"/>
          <w:sz w:val="24"/>
          <w:highlight w:val="none"/>
        </w:rPr>
        <w:t>供应商编制响应文件（商务技术文件部分）时，建议按此目录（序号和内容）提供评标标准相应的商务技术资料。 </w:t>
      </w:r>
      <w:r>
        <w:rPr>
          <w:rFonts w:hint="eastAsia" w:ascii="仿宋" w:hAnsi="仿宋" w:eastAsia="仿宋" w:cs="仿宋"/>
          <w:color w:val="auto"/>
          <w:sz w:val="24"/>
          <w:highlight w:val="none"/>
          <w:lang w:val="en-US" w:eastAsia="zh-CN"/>
        </w:rPr>
        <w:t>②</w:t>
      </w:r>
      <w:r>
        <w:rPr>
          <w:rFonts w:hint="eastAsia" w:ascii="仿宋" w:hAnsi="仿宋" w:eastAsia="仿宋" w:cs="仿宋"/>
          <w:b w:val="0"/>
          <w:bCs w:val="0"/>
          <w:color w:val="auto"/>
          <w:spacing w:val="0"/>
          <w:kern w:val="2"/>
          <w:sz w:val="24"/>
          <w:szCs w:val="24"/>
          <w:highlight w:val="none"/>
          <w:lang w:val="en-US" w:eastAsia="zh-CN" w:bidi="ar-SA"/>
        </w:rPr>
        <w:t>本服务内容价格按照固定单价进行报价</w:t>
      </w:r>
      <w:r>
        <w:rPr>
          <w:rFonts w:hint="eastAsia" w:ascii="仿宋" w:hAnsi="仿宋" w:eastAsia="仿宋" w:cs="仿宋"/>
          <w:color w:val="auto"/>
          <w:sz w:val="24"/>
          <w:highlight w:val="none"/>
          <w:lang w:val="en-US" w:eastAsia="zh-CN"/>
        </w:rPr>
        <w:t>，不设置价格评审。</w:t>
      </w:r>
    </w:p>
    <w:p w14:paraId="704AAE67">
      <w:pPr>
        <w:rPr>
          <w:rFonts w:ascii="仿宋" w:hAnsi="仿宋" w:eastAsia="仿宋"/>
          <w:b/>
          <w:color w:val="auto"/>
          <w:sz w:val="24"/>
          <w:highlight w:val="none"/>
        </w:rPr>
      </w:pPr>
      <w:r>
        <w:rPr>
          <w:rFonts w:hint="eastAsia" w:ascii="仿宋" w:hAnsi="仿宋" w:eastAsia="仿宋" w:cs="仿宋_GB2312"/>
          <w:b/>
          <w:color w:val="auto"/>
          <w:sz w:val="24"/>
          <w:highlight w:val="none"/>
        </w:rPr>
        <w:t>一、评标方法</w:t>
      </w:r>
    </w:p>
    <w:p w14:paraId="2A4C8F4F">
      <w:pPr>
        <w:adjustRightInd/>
        <w:spacing w:line="360" w:lineRule="auto"/>
        <w:ind w:firstLine="472" w:firstLineChars="196"/>
        <w:rPr>
          <w:rFonts w:ascii="仿宋" w:hAnsi="仿宋" w:eastAsia="仿宋" w:cs="Arial"/>
          <w:color w:val="auto"/>
          <w:kern w:val="0"/>
          <w:sz w:val="24"/>
          <w:highlight w:val="none"/>
        </w:rPr>
      </w:pPr>
      <w:r>
        <w:rPr>
          <w:rFonts w:ascii="仿宋" w:hAnsi="仿宋" w:eastAsia="仿宋" w:cs="Arial"/>
          <w:b/>
          <w:color w:val="auto"/>
          <w:kern w:val="0"/>
          <w:sz w:val="24"/>
          <w:highlight w:val="none"/>
        </w:rPr>
        <w:t>1.</w:t>
      </w:r>
      <w:r>
        <w:rPr>
          <w:rFonts w:hint="eastAsia" w:ascii="仿宋" w:hAnsi="仿宋" w:eastAsia="仿宋" w:cs="Arial"/>
          <w:b/>
          <w:color w:val="auto"/>
          <w:kern w:val="0"/>
          <w:sz w:val="24"/>
          <w:highlight w:val="none"/>
        </w:rPr>
        <w:t>本项目采用质量优先法。</w:t>
      </w:r>
      <w:r>
        <w:rPr>
          <w:rFonts w:hint="eastAsia" w:ascii="仿宋" w:hAnsi="仿宋" w:eastAsia="仿宋" w:cs="Arial"/>
          <w:color w:val="auto"/>
          <w:kern w:val="0"/>
          <w:sz w:val="24"/>
          <w:highlight w:val="none"/>
        </w:rPr>
        <w:t>质量优先法是指对满足采购需求且响应报价不超过</w:t>
      </w:r>
      <w:r>
        <w:rPr>
          <w:rFonts w:hint="eastAsia" w:ascii="仿宋" w:hAnsi="仿宋" w:eastAsia="仿宋" w:cs="Arial"/>
          <w:color w:val="auto"/>
          <w:kern w:val="0"/>
          <w:sz w:val="24"/>
          <w:highlight w:val="none"/>
          <w:lang w:val="en-US" w:eastAsia="zh-CN"/>
        </w:rPr>
        <w:t>服务</w:t>
      </w:r>
      <w:r>
        <w:rPr>
          <w:rFonts w:hint="eastAsia" w:ascii="仿宋" w:hAnsi="仿宋" w:eastAsia="仿宋" w:cs="Arial"/>
          <w:color w:val="auto"/>
          <w:kern w:val="0"/>
          <w:sz w:val="24"/>
          <w:highlight w:val="none"/>
        </w:rPr>
        <w:t>单价的货物、服务进行质量综合评分，按照质量评分从高到低排序，根据征集文件规定的淘汰率或者入围供应商数量上限，确定入围供应商的评审方法。</w:t>
      </w:r>
    </w:p>
    <w:p w14:paraId="1FE2BD92">
      <w:pPr>
        <w:adjustRightInd/>
        <w:spacing w:line="360" w:lineRule="auto"/>
        <w:rPr>
          <w:rFonts w:ascii="仿宋" w:hAnsi="仿宋" w:eastAsia="仿宋" w:cs="Arial"/>
          <w:color w:val="auto"/>
          <w:kern w:val="0"/>
          <w:sz w:val="24"/>
          <w:highlight w:val="none"/>
        </w:rPr>
      </w:pPr>
      <w:r>
        <w:rPr>
          <w:rFonts w:hint="eastAsia" w:ascii="仿宋" w:hAnsi="仿宋" w:eastAsia="仿宋" w:cs="仿宋_GB2312"/>
          <w:b/>
          <w:color w:val="auto"/>
          <w:sz w:val="24"/>
          <w:highlight w:val="none"/>
        </w:rPr>
        <w:t>二、评标标准</w:t>
      </w:r>
    </w:p>
    <w:p w14:paraId="48AB1955">
      <w:pPr>
        <w:spacing w:line="360" w:lineRule="auto"/>
        <w:ind w:firstLine="472" w:firstLineChars="196"/>
        <w:rPr>
          <w:rFonts w:ascii="仿宋" w:hAnsi="仿宋" w:eastAsia="仿宋" w:cs="仿宋_GB2312"/>
          <w:b/>
          <w:color w:val="auto"/>
          <w:sz w:val="24"/>
          <w:highlight w:val="none"/>
        </w:rPr>
      </w:pPr>
      <w:r>
        <w:rPr>
          <w:rFonts w:ascii="仿宋" w:hAnsi="仿宋" w:eastAsia="仿宋" w:cs="仿宋_GB2312"/>
          <w:b/>
          <w:color w:val="auto"/>
          <w:sz w:val="24"/>
          <w:highlight w:val="none"/>
        </w:rPr>
        <w:t>2.</w:t>
      </w:r>
      <w:r>
        <w:rPr>
          <w:rFonts w:hint="eastAsia" w:ascii="仿宋" w:hAnsi="仿宋" w:eastAsia="仿宋" w:cs="仿宋_GB2312"/>
          <w:b/>
          <w:color w:val="auto"/>
          <w:sz w:val="24"/>
          <w:highlight w:val="none"/>
        </w:rPr>
        <w:t>评标标准：</w:t>
      </w:r>
      <w:r>
        <w:rPr>
          <w:rFonts w:hint="eastAsia" w:ascii="仿宋" w:hAnsi="仿宋" w:eastAsia="仿宋" w:cs="Arial"/>
          <w:color w:val="auto"/>
          <w:kern w:val="0"/>
          <w:sz w:val="24"/>
          <w:highlight w:val="none"/>
        </w:rPr>
        <w:t>见评标办法前附表。</w:t>
      </w:r>
    </w:p>
    <w:p w14:paraId="307E7241">
      <w:pPr>
        <w:spacing w:line="360" w:lineRule="auto"/>
        <w:outlineLvl w:val="0"/>
        <w:rPr>
          <w:rFonts w:ascii="仿宋" w:hAnsi="仿宋" w:eastAsia="仿宋" w:cs="仿宋_GB2312"/>
          <w:b/>
          <w:color w:val="auto"/>
          <w:sz w:val="24"/>
          <w:highlight w:val="none"/>
        </w:rPr>
      </w:pPr>
      <w:r>
        <w:rPr>
          <w:rFonts w:hint="eastAsia" w:ascii="仿宋" w:hAnsi="仿宋" w:eastAsia="仿宋" w:cs="仿宋_GB2312"/>
          <w:b/>
          <w:color w:val="auto"/>
          <w:sz w:val="24"/>
          <w:highlight w:val="none"/>
        </w:rPr>
        <w:t>三、评标程序</w:t>
      </w:r>
    </w:p>
    <w:p w14:paraId="3B90B65D">
      <w:pPr>
        <w:spacing w:line="360" w:lineRule="auto"/>
        <w:ind w:firstLine="472" w:firstLineChars="19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3.1符合性审查。</w:t>
      </w:r>
      <w:r>
        <w:rPr>
          <w:rFonts w:hint="eastAsia" w:ascii="仿宋" w:hAnsi="仿宋" w:eastAsia="仿宋" w:cs="Arial"/>
          <w:color w:val="auto"/>
          <w:kern w:val="0"/>
          <w:sz w:val="24"/>
          <w:highlight w:val="none"/>
        </w:rPr>
        <w:t>评标委员会应当对符合资格的供应商的响应文件进行符合性审查，以确定其是否满足征集文件的实质性要求。不满足征集文件的实质性要求的，投标无效。</w:t>
      </w:r>
    </w:p>
    <w:p w14:paraId="5C96C389">
      <w:pPr>
        <w:spacing w:line="360" w:lineRule="auto"/>
        <w:ind w:firstLine="472" w:firstLineChars="19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3.2 比较与评价。</w:t>
      </w:r>
      <w:r>
        <w:rPr>
          <w:rFonts w:hint="eastAsia" w:ascii="仿宋" w:hAnsi="仿宋" w:eastAsia="仿宋" w:cs="Arial"/>
          <w:color w:val="auto"/>
          <w:kern w:val="0"/>
          <w:sz w:val="24"/>
          <w:highlight w:val="none"/>
        </w:rPr>
        <w:t>评标委员会应当按照征集文件中规定的评标方法和标准，对符合性审查合格的响应文件进行商务和技术评估，综合比较与评价。</w:t>
      </w:r>
    </w:p>
    <w:p w14:paraId="00DAE806">
      <w:pPr>
        <w:spacing w:line="360" w:lineRule="auto"/>
        <w:ind w:firstLine="472" w:firstLineChars="19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3.3汇总商务技术得分。</w:t>
      </w:r>
      <w:r>
        <w:rPr>
          <w:rFonts w:hint="eastAsia" w:ascii="仿宋" w:hAnsi="仿宋" w:eastAsia="仿宋" w:cs="Arial"/>
          <w:color w:val="auto"/>
          <w:kern w:val="0"/>
          <w:sz w:val="24"/>
          <w:highlight w:val="none"/>
        </w:rPr>
        <w:t>评标委员会各成员应当独立对每个供应商的商务和技术文件进行评价，并汇总商务技术得分情况。</w:t>
      </w:r>
    </w:p>
    <w:p w14:paraId="50ADC50B">
      <w:pPr>
        <w:spacing w:line="360" w:lineRule="auto"/>
        <w:ind w:firstLine="472" w:firstLineChars="196"/>
        <w:rPr>
          <w:rFonts w:ascii="仿宋" w:hAnsi="仿宋" w:eastAsia="仿宋" w:cs="Arial"/>
          <w:b/>
          <w:color w:val="auto"/>
          <w:kern w:val="0"/>
          <w:sz w:val="24"/>
          <w:highlight w:val="none"/>
        </w:rPr>
      </w:pPr>
      <w:r>
        <w:rPr>
          <w:rFonts w:hint="eastAsia" w:ascii="仿宋" w:hAnsi="仿宋" w:eastAsia="仿宋" w:cs="Arial"/>
          <w:b/>
          <w:color w:val="auto"/>
          <w:kern w:val="0"/>
          <w:sz w:val="24"/>
          <w:highlight w:val="none"/>
        </w:rPr>
        <w:t>3.4报价评审。</w:t>
      </w:r>
    </w:p>
    <w:p w14:paraId="6E3047F1">
      <w:pPr>
        <w:pStyle w:val="97"/>
        <w:spacing w:before="0"/>
        <w:ind w:firstLine="508" w:firstLineChars="212"/>
        <w:rPr>
          <w:rFonts w:ascii="仿宋" w:hAnsi="仿宋" w:eastAsia="仿宋" w:cs="Arial"/>
          <w:color w:val="auto"/>
          <w:kern w:val="0"/>
          <w:szCs w:val="24"/>
          <w:highlight w:val="none"/>
        </w:rPr>
      </w:pPr>
      <w:r>
        <w:rPr>
          <w:rFonts w:hint="eastAsia" w:ascii="仿宋" w:hAnsi="仿宋" w:eastAsia="仿宋" w:cs="Arial"/>
          <w:color w:val="auto"/>
          <w:kern w:val="0"/>
          <w:szCs w:val="24"/>
          <w:highlight w:val="none"/>
        </w:rPr>
        <w:t>3.4.1响应文件报价出现前后不一致的，按照下列规定修正：</w:t>
      </w:r>
    </w:p>
    <w:p w14:paraId="51BCF8F7">
      <w:pPr>
        <w:pStyle w:val="9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3.4.1.1响应文件中投标</w:t>
      </w:r>
      <w:r>
        <w:rPr>
          <w:rFonts w:ascii="仿宋" w:hAnsi="仿宋" w:eastAsia="仿宋" w:cs="仿宋"/>
          <w:color w:val="auto"/>
          <w:kern w:val="0"/>
          <w:szCs w:val="24"/>
          <w:highlight w:val="none"/>
        </w:rPr>
        <w:t>(开标)一览表</w:t>
      </w:r>
      <w:r>
        <w:rPr>
          <w:rFonts w:hint="eastAsia" w:ascii="仿宋" w:hAnsi="仿宋" w:eastAsia="仿宋" w:cs="仿宋"/>
          <w:color w:val="auto"/>
          <w:kern w:val="0"/>
          <w:szCs w:val="24"/>
          <w:highlight w:val="none"/>
        </w:rPr>
        <w:t>内容与响应文件中相应内容不一致的，以投标(开标)一览表为准;</w:t>
      </w:r>
    </w:p>
    <w:p w14:paraId="1C66A109">
      <w:pPr>
        <w:pStyle w:val="9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6428F710">
      <w:pPr>
        <w:pStyle w:val="9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7E513E1A">
      <w:pPr>
        <w:pStyle w:val="9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6CE39635">
      <w:pPr>
        <w:pStyle w:val="9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《政府采购货物和服务征集投标管理办法》第五十一条第二款的规定经供应商确认后产生约束力。</w:t>
      </w:r>
    </w:p>
    <w:p w14:paraId="7FBA1FC3">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3.4.2响应文件出现不是唯一的、有选择性响应报价的，投标无效。</w:t>
      </w:r>
    </w:p>
    <w:p w14:paraId="29352F14">
      <w:pPr>
        <w:snapToGrid w:val="0"/>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3.4.3响应报价超过征集文件中规定的预算金额或者最高限价的，投标无效。</w:t>
      </w:r>
    </w:p>
    <w:p w14:paraId="7120963E">
      <w:pPr>
        <w:pStyle w:val="9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投标处理。</w:t>
      </w:r>
    </w:p>
    <w:p w14:paraId="62867EAD">
      <w:pPr>
        <w:pStyle w:val="97"/>
        <w:spacing w:before="0"/>
        <w:ind w:firstLine="480"/>
        <w:rPr>
          <w:rFonts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或服务项目，以及预留份额政府采购货物或服务项目中的非预留部分标项，对小型和微型企业的响应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股、管理关系的，不享受价格扣除优惠政策。</w:t>
      </w:r>
    </w:p>
    <w:p w14:paraId="4252D256">
      <w:pPr>
        <w:spacing w:line="360" w:lineRule="auto"/>
        <w:ind w:firstLine="482" w:firstLineChars="200"/>
        <w:rPr>
          <w:rFonts w:ascii="仿宋" w:hAnsi="仿宋" w:eastAsia="仿宋" w:cs="仿宋"/>
          <w:color w:val="auto"/>
          <w:kern w:val="0"/>
          <w:sz w:val="24"/>
          <w:highlight w:val="none"/>
        </w:rPr>
      </w:pPr>
      <w:r>
        <w:rPr>
          <w:rFonts w:ascii="仿宋" w:hAnsi="仿宋" w:eastAsia="仿宋" w:cs="仿宋"/>
          <w:b/>
          <w:color w:val="auto"/>
          <w:kern w:val="0"/>
          <w:sz w:val="24"/>
          <w:highlight w:val="none"/>
        </w:rPr>
        <w:t>3.5</w:t>
      </w:r>
      <w:r>
        <w:rPr>
          <w:rFonts w:hint="eastAsia" w:ascii="仿宋" w:hAnsi="仿宋" w:eastAsia="仿宋" w:cs="仿宋"/>
          <w:b/>
          <w:color w:val="auto"/>
          <w:kern w:val="0"/>
          <w:sz w:val="24"/>
          <w:highlight w:val="none"/>
        </w:rPr>
        <w:t>排序与入围。</w:t>
      </w:r>
      <w:r>
        <w:rPr>
          <w:rFonts w:hint="eastAsia" w:ascii="仿宋" w:hAnsi="仿宋" w:eastAsia="仿宋" w:cs="仿宋"/>
          <w:color w:val="auto"/>
          <w:kern w:val="0"/>
          <w:sz w:val="24"/>
          <w:highlight w:val="none"/>
        </w:rPr>
        <w:t>评标委员会按评审后汇总得分由高到低顺序排列。汇总得分相同的，按技术分由高到低顺序排列；前款不能确定的，按《政府采购货物和服务招标投标管理办法》（财政部令第 87 号）第六十八条 由评标委员会随机抽取的方式确定。</w:t>
      </w:r>
    </w:p>
    <w:p w14:paraId="10EC8E03">
      <w:pPr>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评标委员会根据排序从后往前按比例淘汰单位（淘汰比例为进入排序单位数量的20%，向上取整数），</w:t>
      </w:r>
      <w:r>
        <w:rPr>
          <w:rFonts w:hint="eastAsia" w:ascii="仿宋" w:hAnsi="仿宋" w:eastAsia="仿宋" w:cs="仿宋"/>
          <w:color w:val="auto"/>
          <w:kern w:val="0"/>
          <w:sz w:val="24"/>
          <w:highlight w:val="none"/>
          <w:lang w:val="en-US" w:eastAsia="zh-CN"/>
        </w:rPr>
        <w:t>淘汰后剩余单位多于6家的，按照排序先后选择6家单位；淘汰后剩余单位小于等于6家的，全部入围。</w:t>
      </w:r>
      <w:r>
        <w:rPr>
          <w:rFonts w:hint="eastAsia" w:ascii="仿宋" w:hAnsi="仿宋" w:eastAsia="仿宋" w:cs="仿宋"/>
          <w:color w:val="auto"/>
          <w:kern w:val="0"/>
          <w:sz w:val="24"/>
          <w:highlight w:val="none"/>
        </w:rPr>
        <w:t>征集供应商数量：</w:t>
      </w:r>
      <w:r>
        <w:rPr>
          <w:rFonts w:hint="eastAsia" w:ascii="仿宋" w:hAnsi="仿宋" w:eastAsia="仿宋" w:cs="仿宋"/>
          <w:color w:val="auto"/>
          <w:kern w:val="0"/>
          <w:sz w:val="24"/>
          <w:highlight w:val="none"/>
          <w:lang w:val="en-US" w:eastAsia="zh-CN"/>
        </w:rPr>
        <w:t>每标项</w:t>
      </w:r>
      <w:r>
        <w:rPr>
          <w:rFonts w:hint="eastAsia" w:ascii="仿宋" w:hAnsi="仿宋" w:eastAsia="仿宋" w:cs="仿宋"/>
          <w:color w:val="auto"/>
          <w:kern w:val="0"/>
          <w:sz w:val="24"/>
          <w:highlight w:val="none"/>
        </w:rPr>
        <w:t>最多</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家。</w:t>
      </w:r>
    </w:p>
    <w:p w14:paraId="22D930D0">
      <w:pPr>
        <w:spacing w:line="360" w:lineRule="auto"/>
        <w:ind w:firstLine="472" w:firstLineChars="196"/>
        <w:rPr>
          <w:rFonts w:ascii="仿宋" w:hAnsi="仿宋" w:eastAsia="仿宋" w:cs="Arial"/>
          <w:color w:val="auto"/>
          <w:kern w:val="0"/>
          <w:sz w:val="24"/>
          <w:highlight w:val="none"/>
        </w:rPr>
      </w:pPr>
      <w:r>
        <w:rPr>
          <w:rFonts w:hint="eastAsia" w:ascii="仿宋" w:hAnsi="仿宋" w:eastAsia="仿宋" w:cs="Arial"/>
          <w:b/>
          <w:color w:val="auto"/>
          <w:kern w:val="0"/>
          <w:sz w:val="24"/>
          <w:highlight w:val="none"/>
        </w:rPr>
        <w:t>3.6编写评标报告。</w:t>
      </w:r>
      <w:r>
        <w:rPr>
          <w:rFonts w:hint="eastAsia" w:ascii="仿宋" w:hAnsi="仿宋" w:eastAsia="仿宋" w:cs="Arial"/>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E0F354C">
      <w:pPr>
        <w:widowControl/>
        <w:shd w:val="clear" w:color="auto" w:fill="FFFFFF"/>
        <w:adjustRightInd/>
        <w:spacing w:after="225" w:line="315" w:lineRule="atLeast"/>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四、评标中的其他事项</w:t>
      </w:r>
    </w:p>
    <w:p w14:paraId="751BDEF5">
      <w:pPr>
        <w:pStyle w:val="97"/>
        <w:spacing w:before="0"/>
        <w:ind w:firstLine="472" w:firstLineChars="196"/>
        <w:rPr>
          <w:rFonts w:ascii="仿宋" w:hAnsi="仿宋" w:eastAsia="仿宋" w:cs="Arial"/>
          <w:color w:val="auto"/>
          <w:kern w:val="0"/>
          <w:szCs w:val="24"/>
          <w:highlight w:val="none"/>
        </w:rPr>
      </w:pPr>
      <w:r>
        <w:rPr>
          <w:rFonts w:hint="eastAsia" w:ascii="仿宋" w:hAnsi="仿宋" w:eastAsia="仿宋" w:cs="Arial"/>
          <w:b/>
          <w:color w:val="auto"/>
          <w:kern w:val="0"/>
          <w:szCs w:val="24"/>
          <w:highlight w:val="none"/>
        </w:rPr>
        <w:t>4.1供应商澄清、说明或者补正。</w:t>
      </w:r>
      <w:r>
        <w:rPr>
          <w:rFonts w:hint="eastAsia" w:ascii="仿宋" w:hAnsi="仿宋" w:eastAsia="仿宋" w:cs="Arial"/>
          <w:color w:val="auto"/>
          <w:kern w:val="0"/>
          <w:szCs w:val="24"/>
          <w:highlight w:val="none"/>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2A1B18FF">
      <w:pPr>
        <w:pStyle w:val="21"/>
        <w:spacing w:line="360" w:lineRule="auto"/>
        <w:ind w:left="954" w:leftChars="226" w:hanging="479" w:firstLineChars="0"/>
        <w:rPr>
          <w:rFonts w:ascii="仿宋" w:hAnsi="仿宋" w:eastAsia="仿宋" w:cs="仿宋_GB2312"/>
          <w:color w:val="auto"/>
          <w:highlight w:val="none"/>
        </w:rPr>
      </w:pPr>
      <w:r>
        <w:rPr>
          <w:rFonts w:hint="eastAsia" w:ascii="仿宋" w:hAnsi="仿宋" w:eastAsia="仿宋" w:cs="Arial"/>
          <w:b/>
          <w:color w:val="auto"/>
          <w:kern w:val="0"/>
          <w:highlight w:val="none"/>
        </w:rPr>
        <w:t>4.2投标无效。</w:t>
      </w:r>
      <w:r>
        <w:rPr>
          <w:rFonts w:hint="eastAsia" w:ascii="仿宋" w:hAnsi="仿宋" w:eastAsia="仿宋" w:cs="仿宋_GB2312"/>
          <w:color w:val="auto"/>
          <w:highlight w:val="none"/>
        </w:rPr>
        <w:t>有下列情况之一的，投标无效：</w:t>
      </w:r>
    </w:p>
    <w:p w14:paraId="10971B7A">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4.2.1供应商不具备征集文件中规定的资格要求的（供应商未提供有效的资格文件的，视为供应商不具备征集文件中规定的资格要求）；</w:t>
      </w:r>
    </w:p>
    <w:p w14:paraId="29D57DF2">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4.2.2响应文件未按照征集文件要求签署、盖章的；</w:t>
      </w:r>
    </w:p>
    <w:p w14:paraId="21A4C558">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4.2.3征集人拟采购的产品属于政府强制采购的节能产品品目清单范围的，供应商未按征集文件要求提供国家确定的认证机构出具的、处于有效期之内的节能产品认证证书的；</w:t>
      </w:r>
    </w:p>
    <w:p w14:paraId="7BD0530F">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4.2.4响应文件含有征集人不能接受的附加条件的；</w:t>
      </w:r>
    </w:p>
    <w:p w14:paraId="53C1A805">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4.2.5响应文件中承诺的投标有效期少于征集文件中载明的投标有效期的；</w:t>
      </w:r>
    </w:p>
    <w:p w14:paraId="162DA360">
      <w:pPr>
        <w:snapToGrid w:val="0"/>
        <w:spacing w:line="360" w:lineRule="auto"/>
        <w:ind w:firstLine="120" w:firstLineChars="50"/>
        <w:jc w:val="left"/>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 xml:space="preserve">   4.2.6响应文件出现不是唯一的、有选择性响应报价的;</w:t>
      </w:r>
    </w:p>
    <w:p w14:paraId="6C658FBC">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4.2.7响应报价超过征集文件中规定的预算金额或者最高限价的;</w:t>
      </w:r>
    </w:p>
    <w:p w14:paraId="4B460FC4">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4.2.8报价明显低于其他通过符合性审查供应商的报价，有可能影响产品质量或者不能诚信履约的，未能按要求提供书面说明或者提交相关证明材料，不能证明其报价合理性的;</w:t>
      </w:r>
    </w:p>
    <w:p w14:paraId="6B95A584">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4.2.9供应商对根据修正原则修正后的报价不确认的；</w:t>
      </w:r>
    </w:p>
    <w:p w14:paraId="6996D3DD">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4.2.10供应商提供虚假材料投标的；</w:t>
      </w:r>
    </w:p>
    <w:p w14:paraId="191476C8">
      <w:pPr>
        <w:spacing w:line="360" w:lineRule="auto"/>
        <w:ind w:firstLine="240" w:firstLineChars="1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 xml:space="preserve">  4.2.11供应商有恶意串通、妨碍其他供应商的竞争行为、损害征集人或者其他供应商的合法权益情形的；</w:t>
      </w:r>
    </w:p>
    <w:p w14:paraId="35814785">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4.2.12供应商仅提交备份响应文件，没有在电子交易平台传输递交响应文件的，投标无效；</w:t>
      </w:r>
    </w:p>
    <w:p w14:paraId="79B33B82">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4.2.13 响应文件不满足征集文件的其它实质性要求的；</w:t>
      </w:r>
    </w:p>
    <w:p w14:paraId="3E4AF1E1">
      <w:pPr>
        <w:spacing w:line="360" w:lineRule="auto"/>
        <w:ind w:firstLine="480" w:firstLineChars="200"/>
        <w:rPr>
          <w:rFonts w:ascii="仿宋" w:hAnsi="仿宋" w:eastAsia="仿宋" w:cs="Arial"/>
          <w:color w:val="auto"/>
          <w:kern w:val="0"/>
          <w:sz w:val="24"/>
          <w:highlight w:val="none"/>
        </w:rPr>
      </w:pPr>
      <w:r>
        <w:rPr>
          <w:rFonts w:hint="eastAsia" w:ascii="仿宋" w:hAnsi="仿宋" w:eastAsia="仿宋" w:cs="Arial"/>
          <w:color w:val="auto"/>
          <w:kern w:val="0"/>
          <w:sz w:val="24"/>
          <w:highlight w:val="none"/>
        </w:rPr>
        <w:t>4.2.14法律、法规、规章（适用本市的）及省级以上规范性文件（适用本市的）规定的其他无效情形。</w:t>
      </w:r>
    </w:p>
    <w:p w14:paraId="71D3750B">
      <w:pPr>
        <w:pStyle w:val="21"/>
        <w:snapToGrid w:val="0"/>
        <w:spacing w:line="360" w:lineRule="auto"/>
        <w:ind w:firstLine="472" w:firstLineChars="196"/>
        <w:rPr>
          <w:rFonts w:ascii="仿宋" w:hAnsi="仿宋" w:eastAsia="仿宋" w:cs="仿宋_GB2312"/>
          <w:color w:val="auto"/>
          <w:highlight w:val="none"/>
        </w:rPr>
      </w:pPr>
      <w:r>
        <w:rPr>
          <w:rFonts w:hint="eastAsia" w:ascii="仿宋" w:hAnsi="仿宋" w:eastAsia="仿宋" w:cs="仿宋_GB2312"/>
          <w:b/>
          <w:color w:val="auto"/>
          <w:highlight w:val="none"/>
        </w:rPr>
        <w:t>5.废标。</w:t>
      </w:r>
      <w:r>
        <w:rPr>
          <w:rFonts w:hint="eastAsia" w:ascii="仿宋" w:hAnsi="仿宋" w:eastAsia="仿宋" w:cs="仿宋_GB2312"/>
          <w:color w:val="auto"/>
          <w:highlight w:val="none"/>
        </w:rPr>
        <w:t>根据《中华人民共和国政府采购法》第三十六条之规定，在采购中，出现下列情形之一的，应予废标：</w:t>
      </w:r>
    </w:p>
    <w:p w14:paraId="6A5F1ECA">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5.1符合专业条件的供应商或者对征集文件作实质响应的供应商不足3家的；</w:t>
      </w:r>
    </w:p>
    <w:p w14:paraId="2CCF943B">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5.2出现影响采购公正的违法、违规行为的；</w:t>
      </w:r>
    </w:p>
    <w:p w14:paraId="457D53D9">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5.3供应商的报价均超过了采购预算，征集人不能支付的；</w:t>
      </w:r>
    </w:p>
    <w:p w14:paraId="7AA5EB79">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5.4因重大变故，采购任务取消的。</w:t>
      </w:r>
    </w:p>
    <w:p w14:paraId="749CA616">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废标后，采购代理机构应当将废标理由通知所有供应商。</w:t>
      </w:r>
    </w:p>
    <w:p w14:paraId="3585D5F0">
      <w:pPr>
        <w:pStyle w:val="21"/>
        <w:snapToGrid w:val="0"/>
        <w:spacing w:line="360" w:lineRule="auto"/>
        <w:ind w:firstLine="482"/>
        <w:rPr>
          <w:rFonts w:ascii="仿宋" w:hAnsi="仿宋" w:eastAsia="仿宋" w:cs="仿宋_GB2312"/>
          <w:color w:val="auto"/>
          <w:highlight w:val="none"/>
        </w:rPr>
      </w:pPr>
      <w:r>
        <w:rPr>
          <w:rFonts w:hint="eastAsia" w:ascii="仿宋" w:hAnsi="仿宋" w:eastAsia="仿宋" w:cs="仿宋_GB2312"/>
          <w:b/>
          <w:color w:val="auto"/>
          <w:highlight w:val="none"/>
        </w:rPr>
        <w:t>6.修改征集文件，重新组织采购活动。</w:t>
      </w:r>
      <w:r>
        <w:rPr>
          <w:rFonts w:hint="eastAsia" w:ascii="仿宋" w:hAnsi="仿宋" w:eastAsia="仿宋" w:cs="仿宋_GB2312"/>
          <w:color w:val="auto"/>
          <w:highlight w:val="none"/>
        </w:rPr>
        <w:t>评标委员会发现征集文件存在歧义、重大缺陷导致评标工作无法进行，或者征集文件内容违反国家有关强制性规定的，将停止评标工作，并与征集人、采购代理机构沟通并作书面记录。征集人、采购代理机构确认后，将修改征集文件，重新组织采购活动。</w:t>
      </w:r>
    </w:p>
    <w:p w14:paraId="441067D5">
      <w:pPr>
        <w:pStyle w:val="21"/>
        <w:snapToGrid w:val="0"/>
        <w:spacing w:line="360" w:lineRule="auto"/>
        <w:ind w:firstLine="482"/>
        <w:rPr>
          <w:rFonts w:ascii="仿宋" w:hAnsi="仿宋" w:eastAsia="仿宋" w:cs="仿宋_GB2312"/>
          <w:color w:val="auto"/>
          <w:highlight w:val="none"/>
        </w:rPr>
      </w:pPr>
      <w:r>
        <w:rPr>
          <w:rFonts w:hint="eastAsia" w:ascii="仿宋" w:hAnsi="仿宋" w:eastAsia="仿宋" w:cs="Helvetica"/>
          <w:b/>
          <w:color w:val="auto"/>
          <w:kern w:val="0"/>
          <w:highlight w:val="none"/>
        </w:rPr>
        <w:t>7.重新开展采购。</w:t>
      </w:r>
      <w:r>
        <w:rPr>
          <w:rFonts w:hint="eastAsia" w:ascii="仿宋" w:hAnsi="仿宋" w:eastAsia="仿宋" w:cs="仿宋_GB2312"/>
          <w:color w:val="auto"/>
          <w:highlight w:val="none"/>
        </w:rPr>
        <w:t>有政府采购法第七十一条、第七十二条规定的违法行为之一，影响或者可能影响中标、成交结果的，依照下列规定处理：</w:t>
      </w:r>
    </w:p>
    <w:p w14:paraId="746B6507">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7.1未确定中标或者中标人的，终止本次政府采购活动，重新开展政府采购活动。</w:t>
      </w:r>
    </w:p>
    <w:p w14:paraId="71428125">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7.2已确定中标或者中标人但尚未签订政府采购合同的，中标或者成交结果无效，从合格的中标或者成交候选人中另行确定中标或者中标人；没有合格的中标或者成交候选人的，重新开展政府采购活动。</w:t>
      </w:r>
    </w:p>
    <w:p w14:paraId="0A4E7488">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7.3政府采购合同已签订但尚未履行的，撤销合同，从合格的中标或者成交候选人中另行确定中标或者中标人；没有合格的中标或者成交候选人的，重新开展政府采购活动。</w:t>
      </w:r>
    </w:p>
    <w:p w14:paraId="0E43AE21">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7.4政府采购合同已经履行，给征集人、供应商造成损失的，由责任人承担赔偿责任。</w:t>
      </w:r>
    </w:p>
    <w:p w14:paraId="4085DF0A">
      <w:pPr>
        <w:pStyle w:val="21"/>
        <w:snapToGrid w:val="0"/>
        <w:spacing w:line="360" w:lineRule="auto"/>
        <w:rPr>
          <w:rFonts w:ascii="仿宋" w:hAnsi="仿宋" w:eastAsia="仿宋" w:cs="仿宋_GB2312"/>
          <w:color w:val="auto"/>
          <w:highlight w:val="none"/>
        </w:rPr>
      </w:pPr>
      <w:r>
        <w:rPr>
          <w:rFonts w:hint="eastAsia" w:ascii="仿宋" w:hAnsi="仿宋" w:eastAsia="仿宋" w:cs="仿宋_GB2312"/>
          <w:color w:val="auto"/>
          <w:highlight w:val="none"/>
        </w:rPr>
        <w:t>7.5政府采购当事人有其他违反政府采购法或者政府采购法实施条例等法律法规规定的行为，经改正后仍然影响或者可能影响中标、成交结果或者依法被认定为中标成交无效的，依照7.1-7.4规定处理。</w:t>
      </w:r>
      <w:r>
        <w:rPr>
          <w:rFonts w:ascii="仿宋" w:hAnsi="仿宋" w:eastAsia="仿宋" w:cs="仿宋_GB2312"/>
          <w:color w:val="auto"/>
          <w:highlight w:val="none"/>
        </w:rPr>
        <w:br w:type="page"/>
      </w:r>
    </w:p>
    <w:p w14:paraId="1C4332A4">
      <w:pPr>
        <w:pStyle w:val="21"/>
        <w:snapToGrid w:val="0"/>
        <w:spacing w:line="360" w:lineRule="auto"/>
        <w:ind w:right="-512" w:firstLine="0" w:firstLineChars="0"/>
        <w:jc w:val="center"/>
        <w:rPr>
          <w:rFonts w:hint="eastAsia" w:ascii="仿宋" w:hAnsi="仿宋" w:eastAsia="仿宋" w:cs="仿宋_GB2312"/>
          <w:b/>
          <w:color w:val="auto"/>
          <w:sz w:val="36"/>
          <w:szCs w:val="36"/>
          <w:highlight w:val="none"/>
          <w:lang w:eastAsia="zh-CN"/>
        </w:rPr>
      </w:pPr>
      <w:r>
        <w:rPr>
          <w:rFonts w:hint="eastAsia" w:ascii="仿宋" w:hAnsi="仿宋" w:eastAsia="仿宋"/>
          <w:b/>
          <w:color w:val="auto"/>
          <w:sz w:val="36"/>
          <w:szCs w:val="36"/>
          <w:highlight w:val="none"/>
        </w:rPr>
        <w:t>第五部分</w:t>
      </w:r>
      <w:bookmarkEnd w:id="412"/>
      <w:bookmarkEnd w:id="413"/>
      <w:bookmarkEnd w:id="414"/>
      <w:r>
        <w:rPr>
          <w:rFonts w:hint="eastAsia" w:ascii="仿宋" w:hAnsi="仿宋" w:eastAsia="仿宋" w:cs="仿宋_GB2312"/>
          <w:b/>
          <w:color w:val="auto"/>
          <w:sz w:val="36"/>
          <w:szCs w:val="36"/>
          <w:highlight w:val="none"/>
          <w:lang w:eastAsia="zh-CN"/>
        </w:rPr>
        <w:t>拟签订的框架协议文本和采购合同文本</w:t>
      </w:r>
    </w:p>
    <w:p w14:paraId="29FADEEA">
      <w:pPr>
        <w:pageBreakBefore w:val="0"/>
        <w:kinsoku/>
        <w:overflowPunct/>
        <w:autoSpaceDE/>
        <w:autoSpaceDN/>
        <w:bidi w:val="0"/>
        <w:adjustRightInd w:val="0"/>
        <w:snapToGrid w:val="0"/>
        <w:spacing w:line="360" w:lineRule="auto"/>
        <w:jc w:val="center"/>
        <w:rPr>
          <w:rFonts w:hint="eastAsia" w:ascii="仿宋" w:hAnsi="仿宋" w:eastAsia="仿宋" w:cs="仿宋"/>
          <w:color w:val="auto"/>
          <w:sz w:val="28"/>
          <w:szCs w:val="28"/>
          <w:highlight w:val="none"/>
          <w:lang w:eastAsia="zh-CN"/>
        </w:rPr>
      </w:pPr>
      <w:bookmarkStart w:id="415" w:name="_Toc331685783"/>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lang w:eastAsia="zh-CN"/>
        </w:rPr>
        <w:t>杭州市滨江区2025-2026年居家养老综合服务封闭式框架协议</w:t>
      </w:r>
    </w:p>
    <w:p w14:paraId="4F2D1005">
      <w:pPr>
        <w:pageBreakBefore w:val="0"/>
        <w:kinsoku/>
        <w:overflowPunct/>
        <w:autoSpaceDE/>
        <w:autoSpaceDN/>
        <w:bidi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标项一</w:t>
      </w:r>
      <w:r>
        <w:rPr>
          <w:rFonts w:hint="eastAsia" w:ascii="仿宋" w:hAnsi="仿宋" w:eastAsia="仿宋" w:cs="仿宋"/>
          <w:color w:val="auto"/>
          <w:sz w:val="28"/>
          <w:szCs w:val="28"/>
          <w:highlight w:val="none"/>
          <w:lang w:eastAsia="zh-CN"/>
        </w:rPr>
        <w:t>）</w:t>
      </w:r>
    </w:p>
    <w:p w14:paraId="3B1A7E3D">
      <w:pPr>
        <w:pageBreakBefore w:val="0"/>
        <w:kinsoku/>
        <w:overflowPunct/>
        <w:autoSpaceDE/>
        <w:autoSpaceDN/>
        <w:bidi w:val="0"/>
        <w:adjustRightInd w:val="0"/>
        <w:snapToGrid w:val="0"/>
        <w:spacing w:line="360" w:lineRule="auto"/>
        <w:rPr>
          <w:rFonts w:hint="eastAsia" w:ascii="仿宋" w:hAnsi="仿宋" w:eastAsia="仿宋" w:cs="仿宋"/>
          <w:color w:val="auto"/>
          <w:sz w:val="28"/>
          <w:szCs w:val="28"/>
          <w:highlight w:val="none"/>
        </w:rPr>
      </w:pPr>
    </w:p>
    <w:bookmarkEnd w:id="415"/>
    <w:p w14:paraId="08903308">
      <w:pPr>
        <w:keepNext w:val="0"/>
        <w:keepLines w:val="0"/>
        <w:pageBreakBefore w:val="0"/>
        <w:kinsoku/>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甲方（征集人）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32C43DE2">
      <w:pPr>
        <w:keepNext w:val="0"/>
        <w:keepLines w:val="0"/>
        <w:pageBreakBefore w:val="0"/>
        <w:kinsoku/>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乙方（入围</w:t>
      </w:r>
      <w:r>
        <w:rPr>
          <w:rFonts w:hint="eastAsia" w:ascii="仿宋" w:hAnsi="仿宋" w:eastAsia="仿宋" w:cs="仿宋"/>
          <w:b/>
          <w:bCs/>
          <w:color w:val="auto"/>
          <w:sz w:val="24"/>
          <w:szCs w:val="24"/>
          <w:highlight w:val="none"/>
          <w:lang w:eastAsia="zh-CN"/>
        </w:rPr>
        <w:t>乙方</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14:paraId="1A34008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经过公开征集，确定乙方</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lang w:eastAsia="zh-CN"/>
        </w:rPr>
        <w:t>杭州市滨江区2025-2026年居家养老综合服务封闭式框架协议采购项目</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标项一</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的入围单位，为明确双方权利义务，经协商一致，签订本协议书。协议期内，乙方、</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双方签署《政府采购框架协议采购合同》（以下简称“合同”）。</w:t>
      </w:r>
    </w:p>
    <w:p w14:paraId="28B528B3">
      <w:pPr>
        <w:pStyle w:val="28"/>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一、定义</w:t>
      </w:r>
    </w:p>
    <w:p w14:paraId="60E7BB4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本协议中的下列术语应解释为：</w:t>
      </w:r>
    </w:p>
    <w:p w14:paraId="1E3AB0F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1.“协议”系指甲方与乙方签署的、载明甲方与乙方协利义务的协议，包括所有的附件、附录和其他构成协议的所有文件。</w:t>
      </w:r>
    </w:p>
    <w:p w14:paraId="741392D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2.“甲方”系指</w:t>
      </w:r>
      <w:r>
        <w:rPr>
          <w:rFonts w:hint="eastAsia" w:ascii="仿宋" w:hAnsi="仿宋" w:eastAsia="仿宋" w:cs="仿宋"/>
          <w:color w:val="auto"/>
          <w:sz w:val="24"/>
          <w:szCs w:val="24"/>
          <w:highlight w:val="none"/>
          <w:lang w:eastAsia="zh-CN"/>
        </w:rPr>
        <w:t>杭州市滨江区民政局。</w:t>
      </w:r>
    </w:p>
    <w:p w14:paraId="14FE75D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3.“乙方”系指本次入围</w:t>
      </w:r>
      <w:r>
        <w:rPr>
          <w:rFonts w:hint="eastAsia" w:ascii="仿宋" w:hAnsi="仿宋" w:eastAsia="仿宋" w:cs="仿宋"/>
          <w:color w:val="auto"/>
          <w:sz w:val="24"/>
          <w:szCs w:val="24"/>
          <w:highlight w:val="none"/>
          <w:lang w:eastAsia="zh-CN"/>
        </w:rPr>
        <w:t>乙方。</w:t>
      </w:r>
    </w:p>
    <w:p w14:paraId="040C5F8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”系指</w:t>
      </w:r>
      <w:r>
        <w:rPr>
          <w:rFonts w:hint="eastAsia" w:ascii="仿宋" w:hAnsi="仿宋" w:eastAsia="仿宋" w:cs="仿宋"/>
          <w:color w:val="auto"/>
          <w:sz w:val="24"/>
          <w:szCs w:val="24"/>
          <w:highlight w:val="none"/>
          <w:lang w:eastAsia="zh-CN"/>
        </w:rPr>
        <w:t>杭州市滨江区民政局</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滨江区</w:t>
      </w:r>
      <w:r>
        <w:rPr>
          <w:rFonts w:hint="eastAsia" w:ascii="仿宋" w:hAnsi="仿宋" w:eastAsia="仿宋" w:cs="仿宋"/>
          <w:b w:val="0"/>
          <w:bCs w:val="0"/>
          <w:color w:val="auto"/>
          <w:sz w:val="24"/>
          <w:szCs w:val="24"/>
          <w:highlight w:val="none"/>
          <w:lang w:val="en-US" w:eastAsia="zh-CN"/>
        </w:rPr>
        <w:t>辖区范围内的3个街道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与甲方享有同等权力。本协议下述各处所指甲方同时包含</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w:t>
      </w:r>
    </w:p>
    <w:p w14:paraId="1A99F42A">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5.“征集文件”是指“</w:t>
      </w:r>
      <w:r>
        <w:rPr>
          <w:rFonts w:hint="eastAsia" w:ascii="仿宋" w:hAnsi="仿宋" w:eastAsia="仿宋" w:cs="仿宋"/>
          <w:color w:val="auto"/>
          <w:sz w:val="24"/>
          <w:szCs w:val="24"/>
          <w:highlight w:val="none"/>
          <w:lang w:val="en-US" w:eastAsia="zh-CN"/>
        </w:rPr>
        <w:t xml:space="preserve"> 杭州市滨江区2025-2026年居家养老综合服务封闭式框架协议采购项目</w:t>
      </w:r>
      <w:r>
        <w:rPr>
          <w:rFonts w:hint="eastAsia" w:ascii="仿宋" w:hAnsi="仿宋" w:eastAsia="仿宋" w:cs="仿宋"/>
          <w:color w:val="auto"/>
          <w:sz w:val="24"/>
          <w:szCs w:val="24"/>
          <w:highlight w:val="none"/>
        </w:rPr>
        <w:t>”征集文件。</w:t>
      </w:r>
    </w:p>
    <w:p w14:paraId="6E8DADCB">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二、文件组成</w:t>
      </w:r>
    </w:p>
    <w:p w14:paraId="0FAF901B">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以下文件为本协议的组成部分，应该认为是一个整体，彼此相互解释，相互补充。组成协议的多个文件的优先支配地位的次序如下：</w:t>
      </w:r>
    </w:p>
    <w:p w14:paraId="00CBA3A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1.本协议书；</w:t>
      </w:r>
    </w:p>
    <w:p w14:paraId="0796BCE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2.入围通知书；</w:t>
      </w:r>
    </w:p>
    <w:p w14:paraId="469C3A40">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3.入围</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响应文件；</w:t>
      </w:r>
    </w:p>
    <w:p w14:paraId="054996F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4.补充文件（若有）；</w:t>
      </w:r>
    </w:p>
    <w:p w14:paraId="41979D8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5.征集文件。</w:t>
      </w:r>
    </w:p>
    <w:p w14:paraId="0ECB24C6">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、有效期限</w:t>
      </w:r>
    </w:p>
    <w:p w14:paraId="54F5BF5F">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本项目服务期两年，具体起止时间为2025年 月 日至2026年 月 日。合同一年一签，服务期内实行月度考核。服务期内乙方月度考核分出现两次90分（不含）以下的或满足“清退机制”条件之一的，甲方有权随时与乙方暂停服务终止合同，</w:t>
      </w:r>
      <w:r>
        <w:rPr>
          <w:rFonts w:hint="eastAsia" w:ascii="仿宋" w:hAnsi="仿宋" w:eastAsia="仿宋" w:cs="仿宋"/>
          <w:b w:val="0"/>
          <w:bCs w:val="0"/>
          <w:color w:val="auto"/>
          <w:sz w:val="24"/>
          <w:szCs w:val="24"/>
          <w:highlight w:val="none"/>
        </w:rPr>
        <w:t>在服务期限，如</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rPr>
        <w:t>考核不通过的，</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rPr>
        <w:t>有权无责终止合同履行，重新组织采购活动。</w:t>
      </w:r>
      <w:r>
        <w:rPr>
          <w:rFonts w:hint="eastAsia" w:ascii="仿宋" w:hAnsi="仿宋" w:eastAsia="仿宋" w:cs="仿宋"/>
          <w:b/>
          <w:bCs/>
          <w:color w:val="auto"/>
          <w:sz w:val="24"/>
          <w:szCs w:val="24"/>
          <w:highlight w:val="none"/>
        </w:rPr>
        <w:br w:type="textWrapping"/>
      </w:r>
      <w:r>
        <w:rPr>
          <w:rFonts w:hint="eastAsia" w:ascii="仿宋" w:hAnsi="仿宋" w:eastAsia="仿宋" w:cs="仿宋"/>
          <w:b/>
          <w:bCs/>
          <w:color w:val="auto"/>
          <w:sz w:val="24"/>
          <w:szCs w:val="24"/>
          <w:highlight w:val="none"/>
          <w:lang w:val="en-US" w:eastAsia="zh-CN"/>
        </w:rPr>
        <w:t xml:space="preserve">    四</w:t>
      </w:r>
      <w:r>
        <w:rPr>
          <w:rFonts w:hint="eastAsia" w:ascii="仿宋" w:hAnsi="仿宋" w:eastAsia="仿宋" w:cs="仿宋"/>
          <w:b/>
          <w:bCs/>
          <w:color w:val="auto"/>
          <w:sz w:val="24"/>
          <w:szCs w:val="24"/>
          <w:highlight w:val="none"/>
        </w:rPr>
        <w:t>、适用框架协议的</w:t>
      </w:r>
      <w:r>
        <w:rPr>
          <w:rFonts w:hint="eastAsia" w:ascii="仿宋" w:hAnsi="仿宋" w:eastAsia="仿宋" w:cs="仿宋"/>
          <w:b/>
          <w:bCs/>
          <w:color w:val="auto"/>
          <w:sz w:val="24"/>
          <w:szCs w:val="24"/>
          <w:highlight w:val="none"/>
          <w:lang w:val="en-US" w:eastAsia="zh-CN"/>
        </w:rPr>
        <w:t>甲方（或服务对象）</w:t>
      </w:r>
      <w:r>
        <w:rPr>
          <w:rFonts w:hint="eastAsia" w:ascii="仿宋" w:hAnsi="仿宋" w:eastAsia="仿宋" w:cs="仿宋"/>
          <w:b/>
          <w:bCs/>
          <w:color w:val="auto"/>
          <w:sz w:val="24"/>
          <w:szCs w:val="24"/>
          <w:highlight w:val="none"/>
        </w:rPr>
        <w:t>：</w:t>
      </w:r>
    </w:p>
    <w:p w14:paraId="3A1C05C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杭州市滨江区民政局与滨江区辖区范围内的3个街道</w:t>
      </w:r>
      <w:r>
        <w:rPr>
          <w:rFonts w:hint="eastAsia" w:ascii="仿宋" w:hAnsi="仿宋" w:eastAsia="仿宋" w:cs="仿宋"/>
          <w:color w:val="auto"/>
          <w:sz w:val="24"/>
          <w:szCs w:val="24"/>
          <w:highlight w:val="none"/>
        </w:rPr>
        <w:t>。</w:t>
      </w:r>
    </w:p>
    <w:p w14:paraId="7D865BA9">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、履行合同的地域范围：</w:t>
      </w:r>
      <w:r>
        <w:rPr>
          <w:rFonts w:hint="eastAsia" w:ascii="仿宋" w:hAnsi="仿宋" w:eastAsia="仿宋" w:cs="仿宋"/>
          <w:b w:val="0"/>
          <w:bCs w:val="0"/>
          <w:color w:val="auto"/>
          <w:sz w:val="24"/>
          <w:szCs w:val="24"/>
          <w:highlight w:val="none"/>
          <w:lang w:eastAsia="zh-CN"/>
        </w:rPr>
        <w:t>杭州市滨江区</w:t>
      </w:r>
      <w:r>
        <w:rPr>
          <w:rFonts w:hint="eastAsia" w:ascii="仿宋" w:hAnsi="仿宋" w:eastAsia="仿宋" w:cs="仿宋"/>
          <w:b/>
          <w:bCs/>
          <w:color w:val="auto"/>
          <w:sz w:val="24"/>
          <w:szCs w:val="24"/>
          <w:highlight w:val="none"/>
        </w:rPr>
        <w:t>。</w:t>
      </w:r>
    </w:p>
    <w:p w14:paraId="655A1DE2">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、采购需求</w:t>
      </w:r>
    </w:p>
    <w:p w14:paraId="49709AE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详见征集文件。</w:t>
      </w:r>
    </w:p>
    <w:p w14:paraId="67D0BBB8">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服务单价</w:t>
      </w:r>
    </w:p>
    <w:p w14:paraId="6F971C8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固定单价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35元/小时</w:t>
      </w:r>
    </w:p>
    <w:p w14:paraId="60EA7192">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snapToGrid w:val="0"/>
          <w:color w:val="auto"/>
          <w:sz w:val="24"/>
          <w:szCs w:val="24"/>
          <w:highlight w:val="none"/>
          <w:lang w:val="en-US" w:eastAsia="zh-CN"/>
        </w:rPr>
        <w:t>八</w:t>
      </w:r>
      <w:r>
        <w:rPr>
          <w:rFonts w:hint="eastAsia" w:ascii="仿宋" w:hAnsi="仿宋" w:eastAsia="仿宋" w:cs="仿宋"/>
          <w:b/>
          <w:bCs/>
          <w:color w:val="auto"/>
          <w:sz w:val="24"/>
          <w:szCs w:val="24"/>
          <w:highlight w:val="none"/>
        </w:rPr>
        <w:t>、协议价格</w:t>
      </w:r>
    </w:p>
    <w:p w14:paraId="33196D5F">
      <w:pPr>
        <w:keepNext w:val="0"/>
        <w:keepLines w:val="0"/>
        <w:pageBreakBefore w:val="0"/>
        <w:kinsoku/>
        <w:overflowPunct/>
        <w:autoSpaceDE/>
        <w:autoSpaceDN/>
        <w:bidi w:val="0"/>
        <w:adjustRightInd w:val="0"/>
        <w:snapToGrid w:val="0"/>
        <w:spacing w:line="360" w:lineRule="auto"/>
        <w:ind w:left="0" w:leftChars="0" w:firstLine="480" w:firstLineChars="200"/>
        <w:rPr>
          <w:rFonts w:hint="default" w:ascii="仿宋" w:hAnsi="仿宋" w:eastAsia="仿宋" w:cs="仿宋"/>
          <w:b/>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固定单价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35元/小时</w:t>
      </w:r>
    </w:p>
    <w:p w14:paraId="33259A94">
      <w:pPr>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auto"/>
          <w:kern w:val="0"/>
          <w:sz w:val="24"/>
          <w:szCs w:val="24"/>
          <w:highlight w:val="none"/>
        </w:rPr>
      </w:pPr>
      <w:r>
        <w:rPr>
          <w:rFonts w:hint="eastAsia" w:ascii="仿宋" w:hAnsi="仿宋" w:eastAsia="仿宋" w:cs="仿宋"/>
          <w:b/>
          <w:snapToGrid w:val="0"/>
          <w:color w:val="auto"/>
          <w:sz w:val="24"/>
          <w:szCs w:val="24"/>
          <w:highlight w:val="none"/>
          <w:lang w:val="en-US" w:eastAsia="zh-CN"/>
        </w:rPr>
        <w:t>九</w:t>
      </w:r>
      <w:r>
        <w:rPr>
          <w:rFonts w:hint="eastAsia" w:ascii="仿宋" w:hAnsi="仿宋" w:eastAsia="仿宋" w:cs="仿宋"/>
          <w:b/>
          <w:snapToGrid w:val="0"/>
          <w:color w:val="auto"/>
          <w:kern w:val="0"/>
          <w:sz w:val="24"/>
          <w:szCs w:val="24"/>
          <w:highlight w:val="none"/>
        </w:rPr>
        <w:t>、资金支付方式、时间和条件</w:t>
      </w:r>
    </w:p>
    <w:p w14:paraId="2C25F3AD">
      <w:pPr>
        <w:widowControl/>
        <w:wordWrap w:val="0"/>
        <w:topLinePunct/>
        <w:snapToGrid w:val="0"/>
        <w:spacing w:line="360" w:lineRule="auto"/>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1.区域化居家养老服务付款方式：</w:t>
      </w:r>
    </w:p>
    <w:p w14:paraId="49014CCE">
      <w:pPr>
        <w:widowControl/>
        <w:wordWrap w:val="0"/>
        <w:topLinePunct/>
        <w:snapToGrid w:val="0"/>
        <w:spacing w:line="360" w:lineRule="auto"/>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1.1上门服务：</w:t>
      </w:r>
    </w:p>
    <w:p w14:paraId="5C4EA4E5">
      <w:pPr>
        <w:widowControl/>
        <w:wordWrap w:val="0"/>
        <w:topLinePunct/>
        <w:snapToGrid w:val="0"/>
        <w:spacing w:line="360" w:lineRule="auto"/>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甲方和所服务的街社核实每月服务明细后由街社进行支付。</w:t>
      </w:r>
    </w:p>
    <w:p w14:paraId="66AD7D21">
      <w:pPr>
        <w:keepNext w:val="0"/>
        <w:keepLines w:val="0"/>
        <w:pageBreakBefore w:val="0"/>
        <w:widowControl/>
        <w:kinsoku/>
        <w:wordWrap w:val="0"/>
        <w:overflowPunct/>
        <w:topLinePunct/>
        <w:autoSpaceDE/>
        <w:autoSpaceDN/>
        <w:bidi w:val="0"/>
        <w:snapToGrid w:val="0"/>
        <w:spacing w:line="360" w:lineRule="auto"/>
        <w:ind w:firstLine="480" w:firstLineChars="200"/>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pacing w:val="0"/>
          <w:kern w:val="2"/>
          <w:sz w:val="24"/>
          <w:szCs w:val="24"/>
          <w:highlight w:val="none"/>
          <w:lang w:val="en-US" w:eastAsia="zh-CN" w:bidi="ar-SA"/>
        </w:rPr>
        <w:t>本项目每月按照实际服务时间进行结算。</w:t>
      </w:r>
    </w:p>
    <w:p w14:paraId="1EE39871">
      <w:pPr>
        <w:widowControl/>
        <w:wordWrap w:val="0"/>
        <w:topLinePunct/>
        <w:snapToGrid w:val="0"/>
        <w:spacing w:line="360" w:lineRule="auto"/>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由乙方每月按实际发生的各项服务时间，凭乙方开具的正式发票和</w:t>
      </w:r>
      <w:r>
        <w:rPr>
          <w:rFonts w:hint="eastAsia" w:ascii="仿宋" w:hAnsi="仿宋" w:eastAsia="仿宋" w:cs="仿宋"/>
          <w:b w:val="0"/>
          <w:bCs w:val="0"/>
          <w:color w:val="auto"/>
          <w:spacing w:val="0"/>
          <w:kern w:val="2"/>
          <w:sz w:val="24"/>
          <w:szCs w:val="24"/>
          <w:highlight w:val="none"/>
          <w:lang w:val="en-US" w:eastAsia="zh-CN" w:bidi="ar-SA"/>
        </w:rPr>
        <w:t>相关台账</w:t>
      </w:r>
      <w:r>
        <w:rPr>
          <w:rFonts w:hint="eastAsia" w:ascii="仿宋" w:hAnsi="仿宋" w:eastAsia="仿宋" w:cs="仿宋"/>
          <w:b w:val="0"/>
          <w:bCs/>
          <w:color w:val="auto"/>
          <w:spacing w:val="0"/>
          <w:kern w:val="2"/>
          <w:sz w:val="24"/>
          <w:szCs w:val="24"/>
          <w:highlight w:val="none"/>
          <w:lang w:val="en-US" w:eastAsia="zh-CN" w:bidi="ar-SA"/>
        </w:rPr>
        <w:t>，向所服务的街道进行结算。</w:t>
      </w:r>
    </w:p>
    <w:p w14:paraId="7AF78E33">
      <w:pPr>
        <w:widowControl/>
        <w:wordWrap w:val="0"/>
        <w:topLinePunct/>
        <w:snapToGrid w:val="0"/>
        <w:spacing w:line="360" w:lineRule="auto"/>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如省市要求有变化，甲方要求更换资金结算支付方式的，需改用甲方要求的支付方式，具体以双方协商为准。</w:t>
      </w:r>
    </w:p>
    <w:p w14:paraId="11A0E4B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val="0"/>
          <w:bCs/>
          <w:color w:val="auto"/>
          <w:spacing w:val="0"/>
          <w:kern w:val="2"/>
          <w:sz w:val="24"/>
          <w:szCs w:val="24"/>
          <w:highlight w:val="none"/>
          <w:lang w:val="en-US" w:eastAsia="zh-CN" w:bidi="ar-SA"/>
        </w:rPr>
        <w:t>1.2点位运营服务</w:t>
      </w:r>
      <w:r>
        <w:rPr>
          <w:rFonts w:hint="eastAsia" w:ascii="仿宋" w:hAnsi="仿宋" w:eastAsia="仿宋" w:cs="仿宋"/>
          <w:b w:val="0"/>
          <w:bCs w:val="0"/>
          <w:color w:val="auto"/>
          <w:spacing w:val="0"/>
          <w:kern w:val="2"/>
          <w:sz w:val="24"/>
          <w:szCs w:val="24"/>
          <w:highlight w:val="none"/>
          <w:lang w:val="en-US" w:eastAsia="zh-CN" w:bidi="ar-SA"/>
        </w:rPr>
        <w:t>相关补贴：根据实际运营情况，结合考核结果由乙方按要求提供相关票据与街道、社区按年度进行结算。</w:t>
      </w:r>
    </w:p>
    <w:p w14:paraId="52B0E46B">
      <w:pPr>
        <w:pStyle w:val="28"/>
        <w:keepNext w:val="0"/>
        <w:keepLines w:val="0"/>
        <w:pageBreakBefore w:val="0"/>
        <w:kinsoku/>
        <w:wordWrap/>
        <w:overflowPunct/>
        <w:topLinePunct w:val="0"/>
        <w:autoSpaceDE/>
        <w:autoSpaceDN/>
        <w:bidi w:val="0"/>
        <w:adjustRightInd w:val="0"/>
        <w:snapToGrid w:val="0"/>
        <w:spacing w:line="360" w:lineRule="auto"/>
        <w:ind w:left="0" w:leftChars="0" w:firstLine="477" w:firstLineChars="198"/>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kern w:val="0"/>
          <w:sz w:val="24"/>
          <w:szCs w:val="24"/>
          <w:highlight w:val="none"/>
          <w:lang w:val="en-US" w:eastAsia="zh-CN"/>
        </w:rPr>
        <w:t>十</w:t>
      </w:r>
      <w:r>
        <w:rPr>
          <w:rFonts w:hint="eastAsia" w:ascii="仿宋" w:hAnsi="仿宋" w:eastAsia="仿宋" w:cs="仿宋"/>
          <w:b/>
          <w:snapToGrid w:val="0"/>
          <w:color w:val="auto"/>
          <w:sz w:val="24"/>
          <w:szCs w:val="24"/>
          <w:highlight w:val="none"/>
        </w:rPr>
        <w:t>、转包或分包</w:t>
      </w:r>
    </w:p>
    <w:p w14:paraId="58DD363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本项目不得以任何形式进行转包和分包。</w:t>
      </w:r>
    </w:p>
    <w:p w14:paraId="13CA5242">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十一、甲方的权利和义务</w:t>
      </w:r>
    </w:p>
    <w:p w14:paraId="4F57B558">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1.甲方负责第二阶段合同授予提供工作便利；</w:t>
      </w:r>
    </w:p>
    <w:p w14:paraId="779E48F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2.甲方负责第二阶段合同价和需求标准执行情况进行管理； </w:t>
      </w:r>
    </w:p>
    <w:p w14:paraId="1CCE2DE3">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3.甲方负责对第二阶段确定成交</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情况进行</w:t>
      </w:r>
      <w:r>
        <w:rPr>
          <w:rFonts w:hint="eastAsia" w:ascii="仿宋" w:hAnsi="仿宋" w:eastAsia="仿宋" w:cs="仿宋"/>
          <w:color w:val="auto"/>
          <w:sz w:val="24"/>
          <w:szCs w:val="24"/>
          <w:highlight w:val="none"/>
          <w:lang w:val="en-US" w:eastAsia="zh-CN"/>
        </w:rPr>
        <w:t>监督与</w:t>
      </w:r>
      <w:r>
        <w:rPr>
          <w:rFonts w:hint="eastAsia" w:ascii="仿宋" w:hAnsi="仿宋" w:eastAsia="仿宋" w:cs="仿宋"/>
          <w:color w:val="auto"/>
          <w:sz w:val="24"/>
          <w:szCs w:val="24"/>
          <w:highlight w:val="none"/>
        </w:rPr>
        <w:t>管理；</w:t>
      </w:r>
    </w:p>
    <w:p w14:paraId="0DE6F8F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4.甲方</w:t>
      </w:r>
      <w:r>
        <w:rPr>
          <w:rFonts w:hint="eastAsia" w:ascii="仿宋" w:hAnsi="仿宋" w:eastAsia="仿宋" w:cs="仿宋"/>
          <w:color w:val="auto"/>
          <w:sz w:val="24"/>
          <w:szCs w:val="24"/>
          <w:highlight w:val="none"/>
          <w:lang w:val="en-US" w:eastAsia="zh-CN"/>
        </w:rPr>
        <w:t>依托政采云平台建立用户反馈和评价机制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接受甲方对入围乙方履行框架协议和采购合同情况的反馈与评价，并将用户反馈和评价情况向甲方公开，作为第二阶段直接选定成交乙方的参考；  </w:t>
      </w:r>
    </w:p>
    <w:p w14:paraId="1B996F27">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5.公开封闭式框架协议的第二阶段成交结果；</w:t>
      </w:r>
    </w:p>
    <w:p w14:paraId="74268E8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6.办理入围</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清退和补充相关事宜。</w:t>
      </w:r>
    </w:p>
    <w:p w14:paraId="43197875">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十二、乙方的权利和义务</w:t>
      </w:r>
    </w:p>
    <w:p w14:paraId="43376F28">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1.乙方有权监督第二阶段确定成交</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 xml:space="preserve">方式； </w:t>
      </w:r>
    </w:p>
    <w:p w14:paraId="4C6AE0BE">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2.乙方接受甲方的</w:t>
      </w:r>
      <w:r>
        <w:rPr>
          <w:rFonts w:hint="eastAsia" w:ascii="仿宋" w:hAnsi="仿宋" w:eastAsia="仿宋" w:cs="仿宋"/>
          <w:color w:val="auto"/>
          <w:sz w:val="24"/>
          <w:szCs w:val="24"/>
          <w:highlight w:val="none"/>
          <w:lang w:val="en-US" w:eastAsia="zh-CN"/>
        </w:rPr>
        <w:t>管理、监督、考核等</w:t>
      </w:r>
      <w:r>
        <w:rPr>
          <w:rFonts w:hint="eastAsia" w:ascii="仿宋" w:hAnsi="仿宋" w:eastAsia="仿宋" w:cs="仿宋"/>
          <w:color w:val="auto"/>
          <w:sz w:val="24"/>
          <w:szCs w:val="24"/>
          <w:highlight w:val="none"/>
        </w:rPr>
        <w:t>；</w:t>
      </w:r>
    </w:p>
    <w:p w14:paraId="1E6AAD3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3.乙方组建的项目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成员应</w:t>
      </w:r>
      <w:r>
        <w:rPr>
          <w:rFonts w:hint="eastAsia" w:ascii="仿宋" w:hAnsi="仿宋" w:eastAsia="仿宋" w:cs="仿宋"/>
          <w:color w:val="auto"/>
          <w:sz w:val="24"/>
          <w:szCs w:val="24"/>
          <w:highlight w:val="none"/>
          <w:lang w:val="en-US" w:eastAsia="zh-CN"/>
        </w:rPr>
        <w:t>确保到位到岗</w:t>
      </w:r>
      <w:r>
        <w:rPr>
          <w:rFonts w:hint="eastAsia" w:ascii="仿宋" w:hAnsi="仿宋" w:eastAsia="仿宋" w:cs="仿宋"/>
          <w:color w:val="auto"/>
          <w:sz w:val="24"/>
          <w:szCs w:val="24"/>
          <w:highlight w:val="none"/>
        </w:rPr>
        <w:t>；</w:t>
      </w:r>
    </w:p>
    <w:p w14:paraId="4BE08A3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.乙方不得将工作转包给其他单位或个人；</w:t>
      </w:r>
    </w:p>
    <w:p w14:paraId="59064BD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.乙方不得隐瞒、虚报单位资质、资格、人员及违法行为被禁止或限制参加政府采购活动等情况。</w:t>
      </w:r>
    </w:p>
    <w:p w14:paraId="6940EE47">
      <w:pPr>
        <w:pStyle w:val="22"/>
        <w:pageBreakBefore w:val="0"/>
        <w:kinsoku/>
        <w:wordWrap/>
        <w:overflowPunct/>
        <w:topLinePunct w:val="0"/>
        <w:autoSpaceDE/>
        <w:autoSpaceDN/>
        <w:bidi w:val="0"/>
        <w:spacing w:line="500" w:lineRule="exact"/>
        <w:ind w:firstLine="48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snapToGrid w:val="0"/>
          <w:color w:val="auto"/>
          <w:kern w:val="0"/>
          <w:sz w:val="24"/>
          <w:highlight w:val="none"/>
          <w:lang w:val="en-US" w:eastAsia="zh-CN"/>
        </w:rPr>
        <w:t>十三、考</w:t>
      </w:r>
      <w:r>
        <w:rPr>
          <w:rFonts w:hint="eastAsia" w:ascii="仿宋" w:hAnsi="仿宋" w:eastAsia="仿宋" w:cs="仿宋"/>
          <w:b/>
          <w:bCs/>
          <w:color w:val="auto"/>
          <w:spacing w:val="0"/>
          <w:kern w:val="2"/>
          <w:sz w:val="24"/>
          <w:szCs w:val="24"/>
          <w:highlight w:val="none"/>
          <w:lang w:val="en-US" w:eastAsia="zh-CN" w:bidi="ar-SA"/>
        </w:rPr>
        <w:t>核机制</w:t>
      </w:r>
    </w:p>
    <w:p w14:paraId="7BC10E62">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本项目服务期两年，具体起止时间在合同中约定。合同一年一签，服务期内上门服务项目实行月度考核。服务期内乙方月度考核分出现两次85分（不含）以下的或满足“清退机制”条件之一的，甲方有权随时与乙方暂停服务终止合同，因合同终止对甲方造成的损失由乙方自行承担。</w:t>
      </w:r>
    </w:p>
    <w:p w14:paraId="2A72D95E">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（1）考核细则</w:t>
      </w:r>
    </w:p>
    <w:p w14:paraId="00F85975">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服务期内，点位运营为年度考核，根据考核结果发放运行补助。上门服务项目对乙方进行月度考核（考核细则见下表）。服务期内乙方月度考核分出现90分（不含）以下，月度考核所扣每1分按照每分罚款1000元计算，由甲方从待付款项中一次性扣除，如待付款项不足支付考核罚款，乙方应当在知晓具体金额后10日内补足罚款。</w:t>
      </w:r>
    </w:p>
    <w:tbl>
      <w:tblPr>
        <w:tblStyle w:val="49"/>
        <w:tblW w:w="9051" w:type="dxa"/>
        <w:jc w:val="center"/>
        <w:tblLayout w:type="fixed"/>
        <w:tblCellMar>
          <w:top w:w="0" w:type="dxa"/>
          <w:left w:w="108" w:type="dxa"/>
          <w:bottom w:w="0" w:type="dxa"/>
          <w:right w:w="108" w:type="dxa"/>
        </w:tblCellMar>
      </w:tblPr>
      <w:tblGrid>
        <w:gridCol w:w="689"/>
        <w:gridCol w:w="487"/>
        <w:gridCol w:w="4692"/>
        <w:gridCol w:w="1621"/>
        <w:gridCol w:w="675"/>
        <w:gridCol w:w="887"/>
      </w:tblGrid>
      <w:tr w14:paraId="2311C67D">
        <w:tblPrEx>
          <w:tblCellMar>
            <w:top w:w="0" w:type="dxa"/>
            <w:left w:w="108" w:type="dxa"/>
            <w:bottom w:w="0" w:type="dxa"/>
            <w:right w:w="108" w:type="dxa"/>
          </w:tblCellMar>
        </w:tblPrEx>
        <w:trPr>
          <w:trHeight w:val="186" w:hRule="atLeast"/>
          <w:jc w:val="center"/>
        </w:trPr>
        <w:tc>
          <w:tcPr>
            <w:tcW w:w="9051" w:type="dxa"/>
            <w:gridSpan w:val="6"/>
            <w:tcBorders>
              <w:top w:val="single" w:color="auto" w:sz="4" w:space="0"/>
              <w:left w:val="single" w:color="auto" w:sz="4" w:space="0"/>
              <w:bottom w:val="single" w:color="auto" w:sz="4" w:space="0"/>
              <w:right w:val="single" w:color="auto" w:sz="4" w:space="0"/>
            </w:tcBorders>
            <w:noWrap w:val="0"/>
            <w:vAlign w:val="center"/>
          </w:tcPr>
          <w:p w14:paraId="4B08317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考核细则</w:t>
            </w:r>
          </w:p>
        </w:tc>
      </w:tr>
      <w:tr w14:paraId="31E24D73">
        <w:tblPrEx>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2DB1C93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评分项目</w:t>
            </w:r>
          </w:p>
        </w:tc>
        <w:tc>
          <w:tcPr>
            <w:tcW w:w="5179" w:type="dxa"/>
            <w:gridSpan w:val="2"/>
            <w:tcBorders>
              <w:top w:val="single" w:color="auto" w:sz="4" w:space="0"/>
              <w:left w:val="single" w:color="auto" w:sz="4" w:space="0"/>
              <w:bottom w:val="single" w:color="auto" w:sz="4" w:space="0"/>
              <w:right w:val="single" w:color="auto" w:sz="4" w:space="0"/>
            </w:tcBorders>
            <w:noWrap w:val="0"/>
            <w:vAlign w:val="center"/>
          </w:tcPr>
          <w:p w14:paraId="597764E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auto"/>
                <w:kern w:val="2"/>
                <w:sz w:val="20"/>
                <w:szCs w:val="20"/>
                <w:highlight w:val="none"/>
                <w:u w:val="none"/>
                <w:shd w:val="clear" w:color="auto" w:fill="auto"/>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具体内容</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6CA77B2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0"/>
                <w:szCs w:val="20"/>
                <w:highlight w:val="none"/>
              </w:rPr>
              <w:t>分值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92B33D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0"/>
                <w:szCs w:val="20"/>
                <w:highlight w:val="none"/>
              </w:rPr>
              <w:t>扣分</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256DF88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0"/>
                <w:szCs w:val="20"/>
                <w:highlight w:val="none"/>
              </w:rPr>
              <w:t>扣分点</w:t>
            </w:r>
          </w:p>
        </w:tc>
      </w:tr>
      <w:tr w14:paraId="0D07384F">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0AC3BAB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服务内容</w:t>
            </w:r>
          </w:p>
          <w:p w14:paraId="5399FAF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DB2F7A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058FB52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bidi="ar"/>
              </w:rPr>
            </w:pPr>
            <w:r>
              <w:rPr>
                <w:rFonts w:hint="eastAsia" w:ascii="仿宋" w:hAnsi="仿宋" w:eastAsia="仿宋" w:cs="仿宋"/>
                <w:i w:val="0"/>
                <w:iCs w:val="0"/>
                <w:color w:val="auto"/>
                <w:kern w:val="0"/>
                <w:sz w:val="20"/>
                <w:szCs w:val="20"/>
                <w:highlight w:val="none"/>
                <w:u w:val="none"/>
                <w:lang w:val="en-US" w:eastAsia="zh-CN" w:bidi="ar"/>
              </w:rPr>
              <w:t>首次上门未按要求与接受服务的老年人或其代理人签订具有法律效力的服务协议并发放服务卡（内容包括但不限于老人名称、补贴金额、服务内容、点单方式等），或未补充每月新增。（需提供协议复印件）</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3755C2C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314E26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5F900E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DBA2513">
        <w:tblPrEx>
          <w:tblCellMar>
            <w:top w:w="0" w:type="dxa"/>
            <w:left w:w="108" w:type="dxa"/>
            <w:bottom w:w="0" w:type="dxa"/>
            <w:right w:w="108" w:type="dxa"/>
          </w:tblCellMar>
        </w:tblPrEx>
        <w:trPr>
          <w:trHeight w:val="69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D2E55C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E495EF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1B0A1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对享受政府购买服务的居家养老服务对象提供服务时服务人员未携带能正常使用的POS机上门为服务对象服务或未全程电子化管理。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CB229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8F0FB3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74F5B3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DA9C8C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FFD7F3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75BDC3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A305E3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乙方未按照招投标文件及服务协议进行服务。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71FF1E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6DF0A7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60A82B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25F7ECE">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6233D1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F847D1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40698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shd w:val="clear"/>
                <w:lang w:val="en-US" w:eastAsia="zh-CN" w:bidi="ar"/>
              </w:rPr>
              <w:t>上门服务前未与老人提前预约时间。服务结束后未及时结算。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293C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40EC03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AFDBAAF">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BA6A34E">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1DBFDC4">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FDB287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29508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服务开始与结束未向老人讲明和解释服务全过程，未足时按采购人服务要求进行服务，服务结束后未与老人沟通服务满意度或老人的服务满意度少于100分。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45639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565FA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850F5CC">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CFCEF73">
        <w:tblPrEx>
          <w:tblCellMar>
            <w:top w:w="0" w:type="dxa"/>
            <w:left w:w="108" w:type="dxa"/>
            <w:bottom w:w="0" w:type="dxa"/>
            <w:right w:w="108" w:type="dxa"/>
          </w:tblCellMar>
        </w:tblPrEx>
        <w:trPr>
          <w:trHeight w:val="300" w:hRule="atLeast"/>
          <w:jc w:val="center"/>
        </w:trPr>
        <w:tc>
          <w:tcPr>
            <w:tcW w:w="689" w:type="dxa"/>
            <w:vMerge w:val="restart"/>
            <w:tcBorders>
              <w:top w:val="single" w:color="auto" w:sz="4" w:space="0"/>
              <w:left w:val="single" w:color="auto" w:sz="4" w:space="0"/>
              <w:right w:val="single" w:color="auto" w:sz="4" w:space="0"/>
            </w:tcBorders>
            <w:noWrap w:val="0"/>
            <w:vAlign w:val="center"/>
          </w:tcPr>
          <w:p w14:paraId="4C2702C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w:t>
            </w:r>
          </w:p>
          <w:p w14:paraId="096F49B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57CE79B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5E395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服务人员不具有合法的劳动从业资格或服务期内年龄低于60周岁。（需提供服务人员身份证、意外险、健康证、劳动合同/劳务协议、上岗证或者职业技能培训证等文件的复印件）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7B76D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E8A1AA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E97F8E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A037AB7">
        <w:tblPrEx>
          <w:tblCellMar>
            <w:top w:w="0" w:type="dxa"/>
            <w:left w:w="108" w:type="dxa"/>
            <w:bottom w:w="0" w:type="dxa"/>
            <w:right w:w="108" w:type="dxa"/>
          </w:tblCellMar>
        </w:tblPrEx>
        <w:trPr>
          <w:trHeight w:val="300" w:hRule="atLeast"/>
          <w:jc w:val="center"/>
        </w:trPr>
        <w:tc>
          <w:tcPr>
            <w:tcW w:w="689" w:type="dxa"/>
            <w:vMerge w:val="continue"/>
            <w:tcBorders>
              <w:left w:val="single" w:color="auto" w:sz="4" w:space="0"/>
              <w:right w:val="single" w:color="auto" w:sz="4" w:space="0"/>
            </w:tcBorders>
            <w:noWrap w:val="0"/>
            <w:vAlign w:val="center"/>
          </w:tcPr>
          <w:p w14:paraId="108814C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36464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7D57A3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乙方每季度未组织至少一次的服务人员培训，包括技能、礼仪、奖惩等内容。（提供相关培训内容、签到表、照片、活动记录表等台账资料）</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F0D33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7FA9A5C">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27B7E8F">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7A65B1C">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56B6F25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2FE058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76CEB7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服务人员未统一着装、佩戴工牌。</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B15EA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983310F">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90B359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15ECE62">
        <w:tblPrEx>
          <w:tblCellMar>
            <w:top w:w="0" w:type="dxa"/>
            <w:left w:w="108" w:type="dxa"/>
            <w:bottom w:w="0" w:type="dxa"/>
            <w:right w:w="108" w:type="dxa"/>
          </w:tblCellMar>
        </w:tblPrEx>
        <w:trPr>
          <w:trHeight w:val="90" w:hRule="atLeast"/>
          <w:jc w:val="center"/>
        </w:trPr>
        <w:tc>
          <w:tcPr>
            <w:tcW w:w="689" w:type="dxa"/>
            <w:vMerge w:val="continue"/>
            <w:tcBorders>
              <w:left w:val="single" w:color="auto" w:sz="4" w:space="0"/>
              <w:right w:val="single" w:color="auto" w:sz="4" w:space="0"/>
            </w:tcBorders>
            <w:noWrap w:val="0"/>
            <w:vAlign w:val="center"/>
          </w:tcPr>
          <w:p w14:paraId="059361A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4BE3D9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FE4C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服务中未文明操作、礼貌待人、主动服务、尊老敬老。</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41611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F9E4FC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2B8F5BE">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48DCF4A">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4B551B5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38051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1DB8B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服务人员平台信息</w:t>
            </w:r>
            <w:r>
              <w:rPr>
                <w:rFonts w:hint="eastAsia" w:ascii="仿宋" w:hAnsi="仿宋" w:eastAsia="仿宋" w:cs="仿宋"/>
                <w:i w:val="0"/>
                <w:iCs w:val="0"/>
                <w:color w:val="auto"/>
                <w:kern w:val="0"/>
                <w:sz w:val="20"/>
                <w:szCs w:val="20"/>
                <w:highlight w:val="none"/>
                <w:u w:val="none"/>
                <w:shd w:val="clear"/>
                <w:lang w:val="en-US" w:eastAsia="zh-CN" w:bidi="ar"/>
              </w:rPr>
              <w:t>未及时更新或不符</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2F069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8A59A1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2CE96A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83573D2">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5BE6FCF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286556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A7FF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shd w:val="clear"/>
                <w:lang w:val="en-US" w:eastAsia="zh-CN" w:bidi="ar"/>
              </w:rPr>
              <w:t>服务响应不及时</w:t>
            </w:r>
            <w:r>
              <w:rPr>
                <w:rFonts w:hint="eastAsia" w:ascii="仿宋" w:hAnsi="仿宋" w:eastAsia="仿宋" w:cs="仿宋"/>
                <w:i w:val="0"/>
                <w:iCs w:val="0"/>
                <w:color w:val="auto"/>
                <w:kern w:val="0"/>
                <w:sz w:val="20"/>
                <w:szCs w:val="20"/>
                <w:highlight w:val="none"/>
                <w:u w:val="none"/>
                <w:lang w:val="en-US" w:eastAsia="zh-CN" w:bidi="ar"/>
              </w:rPr>
              <w:t>：老人主动预约服务，未按承诺的时间联系老人并确认好具体上门服务的时间的。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34FA38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C6C18A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7DA205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6A58F61">
        <w:tblPrEx>
          <w:tblCellMar>
            <w:top w:w="0" w:type="dxa"/>
            <w:left w:w="108" w:type="dxa"/>
            <w:bottom w:w="0" w:type="dxa"/>
            <w:right w:w="108" w:type="dxa"/>
          </w:tblCellMar>
        </w:tblPrEx>
        <w:trPr>
          <w:trHeight w:val="384" w:hRule="atLeast"/>
          <w:jc w:val="center"/>
        </w:trPr>
        <w:tc>
          <w:tcPr>
            <w:tcW w:w="689" w:type="dxa"/>
            <w:vMerge w:val="continue"/>
            <w:tcBorders>
              <w:left w:val="single" w:color="auto" w:sz="4" w:space="0"/>
              <w:right w:val="single" w:color="auto" w:sz="4" w:space="0"/>
            </w:tcBorders>
            <w:noWrap w:val="0"/>
            <w:vAlign w:val="center"/>
          </w:tcPr>
          <w:p w14:paraId="707C1C1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9009FB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F5588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服务人员或项目负责人平台信息与服务人员或项目负责人实际信息不一致。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DB2AC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D540E21">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A25723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D261B18">
        <w:tblPrEx>
          <w:tblCellMar>
            <w:top w:w="0" w:type="dxa"/>
            <w:left w:w="108" w:type="dxa"/>
            <w:bottom w:w="0" w:type="dxa"/>
            <w:right w:w="108" w:type="dxa"/>
          </w:tblCellMar>
        </w:tblPrEx>
        <w:trPr>
          <w:trHeight w:val="440" w:hRule="atLeast"/>
          <w:jc w:val="center"/>
        </w:trPr>
        <w:tc>
          <w:tcPr>
            <w:tcW w:w="689" w:type="dxa"/>
            <w:vMerge w:val="continue"/>
            <w:tcBorders>
              <w:left w:val="single" w:color="auto" w:sz="4" w:space="0"/>
              <w:right w:val="single" w:color="auto" w:sz="4" w:space="0"/>
            </w:tcBorders>
            <w:noWrap w:val="0"/>
            <w:vAlign w:val="center"/>
          </w:tcPr>
          <w:p w14:paraId="2385DED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87FEFD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2C93EE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乙方更换项目负责人或项目负责人与实际不一致的。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3516E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FA15AA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6904B5D">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1C206A2">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58D7E66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3FB4C0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bidi="ar"/>
              </w:rPr>
            </w:pPr>
            <w:r>
              <w:rPr>
                <w:rFonts w:hint="eastAsia" w:ascii="仿宋" w:hAnsi="仿宋" w:eastAsia="仿宋" w:cs="仿宋"/>
                <w:i w:val="0"/>
                <w:iCs w:val="0"/>
                <w:color w:val="auto"/>
                <w:kern w:val="0"/>
                <w:sz w:val="20"/>
                <w:szCs w:val="20"/>
                <w:highlight w:val="none"/>
                <w:u w:val="none"/>
                <w:lang w:val="en-US" w:eastAsia="zh-CN" w:bidi="ar"/>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8DEBE6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乙方更换服务人员或服务人员与实际不一致的。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407B4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741C68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696A2B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02A0834">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28C1822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5D8926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F3A22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服务人员未按照标段人数配备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7DC8E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87BD03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CD5176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493B824">
        <w:tblPrEx>
          <w:tblCellMar>
            <w:top w:w="0" w:type="dxa"/>
            <w:left w:w="108" w:type="dxa"/>
            <w:bottom w:w="0" w:type="dxa"/>
            <w:right w:w="108" w:type="dxa"/>
          </w:tblCellMar>
        </w:tblPrEx>
        <w:trPr>
          <w:trHeight w:val="47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382E1B0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服务质量考核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318445E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D2B72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bidi="ar"/>
              </w:rPr>
            </w:pPr>
            <w:r>
              <w:rPr>
                <w:rFonts w:hint="eastAsia" w:ascii="仿宋" w:hAnsi="仿宋" w:eastAsia="仿宋" w:cs="仿宋"/>
                <w:i w:val="0"/>
                <w:iCs w:val="0"/>
                <w:color w:val="auto"/>
                <w:kern w:val="0"/>
                <w:sz w:val="20"/>
                <w:szCs w:val="20"/>
                <w:highlight w:val="none"/>
                <w:u w:val="none"/>
                <w:lang w:val="en-US" w:eastAsia="zh-CN" w:bidi="ar"/>
              </w:rPr>
              <w:t>上报服务工单的服务时间、服务内容与实际服务时间、服务内容不一致。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5A685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A4D6C6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0B5BF5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F4BDA5F">
        <w:tblPrEx>
          <w:tblCellMar>
            <w:top w:w="0" w:type="dxa"/>
            <w:left w:w="108" w:type="dxa"/>
            <w:bottom w:w="0" w:type="dxa"/>
            <w:right w:w="108" w:type="dxa"/>
          </w:tblCellMar>
        </w:tblPrEx>
        <w:trPr>
          <w:trHeight w:val="4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EB4C23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320192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55351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服务人员入户后未经老人允许就开始服务，或上一单服务未结束就进入下一单服务的。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0A908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FEEEF7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015432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00DE6FD">
        <w:tblPrEx>
          <w:tblCellMar>
            <w:top w:w="0" w:type="dxa"/>
            <w:left w:w="108" w:type="dxa"/>
            <w:bottom w:w="0" w:type="dxa"/>
            <w:right w:w="108" w:type="dxa"/>
          </w:tblCellMar>
        </w:tblPrEx>
        <w:trPr>
          <w:trHeight w:val="6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852366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C3C00A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0D588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对两单间隔时间异常（如跨社区、服务订单无间隔时间或间隔过短情况）或项目重叠的无法提供相应证明的。</w:t>
            </w:r>
            <w:r>
              <w:rPr>
                <w:rFonts w:hint="eastAsia" w:ascii="仿宋" w:hAnsi="仿宋" w:eastAsia="仿宋" w:cs="仿宋"/>
                <w:i w:val="0"/>
                <w:iCs w:val="0"/>
                <w:color w:val="auto"/>
                <w:kern w:val="0"/>
                <w:sz w:val="20"/>
                <w:szCs w:val="20"/>
                <w:highlight w:val="none"/>
                <w:u w:val="none"/>
                <w:shd w:val="clear"/>
                <w:lang w:val="en-US" w:eastAsia="zh-CN" w:bidi="ar"/>
              </w:rPr>
              <w:t>（两单间隔时间不少于20分钟；两单支付时间不少于60分钟）</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03BD2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0.3分/次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59FA88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230898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4E78770">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46BEA4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8A3161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C1370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网络或电话方式收到老人投诉或负面舆情，由</w:t>
            </w:r>
            <w:r>
              <w:rPr>
                <w:rFonts w:hint="eastAsia" w:ascii="仿宋" w:hAnsi="仿宋" w:eastAsia="仿宋" w:cs="仿宋"/>
                <w:color w:val="auto"/>
                <w:spacing w:val="0"/>
                <w:kern w:val="0"/>
                <w:sz w:val="20"/>
                <w:szCs w:val="20"/>
                <w:highlight w:val="none"/>
                <w:u w:val="none"/>
                <w:lang w:val="en-US" w:eastAsia="zh-CN" w:bidi="ar"/>
              </w:rPr>
              <w:t>第三方监管单位</w:t>
            </w:r>
            <w:r>
              <w:rPr>
                <w:rFonts w:hint="eastAsia" w:ascii="仿宋" w:hAnsi="仿宋" w:eastAsia="仿宋" w:cs="仿宋"/>
                <w:i w:val="0"/>
                <w:iCs w:val="0"/>
                <w:color w:val="auto"/>
                <w:kern w:val="0"/>
                <w:sz w:val="20"/>
                <w:szCs w:val="20"/>
                <w:highlight w:val="none"/>
                <w:u w:val="none"/>
                <w:lang w:val="en-US" w:eastAsia="zh-CN" w:bidi="ar"/>
              </w:rPr>
              <w:t>入户进行核实，核实为有效投诉的。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37A73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CBADB0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86074C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595C4F6">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41658E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0A7C86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4C501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发生重大责任事故和违法违纪行为等事件的。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8999BE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9CCFE9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032D18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CF29E1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B9BF3F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63FE9D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553FD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shd w:val="clear"/>
                <w:lang w:val="en-US" w:eastAsia="zh-CN" w:bidi="ar"/>
              </w:rPr>
              <w:t>未及时结算或隔日结算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C70B6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0D50CB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EEAC4D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93926A6">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C1EC02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0EA1680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7</w:t>
            </w:r>
          </w:p>
        </w:tc>
        <w:tc>
          <w:tcPr>
            <w:tcW w:w="46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5D59C7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服务满意度（由第三方测评单位抽取名单，向老人、家属、社区、街道进行满意度回访。并将相关情况及时反馈街道、社区，由街道、社区及时作出后续处理）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12690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&lt;80%  3分/次</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6F932A4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vMerge w:val="restart"/>
            <w:tcBorders>
              <w:top w:val="single" w:color="auto" w:sz="4" w:space="0"/>
              <w:left w:val="single" w:color="auto" w:sz="4" w:space="0"/>
              <w:bottom w:val="single" w:color="auto" w:sz="4" w:space="0"/>
              <w:right w:val="single" w:color="auto" w:sz="4" w:space="0"/>
            </w:tcBorders>
            <w:noWrap w:val="0"/>
            <w:vAlign w:val="center"/>
          </w:tcPr>
          <w:p w14:paraId="7EADF03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B2F37AA">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75906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E3C0BA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3DA7DB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3597A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80-89% 2分/次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2842548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45DD6E3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F5EFAEC">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4AFF71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A3209E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8A5A05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B4C008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90-95% 1分/次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790DF59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788F753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9DD249C">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98CA3C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3C80D6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D2BDD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高龄普惠人群占每月服务老人比例不达标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0F8A4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962F73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69B451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43E4FD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0B84F1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EBA09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E6606F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1小时单量占每月服务单量比例不达标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58921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783667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26A91C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B034482">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214BB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260AD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5332D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未按标准服务，协助排查过程中出现的自己拿市民卡、带走老人市民卡、服务不足时、中途离开等行为</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91B20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64A36D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D9CB95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4AF6CC1">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77E0C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D8FDD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5EE900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非不可抗力原因未开展服务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4747E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AB7B18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3763BE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F06EE20">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2D97A3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98F31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A5463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服务人员每月服务时长超过200小时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64FA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D53707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E01F5E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87B49B6">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E2E331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95BA1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A963A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市局回访服务人员未及时接听电话</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6ECB3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0.1分/个</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A876FF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91DFEC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0968DDC">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3F2A79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93853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15BDD0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市局回访服务人员未开展服务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A3D05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B471D3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D7517C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1A4C382">
        <w:tblPrEx>
          <w:tblCellMar>
            <w:top w:w="0" w:type="dxa"/>
            <w:left w:w="108" w:type="dxa"/>
            <w:bottom w:w="0" w:type="dxa"/>
            <w:right w:w="108" w:type="dxa"/>
          </w:tblCellMar>
        </w:tblPrEx>
        <w:trPr>
          <w:trHeight w:val="34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02CFD4E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服务完成情况</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E3E0CE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94D511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未在每月25日前完成老人信息变动情况（包括老人及其监护人地址电话更新、去世老人、跨区变动、拒单老人）的上报。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DC5B40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718842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DCC719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869EEFD">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A695B18">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2A747E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5E6A1E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未在每月提交1篇信息稿或专报。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FF567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E4744C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675142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C708D1D">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874F5FF">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D2B707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1119C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每年信息稿或专报被区级及以上媒体（含新媒体、纸媒等）录用量少于1篇的。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275A73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E7D7CB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D29AAC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DC62CBB">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590A194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加分项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2BCB60F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BF615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服务特色与创新（须经民政局认定且符合要求的特色服务）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77FE7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24561D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EA09BD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332FCCD">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41B10D6">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8D7B2B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D81299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服务出色，获得老人或家属称赞的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B2599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7AD188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29A581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0E6F52F">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17A5A69">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8C410D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1ACD517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为老服务公益性活动</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5480CEC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C56E84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0EABBBF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D5E0E2D">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90783A2">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4A9D0A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1FDD82A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遇到突发情况，紧急应对，化险为夷的</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6827DE3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A2A88F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F022DD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0792E78">
        <w:tblPrEx>
          <w:tblCellMar>
            <w:top w:w="0" w:type="dxa"/>
            <w:left w:w="108" w:type="dxa"/>
            <w:bottom w:w="0" w:type="dxa"/>
            <w:right w:w="108" w:type="dxa"/>
          </w:tblCellMar>
        </w:tblPrEx>
        <w:trPr>
          <w:trHeight w:val="190"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2CF5156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sz w:val="20"/>
                <w:szCs w:val="20"/>
                <w:highlight w:val="none"/>
              </w:rPr>
              <w:t>乙方</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61641F5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F15A481">
        <w:tblPrEx>
          <w:tblCellMar>
            <w:top w:w="0" w:type="dxa"/>
            <w:left w:w="108" w:type="dxa"/>
            <w:bottom w:w="0" w:type="dxa"/>
            <w:right w:w="108" w:type="dxa"/>
          </w:tblCellMar>
        </w:tblPrEx>
        <w:trPr>
          <w:trHeight w:val="288"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24094B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0"/>
                <w:szCs w:val="20"/>
                <w:highlight w:val="none"/>
              </w:rPr>
              <w:t>小计扣分</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58392DF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1"/>
                <w:szCs w:val="21"/>
                <w:highlight w:val="none"/>
                <w:u w:val="none"/>
                <w:lang w:val="en-US" w:eastAsia="zh-CN" w:bidi="ar"/>
              </w:rPr>
            </w:pPr>
          </w:p>
        </w:tc>
      </w:tr>
    </w:tbl>
    <w:p w14:paraId="47CD0D76">
      <w:pPr>
        <w:pStyle w:val="21"/>
        <w:keepNext w:val="0"/>
        <w:keepLines w:val="0"/>
        <w:pageBreakBefore w:val="0"/>
        <w:widowControl w:val="0"/>
        <w:kinsoku/>
        <w:wordWrap/>
        <w:overflowPunct/>
        <w:topLinePunct w:val="0"/>
        <w:autoSpaceDE/>
        <w:autoSpaceDN/>
        <w:bidi w:val="0"/>
        <w:adjustRightInd w:val="0"/>
        <w:snapToGrid/>
        <w:spacing w:line="520" w:lineRule="exact"/>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（2）清退机制（如有以下行为之一的甲方有权随时与供应商暂停服务终止合同，并视情况列入黑名单，2年内拒绝参加滨江区居家养老综合服务项目）</w:t>
      </w:r>
    </w:p>
    <w:tbl>
      <w:tblPr>
        <w:tblStyle w:val="49"/>
        <w:tblW w:w="9051" w:type="dxa"/>
        <w:jc w:val="center"/>
        <w:tblLayout w:type="fixed"/>
        <w:tblCellMar>
          <w:top w:w="0" w:type="dxa"/>
          <w:left w:w="108" w:type="dxa"/>
          <w:bottom w:w="0" w:type="dxa"/>
          <w:right w:w="108" w:type="dxa"/>
        </w:tblCellMar>
      </w:tblPr>
      <w:tblGrid>
        <w:gridCol w:w="1176"/>
        <w:gridCol w:w="7875"/>
      </w:tblGrid>
      <w:tr w14:paraId="5480C1CE">
        <w:tblPrEx>
          <w:tblCellMar>
            <w:top w:w="0" w:type="dxa"/>
            <w:left w:w="108" w:type="dxa"/>
            <w:bottom w:w="0" w:type="dxa"/>
            <w:right w:w="108" w:type="dxa"/>
          </w:tblCellMar>
        </w:tblPrEx>
        <w:trPr>
          <w:trHeight w:val="186" w:hRule="atLeast"/>
          <w:jc w:val="center"/>
        </w:trPr>
        <w:tc>
          <w:tcPr>
            <w:tcW w:w="9051" w:type="dxa"/>
            <w:gridSpan w:val="2"/>
            <w:tcBorders>
              <w:top w:val="single" w:color="000000" w:sz="4" w:space="0"/>
              <w:left w:val="single" w:color="000000" w:sz="4" w:space="0"/>
              <w:bottom w:val="single" w:color="000000" w:sz="4" w:space="0"/>
              <w:right w:val="single" w:color="000000" w:sz="4" w:space="0"/>
            </w:tcBorders>
            <w:noWrap w:val="0"/>
            <w:vAlign w:val="center"/>
          </w:tcPr>
          <w:p w14:paraId="1E7B3B7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清退机制细则</w:t>
            </w:r>
          </w:p>
        </w:tc>
      </w:tr>
      <w:tr w14:paraId="655E533D">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D8B8D4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6C89C1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具体内容</w:t>
            </w:r>
          </w:p>
        </w:tc>
      </w:tr>
      <w:tr w14:paraId="6BBEBDB6">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102D27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7451FF1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sz w:val="20"/>
                <w:szCs w:val="20"/>
                <w:highlight w:val="none"/>
                <w:u w:val="none"/>
                <w:lang w:val="en-US" w:eastAsia="zh-CN"/>
              </w:rPr>
              <w:t>乙方更换后的项目负责人或服务人员，不满足采购需求的年龄、证件等要求的。</w:t>
            </w:r>
          </w:p>
        </w:tc>
      </w:tr>
      <w:tr w14:paraId="0EAC8FED">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FEA245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645E09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逾期未交月度考核罚款的。</w:t>
            </w:r>
          </w:p>
        </w:tc>
      </w:tr>
      <w:tr w14:paraId="441138F8">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6C02B1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084C077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服务期内月度考核分出现两次85分（不含）以下的。</w:t>
            </w:r>
          </w:p>
        </w:tc>
      </w:tr>
      <w:tr w14:paraId="6AB28661">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7DB444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DAB592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非法骗取套取政府财政资金，发现虚假交易、套现补贴且金额超5000元及以上的（退一罚十）。</w:t>
            </w:r>
          </w:p>
        </w:tc>
      </w:tr>
      <w:tr w14:paraId="54708ABA">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157EFB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5</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1F2FF6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违法违规开展服务协议外的其他活动。</w:t>
            </w:r>
          </w:p>
        </w:tc>
      </w:tr>
      <w:tr w14:paraId="3A66C52E">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B372C4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6</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B05F7A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泄露老人个人隐私信息。</w:t>
            </w:r>
          </w:p>
        </w:tc>
      </w:tr>
      <w:tr w14:paraId="4BB90C1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DE7189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7</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4B05BF7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发生殴打、体罚等欺老虐老行为。</w:t>
            </w:r>
          </w:p>
        </w:tc>
      </w:tr>
      <w:tr w14:paraId="312126A2">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392BFC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8</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74168D9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未按操作规程或标准提供服务，引发较大安全责任事故。</w:t>
            </w:r>
          </w:p>
        </w:tc>
      </w:tr>
      <w:tr w14:paraId="1C71AA1E">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5E82BE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9</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E510B7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故意隐瞒不及时报安全责任事故，检查发现安全隐患拒不整改。</w:t>
            </w:r>
          </w:p>
        </w:tc>
      </w:tr>
      <w:tr w14:paraId="5696D998">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88221F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FACFD0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经查实，被老年人或及家属等年度投诉不能超过5次（不含5次）。</w:t>
            </w:r>
          </w:p>
        </w:tc>
      </w:tr>
      <w:tr w14:paraId="71C8343D">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099D79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4FBA3A9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因合同纠纷造成群体性事件或不良社会舆论，或其他不良行为。</w:t>
            </w:r>
          </w:p>
        </w:tc>
      </w:tr>
      <w:tr w14:paraId="2E8B5B56">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2D4B15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CB1BA6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经第三方测评，年度老人满意度低于95%并核查属实的。</w:t>
            </w:r>
          </w:p>
        </w:tc>
      </w:tr>
      <w:tr w14:paraId="76E864B5">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E8FCA5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76206B4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出现违法违规经营行为且超两次或拒不改正的，国家、省、市规定应当列入的其他严重失信情形.</w:t>
            </w:r>
          </w:p>
        </w:tc>
      </w:tr>
    </w:tbl>
    <w:p w14:paraId="158158DD">
      <w:pPr>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snapToGrid w:val="0"/>
          <w:color w:val="auto"/>
          <w:kern w:val="0"/>
          <w:sz w:val="24"/>
          <w:highlight w:val="none"/>
          <w:lang w:eastAsia="zh-CN"/>
        </w:rPr>
      </w:pPr>
      <w:r>
        <w:rPr>
          <w:rFonts w:hint="eastAsia" w:ascii="仿宋" w:hAnsi="仿宋" w:eastAsia="仿宋" w:cs="仿宋"/>
          <w:b/>
          <w:bCs/>
          <w:snapToGrid w:val="0"/>
          <w:color w:val="auto"/>
          <w:kern w:val="0"/>
          <w:sz w:val="24"/>
          <w:highlight w:val="none"/>
          <w:lang w:val="en-US" w:eastAsia="zh-CN"/>
        </w:rPr>
        <w:t>十四、</w:t>
      </w:r>
      <w:r>
        <w:rPr>
          <w:rFonts w:hint="eastAsia" w:ascii="仿宋" w:hAnsi="仿宋" w:eastAsia="仿宋" w:cs="仿宋"/>
          <w:b/>
          <w:bCs/>
          <w:snapToGrid w:val="0"/>
          <w:color w:val="auto"/>
          <w:kern w:val="0"/>
          <w:sz w:val="24"/>
          <w:highlight w:val="none"/>
          <w:lang w:eastAsia="zh-CN"/>
        </w:rPr>
        <w:t>补充规则</w:t>
      </w:r>
    </w:p>
    <w:p w14:paraId="1A5D7358">
      <w:pPr>
        <w:pageBreakBefore w:val="0"/>
        <w:kinsoku/>
        <w:overflowPunct/>
        <w:autoSpaceDE/>
        <w:autoSpaceDN/>
        <w:bidi w:val="0"/>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lang w:eastAsia="zh-CN"/>
        </w:rPr>
        <w:t>清退后，剩余入围乙方不足入围乙方总数70%且影响框架协议执行的，框架协议有效期内，</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将补充征集乙方。</w:t>
      </w:r>
    </w:p>
    <w:p w14:paraId="02558B19">
      <w:pPr>
        <w:pageBreakBefore w:val="0"/>
        <w:kinsoku/>
        <w:overflowPunct/>
        <w:autoSpaceDE/>
        <w:autoSpaceDN/>
        <w:bidi w:val="0"/>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2.甲方</w:t>
      </w:r>
      <w:r>
        <w:rPr>
          <w:rFonts w:hint="eastAsia" w:ascii="仿宋" w:hAnsi="仿宋" w:eastAsia="仿宋" w:cs="仿宋"/>
          <w:snapToGrid w:val="0"/>
          <w:color w:val="auto"/>
          <w:kern w:val="0"/>
          <w:sz w:val="24"/>
          <w:highlight w:val="none"/>
          <w:lang w:eastAsia="zh-CN"/>
        </w:rPr>
        <w:t>补充征集乙方的，补充征集的条件、程序、评审方法和淘汰比例与初次征集相同。补充征集应当遵守原框架协议的有效期。补充征集期间，原框架协议继续履行。</w:t>
      </w:r>
    </w:p>
    <w:p w14:paraId="21442B02">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十</w:t>
      </w:r>
      <w:r>
        <w:rPr>
          <w:rFonts w:hint="eastAsia" w:ascii="仿宋" w:hAnsi="仿宋" w:eastAsia="仿宋" w:cs="仿宋"/>
          <w:b/>
          <w:snapToGrid w:val="0"/>
          <w:color w:val="auto"/>
          <w:sz w:val="24"/>
          <w:szCs w:val="24"/>
          <w:highlight w:val="none"/>
          <w:lang w:val="en-US" w:eastAsia="zh-CN"/>
        </w:rPr>
        <w:t>五</w:t>
      </w:r>
      <w:r>
        <w:rPr>
          <w:rFonts w:hint="eastAsia" w:ascii="仿宋" w:hAnsi="仿宋" w:eastAsia="仿宋" w:cs="仿宋"/>
          <w:b/>
          <w:snapToGrid w:val="0"/>
          <w:color w:val="auto"/>
          <w:sz w:val="24"/>
          <w:szCs w:val="24"/>
          <w:highlight w:val="none"/>
        </w:rPr>
        <w:t>、违约处理</w:t>
      </w:r>
    </w:p>
    <w:p w14:paraId="549BD159">
      <w:pPr>
        <w:keepNext w:val="0"/>
        <w:keepLines w:val="0"/>
        <w:pageBreakBefore w:val="0"/>
        <w:numPr>
          <w:ilvl w:val="0"/>
          <w:numId w:val="0"/>
        </w:numPr>
        <w:kinsoku/>
        <w:overflowPunct/>
        <w:autoSpaceDE/>
        <w:autoSpaceDN/>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除不可抗力外，如果乙方没有按照本</w:t>
      </w:r>
      <w:r>
        <w:rPr>
          <w:rFonts w:hint="eastAsia" w:ascii="仿宋" w:hAnsi="仿宋" w:eastAsia="仿宋" w:cs="仿宋"/>
          <w:color w:val="auto"/>
          <w:sz w:val="24"/>
          <w:szCs w:val="24"/>
          <w:highlight w:val="none"/>
          <w:lang w:val="en-US" w:eastAsia="zh-CN"/>
        </w:rPr>
        <w:t>协议</w:t>
      </w:r>
      <w:r>
        <w:rPr>
          <w:rFonts w:hint="eastAsia" w:ascii="仿宋" w:hAnsi="仿宋" w:eastAsia="仿宋" w:cs="仿宋"/>
          <w:color w:val="auto"/>
          <w:sz w:val="24"/>
          <w:szCs w:val="24"/>
          <w:highlight w:val="none"/>
        </w:rPr>
        <w:t>约定的期限、地点和方式服务的，那么甲方可要求乙方支付违约金，违约金每日按</w:t>
      </w:r>
      <w:r>
        <w:rPr>
          <w:rFonts w:hint="eastAsia" w:ascii="仿宋" w:hAnsi="仿宋" w:eastAsia="仿宋" w:cs="仿宋"/>
          <w:color w:val="auto"/>
          <w:sz w:val="24"/>
          <w:szCs w:val="24"/>
          <w:highlight w:val="none"/>
          <w:lang w:val="en-US" w:eastAsia="zh-CN"/>
        </w:rPr>
        <w:t>1000元</w:t>
      </w:r>
      <w:r>
        <w:rPr>
          <w:rFonts w:hint="eastAsia" w:ascii="仿宋" w:hAnsi="仿宋" w:eastAsia="仿宋" w:cs="仿宋"/>
          <w:color w:val="auto"/>
          <w:sz w:val="24"/>
          <w:szCs w:val="24"/>
          <w:highlight w:val="none"/>
        </w:rPr>
        <w:t>计算，最高限额为</w:t>
      </w:r>
      <w:r>
        <w:rPr>
          <w:rFonts w:hint="eastAsia" w:ascii="仿宋" w:hAnsi="仿宋" w:eastAsia="仿宋" w:cs="仿宋"/>
          <w:color w:val="auto"/>
          <w:sz w:val="24"/>
          <w:szCs w:val="24"/>
          <w:highlight w:val="none"/>
          <w:lang w:val="en-US" w:eastAsia="zh-CN"/>
        </w:rPr>
        <w:t>2万元</w:t>
      </w:r>
      <w:r>
        <w:rPr>
          <w:rFonts w:hint="eastAsia" w:ascii="仿宋" w:hAnsi="仿宋" w:eastAsia="仿宋" w:cs="仿宋"/>
          <w:color w:val="auto"/>
          <w:sz w:val="24"/>
          <w:szCs w:val="24"/>
          <w:highlight w:val="none"/>
        </w:rPr>
        <w:t>；违约金计算数额达到前述最高限额之日起，甲方有权在要求乙方支付违约金的同时，书面通知乙方解除本合同；</w:t>
      </w:r>
    </w:p>
    <w:p w14:paraId="5F15ED85">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w:t>
      </w:r>
      <w:r>
        <w:rPr>
          <w:rFonts w:hint="eastAsia" w:ascii="仿宋" w:hAnsi="仿宋" w:eastAsia="仿宋" w:cs="仿宋"/>
          <w:color w:val="auto"/>
          <w:sz w:val="24"/>
          <w:szCs w:val="24"/>
          <w:highlight w:val="none"/>
          <w:u w:val="single"/>
          <w:lang w:val="en-US" w:eastAsia="zh-CN"/>
        </w:rPr>
        <w:t>1万元</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3516ED08">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CD9353A">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E49CCD3">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FA221C7">
      <w:pPr>
        <w:keepNext w:val="0"/>
        <w:keepLines w:val="0"/>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如果出现政府采购监督管理部门在处理投诉事项期间，书面通知甲方暂停采购活动的情形，或者询问或质疑事项可能影响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结果的，导致甲方中止履行合同的情形，均不视为甲方违约。</w:t>
      </w:r>
    </w:p>
    <w:p w14:paraId="0773DB00">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十</w:t>
      </w:r>
      <w:r>
        <w:rPr>
          <w:rFonts w:hint="eastAsia" w:ascii="仿宋" w:hAnsi="仿宋" w:eastAsia="仿宋" w:cs="仿宋"/>
          <w:b/>
          <w:snapToGrid w:val="0"/>
          <w:color w:val="auto"/>
          <w:sz w:val="24"/>
          <w:szCs w:val="24"/>
          <w:highlight w:val="none"/>
          <w:lang w:val="en-US" w:eastAsia="zh-CN"/>
        </w:rPr>
        <w:t>六</w:t>
      </w:r>
      <w:r>
        <w:rPr>
          <w:rFonts w:hint="eastAsia" w:ascii="仿宋" w:hAnsi="仿宋" w:eastAsia="仿宋" w:cs="仿宋"/>
          <w:b/>
          <w:snapToGrid w:val="0"/>
          <w:color w:val="auto"/>
          <w:sz w:val="24"/>
          <w:szCs w:val="24"/>
          <w:highlight w:val="none"/>
        </w:rPr>
        <w:t>、不可抗力事件处理</w:t>
      </w:r>
    </w:p>
    <w:p w14:paraId="43141670">
      <w:pPr>
        <w:keepNext w:val="0"/>
        <w:keepLines w:val="0"/>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1.在合同有效期内，因不可抗力事件导致不能履行合同，则合同履行至合同到期日止。</w:t>
      </w:r>
    </w:p>
    <w:p w14:paraId="32073E2B">
      <w:pPr>
        <w:keepNext w:val="0"/>
        <w:keepLines w:val="0"/>
        <w:pageBreakBefore w:val="0"/>
        <w:numPr>
          <w:ilvl w:val="0"/>
          <w:numId w:val="0"/>
        </w:numPr>
        <w:shd w:val="clea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6F3150CF">
      <w:pPr>
        <w:keepNext w:val="0"/>
        <w:keepLines w:val="0"/>
        <w:pageBreakBefore w:val="0"/>
        <w:numPr>
          <w:ilvl w:val="0"/>
          <w:numId w:val="0"/>
        </w:numPr>
        <w:kinsoku/>
        <w:overflowPunct/>
        <w:autoSpaceDE/>
        <w:autoSpaceDN/>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十七、</w:t>
      </w:r>
      <w:r>
        <w:rPr>
          <w:rFonts w:hint="eastAsia" w:ascii="仿宋" w:hAnsi="仿宋" w:eastAsia="仿宋" w:cs="仿宋"/>
          <w:b/>
          <w:bCs/>
          <w:color w:val="auto"/>
          <w:sz w:val="24"/>
          <w:szCs w:val="24"/>
          <w:highlight w:val="none"/>
        </w:rPr>
        <w:t>乙方</w:t>
      </w:r>
      <w:r>
        <w:rPr>
          <w:rFonts w:hint="eastAsia" w:ascii="仿宋" w:hAnsi="仿宋" w:eastAsia="仿宋" w:cs="仿宋"/>
          <w:b/>
          <w:bCs/>
          <w:color w:val="auto"/>
          <w:sz w:val="24"/>
          <w:szCs w:val="24"/>
          <w:highlight w:val="none"/>
          <w:lang w:eastAsia="zh-CN"/>
        </w:rPr>
        <w:t>和甲方</w:t>
      </w:r>
      <w:r>
        <w:rPr>
          <w:rFonts w:hint="eastAsia" w:ascii="仿宋" w:hAnsi="仿宋" w:eastAsia="仿宋" w:cs="仿宋"/>
          <w:b/>
          <w:bCs/>
          <w:color w:val="auto"/>
          <w:sz w:val="24"/>
          <w:szCs w:val="24"/>
          <w:highlight w:val="none"/>
        </w:rPr>
        <w:t>发生争议的</w:t>
      </w:r>
      <w:r>
        <w:rPr>
          <w:rFonts w:hint="eastAsia" w:ascii="仿宋" w:hAnsi="仿宋" w:eastAsia="仿宋" w:cs="仿宋"/>
          <w:b/>
          <w:bCs/>
          <w:color w:val="auto"/>
          <w:sz w:val="24"/>
          <w:szCs w:val="24"/>
          <w:highlight w:val="none"/>
          <w:lang w:eastAsia="zh-CN"/>
        </w:rPr>
        <w:t>处理</w:t>
      </w:r>
    </w:p>
    <w:p w14:paraId="1F8EC88A">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双方如</w:t>
      </w:r>
      <w:r>
        <w:rPr>
          <w:rFonts w:hint="eastAsia" w:ascii="仿宋" w:hAnsi="仿宋" w:eastAsia="仿宋" w:cs="仿宋"/>
          <w:color w:val="auto"/>
          <w:sz w:val="24"/>
          <w:szCs w:val="24"/>
          <w:highlight w:val="none"/>
        </w:rPr>
        <w:t>发生</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纠纷，应当</w:t>
      </w:r>
      <w:r>
        <w:rPr>
          <w:rFonts w:hint="eastAsia" w:ascii="仿宋" w:hAnsi="仿宋" w:eastAsia="仿宋" w:cs="仿宋"/>
          <w:color w:val="auto"/>
          <w:sz w:val="24"/>
          <w:szCs w:val="24"/>
          <w:highlight w:val="none"/>
          <w:lang w:eastAsia="zh-CN"/>
        </w:rPr>
        <w:t>友好</w:t>
      </w:r>
      <w:r>
        <w:rPr>
          <w:rFonts w:hint="eastAsia" w:ascii="仿宋" w:hAnsi="仿宋" w:eastAsia="仿宋" w:cs="仿宋"/>
          <w:color w:val="auto"/>
          <w:sz w:val="24"/>
          <w:szCs w:val="24"/>
          <w:highlight w:val="none"/>
        </w:rPr>
        <w:t>协商，并按《中华人民共和国民法典》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《中华人民共和国政府采购法》、《中华人民共和国政府采购法实施条例》、《政府采购框架协议采购方式管理暂行办法》</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相关法律、法规、规章的规定</w:t>
      </w:r>
      <w:r>
        <w:rPr>
          <w:rFonts w:hint="eastAsia" w:ascii="仿宋" w:hAnsi="仿宋" w:eastAsia="仿宋" w:cs="仿宋"/>
          <w:color w:val="auto"/>
          <w:sz w:val="24"/>
          <w:szCs w:val="24"/>
          <w:highlight w:val="none"/>
          <w:lang w:eastAsia="zh-CN"/>
        </w:rPr>
        <w:t>及本项目征集文件的要求</w:t>
      </w:r>
      <w:r>
        <w:rPr>
          <w:rFonts w:hint="eastAsia" w:ascii="仿宋" w:hAnsi="仿宋" w:eastAsia="仿宋" w:cs="仿宋"/>
          <w:color w:val="auto"/>
          <w:sz w:val="24"/>
          <w:szCs w:val="24"/>
          <w:highlight w:val="none"/>
        </w:rPr>
        <w:t>处理。</w:t>
      </w:r>
    </w:p>
    <w:p w14:paraId="58AF6B39">
      <w:pPr>
        <w:keepNext w:val="0"/>
        <w:keepLines w:val="0"/>
        <w:pageBreakBefore w:val="0"/>
        <w:numPr>
          <w:ilvl w:val="0"/>
          <w:numId w:val="0"/>
        </w:numPr>
        <w:kinsoku/>
        <w:overflowPunct/>
        <w:autoSpaceDE/>
        <w:autoSpaceDN/>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十八、</w:t>
      </w:r>
      <w:r>
        <w:rPr>
          <w:rFonts w:hint="eastAsia" w:ascii="仿宋" w:hAnsi="仿宋" w:eastAsia="仿宋" w:cs="仿宋"/>
          <w:b/>
          <w:bCs/>
          <w:color w:val="auto"/>
          <w:sz w:val="24"/>
          <w:szCs w:val="24"/>
          <w:highlight w:val="none"/>
        </w:rPr>
        <w:t>本协议</w:t>
      </w:r>
      <w:r>
        <w:rPr>
          <w:rFonts w:hint="eastAsia" w:ascii="仿宋" w:hAnsi="仿宋" w:eastAsia="仿宋" w:cs="仿宋"/>
          <w:b/>
          <w:bCs/>
          <w:color w:val="auto"/>
          <w:sz w:val="24"/>
          <w:szCs w:val="24"/>
          <w:highlight w:val="none"/>
          <w:lang w:eastAsia="zh-CN"/>
        </w:rPr>
        <w:t>发生</w:t>
      </w:r>
      <w:r>
        <w:rPr>
          <w:rFonts w:hint="eastAsia" w:ascii="仿宋" w:hAnsi="仿宋" w:eastAsia="仿宋" w:cs="仿宋"/>
          <w:b/>
          <w:bCs/>
          <w:color w:val="auto"/>
          <w:sz w:val="24"/>
          <w:szCs w:val="24"/>
          <w:highlight w:val="none"/>
        </w:rPr>
        <w:t>争议的</w:t>
      </w:r>
      <w:r>
        <w:rPr>
          <w:rFonts w:hint="eastAsia" w:ascii="仿宋" w:hAnsi="仿宋" w:eastAsia="仿宋" w:cs="仿宋"/>
          <w:b/>
          <w:bCs/>
          <w:color w:val="auto"/>
          <w:sz w:val="24"/>
          <w:szCs w:val="24"/>
          <w:highlight w:val="none"/>
          <w:lang w:eastAsia="zh-CN"/>
        </w:rPr>
        <w:t>处理</w:t>
      </w:r>
    </w:p>
    <w:p w14:paraId="094DF5CA">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双方在执行合同中所发生的一切争议，应通过协商解决。如协商不成，可向甲方所在地法院起诉。</w:t>
      </w:r>
    </w:p>
    <w:p w14:paraId="08E89B7F">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十</w:t>
      </w:r>
      <w:r>
        <w:rPr>
          <w:rFonts w:hint="eastAsia" w:ascii="仿宋" w:hAnsi="仿宋" w:eastAsia="仿宋" w:cs="仿宋"/>
          <w:b/>
          <w:snapToGrid w:val="0"/>
          <w:color w:val="auto"/>
          <w:sz w:val="24"/>
          <w:szCs w:val="24"/>
          <w:highlight w:val="none"/>
          <w:lang w:val="en-US" w:eastAsia="zh-CN"/>
        </w:rPr>
        <w:t>九</w:t>
      </w:r>
      <w:r>
        <w:rPr>
          <w:rFonts w:hint="eastAsia" w:ascii="仿宋" w:hAnsi="仿宋" w:eastAsia="仿宋" w:cs="仿宋"/>
          <w:b/>
          <w:snapToGrid w:val="0"/>
          <w:color w:val="auto"/>
          <w:sz w:val="24"/>
          <w:szCs w:val="24"/>
          <w:highlight w:val="none"/>
        </w:rPr>
        <w:t>、协议生效</w:t>
      </w:r>
      <w:r>
        <w:rPr>
          <w:rFonts w:hint="eastAsia" w:ascii="仿宋" w:hAnsi="仿宋" w:eastAsia="仿宋" w:cs="仿宋"/>
          <w:b/>
          <w:snapToGrid w:val="0"/>
          <w:color w:val="auto"/>
          <w:sz w:val="24"/>
          <w:szCs w:val="24"/>
          <w:highlight w:val="none"/>
          <w:lang w:eastAsia="zh-CN"/>
        </w:rPr>
        <w:t>及其他</w:t>
      </w:r>
    </w:p>
    <w:p w14:paraId="783FEE5A">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合同经双方加盖单位公章后生效。</w:t>
      </w:r>
    </w:p>
    <w:p w14:paraId="607DD67D">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本合同未尽事宜，遵照《</w:t>
      </w:r>
      <w:r>
        <w:rPr>
          <w:rFonts w:hint="eastAsia" w:ascii="仿宋" w:hAnsi="仿宋" w:eastAsia="仿宋" w:cs="仿宋"/>
          <w:snapToGrid w:val="0"/>
          <w:color w:val="auto"/>
          <w:sz w:val="24"/>
          <w:szCs w:val="24"/>
          <w:highlight w:val="none"/>
          <w:lang w:val="en-US" w:eastAsia="zh-CN"/>
        </w:rPr>
        <w:t>中华人民共和国</w:t>
      </w:r>
      <w:r>
        <w:rPr>
          <w:rFonts w:hint="eastAsia" w:ascii="仿宋" w:hAnsi="仿宋" w:eastAsia="仿宋" w:cs="仿宋"/>
          <w:snapToGrid w:val="0"/>
          <w:color w:val="auto"/>
          <w:sz w:val="24"/>
          <w:szCs w:val="24"/>
          <w:highlight w:val="none"/>
        </w:rPr>
        <w:t>民法典》有关条文执行。</w:t>
      </w:r>
    </w:p>
    <w:p w14:paraId="0E9E572A">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本合同正本一式</w:t>
      </w:r>
      <w:r>
        <w:rPr>
          <w:rFonts w:hint="eastAsia" w:ascii="仿宋" w:hAnsi="仿宋" w:eastAsia="仿宋" w:cs="仿宋"/>
          <w:snapToGrid w:val="0"/>
          <w:color w:val="auto"/>
          <w:sz w:val="24"/>
          <w:szCs w:val="24"/>
          <w:highlight w:val="none"/>
          <w:lang w:val="en-US" w:eastAsia="zh-CN"/>
        </w:rPr>
        <w:t>四</w:t>
      </w:r>
      <w:r>
        <w:rPr>
          <w:rFonts w:hint="eastAsia" w:ascii="仿宋" w:hAnsi="仿宋" w:eastAsia="仿宋" w:cs="仿宋"/>
          <w:snapToGrid w:val="0"/>
          <w:color w:val="auto"/>
          <w:sz w:val="24"/>
          <w:szCs w:val="24"/>
          <w:highlight w:val="none"/>
        </w:rPr>
        <w:t>份，具有同等法律效力，甲乙双方各执</w:t>
      </w:r>
      <w:r>
        <w:rPr>
          <w:rFonts w:hint="eastAsia" w:ascii="仿宋" w:hAnsi="仿宋" w:eastAsia="仿宋" w:cs="仿宋"/>
          <w:snapToGrid w:val="0"/>
          <w:color w:val="auto"/>
          <w:sz w:val="24"/>
          <w:szCs w:val="24"/>
          <w:highlight w:val="none"/>
          <w:lang w:val="en-US" w:eastAsia="zh-CN"/>
        </w:rPr>
        <w:t>二</w:t>
      </w:r>
      <w:r>
        <w:rPr>
          <w:rFonts w:hint="eastAsia" w:ascii="仿宋" w:hAnsi="仿宋" w:eastAsia="仿宋" w:cs="仿宋"/>
          <w:snapToGrid w:val="0"/>
          <w:color w:val="auto"/>
          <w:sz w:val="24"/>
          <w:szCs w:val="24"/>
          <w:highlight w:val="none"/>
        </w:rPr>
        <w:t>份。</w:t>
      </w:r>
    </w:p>
    <w:p w14:paraId="5C88AB03">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p>
    <w:p w14:paraId="6B0495BE">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p>
    <w:p w14:paraId="4EB58682">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甲方（盖章）：                       乙方（盖章）：</w:t>
      </w:r>
    </w:p>
    <w:p w14:paraId="228068CA">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textAlignment w:val="auto"/>
        <w:rPr>
          <w:rFonts w:hint="eastAsia" w:ascii="仿宋" w:hAnsi="仿宋" w:eastAsia="仿宋" w:cs="仿宋"/>
          <w:snapToGrid w:val="0"/>
          <w:color w:val="auto"/>
          <w:sz w:val="24"/>
          <w:szCs w:val="24"/>
          <w:highlight w:val="none"/>
        </w:rPr>
      </w:pPr>
    </w:p>
    <w:p w14:paraId="1941ABC7">
      <w:pPr>
        <w:pStyle w:val="28"/>
        <w:keepNext w:val="0"/>
        <w:keepLines w:val="0"/>
        <w:pageBreakBefore w:val="0"/>
        <w:kinsoku/>
        <w:wordWrap/>
        <w:overflowPunct/>
        <w:topLinePunct w:val="0"/>
        <w:autoSpaceDE/>
        <w:autoSpaceDN/>
        <w:bidi w:val="0"/>
        <w:adjustRightInd w:val="0"/>
        <w:snapToGrid w:val="0"/>
        <w:spacing w:line="360" w:lineRule="auto"/>
        <w:ind w:left="0" w:leftChars="0" w:firstLine="3631" w:firstLineChars="1513"/>
        <w:jc w:val="right"/>
        <w:textAlignment w:val="auto"/>
        <w:rPr>
          <w:rFonts w:hint="eastAsia" w:ascii="仿宋" w:hAnsi="仿宋" w:eastAsia="仿宋" w:cs="仿宋"/>
          <w:b/>
          <w:bCs/>
          <w:color w:val="auto"/>
          <w:kern w:val="0"/>
          <w:sz w:val="24"/>
          <w:szCs w:val="24"/>
          <w:highlight w:val="none"/>
        </w:rPr>
      </w:pPr>
      <w:r>
        <w:rPr>
          <w:rFonts w:hint="eastAsia" w:ascii="仿宋" w:hAnsi="仿宋" w:eastAsia="仿宋" w:cs="仿宋"/>
          <w:snapToGrid w:val="0"/>
          <w:color w:val="auto"/>
          <w:sz w:val="24"/>
          <w:szCs w:val="24"/>
          <w:highlight w:val="none"/>
          <w:lang w:val="en-US" w:eastAsia="zh-CN"/>
        </w:rPr>
        <w:t>签订</w:t>
      </w:r>
      <w:r>
        <w:rPr>
          <w:rFonts w:hint="eastAsia" w:ascii="仿宋" w:hAnsi="仿宋" w:eastAsia="仿宋" w:cs="仿宋"/>
          <w:snapToGrid w:val="0"/>
          <w:color w:val="auto"/>
          <w:sz w:val="24"/>
          <w:szCs w:val="24"/>
          <w:highlight w:val="none"/>
        </w:rPr>
        <w:t>日期：      年   月   日</w:t>
      </w:r>
    </w:p>
    <w:p w14:paraId="339FBF60">
      <w:pPr>
        <w:snapToGrid w:val="0"/>
        <w:spacing w:line="360" w:lineRule="auto"/>
        <w:jc w:val="left"/>
        <w:rPr>
          <w:rFonts w:hint="eastAsia" w:ascii="仿宋" w:hAnsi="仿宋" w:eastAsia="仿宋" w:cs="仿宋"/>
          <w:color w:val="auto"/>
          <w:sz w:val="24"/>
          <w:highlight w:val="none"/>
          <w:lang w:val="zh-CN"/>
        </w:rPr>
      </w:pPr>
    </w:p>
    <w:p w14:paraId="0341AD60">
      <w:pPr>
        <w:snapToGrid w:val="0"/>
        <w:spacing w:line="360" w:lineRule="auto"/>
        <w:rPr>
          <w:rFonts w:hint="eastAsia" w:ascii="仿宋" w:hAnsi="仿宋" w:eastAsia="仿宋" w:cs="仿宋"/>
          <w:color w:val="auto"/>
          <w:sz w:val="24"/>
          <w:highlight w:val="none"/>
        </w:rPr>
      </w:pPr>
    </w:p>
    <w:p w14:paraId="5B2CEE39">
      <w:pPr>
        <w:pStyle w:val="2"/>
        <w:rPr>
          <w:rFonts w:hint="eastAsia" w:ascii="仿宋" w:hAnsi="仿宋" w:eastAsia="仿宋" w:cs="仿宋"/>
          <w:color w:val="auto"/>
          <w:sz w:val="24"/>
          <w:highlight w:val="none"/>
        </w:rPr>
      </w:pPr>
    </w:p>
    <w:p w14:paraId="725E7BD1">
      <w:pPr>
        <w:rPr>
          <w:rFonts w:hint="eastAsia" w:ascii="仿宋" w:hAnsi="仿宋" w:eastAsia="仿宋" w:cs="仿宋"/>
          <w:color w:val="auto"/>
          <w:sz w:val="24"/>
          <w:highlight w:val="none"/>
        </w:rPr>
      </w:pPr>
    </w:p>
    <w:p w14:paraId="2BEAA5BC">
      <w:pPr>
        <w:keepNext w:val="0"/>
        <w:keepLines w:val="0"/>
        <w:pageBreakBefore w:val="0"/>
        <w:kinsoku/>
        <w:wordWrap w:val="0"/>
        <w:overflowPunct/>
        <w:topLinePunct/>
        <w:autoSpaceDE/>
        <w:autoSpaceDN/>
        <w:bidi w:val="0"/>
        <w:adjustRightInd w:val="0"/>
        <w:snapToGrid w:val="0"/>
        <w:spacing w:line="360" w:lineRule="auto"/>
        <w:ind w:firstLine="562" w:firstLineChars="200"/>
        <w:jc w:val="center"/>
        <w:rPr>
          <w:rFonts w:hint="eastAsia" w:ascii="仿宋" w:hAnsi="仿宋" w:eastAsia="仿宋" w:cs="仿宋"/>
          <w:b/>
          <w:bCs/>
          <w:color w:val="auto"/>
          <w:kern w:val="0"/>
          <w:sz w:val="28"/>
          <w:szCs w:val="28"/>
          <w:highlight w:val="none"/>
        </w:rPr>
      </w:pPr>
    </w:p>
    <w:p w14:paraId="460EA897">
      <w:pPr>
        <w:keepNext w:val="0"/>
        <w:keepLines w:val="0"/>
        <w:pageBreakBefore w:val="0"/>
        <w:kinsoku/>
        <w:wordWrap w:val="0"/>
        <w:overflowPunct/>
        <w:topLinePunct/>
        <w:autoSpaceDE/>
        <w:autoSpaceDN/>
        <w:bidi w:val="0"/>
        <w:adjustRightInd w:val="0"/>
        <w:snapToGrid w:val="0"/>
        <w:spacing w:line="360" w:lineRule="auto"/>
        <w:ind w:firstLine="562" w:firstLineChars="200"/>
        <w:jc w:val="center"/>
        <w:rPr>
          <w:rFonts w:hint="eastAsia" w:ascii="仿宋" w:hAnsi="仿宋" w:eastAsia="仿宋" w:cs="仿宋"/>
          <w:b/>
          <w:bCs/>
          <w:color w:val="auto"/>
          <w:kern w:val="0"/>
          <w:sz w:val="28"/>
          <w:szCs w:val="28"/>
          <w:highlight w:val="none"/>
        </w:rPr>
      </w:pPr>
    </w:p>
    <w:p w14:paraId="0FB65953">
      <w:pPr>
        <w:keepNext w:val="0"/>
        <w:keepLines w:val="0"/>
        <w:pageBreakBefore w:val="0"/>
        <w:kinsoku/>
        <w:wordWrap/>
        <w:overflowPunct/>
        <w:topLinePunct w:val="0"/>
        <w:autoSpaceDE/>
        <w:autoSpaceDN/>
        <w:bidi w:val="0"/>
        <w:adjustRightInd/>
        <w:snapToGrid/>
        <w:spacing w:line="240" w:lineRule="auto"/>
        <w:ind w:firstLine="0" w:firstLineChars="0"/>
        <w:jc w:val="left"/>
        <w:rPr>
          <w:rFonts w:hint="eastAsia" w:ascii="仿宋" w:hAnsi="仿宋" w:eastAsia="仿宋" w:cs="仿宋"/>
          <w:b/>
          <w:bCs/>
          <w:color w:val="auto"/>
          <w:kern w:val="0"/>
          <w:sz w:val="28"/>
          <w:szCs w:val="28"/>
          <w:highlight w:val="none"/>
          <w:lang w:eastAsia="zh-CN"/>
        </w:rPr>
      </w:pPr>
      <w:r>
        <w:rPr>
          <w:rFonts w:hint="eastAsia" w:ascii="仿宋" w:hAnsi="仿宋" w:eastAsia="仿宋" w:cs="仿宋"/>
          <w:b/>
          <w:bCs/>
          <w:color w:val="auto"/>
          <w:kern w:val="0"/>
          <w:sz w:val="28"/>
          <w:szCs w:val="28"/>
          <w:highlight w:val="none"/>
          <w:lang w:eastAsia="zh-CN"/>
        </w:rPr>
        <w:br w:type="page"/>
      </w:r>
    </w:p>
    <w:p w14:paraId="368DFADA">
      <w:pPr>
        <w:keepNext w:val="0"/>
        <w:keepLines w:val="0"/>
        <w:pageBreakBefore w:val="0"/>
        <w:kinsoku/>
        <w:wordWrap w:val="0"/>
        <w:overflowPunct/>
        <w:topLinePunct/>
        <w:autoSpaceDE/>
        <w:autoSpaceDN/>
        <w:bidi w:val="0"/>
        <w:adjustRightInd w:val="0"/>
        <w:snapToGrid w:val="0"/>
        <w:spacing w:line="360" w:lineRule="auto"/>
        <w:ind w:firstLine="562" w:firstLineChars="200"/>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eastAsia="zh-CN"/>
        </w:rPr>
        <w:t>杭州市滨江区2025-2026年居家养老综合服务封闭式框架协议采购项目（</w:t>
      </w:r>
      <w:r>
        <w:rPr>
          <w:rFonts w:hint="eastAsia" w:ascii="仿宋" w:hAnsi="仿宋" w:eastAsia="仿宋" w:cs="仿宋"/>
          <w:b/>
          <w:bCs/>
          <w:color w:val="auto"/>
          <w:kern w:val="0"/>
          <w:sz w:val="28"/>
          <w:szCs w:val="28"/>
          <w:highlight w:val="none"/>
          <w:lang w:val="en-US" w:eastAsia="zh-CN"/>
        </w:rPr>
        <w:t>标项一）</w:t>
      </w:r>
      <w:r>
        <w:rPr>
          <w:rFonts w:hint="eastAsia" w:ascii="仿宋" w:hAnsi="仿宋" w:eastAsia="仿宋" w:cs="仿宋"/>
          <w:b/>
          <w:bCs/>
          <w:color w:val="auto"/>
          <w:kern w:val="0"/>
          <w:sz w:val="28"/>
          <w:szCs w:val="28"/>
          <w:highlight w:val="none"/>
        </w:rPr>
        <w:t>采购合同</w:t>
      </w:r>
    </w:p>
    <w:p w14:paraId="70873931">
      <w:pPr>
        <w:keepNext w:val="0"/>
        <w:keepLines w:val="0"/>
        <w:pageBreakBefore w:val="0"/>
        <w:widowControl/>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（本合同为合同样稿，最终稿由</w:t>
      </w:r>
      <w:r>
        <w:rPr>
          <w:rFonts w:hint="eastAsia" w:ascii="仿宋" w:hAnsi="仿宋" w:eastAsia="仿宋" w:cs="仿宋"/>
          <w:color w:val="auto"/>
          <w:kern w:val="0"/>
          <w:sz w:val="24"/>
          <w:szCs w:val="24"/>
          <w:highlight w:val="none"/>
          <w:lang w:eastAsia="zh-CN"/>
        </w:rPr>
        <w:t>各方</w:t>
      </w:r>
      <w:r>
        <w:rPr>
          <w:rFonts w:hint="eastAsia" w:ascii="仿宋" w:hAnsi="仿宋" w:eastAsia="仿宋" w:cs="仿宋"/>
          <w:color w:val="auto"/>
          <w:kern w:val="0"/>
          <w:sz w:val="24"/>
          <w:szCs w:val="24"/>
          <w:highlight w:val="none"/>
        </w:rPr>
        <w:t>协商后确定）</w:t>
      </w:r>
    </w:p>
    <w:p w14:paraId="559C7772">
      <w:pPr>
        <w:keepNext w:val="0"/>
        <w:keepLines w:val="0"/>
        <w:pageBreakBefore w:val="0"/>
        <w:kinsoku/>
        <w:wordWrap w:val="0"/>
        <w:overflowPunct/>
        <w:topLinePunct/>
        <w:autoSpaceDE/>
        <w:autoSpaceDN/>
        <w:bidi w:val="0"/>
        <w:adjustRightInd w:val="0"/>
        <w:snapToGrid w:val="0"/>
        <w:spacing w:line="400" w:lineRule="exact"/>
        <w:ind w:firstLine="480" w:firstLineChars="200"/>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甲  方：</w:t>
      </w:r>
      <w:r>
        <w:rPr>
          <w:rFonts w:hint="eastAsia" w:ascii="仿宋" w:hAnsi="仿宋" w:eastAsia="仿宋" w:cs="仿宋"/>
          <w:bCs/>
          <w:color w:val="auto"/>
          <w:kern w:val="0"/>
          <w:sz w:val="24"/>
          <w:szCs w:val="24"/>
          <w:highlight w:val="none"/>
          <w:lang w:eastAsia="zh-CN"/>
        </w:rPr>
        <w:t>杭州市滨江区民政局</w:t>
      </w:r>
    </w:p>
    <w:p w14:paraId="309FB539">
      <w:pPr>
        <w:keepNext w:val="0"/>
        <w:keepLines w:val="0"/>
        <w:pageBreakBefore w:val="0"/>
        <w:kinsoku/>
        <w:wordWrap w:val="0"/>
        <w:overflowPunct/>
        <w:topLinePunct/>
        <w:autoSpaceDE/>
        <w:autoSpaceDN/>
        <w:bidi w:val="0"/>
        <w:adjustRightInd w:val="0"/>
        <w:snapToGrid w:val="0"/>
        <w:spacing w:line="4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乙  方：</w:t>
      </w:r>
    </w:p>
    <w:p w14:paraId="6EA146AE">
      <w:pPr>
        <w:keepNext w:val="0"/>
        <w:keepLines w:val="0"/>
        <w:pageBreakBefore w:val="0"/>
        <w:kinsoku/>
        <w:wordWrap w:val="0"/>
        <w:overflowPunct/>
        <w:topLinePunct/>
        <w:autoSpaceDE/>
        <w:autoSpaceDN/>
        <w:bidi w:val="0"/>
        <w:adjustRightInd w:val="0"/>
        <w:snapToGrid w:val="0"/>
        <w:spacing w:line="400" w:lineRule="exact"/>
        <w:ind w:firstLine="480" w:firstLineChars="200"/>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eastAsia="zh-CN"/>
        </w:rPr>
        <w:t>丙</w:t>
      </w:r>
      <w:r>
        <w:rPr>
          <w:rFonts w:hint="eastAsia" w:ascii="仿宋" w:hAnsi="仿宋" w:eastAsia="仿宋" w:cs="仿宋"/>
          <w:bCs/>
          <w:color w:val="auto"/>
          <w:kern w:val="0"/>
          <w:sz w:val="24"/>
          <w:szCs w:val="24"/>
          <w:highlight w:val="none"/>
          <w:lang w:val="en-US" w:eastAsia="zh-CN"/>
        </w:rPr>
        <w:t xml:space="preserve">  </w:t>
      </w:r>
      <w:r>
        <w:rPr>
          <w:rFonts w:hint="eastAsia" w:ascii="仿宋" w:hAnsi="仿宋" w:eastAsia="仿宋" w:cs="仿宋"/>
          <w:bCs/>
          <w:color w:val="auto"/>
          <w:kern w:val="0"/>
          <w:sz w:val="24"/>
          <w:szCs w:val="24"/>
          <w:highlight w:val="none"/>
          <w:lang w:eastAsia="zh-CN"/>
        </w:rPr>
        <w:t>方：</w:t>
      </w:r>
      <w:r>
        <w:rPr>
          <w:rFonts w:hint="eastAsia" w:ascii="仿宋" w:hAnsi="仿宋" w:eastAsia="仿宋" w:cs="仿宋"/>
          <w:bCs/>
          <w:color w:val="auto"/>
          <w:kern w:val="0"/>
          <w:sz w:val="24"/>
          <w:szCs w:val="24"/>
          <w:highlight w:val="none"/>
          <w:lang w:val="en-US" w:eastAsia="zh-CN"/>
        </w:rPr>
        <w:t>街道</w:t>
      </w:r>
    </w:p>
    <w:p w14:paraId="6F4B72CD">
      <w:pPr>
        <w:keepNext w:val="0"/>
        <w:keepLines w:val="0"/>
        <w:pageBreakBefore w:val="0"/>
        <w:kinsoku/>
        <w:overflowPunct/>
        <w:autoSpaceDE/>
        <w:autoSpaceDN/>
        <w:bidi w:val="0"/>
        <w:adjustRightInd w:val="0"/>
        <w:snapToGrid w:val="0"/>
        <w:spacing w:line="400" w:lineRule="exact"/>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经过公开</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采购（编号：      ），确定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rPr>
        <w:t>甲乙</w:t>
      </w:r>
      <w:r>
        <w:rPr>
          <w:rFonts w:hint="eastAsia" w:ascii="仿宋" w:hAnsi="仿宋" w:eastAsia="仿宋" w:cs="仿宋"/>
          <w:color w:val="auto"/>
          <w:sz w:val="24"/>
          <w:szCs w:val="24"/>
          <w:highlight w:val="none"/>
          <w:lang w:eastAsia="zh-CN"/>
        </w:rPr>
        <w:t>丙三</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val="zh-CN"/>
        </w:rPr>
        <w:t>协商一致，约定以下合同</w:t>
      </w:r>
      <w:r>
        <w:rPr>
          <w:rFonts w:hint="eastAsia" w:ascii="仿宋" w:hAnsi="仿宋" w:eastAsia="仿宋" w:cs="仿宋"/>
          <w:color w:val="auto"/>
          <w:sz w:val="24"/>
          <w:szCs w:val="24"/>
          <w:highlight w:val="none"/>
        </w:rPr>
        <w:t>条款，以兹共同遵守、全面履行。</w:t>
      </w:r>
    </w:p>
    <w:p w14:paraId="6F3870D7">
      <w:pPr>
        <w:keepNext w:val="0"/>
        <w:keepLines w:val="0"/>
        <w:pageBreakBefore w:val="0"/>
        <w:kinsoku/>
        <w:overflowPunct/>
        <w:autoSpaceDE/>
        <w:autoSpaceDN/>
        <w:bidi w:val="0"/>
        <w:adjustRightInd w:val="0"/>
        <w:snapToGrid w:val="0"/>
        <w:spacing w:line="40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第一条</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合同概况</w:t>
      </w:r>
    </w:p>
    <w:p w14:paraId="27864971">
      <w:pPr>
        <w:keepNext w:val="0"/>
        <w:keepLines w:val="0"/>
        <w:pageBreakBefore w:val="0"/>
        <w:kinsoku/>
        <w:overflowPunct/>
        <w:autoSpaceDE/>
        <w:autoSpaceDN/>
        <w:bidi w:val="0"/>
        <w:adjustRightInd w:val="0"/>
        <w:snapToGrid w:val="0"/>
        <w:spacing w:line="400" w:lineRule="exact"/>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甲方作为委托人，</w:t>
      </w:r>
      <w:r>
        <w:rPr>
          <w:rFonts w:hint="eastAsia" w:ascii="仿宋" w:hAnsi="仿宋" w:eastAsia="仿宋" w:cs="仿宋"/>
          <w:color w:val="auto"/>
          <w:kern w:val="0"/>
          <w:sz w:val="24"/>
          <w:szCs w:val="24"/>
          <w:highlight w:val="none"/>
          <w:lang w:eastAsia="zh-CN"/>
        </w:rPr>
        <w:t>丙方作为本街道辖区范围内的具体实施人，</w:t>
      </w:r>
      <w:r>
        <w:rPr>
          <w:rFonts w:hint="eastAsia" w:ascii="仿宋" w:hAnsi="仿宋" w:eastAsia="仿宋" w:cs="仿宋"/>
          <w:color w:val="auto"/>
          <w:kern w:val="0"/>
          <w:sz w:val="24"/>
          <w:szCs w:val="24"/>
          <w:highlight w:val="none"/>
        </w:rPr>
        <w:t>乙方</w:t>
      </w:r>
      <w:r>
        <w:rPr>
          <w:rFonts w:hint="eastAsia" w:ascii="仿宋" w:hAnsi="仿宋" w:eastAsia="仿宋" w:cs="仿宋"/>
          <w:color w:val="auto"/>
          <w:kern w:val="0"/>
          <w:sz w:val="24"/>
          <w:szCs w:val="24"/>
          <w:highlight w:val="none"/>
          <w:lang w:eastAsia="zh-CN"/>
        </w:rPr>
        <w:t>作为</w:t>
      </w:r>
      <w:r>
        <w:rPr>
          <w:rFonts w:hint="eastAsia" w:ascii="仿宋" w:hAnsi="仿宋" w:eastAsia="仿宋" w:cs="仿宋"/>
          <w:color w:val="auto"/>
          <w:kern w:val="0"/>
          <w:sz w:val="24"/>
          <w:szCs w:val="24"/>
          <w:highlight w:val="none"/>
        </w:rPr>
        <w:t>受委托人向甲方</w:t>
      </w:r>
      <w:r>
        <w:rPr>
          <w:rFonts w:hint="eastAsia" w:ascii="仿宋" w:hAnsi="仿宋" w:eastAsia="仿宋" w:cs="仿宋"/>
          <w:color w:val="auto"/>
          <w:kern w:val="0"/>
          <w:sz w:val="24"/>
          <w:szCs w:val="24"/>
          <w:highlight w:val="none"/>
          <w:lang w:eastAsia="zh-CN"/>
        </w:rPr>
        <w:t>、丙方</w:t>
      </w:r>
      <w:r>
        <w:rPr>
          <w:rFonts w:hint="eastAsia" w:ascii="仿宋" w:hAnsi="仿宋" w:eastAsia="仿宋" w:cs="仿宋"/>
          <w:color w:val="auto"/>
          <w:kern w:val="0"/>
          <w:sz w:val="24"/>
          <w:szCs w:val="24"/>
          <w:highlight w:val="none"/>
        </w:rPr>
        <w:t>提供服务，</w:t>
      </w:r>
      <w:r>
        <w:rPr>
          <w:rFonts w:hint="eastAsia" w:ascii="仿宋" w:hAnsi="仿宋" w:eastAsia="仿宋" w:cs="仿宋"/>
          <w:color w:val="auto"/>
          <w:kern w:val="0"/>
          <w:sz w:val="24"/>
          <w:szCs w:val="24"/>
          <w:highlight w:val="none"/>
          <w:lang w:eastAsia="zh-CN"/>
        </w:rPr>
        <w:t>三方</w:t>
      </w:r>
      <w:r>
        <w:rPr>
          <w:rFonts w:hint="eastAsia" w:ascii="仿宋" w:hAnsi="仿宋" w:eastAsia="仿宋" w:cs="仿宋"/>
          <w:color w:val="auto"/>
          <w:kern w:val="0"/>
          <w:sz w:val="24"/>
          <w:szCs w:val="24"/>
          <w:highlight w:val="none"/>
        </w:rPr>
        <w:t>按照法律法规以及合同规定开展相关工作。</w:t>
      </w:r>
    </w:p>
    <w:p w14:paraId="4882820A">
      <w:pPr>
        <w:keepNext w:val="0"/>
        <w:keepLines w:val="0"/>
        <w:pageBreakBefore w:val="0"/>
        <w:kinsoku/>
        <w:overflowPunct/>
        <w:autoSpaceDE/>
        <w:autoSpaceDN/>
        <w:bidi w:val="0"/>
        <w:adjustRightInd w:val="0"/>
        <w:snapToGrid w:val="0"/>
        <w:spacing w:line="40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第二条</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服务期限</w:t>
      </w:r>
    </w:p>
    <w:p w14:paraId="5E1ED578">
      <w:pPr>
        <w:keepNext w:val="0"/>
        <w:keepLines w:val="0"/>
        <w:pageBreakBefore w:val="0"/>
        <w:kinsoku/>
        <w:overflowPunct/>
        <w:autoSpaceDE/>
        <w:autoSpaceDN/>
        <w:bidi w:val="0"/>
        <w:adjustRightInd w:val="0"/>
        <w:snapToGrid w:val="0"/>
        <w:spacing w:line="400" w:lineRule="exact"/>
        <w:ind w:firstLine="480"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本项目服务期两年，具体起止时间为2025年 月 日至2026年 月 日。合同一年一签，服务期内</w:t>
      </w:r>
      <w:r>
        <w:rPr>
          <w:rFonts w:hint="eastAsia" w:ascii="仿宋" w:hAnsi="仿宋" w:eastAsia="仿宋" w:cs="仿宋"/>
          <w:b/>
          <w:bCs/>
          <w:color w:val="auto"/>
          <w:spacing w:val="0"/>
          <w:kern w:val="2"/>
          <w:sz w:val="24"/>
          <w:szCs w:val="24"/>
          <w:highlight w:val="none"/>
          <w:lang w:val="en-US" w:eastAsia="zh-CN" w:bidi="ar-SA"/>
        </w:rPr>
        <w:t>上门服务项目</w:t>
      </w:r>
      <w:r>
        <w:rPr>
          <w:rFonts w:hint="eastAsia" w:ascii="仿宋" w:hAnsi="仿宋" w:eastAsia="仿宋" w:cs="仿宋"/>
          <w:color w:val="auto"/>
          <w:kern w:val="0"/>
          <w:sz w:val="24"/>
          <w:szCs w:val="24"/>
          <w:highlight w:val="none"/>
          <w:lang w:val="en-US" w:eastAsia="zh-CN"/>
        </w:rPr>
        <w:t>实行月度考核。服务期内乙方月度考核分出现两次85分（不含）以下的或满足“清退机制”条件之一的，甲方有权随时与乙方暂停服务终止合同，</w:t>
      </w:r>
      <w:r>
        <w:rPr>
          <w:rFonts w:hint="eastAsia" w:ascii="仿宋" w:hAnsi="仿宋" w:eastAsia="仿宋" w:cs="仿宋"/>
          <w:color w:val="auto"/>
          <w:kern w:val="0"/>
          <w:sz w:val="24"/>
          <w:szCs w:val="24"/>
          <w:highlight w:val="none"/>
        </w:rPr>
        <w:t>在服务期限，如</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考核不通过的，</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有权无责终止合同履行，重新组织采购活动。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 xml:space="preserve">第三条 </w:t>
      </w:r>
      <w:r>
        <w:rPr>
          <w:rFonts w:hint="eastAsia" w:ascii="仿宋" w:hAnsi="仿宋" w:eastAsia="仿宋" w:cs="仿宋"/>
          <w:b/>
          <w:bCs/>
          <w:color w:val="auto"/>
          <w:sz w:val="24"/>
          <w:szCs w:val="24"/>
          <w:highlight w:val="none"/>
        </w:rPr>
        <w:t>合同价格</w:t>
      </w:r>
      <w:r>
        <w:rPr>
          <w:rFonts w:hint="eastAsia" w:ascii="仿宋" w:hAnsi="仿宋" w:eastAsia="仿宋" w:cs="仿宋"/>
          <w:b/>
          <w:bCs/>
          <w:color w:val="auto"/>
          <w:sz w:val="24"/>
          <w:szCs w:val="24"/>
          <w:highlight w:val="none"/>
          <w:lang w:val="en-US" w:eastAsia="zh-CN"/>
        </w:rPr>
        <w:t>与形式</w:t>
      </w:r>
    </w:p>
    <w:p w14:paraId="5FDBC05F">
      <w:pPr>
        <w:keepNext w:val="0"/>
        <w:keepLines w:val="0"/>
        <w:pageBreakBefore w:val="0"/>
        <w:kinsoku/>
        <w:overflowPunct/>
        <w:autoSpaceDE/>
        <w:autoSpaceDN/>
        <w:bidi w:val="0"/>
        <w:adjustRightInd w:val="0"/>
        <w:snapToGrid w:val="0"/>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w:t>
      </w:r>
      <w:r>
        <w:rPr>
          <w:rFonts w:hint="eastAsia" w:ascii="仿宋" w:hAnsi="仿宋" w:eastAsia="仿宋" w:cs="仿宋"/>
          <w:color w:val="auto"/>
          <w:sz w:val="24"/>
          <w:szCs w:val="24"/>
          <w:highlight w:val="none"/>
          <w:lang w:val="en-US" w:eastAsia="zh-CN"/>
        </w:rPr>
        <w:t>固定单价</w:t>
      </w:r>
      <w:r>
        <w:rPr>
          <w:rFonts w:hint="eastAsia" w:ascii="仿宋" w:hAnsi="仿宋" w:eastAsia="仿宋" w:cs="仿宋"/>
          <w:color w:val="auto"/>
          <w:sz w:val="24"/>
          <w:szCs w:val="24"/>
          <w:highlight w:val="none"/>
        </w:rPr>
        <w:t>为：</w:t>
      </w:r>
      <w:r>
        <w:rPr>
          <w:rFonts w:hint="eastAsia" w:ascii="仿宋" w:hAnsi="仿宋" w:eastAsia="仿宋" w:cs="仿宋"/>
          <w:bCs/>
          <w:color w:val="auto"/>
          <w:sz w:val="24"/>
          <w:szCs w:val="24"/>
          <w:highlight w:val="none"/>
          <w:lang w:val="en-US" w:eastAsia="zh-CN"/>
        </w:rPr>
        <w:t>35元/小时</w:t>
      </w:r>
      <w:r>
        <w:rPr>
          <w:rFonts w:hint="eastAsia" w:ascii="仿宋" w:hAnsi="仿宋" w:eastAsia="仿宋" w:cs="仿宋"/>
          <w:bCs/>
          <w:color w:val="auto"/>
          <w:sz w:val="24"/>
          <w:szCs w:val="24"/>
          <w:highlight w:val="none"/>
          <w:lang w:eastAsia="zh-CN"/>
        </w:rPr>
        <w:t>。</w:t>
      </w:r>
    </w:p>
    <w:p w14:paraId="772F3AE3">
      <w:pPr>
        <w:keepNext w:val="0"/>
        <w:keepLines w:val="0"/>
        <w:pageBreakBefore w:val="0"/>
        <w:kinsoku/>
        <w:wordWrap w:val="0"/>
        <w:overflowPunct/>
        <w:topLinePunct/>
        <w:autoSpaceDE/>
        <w:autoSpaceDN/>
        <w:bidi w:val="0"/>
        <w:adjustRightInd w:val="0"/>
        <w:snapToGrid w:val="0"/>
        <w:spacing w:line="4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bCs/>
          <w:color w:val="auto"/>
          <w:kern w:val="0"/>
          <w:sz w:val="24"/>
          <w:szCs w:val="24"/>
          <w:highlight w:val="none"/>
        </w:rPr>
        <w:t>以上合同价包含本项目实施所需的一切费用。</w:t>
      </w:r>
    </w:p>
    <w:p w14:paraId="6C15E72B">
      <w:pPr>
        <w:keepNext w:val="0"/>
        <w:keepLines w:val="0"/>
        <w:pageBreakBefore w:val="0"/>
        <w:kinsoku/>
        <w:wordWrap w:val="0"/>
        <w:overflowPunct/>
        <w:topLinePunct/>
        <w:autoSpaceDE/>
        <w:autoSpaceDN/>
        <w:bidi w:val="0"/>
        <w:adjustRightInd w:val="0"/>
        <w:snapToGrid w:val="0"/>
        <w:spacing w:line="400" w:lineRule="exact"/>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合同形式：固定</w:t>
      </w:r>
      <w:r>
        <w:rPr>
          <w:rFonts w:hint="eastAsia" w:ascii="仿宋" w:hAnsi="仿宋" w:eastAsia="仿宋" w:cs="仿宋"/>
          <w:bCs/>
          <w:color w:val="auto"/>
          <w:kern w:val="0"/>
          <w:sz w:val="24"/>
          <w:szCs w:val="24"/>
          <w:highlight w:val="none"/>
          <w:lang w:val="en-US" w:eastAsia="zh-CN"/>
        </w:rPr>
        <w:t>单价</w:t>
      </w:r>
      <w:r>
        <w:rPr>
          <w:rFonts w:hint="eastAsia" w:ascii="仿宋" w:hAnsi="仿宋" w:eastAsia="仿宋" w:cs="仿宋"/>
          <w:bCs/>
          <w:color w:val="auto"/>
          <w:kern w:val="0"/>
          <w:sz w:val="24"/>
          <w:szCs w:val="24"/>
          <w:highlight w:val="none"/>
        </w:rPr>
        <w:t>合同。</w:t>
      </w:r>
    </w:p>
    <w:p w14:paraId="7564CCEE">
      <w:pPr>
        <w:keepNext w:val="0"/>
        <w:keepLines w:val="0"/>
        <w:pageBreakBefore w:val="0"/>
        <w:kinsoku/>
        <w:overflowPunct/>
        <w:autoSpaceDE/>
        <w:autoSpaceDN/>
        <w:bidi w:val="0"/>
        <w:adjustRightInd w:val="0"/>
        <w:snapToGrid w:val="0"/>
        <w:spacing w:line="400" w:lineRule="exact"/>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w:t>
      </w:r>
      <w:r>
        <w:rPr>
          <w:rFonts w:hint="eastAsia" w:ascii="仿宋" w:hAnsi="仿宋" w:eastAsia="仿宋" w:cs="仿宋"/>
          <w:b/>
          <w:bCs/>
          <w:color w:val="auto"/>
          <w:kern w:val="0"/>
          <w:sz w:val="24"/>
          <w:szCs w:val="24"/>
          <w:highlight w:val="none"/>
          <w:lang w:val="en-US" w:eastAsia="zh-CN"/>
        </w:rPr>
        <w:t>四</w:t>
      </w:r>
      <w:r>
        <w:rPr>
          <w:rFonts w:hint="eastAsia" w:ascii="仿宋" w:hAnsi="仿宋" w:eastAsia="仿宋" w:cs="仿宋"/>
          <w:b/>
          <w:bCs/>
          <w:color w:val="auto"/>
          <w:kern w:val="0"/>
          <w:sz w:val="24"/>
          <w:szCs w:val="24"/>
          <w:highlight w:val="none"/>
        </w:rPr>
        <w:t>条</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服务内容</w:t>
      </w:r>
    </w:p>
    <w:p w14:paraId="1F892274">
      <w:pPr>
        <w:keepNext w:val="0"/>
        <w:keepLines w:val="0"/>
        <w:pageBreakBefore w:val="0"/>
        <w:kinsoku/>
        <w:overflowPunct/>
        <w:autoSpaceDE/>
        <w:autoSpaceDN/>
        <w:bidi w:val="0"/>
        <w:adjustRightInd w:val="0"/>
        <w:snapToGrid w:val="0"/>
        <w:spacing w:line="400" w:lineRule="exact"/>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区域化居家养老服务内容主要包括：场馆运营、活动开展、养老服务规划、食堂管理、配餐服务（食堂服务人数约为10000人）、</w:t>
      </w:r>
      <w:r>
        <w:rPr>
          <w:rFonts w:hint="eastAsia" w:ascii="仿宋" w:hAnsi="仿宋" w:eastAsia="仿宋" w:cs="仿宋"/>
          <w:b w:val="0"/>
          <w:bCs/>
          <w:color w:val="auto"/>
          <w:spacing w:val="0"/>
          <w:kern w:val="2"/>
          <w:sz w:val="24"/>
          <w:szCs w:val="24"/>
          <w:highlight w:val="none"/>
          <w:lang w:val="en-US" w:eastAsia="zh-CN" w:bidi="ar-SA"/>
        </w:rPr>
        <w:t>上门服务</w:t>
      </w:r>
      <w:r>
        <w:rPr>
          <w:rFonts w:hint="eastAsia" w:ascii="仿宋" w:hAnsi="仿宋" w:eastAsia="仿宋" w:cs="仿宋"/>
          <w:color w:val="auto"/>
          <w:kern w:val="0"/>
          <w:sz w:val="24"/>
          <w:szCs w:val="24"/>
          <w:highlight w:val="none"/>
          <w:lang w:val="en-US" w:eastAsia="zh-CN"/>
        </w:rPr>
        <w:t>等。运营机构按照甲方要求的人数派遣符合甲方要求的工作人员在工作日内工作，专职服务人员须遵守甲方制度，服从甲方管理，按照甲方规定的时间上、下班，每周对甲方汇报进展情况。运营机构派驻专职人员在甲方场地工作时所发生的意外事故，均由乙方负责处理并承担相应经济及法律责任。</w:t>
      </w:r>
    </w:p>
    <w:p w14:paraId="2ABAE733">
      <w:pPr>
        <w:pageBreakBefore w:val="0"/>
        <w:numPr>
          <w:ilvl w:val="0"/>
          <w:numId w:val="0"/>
        </w:numPr>
        <w:kinsoku/>
        <w:wordWrap/>
        <w:overflowPunct/>
        <w:topLinePunct w:val="0"/>
        <w:autoSpaceDE/>
        <w:autoSpaceDN/>
        <w:bidi w:val="0"/>
        <w:snapToGrid w:val="0"/>
        <w:spacing w:line="400" w:lineRule="exact"/>
        <w:ind w:firstLine="482" w:firstLineChars="200"/>
        <w:jc w:val="left"/>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1.人员配备</w:t>
      </w:r>
    </w:p>
    <w:p w14:paraId="62D2ED35">
      <w:pPr>
        <w:pStyle w:val="21"/>
        <w:snapToGrid/>
        <w:spacing w:line="400" w:lineRule="exact"/>
        <w:ind w:firstLine="480" w:firstLineChars="200"/>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1.1</w:t>
      </w:r>
      <w:r>
        <w:rPr>
          <w:rFonts w:hint="eastAsia" w:ascii="仿宋" w:hAnsi="仿宋" w:eastAsia="仿宋" w:cs="仿宋"/>
          <w:b w:val="0"/>
          <w:bCs w:val="0"/>
          <w:color w:val="auto"/>
          <w:kern w:val="2"/>
          <w:sz w:val="24"/>
          <w:szCs w:val="24"/>
          <w:highlight w:val="none"/>
          <w:lang w:val="en-US" w:eastAsia="zh-CN" w:bidi="ar-SA"/>
        </w:rPr>
        <w:t>区域化居家养老服务</w:t>
      </w:r>
      <w:r>
        <w:rPr>
          <w:rFonts w:hint="eastAsia" w:ascii="仿宋" w:hAnsi="仿宋" w:eastAsia="仿宋" w:cs="仿宋"/>
          <w:b w:val="0"/>
          <w:bCs w:val="0"/>
          <w:color w:val="auto"/>
          <w:spacing w:val="0"/>
          <w:kern w:val="2"/>
          <w:sz w:val="24"/>
          <w:szCs w:val="24"/>
          <w:highlight w:val="none"/>
          <w:lang w:val="en-US" w:eastAsia="zh-CN" w:bidi="ar-SA"/>
        </w:rPr>
        <w:t>配备项目总负责人1名，负责</w:t>
      </w:r>
      <w:r>
        <w:rPr>
          <w:rFonts w:hint="eastAsia" w:ascii="仿宋" w:hAnsi="仿宋" w:eastAsia="仿宋" w:cs="仿宋"/>
          <w:b w:val="0"/>
          <w:bCs w:val="0"/>
          <w:snapToGrid/>
          <w:color w:val="auto"/>
          <w:kern w:val="2"/>
          <w:sz w:val="24"/>
          <w:szCs w:val="24"/>
          <w:highlight w:val="none"/>
          <w:lang w:val="en-US" w:eastAsia="zh-CN"/>
        </w:rPr>
        <w:t>项目的</w:t>
      </w:r>
      <w:r>
        <w:rPr>
          <w:rFonts w:hint="eastAsia" w:ascii="仿宋" w:hAnsi="仿宋" w:eastAsia="仿宋" w:cs="仿宋"/>
          <w:b w:val="0"/>
          <w:bCs w:val="0"/>
          <w:color w:val="auto"/>
          <w:spacing w:val="0"/>
          <w:kern w:val="2"/>
          <w:sz w:val="24"/>
          <w:szCs w:val="24"/>
          <w:highlight w:val="none"/>
          <w:lang w:val="en-US" w:eastAsia="zh-CN" w:bidi="ar-SA"/>
        </w:rPr>
        <w:t>统筹协调及与采购人的沟通协调工作，服务期内不得兼职其他岗位及其他与本项目的无关工作。</w:t>
      </w:r>
    </w:p>
    <w:p w14:paraId="5C33D3DD">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配备上门服务负责人1人、点位负责人1人，每个点位专职服务人员不少于1人（如居家养老照料中心和助餐服务点不在同一地点则需提供专职服务人员不少于2人），年龄不超过55周岁，高中及以上学历；每个点位协管人员不少于1人（如居家养老照料中心和助餐服务点不在同一地点则需提供协管人员不少于2人），年龄不超过60周岁；西兴街道辖区内配备持证护理员需不少于10人、长河街道辖区内配备持证护理员需不少于15人、浦沿街道辖区内配备持证护理员需不少于12人，其中护理员须具备养老护理员职业技能等级证书五级及以上且人员年龄均不得超过60周岁。</w:t>
      </w:r>
    </w:p>
    <w:p w14:paraId="11060437">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1.2专职服务人员应具备一定的养老服务相关专业知识，应持有老年人服务与管理、家政服务与管理、护理（或老年护理方向）、中医护理、中医康复保健、康复技术、康复治疗技术、护理学、康复治疗学专业毕业证书，或持有人力社保部门颁发的社会工作者证书、心理咨询师证书、健康管理师证书、营养师证书、护士执业证书等。（至少1人持有1项即可）</w:t>
      </w:r>
    </w:p>
    <w:p w14:paraId="58A69DB6">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1.3卫生保洁人员若干（可兼职）。</w:t>
      </w:r>
    </w:p>
    <w:p w14:paraId="3B4D2DEA">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1.4尊重并保护老年人隐私及相关信息。</w:t>
      </w:r>
    </w:p>
    <w:p w14:paraId="58B2106E">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1.5服务人员、养老护理人员应经过相应上岗培训，掌握服务项目所需的知识与技能，热情服务，举止得当，统一服装。</w:t>
      </w:r>
    </w:p>
    <w:p w14:paraId="45E9A695">
      <w:pPr>
        <w:pStyle w:val="21"/>
        <w:keepNext w:val="0"/>
        <w:keepLines w:val="0"/>
        <w:pageBreakBefore w:val="0"/>
        <w:widowControl w:val="0"/>
        <w:kinsoku/>
        <w:wordWrap/>
        <w:overflowPunct/>
        <w:topLinePunct w:val="0"/>
        <w:autoSpaceDE/>
        <w:autoSpaceDN/>
        <w:bidi w:val="0"/>
        <w:snapToGrid/>
        <w:spacing w:line="400" w:lineRule="exact"/>
        <w:ind w:left="0" w:leftChars="0" w:firstLine="482"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2.服务环境</w:t>
      </w:r>
    </w:p>
    <w:p w14:paraId="0A584FDD">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2.1定期检查消防设施、器具应完好有效，疏散指示标志明显。</w:t>
      </w:r>
    </w:p>
    <w:p w14:paraId="0DCC1061">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2.2保证场所门面整洁、美观，场所内环境、卫生、通风条件良好；居家养老服务标志清晰、牢固，服务场所内公共信息图形符号符合规定要求。</w:t>
      </w:r>
    </w:p>
    <w:p w14:paraId="54CEFBD9">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2.3服务指南和管理制度完善，卫生防疫制度和突发事件处理应急预案健全。</w:t>
      </w:r>
    </w:p>
    <w:p w14:paraId="4E9FE3EA">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2.4保证居家养老服务电话、网络畅通，多媒体设施、报纸、刊物、健身器材和乐器等设备完好；床位和防寒降暑设施完好。</w:t>
      </w:r>
    </w:p>
    <w:p w14:paraId="05CA2ACD">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2.5保证各功能教室等服务场所每天开放。</w:t>
      </w:r>
    </w:p>
    <w:p w14:paraId="5EDE9620">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2.6保证采卫生间通风系统完好，室内地面干燥、防滑，无障碍设施及紧急呼叫按钮完好。</w:t>
      </w:r>
    </w:p>
    <w:p w14:paraId="2D952524">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2.7按食品卫生安全规定要求对老年人就餐厨（餐）具进行消毒。</w:t>
      </w:r>
    </w:p>
    <w:p w14:paraId="75A381F0">
      <w:pPr>
        <w:pStyle w:val="21"/>
        <w:keepNext w:val="0"/>
        <w:keepLines w:val="0"/>
        <w:pageBreakBefore w:val="0"/>
        <w:widowControl w:val="0"/>
        <w:kinsoku/>
        <w:wordWrap/>
        <w:overflowPunct/>
        <w:topLinePunct w:val="0"/>
        <w:autoSpaceDE/>
        <w:autoSpaceDN/>
        <w:bidi w:val="0"/>
        <w:snapToGrid/>
        <w:spacing w:line="400" w:lineRule="exact"/>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3.老人服务内容</w:t>
      </w:r>
    </w:p>
    <w:p w14:paraId="7AC68CF1">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3.1服务对象覆盖本辖区内的所有老年人，掌握失独、孤寡、空巢老人情况并落实日常看护。</w:t>
      </w:r>
    </w:p>
    <w:p w14:paraId="37F26DC4">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3.2立管理制度，服务人员、服务项目、服务承诺、收费标准公示上墙。</w:t>
      </w:r>
    </w:p>
    <w:p w14:paraId="4D6CD762">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3.3建立服务对象信息档案，各项服务资料完整，保证信息安全。</w:t>
      </w:r>
    </w:p>
    <w:p w14:paraId="2C2C70BF">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3.4提供上门服务格式合同（条款包括服务对象姓名、住址、服务时间、服务内容及质量标准、收费标准、约定的其他事项等），服务时签订合同。</w:t>
      </w:r>
    </w:p>
    <w:p w14:paraId="26654AEA">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3.5参与辖区内的养老服务需求评估、养老服务补贴和低保老人等工作。</w:t>
      </w:r>
    </w:p>
    <w:p w14:paraId="65F3D729">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3.6根据县民政局安排，为享受政府养老服务补贴、并接受居家养老服务的困难老人提供相关上门服务。若上级部门统一购买其他项目服务，并由专业从事居家养老服务的组织和机构提供服务的，要主动做好相关配合工作。</w:t>
      </w:r>
    </w:p>
    <w:p w14:paraId="197A3930">
      <w:pPr>
        <w:pStyle w:val="21"/>
        <w:keepNext w:val="0"/>
        <w:keepLines w:val="0"/>
        <w:pageBreakBefore w:val="0"/>
        <w:widowControl w:val="0"/>
        <w:kinsoku/>
        <w:wordWrap/>
        <w:overflowPunct/>
        <w:topLinePunct w:val="0"/>
        <w:autoSpaceDE/>
        <w:autoSpaceDN/>
        <w:bidi w:val="0"/>
        <w:snapToGrid/>
        <w:spacing w:line="400" w:lineRule="exact"/>
        <w:ind w:left="0" w:leftChars="0"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3.7提供医养结合、助餐、送餐等服务。同时，向辖区内的其他老年人提供无偿或有偿的上门服务。</w:t>
      </w:r>
    </w:p>
    <w:p w14:paraId="7E56FD61">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3.8在工作时间内，接到服务预约需求电话，应在10分钟内给予安排并回复。</w:t>
      </w:r>
    </w:p>
    <w:p w14:paraId="04A50717">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3.9运行资金专款专用，有详细使用记录。</w:t>
      </w:r>
    </w:p>
    <w:p w14:paraId="54E319E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3.10建立服务规范，有较为完善的员工管理考核办法，并按章实施。</w:t>
      </w:r>
    </w:p>
    <w:p w14:paraId="354A107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3.11建立社会公众、志愿者、专职服务人员等参与社会公益活动的激励机制。</w:t>
      </w:r>
    </w:p>
    <w:p w14:paraId="526C6C6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3.12能通过定期召开座谈会、设立意见箱或意见簿、询问服务对象等形式听取群众的意见和建议；服务对象提出的合理意见和建议能及时研究采纳，并在工作加以改进。</w:t>
      </w:r>
    </w:p>
    <w:p w14:paraId="6B499E4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2" w:firstLineChars="200"/>
        <w:textAlignment w:val="auto"/>
        <w:rPr>
          <w:rFonts w:hint="eastAsia" w:ascii="仿宋" w:hAnsi="仿宋" w:eastAsia="仿宋" w:cs="仿宋"/>
          <w:b/>
          <w:bCs/>
          <w:color w:val="auto"/>
          <w:kern w:val="0"/>
          <w:sz w:val="24"/>
          <w:highlight w:val="none"/>
          <w:lang w:val="en-US" w:eastAsia="zh-CN"/>
        </w:rPr>
      </w:pPr>
      <w:r>
        <w:rPr>
          <w:rFonts w:hint="eastAsia" w:ascii="仿宋" w:hAnsi="仿宋" w:eastAsia="仿宋" w:cs="仿宋"/>
          <w:b/>
          <w:bCs/>
          <w:color w:val="auto"/>
          <w:kern w:val="0"/>
          <w:sz w:val="24"/>
          <w:highlight w:val="none"/>
          <w:lang w:val="en-US" w:eastAsia="zh-CN"/>
        </w:rPr>
        <w:t>4.提供助餐服务要求</w:t>
      </w:r>
    </w:p>
    <w:p w14:paraId="07E476D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4.1积极配合上级部门对老年食堂工作的检查、考 察、评估等工作,配合做好其他单位参观、学习等工作。</w:t>
      </w:r>
    </w:p>
    <w:p w14:paraId="61841B96">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4.2应做好被服务老人的个人隐私资料的保密工作，不得随意泄露，不得利用资料谋取不正当利益。</w:t>
      </w:r>
    </w:p>
    <w:p w14:paraId="06DE0D2E">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4.3负责食堂的日常管理与运营。</w:t>
      </w:r>
    </w:p>
    <w:p w14:paraId="4118674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4.4引入具体服务项目的合作单位、社会组织应具有合法的服务资质。严禁向老年人变相推销保健产品、收取高额或不合理费用。对查证属实乱收费行为的，立即终止合同，并根据相关规定进行相应处理。</w:t>
      </w:r>
    </w:p>
    <w:p w14:paraId="00F0A17C">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4.5运营的食堂应管理制度上墙，场所卫生整洁，食堂工作人员应体检、培训合格。</w:t>
      </w:r>
    </w:p>
    <w:p w14:paraId="793F9F1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4.6如出现饭菜质量差、卫生状况差、就餐人员意见反应强烈等问题，且拒不改正，采购单位有权单方面终止协议。</w:t>
      </w:r>
    </w:p>
    <w:p w14:paraId="5B000AB2">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4.7除不可抗力事件外，不得以任何理由不及时或不充足供应甲方居民膳食。否则，乙方应赔偿由此造成的全部损失</w:t>
      </w:r>
    </w:p>
    <w:p w14:paraId="1A69B47D">
      <w:pPr>
        <w:keepNext w:val="0"/>
        <w:keepLines w:val="0"/>
        <w:pageBreakBefore w:val="0"/>
        <w:widowControl/>
        <w:kinsoku/>
        <w:wordWrap w:val="0"/>
        <w:overflowPunct/>
        <w:topLinePunct/>
        <w:autoSpaceDE/>
        <w:autoSpaceDN/>
        <w:bidi w:val="0"/>
        <w:adjustRightInd w:val="0"/>
        <w:snapToGrid w:val="0"/>
        <w:spacing w:line="400" w:lineRule="exact"/>
        <w:ind w:left="0" w:leftChars="0" w:firstLine="482" w:firstLineChars="200"/>
        <w:jc w:val="left"/>
        <w:textAlignment w:val="baseline"/>
        <w:rPr>
          <w:rFonts w:hint="default"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第五条 解除合同</w:t>
      </w:r>
    </w:p>
    <w:p w14:paraId="26252695">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有下列情形之一的，采购合同的三方当事人可以解除合同：</w:t>
      </w:r>
    </w:p>
    <w:p w14:paraId="69A8ED0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因不可抗力致使不能实现合同目的；</w:t>
      </w:r>
    </w:p>
    <w:p w14:paraId="796C477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lang w:eastAsia="zh-CN"/>
        </w:rPr>
        <w:t xml:space="preserve">在履行期限届满之前，乙方明确表示或者以自己的行为表示不履行主要义务； </w:t>
      </w:r>
    </w:p>
    <w:p w14:paraId="240D356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lang w:eastAsia="zh-CN"/>
        </w:rPr>
        <w:t>乙方迟延履行主要义务，经催告后在合理期限内仍未履行；</w:t>
      </w:r>
    </w:p>
    <w:p w14:paraId="16F5A3F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lang w:eastAsia="zh-CN"/>
        </w:rPr>
        <w:t xml:space="preserve">乙方迟延履行义务或者有其他违约行为致使不能实现合同目的； </w:t>
      </w:r>
    </w:p>
    <w:p w14:paraId="3A28CB58">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lang w:eastAsia="zh-CN"/>
        </w:rPr>
        <w:t>乙方转包，或者未经甲方同意采取分包方式履行合同；</w:t>
      </w:r>
    </w:p>
    <w:p w14:paraId="2BCF0F0B">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1.6乙方及其工作人员</w:t>
      </w:r>
      <w:r>
        <w:rPr>
          <w:rFonts w:hint="default" w:ascii="仿宋" w:hAnsi="仿宋" w:eastAsia="仿宋" w:cs="仿宋"/>
          <w:color w:val="auto"/>
          <w:kern w:val="0"/>
          <w:sz w:val="24"/>
          <w:highlight w:val="none"/>
          <w:lang w:eastAsia="zh-CN"/>
        </w:rPr>
        <w:t>发生欺老虐老情况的</w:t>
      </w:r>
      <w:r>
        <w:rPr>
          <w:rFonts w:hint="eastAsia" w:ascii="仿宋" w:hAnsi="仿宋" w:eastAsia="仿宋" w:cs="仿宋"/>
          <w:color w:val="auto"/>
          <w:kern w:val="0"/>
          <w:sz w:val="24"/>
          <w:highlight w:val="none"/>
          <w:lang w:eastAsia="zh-CN"/>
        </w:rPr>
        <w:t>；</w:t>
      </w:r>
    </w:p>
    <w:p w14:paraId="6D24821A">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1.7乙方虚假承诺，未履行投标文件中承诺的；</w:t>
      </w:r>
    </w:p>
    <w:p w14:paraId="2791C92D">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1.8乙方拖欠员工工资，工资发放不及时的；</w:t>
      </w:r>
    </w:p>
    <w:p w14:paraId="2B65DE0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480" w:firstLineChars="200"/>
        <w:textAlignment w:val="auto"/>
        <w:rPr>
          <w:rFonts w:hint="default"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1.9乙方</w:t>
      </w:r>
      <w:r>
        <w:rPr>
          <w:rFonts w:hint="eastAsia" w:ascii="仿宋" w:hAnsi="仿宋" w:eastAsia="仿宋" w:cs="仿宋"/>
          <w:color w:val="auto"/>
          <w:kern w:val="0"/>
          <w:sz w:val="24"/>
          <w:highlight w:val="none"/>
          <w:lang w:eastAsia="zh-CN"/>
        </w:rPr>
        <w:t>不按规定提供服务、不执行运行补助情况等虚假违规行为的</w:t>
      </w:r>
      <w:r>
        <w:rPr>
          <w:rFonts w:hint="default" w:ascii="仿宋" w:hAnsi="仿宋" w:eastAsia="仿宋" w:cs="仿宋"/>
          <w:color w:val="auto"/>
          <w:kern w:val="0"/>
          <w:sz w:val="24"/>
          <w:highlight w:val="none"/>
          <w:lang w:eastAsia="zh-CN"/>
        </w:rPr>
        <w:t>；</w:t>
      </w:r>
    </w:p>
    <w:p w14:paraId="798FBDC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480" w:firstLineChars="200"/>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1.10</w:t>
      </w:r>
      <w:r>
        <w:rPr>
          <w:rFonts w:hint="default" w:ascii="仿宋" w:hAnsi="仿宋" w:eastAsia="仿宋" w:cs="仿宋"/>
          <w:color w:val="auto"/>
          <w:kern w:val="0"/>
          <w:sz w:val="24"/>
          <w:highlight w:val="none"/>
          <w:lang w:eastAsia="zh-CN"/>
        </w:rPr>
        <w:t>发生重大安全责任事故或存在重大安全隐患</w:t>
      </w:r>
      <w:r>
        <w:rPr>
          <w:rFonts w:hint="eastAsia" w:ascii="仿宋" w:hAnsi="仿宋" w:eastAsia="仿宋" w:cs="仿宋"/>
          <w:color w:val="auto"/>
          <w:kern w:val="0"/>
          <w:sz w:val="24"/>
          <w:highlight w:val="none"/>
          <w:lang w:val="en-US" w:eastAsia="zh-CN"/>
        </w:rPr>
        <w:t>被职能部门勒令停业</w:t>
      </w:r>
      <w:r>
        <w:rPr>
          <w:rFonts w:hint="default" w:ascii="仿宋" w:hAnsi="仿宋" w:eastAsia="仿宋" w:cs="仿宋"/>
          <w:color w:val="auto"/>
          <w:kern w:val="0"/>
          <w:sz w:val="24"/>
          <w:highlight w:val="none"/>
          <w:lang w:eastAsia="zh-CN"/>
        </w:rPr>
        <w:t>的；</w:t>
      </w:r>
    </w:p>
    <w:p w14:paraId="796378C9">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1.11</w:t>
      </w:r>
      <w:r>
        <w:rPr>
          <w:rFonts w:hint="eastAsia" w:ascii="仿宋" w:hAnsi="仿宋" w:eastAsia="仿宋" w:cs="仿宋"/>
          <w:color w:val="auto"/>
          <w:kern w:val="0"/>
          <w:sz w:val="24"/>
          <w:highlight w:val="none"/>
          <w:lang w:eastAsia="zh-CN"/>
        </w:rPr>
        <w:t>违约金达到合同约定的最高限额；</w:t>
      </w:r>
    </w:p>
    <w:p w14:paraId="21031DC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1.12</w:t>
      </w:r>
      <w:r>
        <w:rPr>
          <w:rFonts w:hint="eastAsia" w:ascii="仿宋" w:hAnsi="仿宋" w:eastAsia="仿宋" w:cs="仿宋"/>
          <w:color w:val="auto"/>
          <w:kern w:val="0"/>
          <w:sz w:val="24"/>
          <w:highlight w:val="none"/>
          <w:lang w:eastAsia="zh-CN"/>
        </w:rPr>
        <w:t>法律法规规定的其他情形。</w:t>
      </w:r>
    </w:p>
    <w:p w14:paraId="4D414203">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2.甲方解除合同的，合同于甲方发出书面解除合同通知书送达乙方之日起解除。乙方应在合同解除后</w:t>
      </w:r>
      <w:r>
        <w:rPr>
          <w:rFonts w:hint="eastAsia" w:ascii="仿宋" w:hAnsi="仿宋" w:eastAsia="仿宋" w:cs="仿宋"/>
          <w:color w:val="auto"/>
          <w:kern w:val="0"/>
          <w:sz w:val="24"/>
          <w:highlight w:val="none"/>
          <w:u w:val="single"/>
          <w:lang w:eastAsia="zh-CN"/>
        </w:rPr>
        <w:t>10</w:t>
      </w:r>
      <w:r>
        <w:rPr>
          <w:rFonts w:hint="eastAsia" w:ascii="仿宋" w:hAnsi="仿宋" w:eastAsia="仿宋" w:cs="仿宋"/>
          <w:color w:val="auto"/>
          <w:kern w:val="0"/>
          <w:sz w:val="24"/>
          <w:highlight w:val="none"/>
          <w:lang w:eastAsia="zh-CN"/>
        </w:rPr>
        <w:t>日内退还甲方已支付的合同款，逾期退还合同款的，每日按未退还金额的</w:t>
      </w:r>
      <w:r>
        <w:rPr>
          <w:rFonts w:hint="eastAsia" w:ascii="仿宋" w:hAnsi="仿宋" w:eastAsia="仿宋" w:cs="仿宋"/>
          <w:color w:val="auto"/>
          <w:kern w:val="0"/>
          <w:sz w:val="24"/>
          <w:highlight w:val="none"/>
          <w:u w:val="single"/>
          <w:lang w:eastAsia="zh-CN"/>
        </w:rPr>
        <w:t xml:space="preserve"> 1 %</w:t>
      </w:r>
      <w:r>
        <w:rPr>
          <w:rFonts w:hint="eastAsia" w:ascii="仿宋" w:hAnsi="仿宋" w:eastAsia="仿宋" w:cs="仿宋"/>
          <w:color w:val="auto"/>
          <w:kern w:val="0"/>
          <w:sz w:val="24"/>
          <w:highlight w:val="none"/>
          <w:lang w:eastAsia="zh-CN"/>
        </w:rPr>
        <w:t>支付违约金。</w:t>
      </w:r>
    </w:p>
    <w:p w14:paraId="645BBF24">
      <w:pPr>
        <w:keepNext w:val="0"/>
        <w:keepLines w:val="0"/>
        <w:pageBreakBefore w:val="0"/>
        <w:widowControl w:val="0"/>
        <w:tabs>
          <w:tab w:val="left" w:pos="0"/>
        </w:tabs>
        <w:kinsoku/>
        <w:wordWrap/>
        <w:overflowPunct/>
        <w:topLinePunct w:val="0"/>
        <w:autoSpaceDE/>
        <w:autoSpaceDN/>
        <w:bidi w:val="0"/>
        <w:adjustRightInd w:val="0"/>
        <w:snapToGrid w:val="0"/>
        <w:spacing w:line="400" w:lineRule="exact"/>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3.因乙方的原因导致合同解除，给甲方造成损失的，乙方应予以赔偿，赔偿事宜三方协商确定。</w:t>
      </w:r>
    </w:p>
    <w:p w14:paraId="2F6C25B4">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textAlignment w:val="baseline"/>
        <w:rPr>
          <w:rFonts w:hint="eastAsia" w:ascii="仿宋" w:hAnsi="仿宋" w:eastAsia="仿宋" w:cs="仿宋"/>
          <w:b w:val="0"/>
          <w:bCs/>
          <w:color w:val="auto"/>
          <w:kern w:val="2"/>
          <w:sz w:val="24"/>
          <w:highlight w:val="none"/>
          <w:lang w:eastAsia="zh-CN"/>
        </w:rPr>
      </w:pPr>
      <w:r>
        <w:rPr>
          <w:rFonts w:hint="eastAsia" w:ascii="仿宋" w:hAnsi="仿宋" w:eastAsia="仿宋" w:cs="仿宋"/>
          <w:b w:val="0"/>
          <w:bCs/>
          <w:color w:val="auto"/>
          <w:kern w:val="2"/>
          <w:sz w:val="24"/>
          <w:highlight w:val="none"/>
          <w:lang w:val="en-US" w:eastAsia="zh-CN"/>
        </w:rPr>
        <w:t>4</w:t>
      </w:r>
      <w:r>
        <w:rPr>
          <w:rFonts w:hint="eastAsia" w:ascii="仿宋" w:hAnsi="仿宋" w:eastAsia="仿宋" w:cs="仿宋"/>
          <w:b w:val="0"/>
          <w:bCs/>
          <w:color w:val="auto"/>
          <w:kern w:val="2"/>
          <w:sz w:val="24"/>
          <w:highlight w:val="none"/>
          <w:lang w:eastAsia="zh-CN"/>
        </w:rPr>
        <w:t>.解除合同的，应当报同级财政部门备案。</w:t>
      </w:r>
    </w:p>
    <w:p w14:paraId="18E11DFD">
      <w:pPr>
        <w:keepNext w:val="0"/>
        <w:keepLines w:val="0"/>
        <w:pageBreakBefore w:val="0"/>
        <w:widowControl/>
        <w:kinsoku/>
        <w:wordWrap w:val="0"/>
        <w:overflowPunct/>
        <w:topLinePunct/>
        <w:autoSpaceDE/>
        <w:autoSpaceDN/>
        <w:bidi w:val="0"/>
        <w:adjustRightInd w:val="0"/>
        <w:snapToGrid w:val="0"/>
        <w:spacing w:line="400" w:lineRule="exact"/>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第六条 </w:t>
      </w:r>
      <w:r>
        <w:rPr>
          <w:rFonts w:hint="eastAsia" w:ascii="仿宋" w:hAnsi="仿宋" w:eastAsia="仿宋" w:cs="仿宋"/>
          <w:b/>
          <w:color w:val="auto"/>
          <w:sz w:val="24"/>
          <w:szCs w:val="24"/>
          <w:highlight w:val="none"/>
        </w:rPr>
        <w:t>资金拨付方式</w:t>
      </w:r>
    </w:p>
    <w:p w14:paraId="0C3F9AA3">
      <w:pPr>
        <w:widowControl/>
        <w:wordWrap w:val="0"/>
        <w:topLinePunct/>
        <w:snapToGrid w:val="0"/>
        <w:spacing w:line="400" w:lineRule="exact"/>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1.区域化居家养老服务付款方式：</w:t>
      </w:r>
    </w:p>
    <w:p w14:paraId="12416F2E">
      <w:pPr>
        <w:widowControl/>
        <w:wordWrap w:val="0"/>
        <w:topLinePunct/>
        <w:snapToGrid w:val="0"/>
        <w:spacing w:line="400" w:lineRule="exact"/>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1.1上门服务：</w:t>
      </w:r>
    </w:p>
    <w:p w14:paraId="1D9323FF">
      <w:pPr>
        <w:widowControl/>
        <w:wordWrap w:val="0"/>
        <w:topLinePunct/>
        <w:snapToGrid w:val="0"/>
        <w:spacing w:line="400" w:lineRule="exact"/>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甲方和所服务的街社核实每月服务明细后由街社进行支付。</w:t>
      </w:r>
    </w:p>
    <w:p w14:paraId="371F726A">
      <w:pPr>
        <w:keepNext w:val="0"/>
        <w:keepLines w:val="0"/>
        <w:pageBreakBefore w:val="0"/>
        <w:widowControl/>
        <w:kinsoku/>
        <w:wordWrap w:val="0"/>
        <w:overflowPunct/>
        <w:topLinePunct/>
        <w:autoSpaceDE/>
        <w:autoSpaceDN/>
        <w:bidi w:val="0"/>
        <w:snapToGrid w:val="0"/>
        <w:spacing w:line="400" w:lineRule="exact"/>
        <w:ind w:firstLine="480" w:firstLineChars="200"/>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pacing w:val="0"/>
          <w:kern w:val="2"/>
          <w:sz w:val="24"/>
          <w:szCs w:val="24"/>
          <w:highlight w:val="none"/>
          <w:lang w:val="en-US" w:eastAsia="zh-CN" w:bidi="ar-SA"/>
        </w:rPr>
        <w:t>本项目每月按照实际服务时间进行结算。</w:t>
      </w:r>
    </w:p>
    <w:p w14:paraId="6BB0582F">
      <w:pPr>
        <w:widowControl/>
        <w:wordWrap w:val="0"/>
        <w:topLinePunct/>
        <w:snapToGrid w:val="0"/>
        <w:spacing w:line="400" w:lineRule="exact"/>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由乙方每月按实际发生的各项服务时间，凭乙方开具的正式发票和</w:t>
      </w:r>
      <w:r>
        <w:rPr>
          <w:rFonts w:hint="eastAsia" w:ascii="仿宋" w:hAnsi="仿宋" w:eastAsia="仿宋" w:cs="仿宋"/>
          <w:b w:val="0"/>
          <w:bCs w:val="0"/>
          <w:color w:val="auto"/>
          <w:spacing w:val="0"/>
          <w:kern w:val="2"/>
          <w:sz w:val="24"/>
          <w:szCs w:val="24"/>
          <w:highlight w:val="none"/>
          <w:lang w:val="en-US" w:eastAsia="zh-CN" w:bidi="ar-SA"/>
        </w:rPr>
        <w:t>和相关台账</w:t>
      </w:r>
      <w:r>
        <w:rPr>
          <w:rFonts w:hint="eastAsia" w:ascii="仿宋" w:hAnsi="仿宋" w:eastAsia="仿宋" w:cs="仿宋"/>
          <w:b w:val="0"/>
          <w:bCs/>
          <w:color w:val="auto"/>
          <w:spacing w:val="0"/>
          <w:kern w:val="2"/>
          <w:sz w:val="24"/>
          <w:szCs w:val="24"/>
          <w:highlight w:val="none"/>
          <w:lang w:val="en-US" w:eastAsia="zh-CN" w:bidi="ar-SA"/>
        </w:rPr>
        <w:t>，向所服务的街道进行结算。</w:t>
      </w:r>
    </w:p>
    <w:p w14:paraId="17C57F73">
      <w:pPr>
        <w:widowControl/>
        <w:wordWrap w:val="0"/>
        <w:topLinePunct/>
        <w:snapToGrid w:val="0"/>
        <w:spacing w:line="400" w:lineRule="exact"/>
        <w:ind w:firstLine="482"/>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如省市要求有变化，甲方要求更换资金结算支付方式的，需改用甲方要求的支付方式，具体以双方协商为准。</w:t>
      </w:r>
    </w:p>
    <w:p w14:paraId="40880971">
      <w:pPr>
        <w:widowControl/>
        <w:wordWrap w:val="0"/>
        <w:topLinePunct/>
        <w:snapToGrid w:val="0"/>
        <w:spacing w:line="400" w:lineRule="exact"/>
        <w:ind w:leftChars="0" w:firstLine="480" w:firstLineChars="200"/>
        <w:textAlignment w:val="baseline"/>
        <w:rPr>
          <w:rFonts w:hint="eastAsia" w:ascii="仿宋" w:hAnsi="仿宋" w:eastAsia="仿宋" w:cs="仿宋"/>
          <w:b w:val="0"/>
          <w:bCs/>
          <w:color w:val="auto"/>
          <w:spacing w:val="0"/>
          <w:kern w:val="2"/>
          <w:sz w:val="24"/>
          <w:szCs w:val="24"/>
          <w:highlight w:val="none"/>
          <w:lang w:val="en-US" w:eastAsia="zh-CN" w:bidi="ar-SA"/>
        </w:rPr>
      </w:pPr>
      <w:r>
        <w:rPr>
          <w:rFonts w:hint="eastAsia" w:ascii="仿宋" w:hAnsi="仿宋" w:eastAsia="仿宋" w:cs="仿宋"/>
          <w:b w:val="0"/>
          <w:bCs/>
          <w:color w:val="auto"/>
          <w:spacing w:val="0"/>
          <w:kern w:val="2"/>
          <w:sz w:val="24"/>
          <w:szCs w:val="24"/>
          <w:highlight w:val="none"/>
          <w:lang w:val="en-US" w:eastAsia="zh-CN" w:bidi="ar-SA"/>
        </w:rPr>
        <w:t>1.2点位运营服务相关补贴：根据实际运营情况，结合考核结果由乙方</w:t>
      </w:r>
      <w:r>
        <w:rPr>
          <w:rFonts w:hint="eastAsia" w:ascii="仿宋" w:hAnsi="仿宋" w:eastAsia="仿宋" w:cs="仿宋"/>
          <w:b w:val="0"/>
          <w:bCs w:val="0"/>
          <w:color w:val="auto"/>
          <w:spacing w:val="0"/>
          <w:kern w:val="2"/>
          <w:sz w:val="24"/>
          <w:szCs w:val="24"/>
          <w:highlight w:val="none"/>
          <w:lang w:val="en-US" w:eastAsia="zh-CN" w:bidi="ar-SA"/>
        </w:rPr>
        <w:t>按要求提供相关票据与街道、社区按年度进行结算</w:t>
      </w:r>
      <w:r>
        <w:rPr>
          <w:rFonts w:hint="eastAsia" w:ascii="仿宋" w:hAnsi="仿宋" w:eastAsia="仿宋" w:cs="仿宋"/>
          <w:b w:val="0"/>
          <w:bCs/>
          <w:color w:val="auto"/>
          <w:spacing w:val="0"/>
          <w:kern w:val="2"/>
          <w:sz w:val="24"/>
          <w:szCs w:val="24"/>
          <w:highlight w:val="none"/>
          <w:lang w:val="en-US" w:eastAsia="zh-CN" w:bidi="ar-SA"/>
        </w:rPr>
        <w:t>。</w:t>
      </w:r>
    </w:p>
    <w:p w14:paraId="5CC59E35">
      <w:pPr>
        <w:keepNext w:val="0"/>
        <w:keepLines w:val="0"/>
        <w:pageBreakBefore w:val="0"/>
        <w:widowControl/>
        <w:kinsoku/>
        <w:wordWrap w:val="0"/>
        <w:overflowPunct/>
        <w:topLinePunct/>
        <w:autoSpaceDE/>
        <w:autoSpaceDN/>
        <w:bidi w:val="0"/>
        <w:adjustRightInd w:val="0"/>
        <w:snapToGrid w:val="0"/>
        <w:spacing w:line="400" w:lineRule="exact"/>
        <w:ind w:left="0" w:lef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 xml:space="preserve">第七条 </w:t>
      </w:r>
      <w:r>
        <w:rPr>
          <w:rFonts w:hint="eastAsia" w:ascii="仿宋" w:hAnsi="仿宋" w:eastAsia="仿宋" w:cs="仿宋"/>
          <w:b/>
          <w:bCs/>
          <w:color w:val="auto"/>
          <w:sz w:val="24"/>
          <w:szCs w:val="24"/>
          <w:highlight w:val="none"/>
        </w:rPr>
        <w:t>转让和分包</w:t>
      </w:r>
    </w:p>
    <w:p w14:paraId="5A5E4454">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本项目不得以任何形式进行转包和分</w:t>
      </w:r>
      <w:r>
        <w:rPr>
          <w:rFonts w:hint="eastAsia" w:ascii="仿宋" w:hAnsi="仿宋" w:eastAsia="仿宋" w:cs="仿宋"/>
          <w:b w:val="0"/>
          <w:bCs/>
          <w:color w:val="auto"/>
          <w:sz w:val="24"/>
          <w:szCs w:val="24"/>
          <w:highlight w:val="none"/>
          <w:lang w:val="en-US" w:eastAsia="zh-CN"/>
        </w:rPr>
        <w:t>包。</w:t>
      </w:r>
    </w:p>
    <w:p w14:paraId="04B32060">
      <w:pPr>
        <w:keepNext w:val="0"/>
        <w:keepLines w:val="0"/>
        <w:pageBreakBefore w:val="0"/>
        <w:widowControl/>
        <w:kinsoku/>
        <w:wordWrap w:val="0"/>
        <w:overflowPunct/>
        <w:topLinePunct/>
        <w:autoSpaceDE/>
        <w:autoSpaceDN/>
        <w:bidi w:val="0"/>
        <w:adjustRightInd w:val="0"/>
        <w:snapToGrid w:val="0"/>
        <w:spacing w:line="400" w:lineRule="exact"/>
        <w:ind w:left="0" w:leftChars="0" w:firstLine="482" w:firstLineChars="200"/>
        <w:jc w:val="left"/>
        <w:textAlignment w:val="baseline"/>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lang w:eastAsia="zh-CN"/>
        </w:rPr>
        <w:t>第</w:t>
      </w:r>
      <w:r>
        <w:rPr>
          <w:rFonts w:hint="eastAsia" w:ascii="仿宋" w:hAnsi="仿宋" w:eastAsia="仿宋" w:cs="仿宋"/>
          <w:b/>
          <w:bCs w:val="0"/>
          <w:color w:val="auto"/>
          <w:sz w:val="24"/>
          <w:szCs w:val="24"/>
          <w:highlight w:val="none"/>
          <w:lang w:val="en-US" w:eastAsia="zh-CN"/>
        </w:rPr>
        <w:t>八</w:t>
      </w:r>
      <w:r>
        <w:rPr>
          <w:rFonts w:hint="eastAsia" w:ascii="仿宋" w:hAnsi="仿宋" w:eastAsia="仿宋" w:cs="仿宋"/>
          <w:b/>
          <w:bCs w:val="0"/>
          <w:color w:val="auto"/>
          <w:sz w:val="24"/>
          <w:szCs w:val="24"/>
          <w:highlight w:val="none"/>
          <w:lang w:eastAsia="zh-CN"/>
        </w:rPr>
        <w:t>条</w:t>
      </w:r>
      <w:r>
        <w:rPr>
          <w:rFonts w:hint="eastAsia" w:ascii="仿宋" w:hAnsi="仿宋" w:eastAsia="仿宋" w:cs="仿宋"/>
          <w:b/>
          <w:bCs w:val="0"/>
          <w:color w:val="auto"/>
          <w:sz w:val="24"/>
          <w:szCs w:val="24"/>
          <w:highlight w:val="none"/>
          <w:lang w:val="en-US" w:eastAsia="zh-CN"/>
        </w:rPr>
        <w:t xml:space="preserve"> </w:t>
      </w:r>
      <w:r>
        <w:rPr>
          <w:rFonts w:hint="eastAsia" w:ascii="仿宋" w:hAnsi="仿宋" w:eastAsia="仿宋" w:cs="仿宋"/>
          <w:b/>
          <w:bCs w:val="0"/>
          <w:color w:val="auto"/>
          <w:sz w:val="24"/>
          <w:szCs w:val="24"/>
          <w:highlight w:val="none"/>
          <w:lang w:eastAsia="zh-CN"/>
        </w:rPr>
        <w:t>三方</w:t>
      </w:r>
      <w:r>
        <w:rPr>
          <w:rFonts w:hint="eastAsia" w:ascii="仿宋" w:hAnsi="仿宋" w:eastAsia="仿宋" w:cs="仿宋"/>
          <w:b/>
          <w:bCs w:val="0"/>
          <w:color w:val="auto"/>
          <w:sz w:val="24"/>
          <w:szCs w:val="24"/>
          <w:highlight w:val="none"/>
        </w:rPr>
        <w:t>权利和义务</w:t>
      </w:r>
    </w:p>
    <w:p w14:paraId="53224482">
      <w:pPr>
        <w:keepNext w:val="0"/>
        <w:keepLines w:val="0"/>
        <w:pageBreakBefore w:val="0"/>
        <w:widowControl/>
        <w:kinsoku/>
        <w:wordWrap w:val="0"/>
        <w:overflowPunct/>
        <w:topLinePunct/>
        <w:autoSpaceDE/>
        <w:autoSpaceDN/>
        <w:bidi w:val="0"/>
        <w:adjustRightInd w:val="0"/>
        <w:snapToGrid w:val="0"/>
        <w:spacing w:line="400" w:lineRule="exact"/>
        <w:ind w:left="0" w:leftChars="0" w:firstLine="482"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1.甲方权利和义务</w:t>
      </w:r>
    </w:p>
    <w:p w14:paraId="066FBCBC">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1.1甲方负责本项目的组织实施、监督管理、政策宣传推广、服务保障等工作。</w:t>
      </w:r>
    </w:p>
    <w:p w14:paraId="17ED18C9">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甲方有权随时向乙方了解项目进度</w:t>
      </w:r>
      <w:r>
        <w:rPr>
          <w:rFonts w:hint="eastAsia" w:ascii="仿宋" w:hAnsi="仿宋" w:eastAsia="仿宋" w:cs="仿宋"/>
          <w:color w:val="auto"/>
          <w:sz w:val="24"/>
          <w:szCs w:val="24"/>
          <w:highlight w:val="none"/>
          <w:lang w:eastAsia="zh-CN"/>
        </w:rPr>
        <w:t>、运行情况</w:t>
      </w:r>
      <w:r>
        <w:rPr>
          <w:rFonts w:hint="eastAsia" w:ascii="仿宋" w:hAnsi="仿宋" w:eastAsia="仿宋" w:cs="仿宋"/>
          <w:color w:val="auto"/>
          <w:sz w:val="24"/>
          <w:szCs w:val="24"/>
          <w:highlight w:val="none"/>
        </w:rPr>
        <w:t>，并要求乙方提供项目相关资料。</w:t>
      </w:r>
    </w:p>
    <w:p w14:paraId="5C330878">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甲方有权对项目资金使用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服务质量</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情况进行</w:t>
      </w:r>
      <w:r>
        <w:rPr>
          <w:rFonts w:hint="eastAsia" w:ascii="仿宋" w:hAnsi="仿宋" w:eastAsia="仿宋" w:cs="仿宋"/>
          <w:color w:val="auto"/>
          <w:sz w:val="24"/>
          <w:szCs w:val="24"/>
          <w:highlight w:val="none"/>
          <w:lang w:eastAsia="zh-CN"/>
        </w:rPr>
        <w:t>审核、</w:t>
      </w:r>
      <w:r>
        <w:rPr>
          <w:rFonts w:hint="eastAsia" w:ascii="仿宋" w:hAnsi="仿宋" w:eastAsia="仿宋" w:cs="仿宋"/>
          <w:color w:val="auto"/>
          <w:sz w:val="24"/>
          <w:szCs w:val="24"/>
          <w:highlight w:val="none"/>
        </w:rPr>
        <w:t>监督、检查，并要求乙方提供相关资料。</w:t>
      </w:r>
    </w:p>
    <w:p w14:paraId="0297C44C">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3F074A28">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甲方有权在乙方履行合同过程中出现损害或可能损害公共利益、公共安全情形时终止本合同。</w:t>
      </w:r>
    </w:p>
    <w:p w14:paraId="4C4A1512">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甲方有权根据国家政策或法律法规的变动对服务项目的需求标准和质量要求作出相应变动或者取消项目。</w:t>
      </w:r>
    </w:p>
    <w:p w14:paraId="2C07FFE0">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甲方有权将乙方履行合同情况及不符合政府购买服务管理规定情况，向相关部门报告并纳入不良信用记录、年检（报）、评估、执法等监管体系中。</w:t>
      </w:r>
    </w:p>
    <w:p w14:paraId="02104E92">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甲方应及时向乙方提供与履行本合同相关的所有必须的文件、资料。</w:t>
      </w:r>
    </w:p>
    <w:p w14:paraId="722ACF30">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甲方应为乙方履行本合同过程中与相关政府部门及其他第三方的沟通、协调提供必要的协助。</w:t>
      </w:r>
    </w:p>
    <w:p w14:paraId="1346936D">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甲方应按照合同约定支付服务费用。</w:t>
      </w:r>
    </w:p>
    <w:p w14:paraId="6E86C5BD">
      <w:pPr>
        <w:keepNext w:val="0"/>
        <w:keepLines w:val="0"/>
        <w:pageBreakBefore w:val="0"/>
        <w:widowControl/>
        <w:kinsoku/>
        <w:wordWrap w:val="0"/>
        <w:overflowPunct/>
        <w:topLinePunct/>
        <w:autoSpaceDE/>
        <w:autoSpaceDN/>
        <w:bidi w:val="0"/>
        <w:adjustRightInd w:val="0"/>
        <w:snapToGrid w:val="0"/>
        <w:spacing w:line="400" w:lineRule="exact"/>
        <w:ind w:left="0" w:lef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乙方的权利和义务</w:t>
      </w:r>
    </w:p>
    <w:p w14:paraId="69AD8511">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乙方有权按照本合同约定向甲方收取服务费用。</w:t>
      </w:r>
    </w:p>
    <w:p w14:paraId="74E9636D">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乙方有权自甲方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处获得与提供本合同项下服务相关的所有必须的文件、资料。</w:t>
      </w:r>
    </w:p>
    <w:p w14:paraId="1A52A19A">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乙方应配备具有相应资质、特定经验的工作人员负责项目实施，组建的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成员应</w:t>
      </w:r>
      <w:r>
        <w:rPr>
          <w:rFonts w:hint="eastAsia" w:ascii="仿宋" w:hAnsi="仿宋" w:eastAsia="仿宋" w:cs="仿宋"/>
          <w:color w:val="auto"/>
          <w:sz w:val="24"/>
          <w:szCs w:val="24"/>
          <w:highlight w:val="none"/>
          <w:lang w:val="en-US" w:eastAsia="zh-CN"/>
        </w:rPr>
        <w:t>确保到位到岗，</w:t>
      </w:r>
      <w:r>
        <w:rPr>
          <w:rFonts w:hint="eastAsia" w:ascii="仿宋" w:hAnsi="仿宋" w:eastAsia="仿宋" w:cs="仿宋"/>
          <w:color w:val="auto"/>
          <w:sz w:val="24"/>
          <w:szCs w:val="24"/>
          <w:highlight w:val="none"/>
        </w:rPr>
        <w:t>按照本合同约定的标准、要求和时间完成项目。</w:t>
      </w:r>
    </w:p>
    <w:p w14:paraId="40FC372E">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乙方不得以任何理由将本合同项下的服务项目转包给第三方承担。</w:t>
      </w:r>
    </w:p>
    <w:p w14:paraId="072AC0ED">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乙方应全面履行本项目实施过程中的相关安全管理职责，因乙方未尽到管理职责发生安全事故的，由乙方承担相应的法律责任。</w:t>
      </w:r>
    </w:p>
    <w:p w14:paraId="07CCCDF4">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乙方承诺根据本合同提供的服务及相关的技术资料，均已取得有关知识产权的权利人的合法授权。如发生涉及到专利权、著作权、商标权等争议，乙方负责处理并承担由此引起的全部法律及经济责任。</w:t>
      </w:r>
    </w:p>
    <w:p w14:paraId="0AA70E6E">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乙方应接受并配合甲方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或甲方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组织的对本合同履行情况的监督与检查，对于甲方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指出的问题，应及时作出合理解释或予以纠正。</w:t>
      </w:r>
    </w:p>
    <w:p w14:paraId="2E0ED812">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乙方应对</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资金进行规范的财务管理和会计核算，加强自身监督，确保资金规范管理和使用。</w:t>
      </w:r>
    </w:p>
    <w:p w14:paraId="0A5FF591">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2.9乙方应建立健全管理与报告制度，按要求向甲方、丙方提供项目执行情况、服务总结等材料，并配合甲方、丙方及甲方、丙方组织的监督检查。</w:t>
      </w:r>
    </w:p>
    <w:p w14:paraId="1536677D">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2.10乙方不得隐瞒、虚报单位资质、资格、人员及违法行为被禁止或限制参加政府采购活动等情况。</w:t>
      </w:r>
    </w:p>
    <w:p w14:paraId="73DBCC07">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2.11乙方有权监督第二阶段确定成交乙方方式。</w:t>
      </w:r>
    </w:p>
    <w:p w14:paraId="44D3843B">
      <w:pPr>
        <w:keepNext w:val="0"/>
        <w:keepLines w:val="0"/>
        <w:pageBreakBefore w:val="0"/>
        <w:widowControl/>
        <w:numPr>
          <w:ilvl w:val="0"/>
          <w:numId w:val="0"/>
        </w:numPr>
        <w:kinsoku/>
        <w:wordWrap w:val="0"/>
        <w:overflowPunct/>
        <w:topLinePunct/>
        <w:autoSpaceDE/>
        <w:autoSpaceDN/>
        <w:bidi w:val="0"/>
        <w:adjustRightInd w:val="0"/>
        <w:snapToGrid w:val="0"/>
        <w:spacing w:line="400" w:lineRule="exact"/>
        <w:ind w:left="0" w:leftChars="0" w:firstLine="482" w:firstLineChars="200"/>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b/>
          <w:bCs/>
          <w:color w:val="auto"/>
          <w:sz w:val="24"/>
          <w:szCs w:val="24"/>
          <w:highlight w:val="none"/>
          <w:lang w:val="en-US" w:eastAsia="zh-CN"/>
        </w:rPr>
        <w:t>丙方的权利和义务</w:t>
      </w:r>
    </w:p>
    <w:p w14:paraId="59CBD587">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3.1丙方负责本街道辖区范围内养老服务“爱心卡”的组织实施、监督管理、政策宣传推广、投诉案件受理及处理、信息上报、服务保障等工作。</w:t>
      </w:r>
    </w:p>
    <w:p w14:paraId="582EA67B">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方有权随时向乙方了解</w:t>
      </w:r>
      <w:r>
        <w:rPr>
          <w:rFonts w:hint="eastAsia" w:ascii="仿宋" w:hAnsi="仿宋" w:eastAsia="仿宋" w:cs="仿宋"/>
          <w:color w:val="auto"/>
          <w:sz w:val="24"/>
          <w:szCs w:val="24"/>
          <w:highlight w:val="none"/>
          <w:lang w:eastAsia="zh-CN"/>
        </w:rPr>
        <w:t>本街道辖区范围内服务</w:t>
      </w:r>
      <w:r>
        <w:rPr>
          <w:rFonts w:hint="eastAsia" w:ascii="仿宋" w:hAnsi="仿宋" w:eastAsia="仿宋" w:cs="仿宋"/>
          <w:color w:val="auto"/>
          <w:sz w:val="24"/>
          <w:szCs w:val="24"/>
          <w:highlight w:val="none"/>
        </w:rPr>
        <w:t>进度</w:t>
      </w:r>
      <w:r>
        <w:rPr>
          <w:rFonts w:hint="eastAsia" w:ascii="仿宋" w:hAnsi="仿宋" w:eastAsia="仿宋" w:cs="仿宋"/>
          <w:color w:val="auto"/>
          <w:sz w:val="24"/>
          <w:szCs w:val="24"/>
          <w:highlight w:val="none"/>
          <w:lang w:eastAsia="zh-CN"/>
        </w:rPr>
        <w:t>、运行情况</w:t>
      </w:r>
      <w:r>
        <w:rPr>
          <w:rFonts w:hint="eastAsia" w:ascii="仿宋" w:hAnsi="仿宋" w:eastAsia="仿宋" w:cs="仿宋"/>
          <w:color w:val="auto"/>
          <w:sz w:val="24"/>
          <w:szCs w:val="24"/>
          <w:highlight w:val="none"/>
        </w:rPr>
        <w:t>，并要求乙方提供</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相关资料。</w:t>
      </w:r>
    </w:p>
    <w:p w14:paraId="0785D716">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3.3丙</w:t>
      </w:r>
      <w:r>
        <w:rPr>
          <w:rFonts w:hint="eastAsia" w:ascii="仿宋" w:hAnsi="仿宋" w:eastAsia="仿宋" w:cs="仿宋"/>
          <w:color w:val="auto"/>
          <w:sz w:val="24"/>
          <w:szCs w:val="24"/>
          <w:highlight w:val="none"/>
        </w:rPr>
        <w:t>方有权对</w:t>
      </w:r>
      <w:r>
        <w:rPr>
          <w:rFonts w:hint="eastAsia" w:ascii="仿宋" w:hAnsi="仿宋" w:eastAsia="仿宋" w:cs="仿宋"/>
          <w:color w:val="auto"/>
          <w:sz w:val="24"/>
          <w:szCs w:val="24"/>
          <w:highlight w:val="none"/>
          <w:lang w:eastAsia="zh-CN"/>
        </w:rPr>
        <w:t>本街道辖区范围内服务</w:t>
      </w:r>
      <w:r>
        <w:rPr>
          <w:rFonts w:hint="eastAsia" w:ascii="仿宋" w:hAnsi="仿宋" w:eastAsia="仿宋" w:cs="仿宋"/>
          <w:color w:val="auto"/>
          <w:sz w:val="24"/>
          <w:szCs w:val="24"/>
          <w:highlight w:val="none"/>
        </w:rPr>
        <w:t>资金使用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服务质量</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情况进行</w:t>
      </w:r>
      <w:r>
        <w:rPr>
          <w:rFonts w:hint="eastAsia" w:ascii="仿宋" w:hAnsi="仿宋" w:eastAsia="仿宋" w:cs="仿宋"/>
          <w:color w:val="auto"/>
          <w:sz w:val="24"/>
          <w:szCs w:val="24"/>
          <w:highlight w:val="none"/>
          <w:lang w:eastAsia="zh-CN"/>
        </w:rPr>
        <w:t>审核、</w:t>
      </w:r>
      <w:r>
        <w:rPr>
          <w:rFonts w:hint="eastAsia" w:ascii="仿宋" w:hAnsi="仿宋" w:eastAsia="仿宋" w:cs="仿宋"/>
          <w:color w:val="auto"/>
          <w:sz w:val="24"/>
          <w:szCs w:val="24"/>
          <w:highlight w:val="none"/>
        </w:rPr>
        <w:t>监督、检查</w:t>
      </w:r>
      <w:r>
        <w:rPr>
          <w:rFonts w:hint="eastAsia" w:ascii="仿宋" w:hAnsi="仿宋" w:eastAsia="仿宋" w:cs="仿宋"/>
          <w:color w:val="auto"/>
          <w:sz w:val="24"/>
          <w:szCs w:val="24"/>
          <w:highlight w:val="none"/>
          <w:lang w:eastAsia="zh-CN"/>
        </w:rPr>
        <w:t>、汇总、上报等</w:t>
      </w:r>
      <w:r>
        <w:rPr>
          <w:rFonts w:hint="eastAsia" w:ascii="仿宋" w:hAnsi="仿宋" w:eastAsia="仿宋" w:cs="仿宋"/>
          <w:color w:val="auto"/>
          <w:sz w:val="24"/>
          <w:szCs w:val="24"/>
          <w:highlight w:val="none"/>
        </w:rPr>
        <w:t>，并要求乙方提供相关资料。</w:t>
      </w:r>
    </w:p>
    <w:p w14:paraId="26FB4DED">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有权按照本合同约定或有关法律法规，对本</w:t>
      </w:r>
      <w:r>
        <w:rPr>
          <w:rFonts w:hint="eastAsia" w:ascii="仿宋" w:hAnsi="仿宋" w:eastAsia="仿宋" w:cs="仿宋"/>
          <w:color w:val="auto"/>
          <w:sz w:val="24"/>
          <w:szCs w:val="24"/>
          <w:highlight w:val="none"/>
          <w:lang w:eastAsia="zh-CN"/>
        </w:rPr>
        <w:t>辖区范围内服务情况</w:t>
      </w:r>
      <w:r>
        <w:rPr>
          <w:rFonts w:hint="eastAsia" w:ascii="仿宋" w:hAnsi="仿宋" w:eastAsia="仿宋" w:cs="仿宋"/>
          <w:color w:val="auto"/>
          <w:sz w:val="24"/>
          <w:szCs w:val="24"/>
          <w:highlight w:val="none"/>
        </w:rPr>
        <w:t>进行监督和检查，有权要求乙方按照监督检查情况制定相应措施并加以整改。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不因行使该监督和检查权而承担任何责任，也不因此减轻或免除乙方根据本合同约定或相关法律法规规定应承担的任何义务或责任。</w:t>
      </w:r>
    </w:p>
    <w:p w14:paraId="48879044">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方有权在乙方履行合同过程中出现损害或可能损害公共利益、公共安全情形时</w:t>
      </w:r>
      <w:r>
        <w:rPr>
          <w:rFonts w:hint="eastAsia" w:ascii="仿宋" w:hAnsi="仿宋" w:eastAsia="仿宋" w:cs="仿宋"/>
          <w:color w:val="auto"/>
          <w:sz w:val="24"/>
          <w:szCs w:val="24"/>
          <w:highlight w:val="none"/>
          <w:lang w:eastAsia="zh-CN"/>
        </w:rPr>
        <w:t>及时上报给甲方，经甲方审核通过后</w:t>
      </w:r>
      <w:r>
        <w:rPr>
          <w:rFonts w:hint="eastAsia" w:ascii="仿宋" w:hAnsi="仿宋" w:eastAsia="仿宋" w:cs="仿宋"/>
          <w:color w:val="auto"/>
          <w:sz w:val="24"/>
          <w:szCs w:val="24"/>
          <w:highlight w:val="none"/>
        </w:rPr>
        <w:t>终止本合同。</w:t>
      </w:r>
    </w:p>
    <w:p w14:paraId="5657CEB3">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方有权将乙方履行合同情况及不符合政府购买服务管理规定情况，向相关部门报告。</w:t>
      </w:r>
    </w:p>
    <w:p w14:paraId="79267025">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方应及时向乙方提供与履行本合同相关的所有必须的文件、资料。</w:t>
      </w:r>
    </w:p>
    <w:p w14:paraId="210A738D">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方应为乙方履行本合同过程中与相关政府部门及其他第三方的沟通、协调提供必要的协助。</w:t>
      </w:r>
    </w:p>
    <w:p w14:paraId="2FEA9498">
      <w:pPr>
        <w:keepNext w:val="0"/>
        <w:keepLines w:val="0"/>
        <w:pageBreakBefore w:val="0"/>
        <w:widowControl/>
        <w:kinsoku/>
        <w:wordWrap w:val="0"/>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r>
        <w:rPr>
          <w:rFonts w:hint="eastAsia" w:ascii="仿宋" w:hAnsi="仿宋" w:eastAsia="仿宋" w:cs="仿宋"/>
          <w:color w:val="auto"/>
          <w:sz w:val="24"/>
          <w:szCs w:val="24"/>
          <w:highlight w:val="none"/>
          <w:lang w:eastAsia="zh-CN"/>
        </w:rPr>
        <w:t xml:space="preserve"> 丙方应按照合同约定及时向甲方上报相应的服务监管情况</w:t>
      </w:r>
      <w:r>
        <w:rPr>
          <w:rFonts w:hint="eastAsia" w:ascii="仿宋" w:hAnsi="仿宋" w:eastAsia="仿宋" w:cs="仿宋"/>
          <w:color w:val="auto"/>
          <w:sz w:val="24"/>
          <w:szCs w:val="24"/>
          <w:highlight w:val="none"/>
        </w:rPr>
        <w:t>。</w:t>
      </w:r>
    </w:p>
    <w:p w14:paraId="5CCC7224">
      <w:pPr>
        <w:pageBreakBefore w:val="0"/>
        <w:kinsoku/>
        <w:overflowPunct/>
        <w:autoSpaceDE/>
        <w:autoSpaceDN/>
        <w:bidi w:val="0"/>
        <w:adjustRightInd w:val="0"/>
        <w:snapToGrid w:val="0"/>
        <w:spacing w:line="400" w:lineRule="exact"/>
        <w:ind w:left="0"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w:t>
      </w:r>
      <w:r>
        <w:rPr>
          <w:rFonts w:hint="eastAsia" w:ascii="仿宋" w:hAnsi="仿宋" w:eastAsia="仿宋" w:cs="仿宋"/>
          <w:b/>
          <w:bCs/>
          <w:color w:val="auto"/>
          <w:kern w:val="0"/>
          <w:sz w:val="24"/>
          <w:szCs w:val="24"/>
          <w:highlight w:val="none"/>
          <w:lang w:val="en-US" w:eastAsia="zh-CN"/>
        </w:rPr>
        <w:t>九</w:t>
      </w:r>
      <w:r>
        <w:rPr>
          <w:rFonts w:hint="eastAsia" w:ascii="仿宋" w:hAnsi="仿宋" w:eastAsia="仿宋" w:cs="仿宋"/>
          <w:b/>
          <w:bCs/>
          <w:color w:val="auto"/>
          <w:kern w:val="0"/>
          <w:sz w:val="24"/>
          <w:szCs w:val="24"/>
          <w:highlight w:val="none"/>
        </w:rPr>
        <w:t xml:space="preserve">条 </w:t>
      </w:r>
      <w:r>
        <w:rPr>
          <w:rFonts w:hint="eastAsia" w:ascii="仿宋" w:hAnsi="仿宋" w:eastAsia="仿宋" w:cs="仿宋"/>
          <w:b/>
          <w:bCs/>
          <w:color w:val="auto"/>
          <w:kern w:val="0"/>
          <w:sz w:val="24"/>
          <w:szCs w:val="24"/>
          <w:highlight w:val="none"/>
          <w:lang w:eastAsia="zh-CN"/>
        </w:rPr>
        <w:t>三方</w:t>
      </w:r>
      <w:r>
        <w:rPr>
          <w:rFonts w:hint="eastAsia" w:ascii="仿宋" w:hAnsi="仿宋" w:eastAsia="仿宋" w:cs="仿宋"/>
          <w:b/>
          <w:bCs/>
          <w:color w:val="auto"/>
          <w:kern w:val="0"/>
          <w:sz w:val="24"/>
          <w:szCs w:val="24"/>
          <w:highlight w:val="none"/>
        </w:rPr>
        <w:t>保密协议</w:t>
      </w:r>
    </w:p>
    <w:p w14:paraId="6D1E8759">
      <w:pPr>
        <w:pageBreakBefore w:val="0"/>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乙方对履行本服务期限间知悉的甲方</w:t>
      </w:r>
      <w:r>
        <w:rPr>
          <w:rFonts w:hint="eastAsia" w:ascii="仿宋" w:hAnsi="仿宋" w:eastAsia="仿宋" w:cs="仿宋"/>
          <w:color w:val="auto"/>
          <w:kern w:val="0"/>
          <w:sz w:val="24"/>
          <w:szCs w:val="24"/>
          <w:highlight w:val="none"/>
          <w:lang w:eastAsia="zh-CN"/>
        </w:rPr>
        <w:t>、丙方</w:t>
      </w:r>
      <w:r>
        <w:rPr>
          <w:rFonts w:hint="eastAsia" w:ascii="仿宋" w:hAnsi="仿宋" w:eastAsia="仿宋" w:cs="仿宋"/>
          <w:color w:val="auto"/>
          <w:kern w:val="0"/>
          <w:sz w:val="24"/>
          <w:szCs w:val="24"/>
          <w:highlight w:val="none"/>
        </w:rPr>
        <w:t>秘密附有保密责任，且乙方的保密责任不因本合同的终止而终止。</w:t>
      </w:r>
    </w:p>
    <w:p w14:paraId="4E250938">
      <w:pPr>
        <w:pageBreakBefore w:val="0"/>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未经甲方</w:t>
      </w:r>
      <w:r>
        <w:rPr>
          <w:rFonts w:hint="eastAsia" w:ascii="仿宋" w:hAnsi="仿宋" w:eastAsia="仿宋" w:cs="仿宋"/>
          <w:color w:val="auto"/>
          <w:kern w:val="0"/>
          <w:sz w:val="24"/>
          <w:szCs w:val="24"/>
          <w:highlight w:val="none"/>
          <w:lang w:eastAsia="zh-CN"/>
        </w:rPr>
        <w:t>、丙方</w:t>
      </w:r>
      <w:r>
        <w:rPr>
          <w:rFonts w:hint="eastAsia" w:ascii="仿宋" w:hAnsi="仿宋" w:eastAsia="仿宋" w:cs="仿宋"/>
          <w:color w:val="auto"/>
          <w:kern w:val="0"/>
          <w:sz w:val="24"/>
          <w:szCs w:val="24"/>
          <w:highlight w:val="none"/>
        </w:rPr>
        <w:t>同意，乙方服务人员不得擅自记录、复印、拍摄、摘抄、收藏甲方单位的任何文件资料和信息，不得随意翻阅与工作无关的文件和资料，严禁将甲方单位内部会议、谈话内容泄露给第三方。</w:t>
      </w:r>
    </w:p>
    <w:p w14:paraId="53EBF803">
      <w:pPr>
        <w:pageBreakBefore w:val="0"/>
        <w:kinsoku/>
        <w:overflowPunct/>
        <w:autoSpaceDE/>
        <w:autoSpaceDN/>
        <w:bidi w:val="0"/>
        <w:adjustRightInd w:val="0"/>
        <w:snapToGrid w:val="0"/>
        <w:spacing w:line="400" w:lineRule="exact"/>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违约责任</w:t>
      </w:r>
    </w:p>
    <w:p w14:paraId="7FDC0346">
      <w:pPr>
        <w:keepNext w:val="0"/>
        <w:keepLines w:val="0"/>
        <w:pageBreakBefore w:val="0"/>
        <w:numPr>
          <w:ilvl w:val="0"/>
          <w:numId w:val="0"/>
        </w:numPr>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除不可抗力外，如果乙方没有按照本</w:t>
      </w:r>
      <w:r>
        <w:rPr>
          <w:rFonts w:hint="eastAsia" w:ascii="仿宋" w:hAnsi="仿宋" w:eastAsia="仿宋" w:cs="仿宋"/>
          <w:color w:val="auto"/>
          <w:sz w:val="24"/>
          <w:szCs w:val="24"/>
          <w:highlight w:val="none"/>
          <w:lang w:val="en-US" w:eastAsia="zh-CN"/>
        </w:rPr>
        <w:t>协议</w:t>
      </w:r>
      <w:r>
        <w:rPr>
          <w:rFonts w:hint="eastAsia" w:ascii="仿宋" w:hAnsi="仿宋" w:eastAsia="仿宋" w:cs="仿宋"/>
          <w:color w:val="auto"/>
          <w:sz w:val="24"/>
          <w:szCs w:val="24"/>
          <w:highlight w:val="none"/>
        </w:rPr>
        <w:t>约定的期限、地点和方式服务的，那么甲方可要求乙方支付违约金，违约金每日按</w:t>
      </w:r>
      <w:r>
        <w:rPr>
          <w:rFonts w:hint="eastAsia" w:ascii="仿宋" w:hAnsi="仿宋" w:eastAsia="仿宋" w:cs="仿宋"/>
          <w:color w:val="auto"/>
          <w:sz w:val="24"/>
          <w:szCs w:val="24"/>
          <w:highlight w:val="none"/>
          <w:lang w:val="en-US" w:eastAsia="zh-CN"/>
        </w:rPr>
        <w:t>1000元</w:t>
      </w:r>
      <w:r>
        <w:rPr>
          <w:rFonts w:hint="eastAsia" w:ascii="仿宋" w:hAnsi="仿宋" w:eastAsia="仿宋" w:cs="仿宋"/>
          <w:color w:val="auto"/>
          <w:sz w:val="24"/>
          <w:szCs w:val="24"/>
          <w:highlight w:val="none"/>
        </w:rPr>
        <w:t>计算，最高限额为</w:t>
      </w:r>
      <w:r>
        <w:rPr>
          <w:rFonts w:hint="eastAsia" w:ascii="仿宋" w:hAnsi="仿宋" w:eastAsia="仿宋" w:cs="仿宋"/>
          <w:color w:val="auto"/>
          <w:sz w:val="24"/>
          <w:szCs w:val="24"/>
          <w:highlight w:val="none"/>
          <w:lang w:val="en-US" w:eastAsia="zh-CN"/>
        </w:rPr>
        <w:t>2万元</w:t>
      </w:r>
      <w:r>
        <w:rPr>
          <w:rFonts w:hint="eastAsia" w:ascii="仿宋" w:hAnsi="仿宋" w:eastAsia="仿宋" w:cs="仿宋"/>
          <w:color w:val="auto"/>
          <w:sz w:val="24"/>
          <w:szCs w:val="24"/>
          <w:highlight w:val="none"/>
        </w:rPr>
        <w:t>；违约金计算数额达到前述最高限额之日起，甲方有权在要求乙方支付违约金的同时，书面通知乙方解除本合同；</w:t>
      </w:r>
    </w:p>
    <w:p w14:paraId="12D312EB">
      <w:pPr>
        <w:keepNext w:val="0"/>
        <w:keepLines w:val="0"/>
        <w:pageBreakBefore w:val="0"/>
        <w:numPr>
          <w:ilvl w:val="0"/>
          <w:numId w:val="0"/>
        </w:numPr>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w:t>
      </w:r>
      <w:r>
        <w:rPr>
          <w:rFonts w:hint="eastAsia" w:ascii="仿宋" w:hAnsi="仿宋" w:eastAsia="仿宋" w:cs="仿宋"/>
          <w:color w:val="auto"/>
          <w:sz w:val="24"/>
          <w:szCs w:val="24"/>
          <w:highlight w:val="none"/>
          <w:u w:val="single"/>
          <w:lang w:val="en-US" w:eastAsia="zh-CN"/>
        </w:rPr>
        <w:t>1万元</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1C1503DC">
      <w:pPr>
        <w:keepNext w:val="0"/>
        <w:keepLines w:val="0"/>
        <w:pageBreakBefore w:val="0"/>
        <w:numPr>
          <w:ilvl w:val="0"/>
          <w:numId w:val="0"/>
        </w:numPr>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71E47121">
      <w:pPr>
        <w:keepNext w:val="0"/>
        <w:keepLines w:val="0"/>
        <w:pageBreakBefore w:val="0"/>
        <w:numPr>
          <w:ilvl w:val="0"/>
          <w:numId w:val="0"/>
        </w:numPr>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D2325B8">
      <w:pPr>
        <w:keepNext w:val="0"/>
        <w:keepLines w:val="0"/>
        <w:pageBreakBefore w:val="0"/>
        <w:numPr>
          <w:ilvl w:val="0"/>
          <w:numId w:val="0"/>
        </w:numPr>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5</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BCF4196">
      <w:pPr>
        <w:keepNext w:val="0"/>
        <w:keepLines w:val="0"/>
        <w:pageBreakBefore w:val="0"/>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如果出现政府采购监督管理部门在处理投诉事项期间，书面通知甲方暂停采购活动的情形，或者询问或质疑事项可能影响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结果的，导致甲方中止履行合同的情形，均不视为甲方违约。</w:t>
      </w:r>
    </w:p>
    <w:p w14:paraId="79BA7103">
      <w:pPr>
        <w:pageBreakBefore w:val="0"/>
        <w:kinsoku/>
        <w:overflowPunct/>
        <w:autoSpaceDE/>
        <w:autoSpaceDN/>
        <w:bidi w:val="0"/>
        <w:adjustRightInd w:val="0"/>
        <w:snapToGrid w:val="0"/>
        <w:spacing w:line="400" w:lineRule="exact"/>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不可抗力事件处理</w:t>
      </w:r>
    </w:p>
    <w:p w14:paraId="5E790820">
      <w:pPr>
        <w:pageBreakBefore w:val="0"/>
        <w:widowControl/>
        <w:shd w:val="clear" w:color="auto"/>
        <w:kinsoku/>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1.在合同有效期内，因不可抗力事件导致不能履行合同，则合同履行至合同到期日止。</w:t>
      </w:r>
    </w:p>
    <w:p w14:paraId="180C41E0">
      <w:pPr>
        <w:pageBreakBefore w:val="0"/>
        <w:widowControl/>
        <w:shd w:val="clear" w:color="auto"/>
        <w:kinsoku/>
        <w:overflowPunct/>
        <w:topLinePunct/>
        <w:autoSpaceDE/>
        <w:autoSpaceDN/>
        <w:bidi w:val="0"/>
        <w:adjustRightInd w:val="0"/>
        <w:snapToGrid w:val="0"/>
        <w:spacing w:line="400" w:lineRule="exact"/>
        <w:ind w:left="0" w:lef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2.不可抗力事件发生后，应立即通知对方，并寄送有关权威机构出具的证明。</w:t>
      </w:r>
    </w:p>
    <w:p w14:paraId="66DFEABE">
      <w:pPr>
        <w:pageBreakBefore w:val="0"/>
        <w:kinsoku/>
        <w:overflowPunct/>
        <w:autoSpaceDE/>
        <w:autoSpaceDN/>
        <w:bidi w:val="0"/>
        <w:adjustRightInd w:val="0"/>
        <w:snapToGrid w:val="0"/>
        <w:spacing w:line="400" w:lineRule="exact"/>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争议的解决</w:t>
      </w:r>
    </w:p>
    <w:p w14:paraId="67118192">
      <w:pPr>
        <w:pageBreakBefore w:val="0"/>
        <w:kinsoku/>
        <w:overflowPunct/>
        <w:autoSpaceDE/>
        <w:autoSpaceDN/>
        <w:bidi w:val="0"/>
        <w:adjustRightInd w:val="0"/>
        <w:snapToGrid w:val="0"/>
        <w:spacing w:line="400" w:lineRule="exact"/>
        <w:ind w:left="0" w:leftChars="0"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本合同为政府采购之合同，在发生服务质量问题时，甲方</w:t>
      </w:r>
      <w:r>
        <w:rPr>
          <w:rFonts w:hint="eastAsia" w:ascii="仿宋" w:hAnsi="仿宋" w:eastAsia="仿宋" w:cs="仿宋"/>
          <w:bCs/>
          <w:color w:val="auto"/>
          <w:sz w:val="24"/>
          <w:szCs w:val="24"/>
          <w:highlight w:val="none"/>
          <w:lang w:eastAsia="zh-CN"/>
        </w:rPr>
        <w:t>、丙方</w:t>
      </w:r>
      <w:r>
        <w:rPr>
          <w:rFonts w:hint="eastAsia" w:ascii="仿宋" w:hAnsi="仿宋" w:eastAsia="仿宋" w:cs="仿宋"/>
          <w:bCs/>
          <w:color w:val="auto"/>
          <w:sz w:val="24"/>
          <w:szCs w:val="24"/>
          <w:highlight w:val="none"/>
        </w:rPr>
        <w:t>有权直接向乙方索赔，签订必要的书面处理协议。如协商不成，可向甲方所在地法院起诉。</w:t>
      </w:r>
    </w:p>
    <w:p w14:paraId="12B2F0A5">
      <w:pPr>
        <w:pageBreakBefore w:val="0"/>
        <w:kinsoku/>
        <w:overflowPunct/>
        <w:autoSpaceDE/>
        <w:autoSpaceDN/>
        <w:bidi w:val="0"/>
        <w:adjustRightInd w:val="0"/>
        <w:snapToGrid w:val="0"/>
        <w:spacing w:line="400" w:lineRule="exact"/>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适用法律</w:t>
      </w:r>
    </w:p>
    <w:p w14:paraId="56EA9303">
      <w:pPr>
        <w:pageBreakBefore w:val="0"/>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本合同按照中华人民共和国现行法律、法规进行解释。</w:t>
      </w:r>
    </w:p>
    <w:p w14:paraId="0D1530AB">
      <w:pPr>
        <w:pageBreakBefore w:val="0"/>
        <w:kinsoku/>
        <w:overflowPunct/>
        <w:autoSpaceDE/>
        <w:autoSpaceDN/>
        <w:bidi w:val="0"/>
        <w:adjustRightInd w:val="0"/>
        <w:snapToGrid w:val="0"/>
        <w:spacing w:line="400" w:lineRule="exact"/>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合同的生效</w:t>
      </w:r>
    </w:p>
    <w:p w14:paraId="60F252F3">
      <w:pPr>
        <w:pageBreakBefore w:val="0"/>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本合同经</w:t>
      </w:r>
      <w:r>
        <w:rPr>
          <w:rFonts w:hint="eastAsia" w:ascii="仿宋" w:hAnsi="仿宋" w:eastAsia="仿宋" w:cs="仿宋"/>
          <w:color w:val="auto"/>
          <w:sz w:val="24"/>
          <w:szCs w:val="24"/>
          <w:highlight w:val="none"/>
          <w:lang w:val="en-US" w:eastAsia="zh-CN"/>
        </w:rPr>
        <w:t>甲乙丙三方</w:t>
      </w:r>
      <w:r>
        <w:rPr>
          <w:rFonts w:hint="eastAsia" w:ascii="仿宋" w:hAnsi="仿宋" w:eastAsia="仿宋" w:cs="仿宋"/>
          <w:color w:val="auto"/>
          <w:sz w:val="24"/>
          <w:szCs w:val="24"/>
          <w:highlight w:val="none"/>
        </w:rPr>
        <w:t>加盖公章后生效。</w:t>
      </w:r>
    </w:p>
    <w:p w14:paraId="7755EDE5">
      <w:pPr>
        <w:pageBreakBefore w:val="0"/>
        <w:kinsoku/>
        <w:overflowPunct/>
        <w:autoSpaceDE/>
        <w:autoSpaceDN/>
        <w:bidi w:val="0"/>
        <w:adjustRightInd w:val="0"/>
        <w:snapToGrid w:val="0"/>
        <w:spacing w:line="400" w:lineRule="exact"/>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份，甲乙</w:t>
      </w:r>
      <w:r>
        <w:rPr>
          <w:rFonts w:hint="eastAsia" w:ascii="仿宋" w:hAnsi="仿宋" w:eastAsia="仿宋" w:cs="仿宋"/>
          <w:color w:val="auto"/>
          <w:sz w:val="24"/>
          <w:szCs w:val="24"/>
          <w:highlight w:val="none"/>
          <w:lang w:eastAsia="zh-CN"/>
        </w:rPr>
        <w:t>丙三方</w:t>
      </w:r>
      <w:r>
        <w:rPr>
          <w:rFonts w:hint="eastAsia" w:ascii="仿宋" w:hAnsi="仿宋" w:eastAsia="仿宋" w:cs="仿宋"/>
          <w:color w:val="auto"/>
          <w:sz w:val="24"/>
          <w:szCs w:val="24"/>
          <w:highlight w:val="none"/>
        </w:rPr>
        <w:t>各执</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w:t>
      </w:r>
    </w:p>
    <w:p w14:paraId="5D311E68">
      <w:pPr>
        <w:pageBreakBefore w:val="0"/>
        <w:kinsoku/>
        <w:overflowPunct/>
        <w:autoSpaceDE/>
        <w:autoSpaceDN/>
        <w:bidi w:val="0"/>
        <w:adjustRightInd w:val="0"/>
        <w:snapToGrid w:val="0"/>
        <w:spacing w:line="400" w:lineRule="exact"/>
        <w:ind w:left="4440" w:leftChars="0" w:hanging="4440" w:hangingChars="1850"/>
        <w:rPr>
          <w:rFonts w:hint="eastAsia" w:ascii="仿宋" w:hAnsi="仿宋" w:eastAsia="仿宋" w:cs="仿宋"/>
          <w:color w:val="auto"/>
          <w:sz w:val="24"/>
          <w:szCs w:val="24"/>
          <w:highlight w:val="none"/>
        </w:rPr>
      </w:pPr>
    </w:p>
    <w:p w14:paraId="3BF61674">
      <w:pPr>
        <w:pageBreakBefore w:val="0"/>
        <w:kinsoku/>
        <w:overflowPunct/>
        <w:autoSpaceDE/>
        <w:autoSpaceDN/>
        <w:bidi w:val="0"/>
        <w:adjustRightInd w:val="0"/>
        <w:snapToGrid w:val="0"/>
        <w:spacing w:line="400" w:lineRule="exact"/>
        <w:ind w:left="4440" w:leftChars="0" w:hanging="4440" w:hangingChars="18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乙方（公章）：</w:t>
      </w:r>
    </w:p>
    <w:p w14:paraId="2220F391">
      <w:pPr>
        <w:pageBreakBefore w:val="0"/>
        <w:kinsoku/>
        <w:overflowPunct/>
        <w:autoSpaceDE/>
        <w:autoSpaceDN/>
        <w:bidi w:val="0"/>
        <w:adjustRightInd w:val="0"/>
        <w:snapToGrid w:val="0"/>
        <w:spacing w:line="400" w:lineRule="exact"/>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法定代表人或受委托人（签字）         法定代表人或受委托人（签字）</w:t>
      </w:r>
    </w:p>
    <w:p w14:paraId="6DD1ED44">
      <w:pPr>
        <w:pageBreakBefore w:val="0"/>
        <w:kinsoku/>
        <w:overflowPunct/>
        <w:autoSpaceDE/>
        <w:autoSpaceDN/>
        <w:bidi w:val="0"/>
        <w:adjustRightInd w:val="0"/>
        <w:snapToGrid w:val="0"/>
        <w:spacing w:line="400" w:lineRule="exact"/>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358347D3">
      <w:pPr>
        <w:pageBreakBefore w:val="0"/>
        <w:kinsoku/>
        <w:overflowPunct/>
        <w:autoSpaceDE/>
        <w:autoSpaceDN/>
        <w:bidi w:val="0"/>
        <w:adjustRightInd w:val="0"/>
        <w:snapToGrid w:val="0"/>
        <w:spacing w:line="400" w:lineRule="exact"/>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2625D420">
      <w:pPr>
        <w:pageBreakBefore w:val="0"/>
        <w:kinsoku/>
        <w:overflowPunct/>
        <w:autoSpaceDE/>
        <w:autoSpaceDN/>
        <w:bidi w:val="0"/>
        <w:adjustRightInd w:val="0"/>
        <w:snapToGrid w:val="0"/>
        <w:spacing w:line="400" w:lineRule="exact"/>
        <w:ind w:left="4440" w:leftChars="0" w:hanging="4440" w:hangingChars="18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 xml:space="preserve">（公章）：                       </w:t>
      </w:r>
      <w:r>
        <w:rPr>
          <w:rFonts w:hint="eastAsia" w:ascii="仿宋" w:hAnsi="仿宋" w:eastAsia="仿宋" w:cs="仿宋"/>
          <w:color w:val="auto"/>
          <w:sz w:val="24"/>
          <w:szCs w:val="24"/>
          <w:highlight w:val="none"/>
          <w:lang w:val="en-US" w:eastAsia="zh-CN"/>
        </w:rPr>
        <w:t xml:space="preserve"> </w:t>
      </w:r>
    </w:p>
    <w:p w14:paraId="26FC8887">
      <w:pPr>
        <w:pageBreakBefore w:val="0"/>
        <w:kinsoku/>
        <w:overflowPunct/>
        <w:autoSpaceDE/>
        <w:autoSpaceDN/>
        <w:bidi w:val="0"/>
        <w:adjustRightInd w:val="0"/>
        <w:snapToGrid w:val="0"/>
        <w:spacing w:line="400" w:lineRule="exact"/>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法定代表人或受委托人（签字）         </w:t>
      </w:r>
      <w:r>
        <w:rPr>
          <w:rFonts w:hint="eastAsia" w:ascii="仿宋" w:hAnsi="仿宋" w:eastAsia="仿宋" w:cs="仿宋"/>
          <w:color w:val="auto"/>
          <w:sz w:val="24"/>
          <w:szCs w:val="24"/>
          <w:highlight w:val="none"/>
          <w:lang w:val="en-US" w:eastAsia="zh-CN"/>
        </w:rPr>
        <w:t xml:space="preserve"> </w:t>
      </w:r>
    </w:p>
    <w:p w14:paraId="46E0486E">
      <w:pPr>
        <w:pageBreakBefore w:val="0"/>
        <w:kinsoku/>
        <w:overflowPunct/>
        <w:autoSpaceDE/>
        <w:autoSpaceDN/>
        <w:bidi w:val="0"/>
        <w:adjustRightInd w:val="0"/>
        <w:snapToGrid w:val="0"/>
        <w:spacing w:line="400" w:lineRule="exact"/>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659DA5D6">
      <w:pPr>
        <w:pageBreakBefore w:val="0"/>
        <w:kinsoku/>
        <w:overflowPunct/>
        <w:autoSpaceDE/>
        <w:autoSpaceDN/>
        <w:bidi w:val="0"/>
        <w:adjustRightInd w:val="0"/>
        <w:snapToGrid w:val="0"/>
        <w:spacing w:line="400" w:lineRule="exact"/>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4C600ADB">
      <w:pPr>
        <w:spacing w:line="4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签约时间：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14:paraId="27B70E18">
      <w:pPr>
        <w:keepNext w:val="0"/>
        <w:keepLines w:val="0"/>
        <w:pageBreakBefore w:val="0"/>
        <w:widowControl/>
        <w:kinsoku/>
        <w:wordWrap/>
        <w:overflowPunct/>
        <w:topLinePunct w:val="0"/>
        <w:autoSpaceDE/>
        <w:autoSpaceDN/>
        <w:bidi w:val="0"/>
        <w:adjustRightInd/>
        <w:spacing w:line="24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5FD79B64">
      <w:pPr>
        <w:pageBreakBefore w:val="0"/>
        <w:kinsoku/>
        <w:overflowPunct/>
        <w:autoSpaceDE/>
        <w:autoSpaceDN/>
        <w:bidi w:val="0"/>
        <w:adjustRightInd w:val="0"/>
        <w:snapToGrid w:val="0"/>
        <w:spacing w:line="360" w:lineRule="auto"/>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杭州市滨江区2025-2026年居家养老综合服务封闭式框架协议</w:t>
      </w:r>
    </w:p>
    <w:p w14:paraId="009AE65D">
      <w:pPr>
        <w:pageBreakBefore w:val="0"/>
        <w:kinsoku/>
        <w:overflowPunct/>
        <w:autoSpaceDE/>
        <w:autoSpaceDN/>
        <w:bidi w:val="0"/>
        <w:adjustRightInd w:val="0"/>
        <w:snapToGrid w:val="0"/>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标项二</w:t>
      </w:r>
      <w:r>
        <w:rPr>
          <w:rFonts w:hint="eastAsia" w:ascii="仿宋" w:hAnsi="仿宋" w:eastAsia="仿宋" w:cs="仿宋"/>
          <w:color w:val="auto"/>
          <w:sz w:val="28"/>
          <w:szCs w:val="28"/>
          <w:highlight w:val="none"/>
          <w:lang w:eastAsia="zh-CN"/>
        </w:rPr>
        <w:t>）</w:t>
      </w:r>
    </w:p>
    <w:p w14:paraId="04B004B1">
      <w:pPr>
        <w:pageBreakBefore w:val="0"/>
        <w:kinsoku/>
        <w:overflowPunct/>
        <w:autoSpaceDE/>
        <w:autoSpaceDN/>
        <w:bidi w:val="0"/>
        <w:adjustRightInd w:val="0"/>
        <w:snapToGrid w:val="0"/>
        <w:spacing w:line="360" w:lineRule="auto"/>
        <w:rPr>
          <w:rFonts w:hint="eastAsia" w:ascii="仿宋" w:hAnsi="仿宋" w:eastAsia="仿宋" w:cs="仿宋"/>
          <w:color w:val="auto"/>
          <w:sz w:val="28"/>
          <w:szCs w:val="28"/>
          <w:highlight w:val="none"/>
        </w:rPr>
      </w:pPr>
    </w:p>
    <w:p w14:paraId="1C06A904">
      <w:pPr>
        <w:keepNext w:val="0"/>
        <w:keepLines w:val="0"/>
        <w:pageBreakBefore w:val="0"/>
        <w:kinsoku/>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甲方（征集人）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p>
    <w:p w14:paraId="03146EBF">
      <w:pPr>
        <w:keepNext w:val="0"/>
        <w:keepLines w:val="0"/>
        <w:pageBreakBefore w:val="0"/>
        <w:kinsoku/>
        <w:overflowPunct/>
        <w:topLinePunct w:val="0"/>
        <w:autoSpaceDE/>
        <w:autoSpaceDN/>
        <w:bidi w:val="0"/>
        <w:adjustRightInd w:val="0"/>
        <w:snapToGrid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乙方（入围</w:t>
      </w:r>
      <w:r>
        <w:rPr>
          <w:rFonts w:hint="eastAsia" w:ascii="仿宋" w:hAnsi="仿宋" w:eastAsia="仿宋" w:cs="仿宋"/>
          <w:b/>
          <w:bCs/>
          <w:color w:val="auto"/>
          <w:sz w:val="24"/>
          <w:szCs w:val="24"/>
          <w:highlight w:val="none"/>
          <w:lang w:eastAsia="zh-CN"/>
        </w:rPr>
        <w:t>乙方</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w:t>
      </w:r>
    </w:p>
    <w:p w14:paraId="4D19D6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经过公开征集，确定乙方</w:t>
      </w:r>
      <w:r>
        <w:rPr>
          <w:rFonts w:hint="eastAsia" w:ascii="仿宋" w:hAnsi="仿宋" w:eastAsia="仿宋" w:cs="仿宋"/>
          <w:color w:val="auto"/>
          <w:sz w:val="24"/>
          <w:szCs w:val="24"/>
          <w:highlight w:val="none"/>
          <w:lang w:val="en-US" w:eastAsia="zh-CN"/>
        </w:rPr>
        <w:t>为</w:t>
      </w:r>
      <w:r>
        <w:rPr>
          <w:rFonts w:hint="eastAsia" w:ascii="仿宋" w:hAnsi="仿宋" w:eastAsia="仿宋" w:cs="仿宋"/>
          <w:color w:val="auto"/>
          <w:sz w:val="24"/>
          <w:szCs w:val="24"/>
          <w:highlight w:val="none"/>
          <w:lang w:eastAsia="zh-CN"/>
        </w:rPr>
        <w:t>杭州市滨江区2025-2026年居家养老综合服务封闭式框架协议采购项目</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标项二</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的入围单位，为明确双方权利义务，经协商一致，签订本协议书。协议期内，乙方、</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双方签署《政府采购框架协议采购合同》（以下简称“合同”）。</w:t>
      </w:r>
    </w:p>
    <w:p w14:paraId="0725C1ED">
      <w:pPr>
        <w:pStyle w:val="28"/>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一、定义</w:t>
      </w:r>
    </w:p>
    <w:p w14:paraId="716F4EF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本协议中的下列术语应解释为：</w:t>
      </w:r>
    </w:p>
    <w:p w14:paraId="058F6E3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1.“协议”系指甲方与乙方签署的、载明甲方与乙方协利义务的协议，包括所有的附件、附录和其他构成协议的所有文件。</w:t>
      </w:r>
    </w:p>
    <w:p w14:paraId="30B111F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2.“甲方”系指</w:t>
      </w:r>
      <w:r>
        <w:rPr>
          <w:rFonts w:hint="eastAsia" w:ascii="仿宋" w:hAnsi="仿宋" w:eastAsia="仿宋" w:cs="仿宋"/>
          <w:color w:val="auto"/>
          <w:sz w:val="24"/>
          <w:szCs w:val="24"/>
          <w:highlight w:val="none"/>
          <w:lang w:eastAsia="zh-CN"/>
        </w:rPr>
        <w:t>杭州市滨江区民政局。</w:t>
      </w:r>
    </w:p>
    <w:p w14:paraId="62EEA88D">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3.“乙方”系指本次入围</w:t>
      </w:r>
      <w:r>
        <w:rPr>
          <w:rFonts w:hint="eastAsia" w:ascii="仿宋" w:hAnsi="仿宋" w:eastAsia="仿宋" w:cs="仿宋"/>
          <w:color w:val="auto"/>
          <w:sz w:val="24"/>
          <w:szCs w:val="24"/>
          <w:highlight w:val="none"/>
          <w:lang w:eastAsia="zh-CN"/>
        </w:rPr>
        <w:t>乙方。</w:t>
      </w:r>
    </w:p>
    <w:p w14:paraId="67A109CE">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en-US" w:eastAsia="zh-CN"/>
        </w:rPr>
        <w:t>甲方</w:t>
      </w:r>
      <w:r>
        <w:rPr>
          <w:rFonts w:hint="eastAsia" w:ascii="仿宋" w:hAnsi="仿宋" w:eastAsia="仿宋" w:cs="仿宋"/>
          <w:color w:val="auto"/>
          <w:sz w:val="24"/>
          <w:szCs w:val="24"/>
          <w:highlight w:val="none"/>
        </w:rPr>
        <w:t>”系指</w:t>
      </w:r>
      <w:r>
        <w:rPr>
          <w:rFonts w:hint="eastAsia" w:ascii="仿宋" w:hAnsi="仿宋" w:eastAsia="仿宋" w:cs="仿宋"/>
          <w:color w:val="auto"/>
          <w:sz w:val="24"/>
          <w:szCs w:val="24"/>
          <w:highlight w:val="none"/>
          <w:lang w:eastAsia="zh-CN"/>
        </w:rPr>
        <w:t>杭州市滨江区民政局</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滨江区</w:t>
      </w:r>
      <w:r>
        <w:rPr>
          <w:rFonts w:hint="eastAsia" w:ascii="仿宋" w:hAnsi="仿宋" w:eastAsia="仿宋" w:cs="仿宋"/>
          <w:b w:val="0"/>
          <w:bCs w:val="0"/>
          <w:color w:val="auto"/>
          <w:sz w:val="24"/>
          <w:szCs w:val="24"/>
          <w:highlight w:val="none"/>
          <w:lang w:val="en-US" w:eastAsia="zh-CN"/>
        </w:rPr>
        <w:t>辖区范围内的3个街道</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与甲方享有同等权力。本协议下述各处所指甲方同时包含</w:t>
      </w:r>
      <w:r>
        <w:rPr>
          <w:rFonts w:hint="eastAsia" w:ascii="仿宋" w:hAnsi="仿宋" w:eastAsia="仿宋" w:cs="仿宋"/>
          <w:color w:val="auto"/>
          <w:sz w:val="24"/>
          <w:szCs w:val="24"/>
          <w:highlight w:val="none"/>
          <w:lang w:eastAsia="zh-CN"/>
        </w:rPr>
        <w:t>甲方</w:t>
      </w:r>
      <w:r>
        <w:rPr>
          <w:rFonts w:hint="eastAsia" w:ascii="仿宋" w:hAnsi="仿宋" w:eastAsia="仿宋" w:cs="仿宋"/>
          <w:color w:val="auto"/>
          <w:sz w:val="24"/>
          <w:szCs w:val="24"/>
          <w:highlight w:val="none"/>
        </w:rPr>
        <w:t>。</w:t>
      </w:r>
    </w:p>
    <w:p w14:paraId="2CD8B50C">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5.“征集文件”是指“</w:t>
      </w:r>
      <w:r>
        <w:rPr>
          <w:rFonts w:hint="eastAsia" w:ascii="仿宋" w:hAnsi="仿宋" w:eastAsia="仿宋" w:cs="仿宋"/>
          <w:color w:val="auto"/>
          <w:sz w:val="24"/>
          <w:szCs w:val="24"/>
          <w:highlight w:val="none"/>
          <w:lang w:val="en-US" w:eastAsia="zh-CN"/>
        </w:rPr>
        <w:t xml:space="preserve"> 杭州市滨江区2025-2026年居家养老综合服务封闭式框架协议采购项目</w:t>
      </w:r>
      <w:r>
        <w:rPr>
          <w:rFonts w:hint="eastAsia" w:ascii="仿宋" w:hAnsi="仿宋" w:eastAsia="仿宋" w:cs="仿宋"/>
          <w:color w:val="auto"/>
          <w:sz w:val="24"/>
          <w:szCs w:val="24"/>
          <w:highlight w:val="none"/>
        </w:rPr>
        <w:t>”征集文件。</w:t>
      </w:r>
    </w:p>
    <w:p w14:paraId="0EA4E841">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二、文件组成</w:t>
      </w:r>
    </w:p>
    <w:p w14:paraId="544015A6">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以下文件为本协议的组成部分，应该认为是一个整体，彼此相互解释，相互补充。组成协议的多个文件的优先支配地位的次序如下：</w:t>
      </w:r>
    </w:p>
    <w:p w14:paraId="76CC459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1.本协议书；</w:t>
      </w:r>
    </w:p>
    <w:p w14:paraId="0B1C00E1">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2.入围通知书；</w:t>
      </w:r>
    </w:p>
    <w:p w14:paraId="44CC7859">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3.入围</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响应文件；</w:t>
      </w:r>
    </w:p>
    <w:p w14:paraId="0847946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4.补充文件（若有）；</w:t>
      </w:r>
    </w:p>
    <w:p w14:paraId="2C2223E7">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5.征集文件。</w:t>
      </w:r>
    </w:p>
    <w:p w14:paraId="775D982A">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、有效期限</w:t>
      </w:r>
    </w:p>
    <w:p w14:paraId="37624C98">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val="0"/>
          <w:bCs w:val="0"/>
          <w:color w:val="auto"/>
          <w:sz w:val="24"/>
          <w:szCs w:val="24"/>
          <w:highlight w:val="none"/>
          <w:lang w:val="en-US" w:eastAsia="zh-CN"/>
        </w:rPr>
        <w:t>本项目服务期两年，具体起止时间为2025年 月 日至2026年 月 日。合同一年一签，服务期内</w:t>
      </w:r>
      <w:r>
        <w:rPr>
          <w:rFonts w:hint="eastAsia" w:ascii="仿宋" w:hAnsi="仿宋" w:eastAsia="仿宋" w:cs="仿宋"/>
          <w:b/>
          <w:bCs/>
          <w:color w:val="auto"/>
          <w:spacing w:val="0"/>
          <w:kern w:val="2"/>
          <w:sz w:val="24"/>
          <w:szCs w:val="24"/>
          <w:highlight w:val="none"/>
          <w:lang w:val="en-US" w:eastAsia="zh-CN" w:bidi="ar-SA"/>
        </w:rPr>
        <w:t>上门服务项目</w:t>
      </w:r>
      <w:r>
        <w:rPr>
          <w:rFonts w:hint="eastAsia" w:ascii="仿宋" w:hAnsi="仿宋" w:eastAsia="仿宋" w:cs="仿宋"/>
          <w:b w:val="0"/>
          <w:bCs w:val="0"/>
          <w:color w:val="auto"/>
          <w:sz w:val="24"/>
          <w:szCs w:val="24"/>
          <w:highlight w:val="none"/>
          <w:lang w:val="en-US" w:eastAsia="zh-CN"/>
        </w:rPr>
        <w:t>实行月度考核。服务期内乙方月度考核分出现两次85分（不含）以下的或满足“清退机制”条件之一的，甲方有权随时与乙方暂停服务终止合同，</w:t>
      </w:r>
      <w:r>
        <w:rPr>
          <w:rFonts w:hint="eastAsia" w:ascii="仿宋" w:hAnsi="仿宋" w:eastAsia="仿宋" w:cs="仿宋"/>
          <w:b w:val="0"/>
          <w:bCs w:val="0"/>
          <w:color w:val="auto"/>
          <w:sz w:val="24"/>
          <w:szCs w:val="24"/>
          <w:highlight w:val="none"/>
        </w:rPr>
        <w:t>在服务期限，如</w:t>
      </w:r>
      <w:r>
        <w:rPr>
          <w:rFonts w:hint="eastAsia" w:ascii="仿宋" w:hAnsi="仿宋" w:eastAsia="仿宋" w:cs="仿宋"/>
          <w:b w:val="0"/>
          <w:bCs w:val="0"/>
          <w:color w:val="auto"/>
          <w:sz w:val="24"/>
          <w:szCs w:val="24"/>
          <w:highlight w:val="none"/>
          <w:lang w:val="en-US" w:eastAsia="zh-CN"/>
        </w:rPr>
        <w:t>乙方</w:t>
      </w:r>
      <w:r>
        <w:rPr>
          <w:rFonts w:hint="eastAsia" w:ascii="仿宋" w:hAnsi="仿宋" w:eastAsia="仿宋" w:cs="仿宋"/>
          <w:b w:val="0"/>
          <w:bCs w:val="0"/>
          <w:color w:val="auto"/>
          <w:sz w:val="24"/>
          <w:szCs w:val="24"/>
          <w:highlight w:val="none"/>
        </w:rPr>
        <w:t>考核不通过的，</w:t>
      </w:r>
      <w:r>
        <w:rPr>
          <w:rFonts w:hint="eastAsia" w:ascii="仿宋" w:hAnsi="仿宋" w:eastAsia="仿宋" w:cs="仿宋"/>
          <w:b w:val="0"/>
          <w:bCs w:val="0"/>
          <w:color w:val="auto"/>
          <w:sz w:val="24"/>
          <w:szCs w:val="24"/>
          <w:highlight w:val="none"/>
          <w:lang w:val="en-US" w:eastAsia="zh-CN"/>
        </w:rPr>
        <w:t>甲方</w:t>
      </w:r>
      <w:r>
        <w:rPr>
          <w:rFonts w:hint="eastAsia" w:ascii="仿宋" w:hAnsi="仿宋" w:eastAsia="仿宋" w:cs="仿宋"/>
          <w:b w:val="0"/>
          <w:bCs w:val="0"/>
          <w:color w:val="auto"/>
          <w:sz w:val="24"/>
          <w:szCs w:val="24"/>
          <w:highlight w:val="none"/>
        </w:rPr>
        <w:t>有权无责终止合同履行，重新组织采购活动。</w:t>
      </w:r>
      <w:r>
        <w:rPr>
          <w:rFonts w:hint="eastAsia" w:ascii="仿宋" w:hAnsi="仿宋" w:eastAsia="仿宋" w:cs="仿宋"/>
          <w:b/>
          <w:bCs/>
          <w:color w:val="auto"/>
          <w:sz w:val="24"/>
          <w:szCs w:val="24"/>
          <w:highlight w:val="none"/>
        </w:rPr>
        <w:br w:type="textWrapping"/>
      </w:r>
      <w:r>
        <w:rPr>
          <w:rFonts w:hint="eastAsia" w:ascii="仿宋" w:hAnsi="仿宋" w:eastAsia="仿宋" w:cs="仿宋"/>
          <w:b/>
          <w:bCs/>
          <w:color w:val="auto"/>
          <w:sz w:val="24"/>
          <w:szCs w:val="24"/>
          <w:highlight w:val="none"/>
          <w:lang w:val="en-US" w:eastAsia="zh-CN"/>
        </w:rPr>
        <w:t xml:space="preserve">    四</w:t>
      </w:r>
      <w:r>
        <w:rPr>
          <w:rFonts w:hint="eastAsia" w:ascii="仿宋" w:hAnsi="仿宋" w:eastAsia="仿宋" w:cs="仿宋"/>
          <w:b/>
          <w:bCs/>
          <w:color w:val="auto"/>
          <w:sz w:val="24"/>
          <w:szCs w:val="24"/>
          <w:highlight w:val="none"/>
        </w:rPr>
        <w:t>、适用框架协议的</w:t>
      </w:r>
      <w:r>
        <w:rPr>
          <w:rFonts w:hint="eastAsia" w:ascii="仿宋" w:hAnsi="仿宋" w:eastAsia="仿宋" w:cs="仿宋"/>
          <w:b/>
          <w:bCs/>
          <w:color w:val="auto"/>
          <w:sz w:val="24"/>
          <w:szCs w:val="24"/>
          <w:highlight w:val="none"/>
          <w:lang w:val="en-US" w:eastAsia="zh-CN"/>
        </w:rPr>
        <w:t>甲方（或服务对象）</w:t>
      </w:r>
      <w:r>
        <w:rPr>
          <w:rFonts w:hint="eastAsia" w:ascii="仿宋" w:hAnsi="仿宋" w:eastAsia="仿宋" w:cs="仿宋"/>
          <w:b/>
          <w:bCs/>
          <w:color w:val="auto"/>
          <w:sz w:val="24"/>
          <w:szCs w:val="24"/>
          <w:highlight w:val="none"/>
        </w:rPr>
        <w:t>：</w:t>
      </w:r>
    </w:p>
    <w:p w14:paraId="236B5955">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jc w:val="left"/>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eastAsia="zh-CN"/>
        </w:rPr>
        <w:t>杭州市滨江区民政局与滨江区辖区范围内的3个街道</w:t>
      </w:r>
      <w:r>
        <w:rPr>
          <w:rFonts w:hint="eastAsia" w:ascii="仿宋" w:hAnsi="仿宋" w:eastAsia="仿宋" w:cs="仿宋"/>
          <w:color w:val="auto"/>
          <w:sz w:val="24"/>
          <w:szCs w:val="24"/>
          <w:highlight w:val="none"/>
        </w:rPr>
        <w:t>。</w:t>
      </w:r>
    </w:p>
    <w:p w14:paraId="023DAFBA">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、履行合同的地域范围：</w:t>
      </w:r>
      <w:r>
        <w:rPr>
          <w:rFonts w:hint="eastAsia" w:ascii="仿宋" w:hAnsi="仿宋" w:eastAsia="仿宋" w:cs="仿宋"/>
          <w:b w:val="0"/>
          <w:bCs w:val="0"/>
          <w:color w:val="auto"/>
          <w:sz w:val="24"/>
          <w:szCs w:val="24"/>
          <w:highlight w:val="none"/>
          <w:lang w:eastAsia="zh-CN"/>
        </w:rPr>
        <w:t>杭州市滨江区</w:t>
      </w:r>
      <w:r>
        <w:rPr>
          <w:rFonts w:hint="eastAsia" w:ascii="仿宋" w:hAnsi="仿宋" w:eastAsia="仿宋" w:cs="仿宋"/>
          <w:b/>
          <w:bCs/>
          <w:color w:val="auto"/>
          <w:sz w:val="24"/>
          <w:szCs w:val="24"/>
          <w:highlight w:val="none"/>
        </w:rPr>
        <w:t>。</w:t>
      </w:r>
    </w:p>
    <w:p w14:paraId="3ABDF12B">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六</w:t>
      </w:r>
      <w:r>
        <w:rPr>
          <w:rFonts w:hint="eastAsia" w:ascii="仿宋" w:hAnsi="仿宋" w:eastAsia="仿宋" w:cs="仿宋"/>
          <w:b/>
          <w:bCs/>
          <w:color w:val="auto"/>
          <w:sz w:val="24"/>
          <w:szCs w:val="24"/>
          <w:highlight w:val="none"/>
        </w:rPr>
        <w:t>、采购需求</w:t>
      </w:r>
    </w:p>
    <w:p w14:paraId="0DD0ED82">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详见征集文件。</w:t>
      </w:r>
    </w:p>
    <w:p w14:paraId="25509B55">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七</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服务单价</w:t>
      </w:r>
    </w:p>
    <w:p w14:paraId="03464473">
      <w:pPr>
        <w:keepNext w:val="0"/>
        <w:keepLines w:val="0"/>
        <w:pageBreakBefore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固定单价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35元/小时</w:t>
      </w:r>
    </w:p>
    <w:p w14:paraId="6680401F">
      <w:pPr>
        <w:keepNext w:val="0"/>
        <w:keepLines w:val="0"/>
        <w:pageBreakBefore w:val="0"/>
        <w:kinsoku/>
        <w:wordWrap/>
        <w:overflowPunct/>
        <w:topLinePunct w:val="0"/>
        <w:autoSpaceDE/>
        <w:autoSpaceDN/>
        <w:bidi w:val="0"/>
        <w:adjustRightInd w:val="0"/>
        <w:snapToGrid w:val="0"/>
        <w:spacing w:line="360" w:lineRule="auto"/>
        <w:ind w:left="0" w:leftChars="0" w:firstLine="482"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b/>
          <w:snapToGrid w:val="0"/>
          <w:color w:val="auto"/>
          <w:sz w:val="24"/>
          <w:szCs w:val="24"/>
          <w:highlight w:val="none"/>
          <w:lang w:val="en-US" w:eastAsia="zh-CN"/>
        </w:rPr>
        <w:t>八</w:t>
      </w:r>
      <w:r>
        <w:rPr>
          <w:rFonts w:hint="eastAsia" w:ascii="仿宋" w:hAnsi="仿宋" w:eastAsia="仿宋" w:cs="仿宋"/>
          <w:b/>
          <w:bCs/>
          <w:color w:val="auto"/>
          <w:sz w:val="24"/>
          <w:szCs w:val="24"/>
          <w:highlight w:val="none"/>
        </w:rPr>
        <w:t>、协议价格</w:t>
      </w:r>
    </w:p>
    <w:p w14:paraId="095F4BB8">
      <w:pPr>
        <w:keepNext w:val="0"/>
        <w:keepLines w:val="0"/>
        <w:pageBreakBefore w:val="0"/>
        <w:kinsoku/>
        <w:overflowPunct/>
        <w:autoSpaceDE/>
        <w:autoSpaceDN/>
        <w:bidi w:val="0"/>
        <w:adjustRightInd w:val="0"/>
        <w:snapToGrid w:val="0"/>
        <w:spacing w:line="360" w:lineRule="auto"/>
        <w:ind w:left="0" w:leftChars="0" w:firstLine="480" w:firstLineChars="200"/>
        <w:rPr>
          <w:rFonts w:hint="default" w:ascii="仿宋" w:hAnsi="仿宋" w:eastAsia="仿宋" w:cs="仿宋"/>
          <w:b/>
          <w:snapToGrid w:val="0"/>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固定单价</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35元/小时</w:t>
      </w:r>
    </w:p>
    <w:p w14:paraId="672E3986">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snapToGrid/>
          <w:color w:val="auto"/>
          <w:kern w:val="2"/>
          <w:sz w:val="24"/>
          <w:szCs w:val="24"/>
          <w:highlight w:val="none"/>
        </w:rPr>
      </w:pPr>
      <w:r>
        <w:rPr>
          <w:rFonts w:hint="eastAsia" w:ascii="仿宋" w:hAnsi="仿宋" w:eastAsia="仿宋" w:cs="仿宋"/>
          <w:b/>
          <w:bCs/>
          <w:snapToGrid/>
          <w:color w:val="auto"/>
          <w:sz w:val="24"/>
          <w:szCs w:val="24"/>
          <w:highlight w:val="none"/>
          <w:lang w:val="en-US" w:eastAsia="zh-CN"/>
        </w:rPr>
        <w:t>九</w:t>
      </w:r>
      <w:r>
        <w:rPr>
          <w:rFonts w:hint="eastAsia" w:ascii="仿宋" w:hAnsi="仿宋" w:eastAsia="仿宋" w:cs="仿宋"/>
          <w:b/>
          <w:bCs/>
          <w:snapToGrid/>
          <w:color w:val="auto"/>
          <w:kern w:val="2"/>
          <w:sz w:val="24"/>
          <w:szCs w:val="24"/>
          <w:highlight w:val="none"/>
        </w:rPr>
        <w:t>、资金支付方式、时间和条件</w:t>
      </w:r>
    </w:p>
    <w:p w14:paraId="14639E4C">
      <w:pPr>
        <w:widowControl/>
        <w:wordWrap w:val="0"/>
        <w:topLinePunct/>
        <w:snapToGrid w:val="0"/>
        <w:spacing w:line="360" w:lineRule="auto"/>
        <w:ind w:firstLine="482"/>
        <w:jc w:val="left"/>
        <w:textAlignment w:val="baseline"/>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1.甲方和所服务的街社核实每月服务明细后由街社进行支付。</w:t>
      </w:r>
    </w:p>
    <w:p w14:paraId="6D6835FA">
      <w:pPr>
        <w:keepNext w:val="0"/>
        <w:keepLines w:val="0"/>
        <w:pageBreakBefore w:val="0"/>
        <w:widowControl/>
        <w:kinsoku/>
        <w:wordWrap w:val="0"/>
        <w:overflowPunct/>
        <w:topLinePunct/>
        <w:autoSpaceDE/>
        <w:autoSpaceDN/>
        <w:bidi w:val="0"/>
        <w:snapToGrid w:val="0"/>
        <w:spacing w:line="360" w:lineRule="auto"/>
        <w:ind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2.本项目每月按照实际服务时间进行结算。</w:t>
      </w:r>
    </w:p>
    <w:p w14:paraId="30C87F41">
      <w:pPr>
        <w:widowControl/>
        <w:wordWrap w:val="0"/>
        <w:topLinePunct/>
        <w:snapToGrid w:val="0"/>
        <w:spacing w:line="360" w:lineRule="auto"/>
        <w:ind w:firstLine="482"/>
        <w:jc w:val="left"/>
        <w:textAlignment w:val="baseline"/>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3.由乙方每月按实际发生的各项服务时间，凭乙方开具的正式发票和和相关台账，向所服务的街道进行结算。</w:t>
      </w:r>
    </w:p>
    <w:p w14:paraId="6C5E3B4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4.如省市要求有变化，甲方要求更换资金结算支付方式的，需改用甲方要求的支付方式，具体以双方协商为准。</w:t>
      </w:r>
    </w:p>
    <w:p w14:paraId="2544042C">
      <w:pPr>
        <w:widowControl/>
        <w:wordWrap w:val="0"/>
        <w:topLinePunct/>
        <w:ind w:firstLine="482" w:firstLineChars="200"/>
        <w:jc w:val="left"/>
        <w:textAlignment w:val="baseline"/>
        <w:rPr>
          <w:rFonts w:hint="eastAsia" w:ascii="仿宋" w:hAnsi="仿宋" w:eastAsia="仿宋" w:cs="仿宋"/>
          <w:b/>
          <w:bCs/>
          <w:snapToGrid/>
          <w:color w:val="auto"/>
          <w:sz w:val="24"/>
          <w:szCs w:val="24"/>
          <w:highlight w:val="none"/>
        </w:rPr>
      </w:pPr>
      <w:r>
        <w:rPr>
          <w:rFonts w:hint="eastAsia" w:ascii="仿宋" w:hAnsi="仿宋" w:eastAsia="仿宋" w:cs="仿宋"/>
          <w:b/>
          <w:bCs/>
          <w:snapToGrid/>
          <w:color w:val="auto"/>
          <w:kern w:val="2"/>
          <w:sz w:val="24"/>
          <w:szCs w:val="24"/>
          <w:highlight w:val="none"/>
          <w:lang w:val="en-US" w:eastAsia="zh-CN"/>
        </w:rPr>
        <w:t>十</w:t>
      </w:r>
      <w:r>
        <w:rPr>
          <w:rFonts w:hint="eastAsia" w:ascii="仿宋" w:hAnsi="仿宋" w:eastAsia="仿宋" w:cs="仿宋"/>
          <w:b/>
          <w:bCs/>
          <w:snapToGrid/>
          <w:color w:val="auto"/>
          <w:sz w:val="24"/>
          <w:szCs w:val="24"/>
          <w:highlight w:val="none"/>
        </w:rPr>
        <w:t>、转包或分包</w:t>
      </w:r>
    </w:p>
    <w:p w14:paraId="3D9D5340">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本项目不得以任何形式进行转包和分包。</w:t>
      </w:r>
    </w:p>
    <w:p w14:paraId="2C760F2C">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十一、甲方的权利和义务</w:t>
      </w:r>
    </w:p>
    <w:p w14:paraId="779386D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1.甲方负责第二阶段合同授予提供工作便利；</w:t>
      </w:r>
    </w:p>
    <w:p w14:paraId="618DC93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2.甲方负责第二阶段合同价和需求标准执行情况进行管理； </w:t>
      </w:r>
    </w:p>
    <w:p w14:paraId="52C6B3FD">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3.甲方负责对第二阶段确定成交</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情况进行</w:t>
      </w:r>
      <w:r>
        <w:rPr>
          <w:rFonts w:hint="eastAsia" w:ascii="仿宋" w:hAnsi="仿宋" w:eastAsia="仿宋" w:cs="仿宋"/>
          <w:color w:val="auto"/>
          <w:sz w:val="24"/>
          <w:szCs w:val="24"/>
          <w:highlight w:val="none"/>
          <w:lang w:val="en-US" w:eastAsia="zh-CN"/>
        </w:rPr>
        <w:t>监督与</w:t>
      </w:r>
      <w:r>
        <w:rPr>
          <w:rFonts w:hint="eastAsia" w:ascii="仿宋" w:hAnsi="仿宋" w:eastAsia="仿宋" w:cs="仿宋"/>
          <w:color w:val="auto"/>
          <w:sz w:val="24"/>
          <w:szCs w:val="24"/>
          <w:highlight w:val="none"/>
        </w:rPr>
        <w:t>管理；</w:t>
      </w:r>
    </w:p>
    <w:p w14:paraId="787617F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4.甲方</w:t>
      </w:r>
      <w:r>
        <w:rPr>
          <w:rFonts w:hint="eastAsia" w:ascii="仿宋" w:hAnsi="仿宋" w:eastAsia="仿宋" w:cs="仿宋"/>
          <w:color w:val="auto"/>
          <w:sz w:val="24"/>
          <w:szCs w:val="24"/>
          <w:highlight w:val="none"/>
          <w:lang w:val="en-US" w:eastAsia="zh-CN"/>
        </w:rPr>
        <w:t>依托政采云平台建立用户反馈和评价机制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接受甲方对入围乙方履行框架协议和采购合同情况的反馈与评价，并将用户反馈和评价情况向甲方公开，作为第二阶段直接选定成交乙方的参考；  </w:t>
      </w:r>
    </w:p>
    <w:p w14:paraId="22AFED8D">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5.公开封闭式框架协议的第二阶段成交结果；</w:t>
      </w:r>
    </w:p>
    <w:p w14:paraId="00D435BF">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6.办理入围</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清退和补充相关事宜。</w:t>
      </w:r>
    </w:p>
    <w:p w14:paraId="247FC2FC">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十二、乙方的权利和义务</w:t>
      </w:r>
    </w:p>
    <w:p w14:paraId="04FEA06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1.乙方有权监督第二阶段确定成交</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 xml:space="preserve">方式； </w:t>
      </w:r>
    </w:p>
    <w:p w14:paraId="0587971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2.乙方接受甲方的</w:t>
      </w:r>
      <w:r>
        <w:rPr>
          <w:rFonts w:hint="eastAsia" w:ascii="仿宋" w:hAnsi="仿宋" w:eastAsia="仿宋" w:cs="仿宋"/>
          <w:color w:val="auto"/>
          <w:sz w:val="24"/>
          <w:szCs w:val="24"/>
          <w:highlight w:val="none"/>
          <w:lang w:val="en-US" w:eastAsia="zh-CN"/>
        </w:rPr>
        <w:t>管理、监督、考核等</w:t>
      </w:r>
      <w:r>
        <w:rPr>
          <w:rFonts w:hint="eastAsia" w:ascii="仿宋" w:hAnsi="仿宋" w:eastAsia="仿宋" w:cs="仿宋"/>
          <w:color w:val="auto"/>
          <w:sz w:val="24"/>
          <w:szCs w:val="24"/>
          <w:highlight w:val="none"/>
        </w:rPr>
        <w:t>；</w:t>
      </w:r>
    </w:p>
    <w:p w14:paraId="526B4317">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3.乙方组建的项目</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成员应</w:t>
      </w:r>
      <w:r>
        <w:rPr>
          <w:rFonts w:hint="eastAsia" w:ascii="仿宋" w:hAnsi="仿宋" w:eastAsia="仿宋" w:cs="仿宋"/>
          <w:color w:val="auto"/>
          <w:sz w:val="24"/>
          <w:szCs w:val="24"/>
          <w:highlight w:val="none"/>
          <w:lang w:val="en-US" w:eastAsia="zh-CN"/>
        </w:rPr>
        <w:t>确保到位到岗</w:t>
      </w:r>
      <w:r>
        <w:rPr>
          <w:rFonts w:hint="eastAsia" w:ascii="仿宋" w:hAnsi="仿宋" w:eastAsia="仿宋" w:cs="仿宋"/>
          <w:color w:val="auto"/>
          <w:sz w:val="24"/>
          <w:szCs w:val="24"/>
          <w:highlight w:val="none"/>
        </w:rPr>
        <w:t>；</w:t>
      </w:r>
    </w:p>
    <w:p w14:paraId="744674EE">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.乙方不得将工作转包给其他单位或个人；</w:t>
      </w:r>
    </w:p>
    <w:p w14:paraId="21344B31">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.乙方不得隐瞒、虚报单位资质、资格、人员及违法行为被禁止或限制参加政府采购活动等情况。</w:t>
      </w:r>
    </w:p>
    <w:p w14:paraId="48FEAA4F">
      <w:pPr>
        <w:pStyle w:val="22"/>
        <w:pageBreakBefore w:val="0"/>
        <w:kinsoku/>
        <w:wordWrap/>
        <w:overflowPunct/>
        <w:topLinePunct w:val="0"/>
        <w:autoSpaceDE/>
        <w:autoSpaceDN/>
        <w:bidi w:val="0"/>
        <w:spacing w:line="500" w:lineRule="exact"/>
        <w:ind w:firstLine="48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snapToGrid w:val="0"/>
          <w:color w:val="auto"/>
          <w:kern w:val="0"/>
          <w:sz w:val="24"/>
          <w:highlight w:val="none"/>
          <w:lang w:val="en-US" w:eastAsia="zh-CN"/>
        </w:rPr>
        <w:t>十三、考</w:t>
      </w:r>
      <w:r>
        <w:rPr>
          <w:rFonts w:hint="eastAsia" w:ascii="仿宋" w:hAnsi="仿宋" w:eastAsia="仿宋" w:cs="仿宋"/>
          <w:b/>
          <w:bCs/>
          <w:color w:val="auto"/>
          <w:spacing w:val="0"/>
          <w:kern w:val="2"/>
          <w:sz w:val="24"/>
          <w:szCs w:val="24"/>
          <w:highlight w:val="none"/>
          <w:lang w:val="en-US" w:eastAsia="zh-CN" w:bidi="ar-SA"/>
        </w:rPr>
        <w:t>核机制</w:t>
      </w:r>
    </w:p>
    <w:p w14:paraId="6626C05E">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本项目服务期两年，具体起止时间在合同中约定。合同一年一签，服务期内上门服务项目实行月度考核。服务期内乙方月度考核分出现两次85分（不含）以下的或满足“清退机制”条件之一的，甲方有权随时与乙方暂停服务终止合同，因合同终止对甲方造成的损失由乙方自行承担。</w:t>
      </w:r>
    </w:p>
    <w:p w14:paraId="5B7E406C">
      <w:pPr>
        <w:pStyle w:val="21"/>
        <w:pageBreakBefore w:val="0"/>
        <w:kinsoku/>
        <w:wordWrap/>
        <w:overflowPunct/>
        <w:topLinePunct w:val="0"/>
        <w:autoSpaceDE/>
        <w:autoSpaceDN/>
        <w:bidi w:val="0"/>
        <w:spacing w:line="500" w:lineRule="exact"/>
        <w:ind w:left="0" w:leftChars="0" w:firstLine="482" w:firstLineChars="200"/>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（1）考核细则</w:t>
      </w:r>
    </w:p>
    <w:p w14:paraId="33E6EE0B">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在服务期内，点位运营为年度考核，根据考核结果发放运行补助。上门服务项目对乙方进行月度考核（考核细则见下表）。服务期内乙方月度考核分出现90分（不含）以下，月度考核所扣每1分按照每分罚款1000元计算，由甲方从待付款项中一次性扣除，如待付款项不足支付考核罚款，乙方应当在知晓具体金额后10日内补足罚款。</w:t>
      </w:r>
    </w:p>
    <w:tbl>
      <w:tblPr>
        <w:tblStyle w:val="49"/>
        <w:tblW w:w="9051" w:type="dxa"/>
        <w:jc w:val="center"/>
        <w:tblLayout w:type="fixed"/>
        <w:tblCellMar>
          <w:top w:w="0" w:type="dxa"/>
          <w:left w:w="108" w:type="dxa"/>
          <w:bottom w:w="0" w:type="dxa"/>
          <w:right w:w="108" w:type="dxa"/>
        </w:tblCellMar>
      </w:tblPr>
      <w:tblGrid>
        <w:gridCol w:w="689"/>
        <w:gridCol w:w="487"/>
        <w:gridCol w:w="4692"/>
        <w:gridCol w:w="1621"/>
        <w:gridCol w:w="675"/>
        <w:gridCol w:w="887"/>
      </w:tblGrid>
      <w:tr w14:paraId="08408CE6">
        <w:tblPrEx>
          <w:tblCellMar>
            <w:top w:w="0" w:type="dxa"/>
            <w:left w:w="108" w:type="dxa"/>
            <w:bottom w:w="0" w:type="dxa"/>
            <w:right w:w="108" w:type="dxa"/>
          </w:tblCellMar>
        </w:tblPrEx>
        <w:trPr>
          <w:trHeight w:val="186" w:hRule="atLeast"/>
          <w:jc w:val="center"/>
        </w:trPr>
        <w:tc>
          <w:tcPr>
            <w:tcW w:w="9051" w:type="dxa"/>
            <w:gridSpan w:val="6"/>
            <w:tcBorders>
              <w:top w:val="single" w:color="auto" w:sz="4" w:space="0"/>
              <w:left w:val="single" w:color="auto" w:sz="4" w:space="0"/>
              <w:bottom w:val="single" w:color="auto" w:sz="4" w:space="0"/>
              <w:right w:val="single" w:color="auto" w:sz="4" w:space="0"/>
            </w:tcBorders>
            <w:noWrap w:val="0"/>
            <w:vAlign w:val="center"/>
          </w:tcPr>
          <w:p w14:paraId="30CDC21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考核细则</w:t>
            </w:r>
          </w:p>
        </w:tc>
      </w:tr>
      <w:tr w14:paraId="61DBD8FD">
        <w:tblPrEx>
          <w:tblCellMar>
            <w:top w:w="0" w:type="dxa"/>
            <w:left w:w="108" w:type="dxa"/>
            <w:bottom w:w="0" w:type="dxa"/>
            <w:right w:w="108" w:type="dxa"/>
          </w:tblCellMar>
        </w:tblPrEx>
        <w:trPr>
          <w:trHeight w:val="90" w:hRule="atLeast"/>
          <w:jc w:val="center"/>
        </w:trPr>
        <w:tc>
          <w:tcPr>
            <w:tcW w:w="689" w:type="dxa"/>
            <w:tcBorders>
              <w:top w:val="single" w:color="auto" w:sz="4" w:space="0"/>
              <w:left w:val="single" w:color="auto" w:sz="4" w:space="0"/>
              <w:bottom w:val="single" w:color="auto" w:sz="4" w:space="0"/>
              <w:right w:val="single" w:color="auto" w:sz="4" w:space="0"/>
            </w:tcBorders>
            <w:noWrap w:val="0"/>
            <w:vAlign w:val="center"/>
          </w:tcPr>
          <w:p w14:paraId="5214D3B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评分项目</w:t>
            </w:r>
          </w:p>
        </w:tc>
        <w:tc>
          <w:tcPr>
            <w:tcW w:w="5179" w:type="dxa"/>
            <w:gridSpan w:val="2"/>
            <w:tcBorders>
              <w:top w:val="single" w:color="auto" w:sz="4" w:space="0"/>
              <w:left w:val="single" w:color="auto" w:sz="4" w:space="0"/>
              <w:bottom w:val="single" w:color="auto" w:sz="4" w:space="0"/>
              <w:right w:val="single" w:color="auto" w:sz="4" w:space="0"/>
            </w:tcBorders>
            <w:noWrap w:val="0"/>
            <w:vAlign w:val="center"/>
          </w:tcPr>
          <w:p w14:paraId="40EEF19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auto"/>
                <w:kern w:val="2"/>
                <w:sz w:val="20"/>
                <w:szCs w:val="20"/>
                <w:highlight w:val="none"/>
                <w:u w:val="none"/>
                <w:shd w:val="clear" w:color="auto" w:fill="auto"/>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具体内容</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01C298A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0"/>
                <w:szCs w:val="20"/>
                <w:highlight w:val="none"/>
              </w:rPr>
              <w:t>分值</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2B2CFF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0"/>
                <w:szCs w:val="20"/>
                <w:highlight w:val="none"/>
              </w:rPr>
              <w:t>扣分</w:t>
            </w:r>
          </w:p>
        </w:tc>
        <w:tc>
          <w:tcPr>
            <w:tcW w:w="887" w:type="dxa"/>
            <w:tcBorders>
              <w:top w:val="single" w:color="auto" w:sz="4" w:space="0"/>
              <w:left w:val="single" w:color="auto" w:sz="4" w:space="0"/>
              <w:bottom w:val="single" w:color="auto" w:sz="4" w:space="0"/>
              <w:right w:val="single" w:color="auto" w:sz="4" w:space="0"/>
            </w:tcBorders>
            <w:noWrap w:val="0"/>
            <w:vAlign w:val="center"/>
          </w:tcPr>
          <w:p w14:paraId="63AD2B3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color w:val="auto"/>
                <w:sz w:val="20"/>
                <w:szCs w:val="20"/>
                <w:highlight w:val="none"/>
              </w:rPr>
              <w:t>扣分点</w:t>
            </w:r>
          </w:p>
        </w:tc>
      </w:tr>
      <w:tr w14:paraId="14666C00">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57E9357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服务内容</w:t>
            </w:r>
          </w:p>
          <w:p w14:paraId="5462D46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6F84243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09228EF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bidi="ar"/>
              </w:rPr>
            </w:pPr>
            <w:r>
              <w:rPr>
                <w:rFonts w:hint="eastAsia" w:ascii="仿宋" w:hAnsi="仿宋" w:eastAsia="仿宋" w:cs="仿宋"/>
                <w:i w:val="0"/>
                <w:iCs w:val="0"/>
                <w:color w:val="auto"/>
                <w:kern w:val="0"/>
                <w:sz w:val="20"/>
                <w:szCs w:val="20"/>
                <w:highlight w:val="none"/>
                <w:u w:val="none"/>
                <w:lang w:val="en-US" w:eastAsia="zh-CN" w:bidi="ar"/>
              </w:rPr>
              <w:t>首次上门未按要求与接受服务的老年人或其代理人签订具有法律效力的服务协议并发放服务卡（内容包括但不限于老人名称、补贴金额、服务内容、点单方式等），或未补充每月新增。（需提供协议复印件）</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440AD8F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9B9F34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5AF945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4D3E25A">
        <w:tblPrEx>
          <w:tblCellMar>
            <w:top w:w="0" w:type="dxa"/>
            <w:left w:w="108" w:type="dxa"/>
            <w:bottom w:w="0" w:type="dxa"/>
            <w:right w:w="108" w:type="dxa"/>
          </w:tblCellMar>
        </w:tblPrEx>
        <w:trPr>
          <w:trHeight w:val="69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E082CF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833D8F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4D31B0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对享受政府购买服务的居家养老服务对象提供服务时服务人员未携带能正常使用的POS机上门为服务对象服务或未全程电子化管理。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20753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7E9A1B1">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811354A">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C931A1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06367A6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55DAD59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6F35D6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乙方未按照招投标文件及服务协议进行服务。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DBF74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4F58F61">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EDB821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68204D2">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A3D110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1FAFF2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B10386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shd w:val="clear"/>
                <w:lang w:val="en-US" w:eastAsia="zh-CN" w:bidi="ar"/>
              </w:rPr>
              <w:t>上门服务前未与老人提前预约时间。服务结束后未及时结算。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4C5C0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7B9DD8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DB147B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1508CC1">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17EDAC0">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4A127F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6BC727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服务开始与结束未向老人讲明和解释服务全过程，未足时按采购人服务要求进行服务，服务结束后未与老人沟通服务满意度或老人的服务满意度少于100分。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58DD4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ECDCDC7">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7F2EED3">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56ED9C7">
        <w:tblPrEx>
          <w:tblCellMar>
            <w:top w:w="0" w:type="dxa"/>
            <w:left w:w="108" w:type="dxa"/>
            <w:bottom w:w="0" w:type="dxa"/>
            <w:right w:w="108" w:type="dxa"/>
          </w:tblCellMar>
        </w:tblPrEx>
        <w:trPr>
          <w:trHeight w:val="300" w:hRule="atLeast"/>
          <w:jc w:val="center"/>
        </w:trPr>
        <w:tc>
          <w:tcPr>
            <w:tcW w:w="689" w:type="dxa"/>
            <w:vMerge w:val="restart"/>
            <w:tcBorders>
              <w:top w:val="single" w:color="auto" w:sz="4" w:space="0"/>
              <w:left w:val="single" w:color="auto" w:sz="4" w:space="0"/>
              <w:right w:val="single" w:color="auto" w:sz="4" w:space="0"/>
            </w:tcBorders>
            <w:noWrap w:val="0"/>
            <w:vAlign w:val="center"/>
          </w:tcPr>
          <w:p w14:paraId="26F75DF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w:t>
            </w:r>
          </w:p>
          <w:p w14:paraId="74E9BC2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5A0EF61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6ABFB4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服务人员不具有合法的劳动从业资格或服务期内年龄低于60周岁。（需提供服务人员身份证、意外险、健康证、劳动合同/劳务协议、上岗证或者职业技能培训证等文件的复印件）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94E9F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AF38D28">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5B669D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B3D12B4">
        <w:tblPrEx>
          <w:tblCellMar>
            <w:top w:w="0" w:type="dxa"/>
            <w:left w:w="108" w:type="dxa"/>
            <w:bottom w:w="0" w:type="dxa"/>
            <w:right w:w="108" w:type="dxa"/>
          </w:tblCellMar>
        </w:tblPrEx>
        <w:trPr>
          <w:trHeight w:val="300" w:hRule="atLeast"/>
          <w:jc w:val="center"/>
        </w:trPr>
        <w:tc>
          <w:tcPr>
            <w:tcW w:w="689" w:type="dxa"/>
            <w:vMerge w:val="continue"/>
            <w:tcBorders>
              <w:left w:val="single" w:color="auto" w:sz="4" w:space="0"/>
              <w:right w:val="single" w:color="auto" w:sz="4" w:space="0"/>
            </w:tcBorders>
            <w:noWrap w:val="0"/>
            <w:vAlign w:val="center"/>
          </w:tcPr>
          <w:p w14:paraId="2DFF63E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A067B6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105BC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乙方每季度未组织至少一次的服务人员培训，包括技能、礼仪、奖惩等内容。（提供相关培训内容、签到表、照片、活动记录表等台账资料）</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3E7389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D14ECC2">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2426F05">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C224F50">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568DEF6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53BB0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40A3C1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服务人员未统一着装、佩戴工牌。</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164B7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C862A85">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12A7ABB">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D3AD510">
        <w:tblPrEx>
          <w:tblCellMar>
            <w:top w:w="0" w:type="dxa"/>
            <w:left w:w="108" w:type="dxa"/>
            <w:bottom w:w="0" w:type="dxa"/>
            <w:right w:w="108" w:type="dxa"/>
          </w:tblCellMar>
        </w:tblPrEx>
        <w:trPr>
          <w:trHeight w:val="90" w:hRule="atLeast"/>
          <w:jc w:val="center"/>
        </w:trPr>
        <w:tc>
          <w:tcPr>
            <w:tcW w:w="689" w:type="dxa"/>
            <w:vMerge w:val="continue"/>
            <w:tcBorders>
              <w:left w:val="single" w:color="auto" w:sz="4" w:space="0"/>
              <w:right w:val="single" w:color="auto" w:sz="4" w:space="0"/>
            </w:tcBorders>
            <w:noWrap w:val="0"/>
            <w:vAlign w:val="center"/>
          </w:tcPr>
          <w:p w14:paraId="22FD0FB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F5D3E0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AC700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服务中未文明操作、礼貌待人、主动服务、尊老敬老。</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8AC41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E6FA8A0">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757897C">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A47140A">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5168D2E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7035B4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61F886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服务人员平台信息</w:t>
            </w:r>
            <w:r>
              <w:rPr>
                <w:rFonts w:hint="eastAsia" w:ascii="仿宋" w:hAnsi="仿宋" w:eastAsia="仿宋" w:cs="仿宋"/>
                <w:i w:val="0"/>
                <w:iCs w:val="0"/>
                <w:color w:val="auto"/>
                <w:kern w:val="0"/>
                <w:sz w:val="20"/>
                <w:szCs w:val="20"/>
                <w:highlight w:val="none"/>
                <w:u w:val="none"/>
                <w:shd w:val="clear"/>
                <w:lang w:val="en-US" w:eastAsia="zh-CN" w:bidi="ar"/>
              </w:rPr>
              <w:t>未及时更新或不符</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361AE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E63B129">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CA089B6">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426DFEE">
        <w:tblPrEx>
          <w:tblCellMar>
            <w:top w:w="0" w:type="dxa"/>
            <w:left w:w="108" w:type="dxa"/>
            <w:bottom w:w="0" w:type="dxa"/>
            <w:right w:w="108" w:type="dxa"/>
          </w:tblCellMar>
        </w:tblPrEx>
        <w:trPr>
          <w:trHeight w:val="320" w:hRule="atLeast"/>
          <w:jc w:val="center"/>
        </w:trPr>
        <w:tc>
          <w:tcPr>
            <w:tcW w:w="689" w:type="dxa"/>
            <w:vMerge w:val="continue"/>
            <w:tcBorders>
              <w:left w:val="single" w:color="auto" w:sz="4" w:space="0"/>
              <w:right w:val="single" w:color="auto" w:sz="4" w:space="0"/>
            </w:tcBorders>
            <w:noWrap w:val="0"/>
            <w:vAlign w:val="center"/>
          </w:tcPr>
          <w:p w14:paraId="1EC6BF94">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FFA08E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A5F316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shd w:val="clear"/>
                <w:lang w:val="en-US" w:eastAsia="zh-CN" w:bidi="ar"/>
              </w:rPr>
              <w:t>服务响应不及时</w:t>
            </w:r>
            <w:r>
              <w:rPr>
                <w:rFonts w:hint="eastAsia" w:ascii="仿宋" w:hAnsi="仿宋" w:eastAsia="仿宋" w:cs="仿宋"/>
                <w:i w:val="0"/>
                <w:iCs w:val="0"/>
                <w:color w:val="auto"/>
                <w:kern w:val="0"/>
                <w:sz w:val="20"/>
                <w:szCs w:val="20"/>
                <w:highlight w:val="none"/>
                <w:u w:val="none"/>
                <w:lang w:val="en-US" w:eastAsia="zh-CN" w:bidi="ar"/>
              </w:rPr>
              <w:t>：老人主动预约服务，未按承诺的时间联系老人并确认好具体上门服务的时间的。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861A0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A7F55A5">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A99B0DC">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62A3E6F">
        <w:tblPrEx>
          <w:tblCellMar>
            <w:top w:w="0" w:type="dxa"/>
            <w:left w:w="108" w:type="dxa"/>
            <w:bottom w:w="0" w:type="dxa"/>
            <w:right w:w="108" w:type="dxa"/>
          </w:tblCellMar>
        </w:tblPrEx>
        <w:trPr>
          <w:trHeight w:val="384" w:hRule="atLeast"/>
          <w:jc w:val="center"/>
        </w:trPr>
        <w:tc>
          <w:tcPr>
            <w:tcW w:w="689" w:type="dxa"/>
            <w:vMerge w:val="continue"/>
            <w:tcBorders>
              <w:left w:val="single" w:color="auto" w:sz="4" w:space="0"/>
              <w:right w:val="single" w:color="auto" w:sz="4" w:space="0"/>
            </w:tcBorders>
            <w:noWrap w:val="0"/>
            <w:vAlign w:val="center"/>
          </w:tcPr>
          <w:p w14:paraId="7EA2AD7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B772BF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EA0D7A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服务人员或项目负责人平台信息与服务人员或项目负责人实际信息不一致。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3E6A72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D4544C1">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04797BC">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AF7593A">
        <w:tblPrEx>
          <w:tblCellMar>
            <w:top w:w="0" w:type="dxa"/>
            <w:left w:w="108" w:type="dxa"/>
            <w:bottom w:w="0" w:type="dxa"/>
            <w:right w:w="108" w:type="dxa"/>
          </w:tblCellMar>
        </w:tblPrEx>
        <w:trPr>
          <w:trHeight w:val="440" w:hRule="atLeast"/>
          <w:jc w:val="center"/>
        </w:trPr>
        <w:tc>
          <w:tcPr>
            <w:tcW w:w="689" w:type="dxa"/>
            <w:vMerge w:val="continue"/>
            <w:tcBorders>
              <w:left w:val="single" w:color="auto" w:sz="4" w:space="0"/>
              <w:right w:val="single" w:color="auto" w:sz="4" w:space="0"/>
            </w:tcBorders>
            <w:noWrap w:val="0"/>
            <w:vAlign w:val="center"/>
          </w:tcPr>
          <w:p w14:paraId="1945403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CA4ED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9FE9B3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乙方更换项目负责人或项目负责人与实际不一致的。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4FF92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22D4B344">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CB22E72">
            <w:pPr>
              <w:keepNext w:val="0"/>
              <w:keepLines w:val="0"/>
              <w:pageBreakBefore w:val="0"/>
              <w:widowControl/>
              <w:suppressLineNumbers w:val="0"/>
              <w:kinsoku/>
              <w:wordWrap/>
              <w:overflowPunct/>
              <w:topLinePunct w:val="0"/>
              <w:autoSpaceDE/>
              <w:autoSpaceDN/>
              <w:bidi w:val="0"/>
              <w:adjustRightInd w:val="0"/>
              <w:snapToGrid/>
              <w:spacing w:line="320" w:lineRule="exact"/>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B0BC9D2">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7DD51A2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A868F8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bidi="ar"/>
              </w:rPr>
            </w:pPr>
            <w:r>
              <w:rPr>
                <w:rFonts w:hint="eastAsia" w:ascii="仿宋" w:hAnsi="仿宋" w:eastAsia="仿宋" w:cs="仿宋"/>
                <w:i w:val="0"/>
                <w:iCs w:val="0"/>
                <w:color w:val="auto"/>
                <w:kern w:val="0"/>
                <w:sz w:val="20"/>
                <w:szCs w:val="20"/>
                <w:highlight w:val="none"/>
                <w:u w:val="none"/>
                <w:lang w:val="en-US" w:eastAsia="zh-CN" w:bidi="ar"/>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280F1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乙方更换服务人员或服务人员与实际不一致的。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164F8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E440A0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64F506B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24B26EF">
        <w:tblPrEx>
          <w:tblCellMar>
            <w:top w:w="0" w:type="dxa"/>
            <w:left w:w="108" w:type="dxa"/>
            <w:bottom w:w="0" w:type="dxa"/>
            <w:right w:w="108" w:type="dxa"/>
          </w:tblCellMar>
        </w:tblPrEx>
        <w:trPr>
          <w:trHeight w:val="345" w:hRule="atLeast"/>
          <w:jc w:val="center"/>
        </w:trPr>
        <w:tc>
          <w:tcPr>
            <w:tcW w:w="689" w:type="dxa"/>
            <w:vMerge w:val="continue"/>
            <w:tcBorders>
              <w:left w:val="single" w:color="auto" w:sz="4" w:space="0"/>
              <w:right w:val="single" w:color="auto" w:sz="4" w:space="0"/>
            </w:tcBorders>
            <w:noWrap w:val="0"/>
            <w:vAlign w:val="center"/>
          </w:tcPr>
          <w:p w14:paraId="2DB7DF9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58F2AF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E5D500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服务人员未按照标段人数配备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37514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D40E49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B28CA6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3488CA8">
        <w:tblPrEx>
          <w:tblCellMar>
            <w:top w:w="0" w:type="dxa"/>
            <w:left w:w="108" w:type="dxa"/>
            <w:bottom w:w="0" w:type="dxa"/>
            <w:right w:w="108" w:type="dxa"/>
          </w:tblCellMar>
        </w:tblPrEx>
        <w:trPr>
          <w:trHeight w:val="47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2FDE6F2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服务质量考核</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29D362A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28654E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bidi="ar"/>
              </w:rPr>
            </w:pPr>
            <w:r>
              <w:rPr>
                <w:rFonts w:hint="eastAsia" w:ascii="仿宋" w:hAnsi="仿宋" w:eastAsia="仿宋" w:cs="仿宋"/>
                <w:i w:val="0"/>
                <w:iCs w:val="0"/>
                <w:color w:val="auto"/>
                <w:kern w:val="0"/>
                <w:sz w:val="20"/>
                <w:szCs w:val="20"/>
                <w:highlight w:val="none"/>
                <w:u w:val="none"/>
                <w:lang w:val="en-US" w:eastAsia="zh-CN" w:bidi="ar"/>
              </w:rPr>
              <w:t>上报服务工单的服务时间、服务内容与实际服务时间、服务内容不一致。</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21855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D0A82D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E836DE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154E83B5">
        <w:tblPrEx>
          <w:tblCellMar>
            <w:top w:w="0" w:type="dxa"/>
            <w:left w:w="108" w:type="dxa"/>
            <w:bottom w:w="0" w:type="dxa"/>
            <w:right w:w="108" w:type="dxa"/>
          </w:tblCellMar>
        </w:tblPrEx>
        <w:trPr>
          <w:trHeight w:val="4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8800ED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205C51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0D287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服务人员入户后未经老人允许就开始服务，或上一单服务未结束就进入下一单服务的。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F897EF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DC8E3F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84E398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0E3683F">
        <w:tblPrEx>
          <w:tblCellMar>
            <w:top w:w="0" w:type="dxa"/>
            <w:left w:w="108" w:type="dxa"/>
            <w:bottom w:w="0" w:type="dxa"/>
            <w:right w:w="108" w:type="dxa"/>
          </w:tblCellMar>
        </w:tblPrEx>
        <w:trPr>
          <w:trHeight w:val="670"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427B78A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346A9C2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1184A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对两单间隔时间异常（如跨社区、服务订单无间隔时间或间隔过短情况）或项目重叠的无法提供相应证明的。</w:t>
            </w:r>
            <w:r>
              <w:rPr>
                <w:rFonts w:hint="eastAsia" w:ascii="仿宋" w:hAnsi="仿宋" w:eastAsia="仿宋" w:cs="仿宋"/>
                <w:i w:val="0"/>
                <w:iCs w:val="0"/>
                <w:color w:val="auto"/>
                <w:kern w:val="0"/>
                <w:sz w:val="20"/>
                <w:szCs w:val="20"/>
                <w:highlight w:val="none"/>
                <w:u w:val="none"/>
                <w:shd w:val="clear"/>
                <w:lang w:val="en-US" w:eastAsia="zh-CN" w:bidi="ar"/>
              </w:rPr>
              <w:t>（两单间隔时间不少于20分钟；两单支付时间不少于60分钟）</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95515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0.3分/次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BC8C8C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491B06A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800C9EC">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D63511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7C1A439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83C049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网络或电话方式收到老人投诉或负面舆情，由</w:t>
            </w:r>
            <w:r>
              <w:rPr>
                <w:rFonts w:hint="eastAsia" w:ascii="仿宋" w:hAnsi="仿宋" w:eastAsia="仿宋" w:cs="仿宋"/>
                <w:color w:val="auto"/>
                <w:spacing w:val="0"/>
                <w:kern w:val="0"/>
                <w:sz w:val="20"/>
                <w:szCs w:val="20"/>
                <w:highlight w:val="none"/>
                <w:u w:val="none"/>
                <w:lang w:val="en-US" w:eastAsia="zh-CN" w:bidi="ar"/>
              </w:rPr>
              <w:t>第三方监管单位</w:t>
            </w:r>
            <w:r>
              <w:rPr>
                <w:rFonts w:hint="eastAsia" w:ascii="仿宋" w:hAnsi="仿宋" w:eastAsia="仿宋" w:cs="仿宋"/>
                <w:i w:val="0"/>
                <w:iCs w:val="0"/>
                <w:color w:val="auto"/>
                <w:kern w:val="0"/>
                <w:sz w:val="20"/>
                <w:szCs w:val="20"/>
                <w:highlight w:val="none"/>
                <w:u w:val="none"/>
                <w:lang w:val="en-US" w:eastAsia="zh-CN" w:bidi="ar"/>
              </w:rPr>
              <w:t>入户进行核实，核实为有效投诉的。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BDEA6B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F2168C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4C6626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074F933">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7EEE26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085E2C3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A73A15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发生重大责任事故和违法违纪行为等事件的。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AAF545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1ED5B6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B8C43A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84E2651">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7302E02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70DA36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6</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10C434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shd w:val="clear"/>
                <w:lang w:val="en-US" w:eastAsia="zh-CN" w:bidi="ar"/>
              </w:rPr>
              <w:t>未及时结算或隔日结算</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55B193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D27563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A95E7A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A495DEE">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AAF2F9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1A994C3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7</w:t>
            </w:r>
          </w:p>
        </w:tc>
        <w:tc>
          <w:tcPr>
            <w:tcW w:w="469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5EB219F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服务满意度（由第三方测评单位抽取名单，向老人、家属、社区、街道进行满意度回访。并将相关情况及时反馈街道、社区，由街道、社区及时作出后续处理）</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F223B29">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&lt;80%  3分/次</w:t>
            </w:r>
          </w:p>
        </w:tc>
        <w:tc>
          <w:tcPr>
            <w:tcW w:w="675" w:type="dxa"/>
            <w:vMerge w:val="restart"/>
            <w:tcBorders>
              <w:top w:val="single" w:color="auto" w:sz="4" w:space="0"/>
              <w:left w:val="single" w:color="auto" w:sz="4" w:space="0"/>
              <w:bottom w:val="single" w:color="auto" w:sz="4" w:space="0"/>
              <w:right w:val="single" w:color="auto" w:sz="4" w:space="0"/>
            </w:tcBorders>
            <w:noWrap w:val="0"/>
            <w:vAlign w:val="center"/>
          </w:tcPr>
          <w:p w14:paraId="5BA598E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vMerge w:val="restart"/>
            <w:tcBorders>
              <w:top w:val="single" w:color="auto" w:sz="4" w:space="0"/>
              <w:left w:val="single" w:color="auto" w:sz="4" w:space="0"/>
              <w:bottom w:val="single" w:color="auto" w:sz="4" w:space="0"/>
              <w:right w:val="single" w:color="auto" w:sz="4" w:space="0"/>
            </w:tcBorders>
            <w:noWrap w:val="0"/>
            <w:vAlign w:val="center"/>
          </w:tcPr>
          <w:p w14:paraId="7F4A5E1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0941AB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004FFA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81F2F1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55FC178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4376C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80-89% 2分/次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533E922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2115E2E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A971EC1">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77A6F41">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8CBA15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69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5975CC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D1084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90-95% 1分/次</w:t>
            </w:r>
          </w:p>
        </w:tc>
        <w:tc>
          <w:tcPr>
            <w:tcW w:w="675" w:type="dxa"/>
            <w:vMerge w:val="continue"/>
            <w:tcBorders>
              <w:top w:val="single" w:color="auto" w:sz="4" w:space="0"/>
              <w:left w:val="single" w:color="auto" w:sz="4" w:space="0"/>
              <w:bottom w:val="single" w:color="auto" w:sz="4" w:space="0"/>
              <w:right w:val="single" w:color="auto" w:sz="4" w:space="0"/>
            </w:tcBorders>
            <w:noWrap w:val="0"/>
            <w:vAlign w:val="center"/>
          </w:tcPr>
          <w:p w14:paraId="6DBE794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vMerge w:val="continue"/>
            <w:tcBorders>
              <w:top w:val="single" w:color="auto" w:sz="4" w:space="0"/>
              <w:left w:val="single" w:color="auto" w:sz="4" w:space="0"/>
              <w:bottom w:val="single" w:color="auto" w:sz="4" w:space="0"/>
              <w:right w:val="single" w:color="auto" w:sz="4" w:space="0"/>
            </w:tcBorders>
            <w:noWrap w:val="0"/>
            <w:vAlign w:val="center"/>
          </w:tcPr>
          <w:p w14:paraId="389FD7E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C2F7F88">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4FEEC2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B5D0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8</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CDAF7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高龄普惠人群占每月服务老人比例不达标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CF03EE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E8812F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DDD48B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0B1702D">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56CEB3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392469E">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9</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9E746E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1小时单量占每月服务单量比例不达标</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6B88C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5F862B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9D0164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925D40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B6037AF">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ACDC2C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10</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D284FB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未按标准服务，协助排查过程中出现的自己拿市民卡、带走老人市民卡、服务不足时、中途离开等行为</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10CCC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5A45D6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D31359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F43E359">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F714B9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F43D9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481D48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非不可抗力原因未开展服务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EA8BE9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F6AC11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A4F866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29C19CA">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14FAB65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CF825A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22251D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服务人员每月服务时长超过200小时</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96AC60">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02C12A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3F8E88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46229BB">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EAD74E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7A112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FEA086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市局回访服务人员未及时接听电话</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34696C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0.1分/个</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342AEED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B4A773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5D5430F">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445DBB9B">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F9DAB5">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14</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19016D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市局回访服务人员未开展服务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036D351">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50DA5C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288ED1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3CC0C483">
        <w:tblPrEx>
          <w:tblCellMar>
            <w:top w:w="0" w:type="dxa"/>
            <w:left w:w="108" w:type="dxa"/>
            <w:bottom w:w="0" w:type="dxa"/>
            <w:right w:w="108" w:type="dxa"/>
          </w:tblCellMar>
        </w:tblPrEx>
        <w:trPr>
          <w:trHeight w:val="340"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305B56D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服务完成情况</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1FF09A2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06CFC9D">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未在每月25日前完成老人信息变动情况（包括老人及其监护人地址电话更新、去世老人、跨区变动、拒单老人）的上报。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F892E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0.1分/人次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064984E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5FFA472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881ADD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663E3EEC">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4A05B9A3">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ECB99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未在每月提交1篇信息稿或专报。</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19AE1B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484F429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53F4A6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4453DE78">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50747701">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2A0A15E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90F1B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每年信息稿或专报被区级及以上媒体（含新媒体、纸媒等）录用量少于1篇的。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8AFA5C2">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0.1分/次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79CDA0E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27EA342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0DFFD018">
        <w:tblPrEx>
          <w:tblCellMar>
            <w:top w:w="0" w:type="dxa"/>
            <w:left w:w="108" w:type="dxa"/>
            <w:bottom w:w="0" w:type="dxa"/>
            <w:right w:w="108" w:type="dxa"/>
          </w:tblCellMar>
        </w:tblPrEx>
        <w:trPr>
          <w:trHeight w:val="345" w:hRule="atLeast"/>
          <w:jc w:val="center"/>
        </w:trPr>
        <w:tc>
          <w:tcPr>
            <w:tcW w:w="689" w:type="dxa"/>
            <w:vMerge w:val="restart"/>
            <w:tcBorders>
              <w:top w:val="single" w:color="auto" w:sz="4" w:space="0"/>
              <w:left w:val="single" w:color="auto" w:sz="4" w:space="0"/>
              <w:bottom w:val="single" w:color="auto" w:sz="4" w:space="0"/>
              <w:right w:val="single" w:color="auto" w:sz="4" w:space="0"/>
            </w:tcBorders>
            <w:noWrap w:val="0"/>
            <w:vAlign w:val="center"/>
          </w:tcPr>
          <w:p w14:paraId="6E02480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i w:val="0"/>
                <w:iCs w:val="0"/>
                <w:color w:val="auto"/>
                <w:sz w:val="20"/>
                <w:szCs w:val="20"/>
                <w:highlight w:val="none"/>
                <w:u w:val="none"/>
                <w:lang w:eastAsia="zh-CN"/>
              </w:rPr>
              <w:t>加分项</w:t>
            </w:r>
          </w:p>
        </w:tc>
        <w:tc>
          <w:tcPr>
            <w:tcW w:w="487" w:type="dxa"/>
            <w:tcBorders>
              <w:top w:val="single" w:color="auto" w:sz="4" w:space="0"/>
              <w:left w:val="single" w:color="auto" w:sz="4" w:space="0"/>
              <w:bottom w:val="single" w:color="auto" w:sz="4" w:space="0"/>
              <w:right w:val="single" w:color="auto" w:sz="4" w:space="0"/>
            </w:tcBorders>
            <w:noWrap w:val="0"/>
            <w:vAlign w:val="center"/>
          </w:tcPr>
          <w:p w14:paraId="0E34819D">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1</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29BCB2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服务特色与创新（须经民政局认定且符合要求的特色服务）</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B8F7BF">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F89E84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3E280270">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255F7E7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3F2B5B52">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0E9835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w:t>
            </w:r>
          </w:p>
        </w:tc>
        <w:tc>
          <w:tcPr>
            <w:tcW w:w="4692"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50A60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服务出色，获得老人或家属称赞的</w:t>
            </w:r>
          </w:p>
        </w:tc>
        <w:tc>
          <w:tcPr>
            <w:tcW w:w="162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59D096">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2分/次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5871E97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D86966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0DC6D3D">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2CB78866">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198AF37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3</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74E4432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为老服务公益性活动</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32F7EC9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0.5分/次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6FDCC065">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7D09EA69">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6ECA9E17">
        <w:tblPrEx>
          <w:tblCellMar>
            <w:top w:w="0" w:type="dxa"/>
            <w:left w:w="108" w:type="dxa"/>
            <w:bottom w:w="0" w:type="dxa"/>
            <w:right w:w="108" w:type="dxa"/>
          </w:tblCellMar>
        </w:tblPrEx>
        <w:trPr>
          <w:trHeight w:val="345" w:hRule="atLeast"/>
          <w:jc w:val="center"/>
        </w:trPr>
        <w:tc>
          <w:tcPr>
            <w:tcW w:w="689" w:type="dxa"/>
            <w:vMerge w:val="continue"/>
            <w:tcBorders>
              <w:top w:val="single" w:color="auto" w:sz="4" w:space="0"/>
              <w:left w:val="single" w:color="auto" w:sz="4" w:space="0"/>
              <w:bottom w:val="single" w:color="auto" w:sz="4" w:space="0"/>
              <w:right w:val="single" w:color="auto" w:sz="4" w:space="0"/>
            </w:tcBorders>
            <w:noWrap w:val="0"/>
            <w:vAlign w:val="center"/>
          </w:tcPr>
          <w:p w14:paraId="173C3337">
            <w:pPr>
              <w:keepNext w:val="0"/>
              <w:keepLines w:val="0"/>
              <w:pageBreakBefore w:val="0"/>
              <w:kinsoku/>
              <w:wordWrap/>
              <w:overflowPunct/>
              <w:topLinePunct w:val="0"/>
              <w:autoSpaceDE/>
              <w:autoSpaceDN/>
              <w:bidi w:val="0"/>
              <w:adjustRightInd w:val="0"/>
              <w:snapToGrid/>
              <w:spacing w:line="320" w:lineRule="exact"/>
              <w:rPr>
                <w:rFonts w:hint="eastAsia" w:ascii="仿宋" w:hAnsi="仿宋" w:eastAsia="仿宋" w:cs="仿宋"/>
                <w:i w:val="0"/>
                <w:iCs w:val="0"/>
                <w:color w:val="auto"/>
                <w:sz w:val="20"/>
                <w:szCs w:val="20"/>
                <w:highlight w:val="none"/>
                <w:u w:val="none"/>
              </w:rPr>
            </w:pPr>
          </w:p>
        </w:tc>
        <w:tc>
          <w:tcPr>
            <w:tcW w:w="487" w:type="dxa"/>
            <w:tcBorders>
              <w:top w:val="single" w:color="auto" w:sz="4" w:space="0"/>
              <w:left w:val="single" w:color="auto" w:sz="4" w:space="0"/>
              <w:bottom w:val="single" w:color="auto" w:sz="4" w:space="0"/>
              <w:right w:val="single" w:color="auto" w:sz="4" w:space="0"/>
            </w:tcBorders>
            <w:noWrap w:val="0"/>
            <w:vAlign w:val="center"/>
          </w:tcPr>
          <w:p w14:paraId="68949DF8">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4</w:t>
            </w:r>
          </w:p>
        </w:tc>
        <w:tc>
          <w:tcPr>
            <w:tcW w:w="4692" w:type="dxa"/>
            <w:tcBorders>
              <w:top w:val="single" w:color="auto" w:sz="4" w:space="0"/>
              <w:left w:val="single" w:color="auto" w:sz="4" w:space="0"/>
              <w:bottom w:val="single" w:color="auto" w:sz="4" w:space="0"/>
              <w:right w:val="single" w:color="auto" w:sz="4" w:space="0"/>
            </w:tcBorders>
            <w:noWrap w:val="0"/>
            <w:vAlign w:val="center"/>
          </w:tcPr>
          <w:p w14:paraId="4177542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遇到突发情况，紧急应对，化险为夷的</w:t>
            </w:r>
          </w:p>
        </w:tc>
        <w:tc>
          <w:tcPr>
            <w:tcW w:w="1621" w:type="dxa"/>
            <w:tcBorders>
              <w:top w:val="single" w:color="auto" w:sz="4" w:space="0"/>
              <w:left w:val="single" w:color="auto" w:sz="4" w:space="0"/>
              <w:bottom w:val="single" w:color="auto" w:sz="4" w:space="0"/>
              <w:right w:val="single" w:color="auto" w:sz="4" w:space="0"/>
            </w:tcBorders>
            <w:noWrap w:val="0"/>
            <w:vAlign w:val="center"/>
          </w:tcPr>
          <w:p w14:paraId="470191C4">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5分/次</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E4071CA">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887" w:type="dxa"/>
            <w:tcBorders>
              <w:top w:val="single" w:color="auto" w:sz="4" w:space="0"/>
              <w:left w:val="single" w:color="auto" w:sz="4" w:space="0"/>
              <w:bottom w:val="single" w:color="auto" w:sz="4" w:space="0"/>
              <w:right w:val="single" w:color="auto" w:sz="4" w:space="0"/>
            </w:tcBorders>
            <w:noWrap w:val="0"/>
            <w:vAlign w:val="center"/>
          </w:tcPr>
          <w:p w14:paraId="1D6482E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7162EA80">
        <w:tblPrEx>
          <w:tblCellMar>
            <w:top w:w="0" w:type="dxa"/>
            <w:left w:w="108" w:type="dxa"/>
            <w:bottom w:w="0" w:type="dxa"/>
            <w:right w:w="108" w:type="dxa"/>
          </w:tblCellMar>
        </w:tblPrEx>
        <w:trPr>
          <w:trHeight w:val="190"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30242CC7">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sz w:val="20"/>
                <w:szCs w:val="20"/>
                <w:highlight w:val="none"/>
              </w:rPr>
              <w:t>乙方</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3F0E412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p>
        </w:tc>
      </w:tr>
      <w:tr w14:paraId="544C7D6E">
        <w:tblPrEx>
          <w:tblCellMar>
            <w:top w:w="0" w:type="dxa"/>
            <w:left w:w="108" w:type="dxa"/>
            <w:bottom w:w="0" w:type="dxa"/>
            <w:right w:w="108" w:type="dxa"/>
          </w:tblCellMar>
        </w:tblPrEx>
        <w:trPr>
          <w:trHeight w:val="288" w:hRule="atLeast"/>
          <w:jc w:val="center"/>
        </w:trPr>
        <w:tc>
          <w:tcPr>
            <w:tcW w:w="1176" w:type="dxa"/>
            <w:gridSpan w:val="2"/>
            <w:tcBorders>
              <w:top w:val="single" w:color="auto" w:sz="4" w:space="0"/>
              <w:left w:val="single" w:color="auto" w:sz="4" w:space="0"/>
              <w:bottom w:val="single" w:color="auto" w:sz="4" w:space="0"/>
              <w:right w:val="single" w:color="auto" w:sz="4" w:space="0"/>
            </w:tcBorders>
            <w:noWrap w:val="0"/>
            <w:vAlign w:val="center"/>
          </w:tcPr>
          <w:p w14:paraId="0A7192BB">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kern w:val="0"/>
                <w:sz w:val="21"/>
                <w:szCs w:val="21"/>
                <w:highlight w:val="none"/>
                <w:u w:val="none"/>
                <w:lang w:val="en-US" w:eastAsia="zh-CN" w:bidi="ar"/>
              </w:rPr>
            </w:pPr>
            <w:r>
              <w:rPr>
                <w:rFonts w:hint="eastAsia" w:ascii="仿宋" w:hAnsi="仿宋" w:eastAsia="仿宋" w:cs="仿宋"/>
                <w:color w:val="auto"/>
                <w:sz w:val="20"/>
                <w:szCs w:val="20"/>
                <w:highlight w:val="none"/>
              </w:rPr>
              <w:t>小计扣分</w:t>
            </w:r>
          </w:p>
        </w:tc>
        <w:tc>
          <w:tcPr>
            <w:tcW w:w="7875" w:type="dxa"/>
            <w:gridSpan w:val="4"/>
            <w:tcBorders>
              <w:top w:val="single" w:color="auto" w:sz="4" w:space="0"/>
              <w:left w:val="single" w:color="auto" w:sz="4" w:space="0"/>
              <w:bottom w:val="single" w:color="auto" w:sz="4" w:space="0"/>
              <w:right w:val="single" w:color="auto" w:sz="4" w:space="0"/>
            </w:tcBorders>
            <w:noWrap w:val="0"/>
            <w:vAlign w:val="center"/>
          </w:tcPr>
          <w:p w14:paraId="3D71488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1"/>
                <w:szCs w:val="21"/>
                <w:highlight w:val="none"/>
                <w:u w:val="none"/>
                <w:lang w:val="en-US" w:eastAsia="zh-CN" w:bidi="ar"/>
              </w:rPr>
            </w:pPr>
          </w:p>
        </w:tc>
      </w:tr>
    </w:tbl>
    <w:p w14:paraId="2EF28279">
      <w:pPr>
        <w:pStyle w:val="21"/>
        <w:keepNext w:val="0"/>
        <w:keepLines w:val="0"/>
        <w:pageBreakBefore w:val="0"/>
        <w:widowControl w:val="0"/>
        <w:kinsoku/>
        <w:wordWrap/>
        <w:overflowPunct/>
        <w:topLinePunct w:val="0"/>
        <w:autoSpaceDE/>
        <w:autoSpaceDN/>
        <w:bidi w:val="0"/>
        <w:adjustRightInd w:val="0"/>
        <w:snapToGrid/>
        <w:spacing w:line="520" w:lineRule="exact"/>
        <w:ind w:left="0" w:leftChars="0"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（2）清退机制（如有以下行为之一的甲方有权随时与供应商暂停服务终止合同，并视情况列入黑名单，2年内拒绝参加滨江区居家养老综合服务项目）</w:t>
      </w:r>
    </w:p>
    <w:tbl>
      <w:tblPr>
        <w:tblStyle w:val="49"/>
        <w:tblW w:w="9051" w:type="dxa"/>
        <w:jc w:val="center"/>
        <w:tblLayout w:type="fixed"/>
        <w:tblCellMar>
          <w:top w:w="0" w:type="dxa"/>
          <w:left w:w="108" w:type="dxa"/>
          <w:bottom w:w="0" w:type="dxa"/>
          <w:right w:w="108" w:type="dxa"/>
        </w:tblCellMar>
      </w:tblPr>
      <w:tblGrid>
        <w:gridCol w:w="1176"/>
        <w:gridCol w:w="7875"/>
      </w:tblGrid>
      <w:tr w14:paraId="61C66044">
        <w:tblPrEx>
          <w:tblCellMar>
            <w:top w:w="0" w:type="dxa"/>
            <w:left w:w="108" w:type="dxa"/>
            <w:bottom w:w="0" w:type="dxa"/>
            <w:right w:w="108" w:type="dxa"/>
          </w:tblCellMar>
        </w:tblPrEx>
        <w:trPr>
          <w:trHeight w:val="186" w:hRule="atLeast"/>
          <w:jc w:val="center"/>
        </w:trPr>
        <w:tc>
          <w:tcPr>
            <w:tcW w:w="9051" w:type="dxa"/>
            <w:gridSpan w:val="2"/>
            <w:tcBorders>
              <w:top w:val="single" w:color="000000" w:sz="4" w:space="0"/>
              <w:left w:val="single" w:color="000000" w:sz="4" w:space="0"/>
              <w:bottom w:val="single" w:color="000000" w:sz="4" w:space="0"/>
              <w:right w:val="single" w:color="000000" w:sz="4" w:space="0"/>
            </w:tcBorders>
            <w:noWrap w:val="0"/>
            <w:vAlign w:val="center"/>
          </w:tcPr>
          <w:p w14:paraId="214E703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清退机制细则</w:t>
            </w:r>
          </w:p>
        </w:tc>
      </w:tr>
      <w:tr w14:paraId="6E3E0413">
        <w:tblPrEx>
          <w:tblCellMar>
            <w:top w:w="0" w:type="dxa"/>
            <w:left w:w="108" w:type="dxa"/>
            <w:bottom w:w="0" w:type="dxa"/>
            <w:right w:w="108" w:type="dxa"/>
          </w:tblCellMar>
        </w:tblPrEx>
        <w:trPr>
          <w:trHeight w:val="90"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18AB3A8A">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b/>
                <w:bCs/>
                <w:i w:val="0"/>
                <w:iCs w:val="0"/>
                <w:color w:val="auto"/>
                <w:kern w:val="2"/>
                <w:sz w:val="20"/>
                <w:szCs w:val="20"/>
                <w:highlight w:val="none"/>
                <w:u w:val="none"/>
                <w:lang w:val="en-US" w:eastAsia="zh-CN" w:bidi="ar-SA"/>
              </w:rPr>
            </w:pPr>
            <w:r>
              <w:rPr>
                <w:rFonts w:hint="eastAsia" w:ascii="仿宋" w:hAnsi="仿宋" w:eastAsia="仿宋" w:cs="仿宋"/>
                <w:b/>
                <w:bCs/>
                <w:i w:val="0"/>
                <w:iCs w:val="0"/>
                <w:color w:val="auto"/>
                <w:kern w:val="0"/>
                <w:sz w:val="20"/>
                <w:szCs w:val="20"/>
                <w:highlight w:val="none"/>
                <w:u w:val="none"/>
                <w:lang w:val="en-US" w:eastAsia="zh-CN" w:bidi="ar"/>
              </w:rPr>
              <w:t>序号</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77EFA0C">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0"/>
                <w:szCs w:val="20"/>
                <w:highlight w:val="none"/>
                <w:u w:val="none"/>
                <w:lang w:val="en-US" w:eastAsia="zh-CN" w:bidi="ar"/>
              </w:rPr>
              <w:t>具体内容</w:t>
            </w:r>
          </w:p>
        </w:tc>
      </w:tr>
      <w:tr w14:paraId="5F25AED6">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F9A56FC">
            <w:pPr>
              <w:keepNext w:val="0"/>
              <w:keepLines w:val="0"/>
              <w:pageBreakBefore w:val="0"/>
              <w:widowControl/>
              <w:suppressLineNumbers w:val="0"/>
              <w:kinsoku/>
              <w:wordWrap/>
              <w:overflowPunct/>
              <w:topLinePunct w:val="0"/>
              <w:autoSpaceDE/>
              <w:autoSpaceDN/>
              <w:bidi w:val="0"/>
              <w:adjustRightInd w:val="0"/>
              <w:snapToGrid/>
              <w:spacing w:line="320" w:lineRule="exact"/>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11507F1B">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sz w:val="20"/>
                <w:szCs w:val="20"/>
                <w:highlight w:val="none"/>
                <w:u w:val="none"/>
                <w:lang w:val="en-US" w:eastAsia="zh-CN"/>
              </w:rPr>
              <w:t>乙方更换后的项目负责人或服务人员，不满足采购需求的年龄、证件等要求的。</w:t>
            </w:r>
          </w:p>
        </w:tc>
      </w:tr>
      <w:tr w14:paraId="16FB915B">
        <w:tblPrEx>
          <w:tblCellMar>
            <w:top w:w="0" w:type="dxa"/>
            <w:left w:w="108" w:type="dxa"/>
            <w:bottom w:w="0" w:type="dxa"/>
            <w:right w:w="108" w:type="dxa"/>
          </w:tblCellMar>
        </w:tblPrEx>
        <w:trPr>
          <w:trHeight w:val="342"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FAF5467">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A1AA8B4">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逾期未交月度考核罚款的。</w:t>
            </w:r>
          </w:p>
        </w:tc>
      </w:tr>
      <w:tr w14:paraId="01190097">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57B19F6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A1E1AB2">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服务期内月度考核分出现两次85分（不含）以下的。</w:t>
            </w:r>
          </w:p>
        </w:tc>
      </w:tr>
      <w:tr w14:paraId="68C43B6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62142D5">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E06FAFC">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非法骗取套取政府财政资金，发现虚假交易、套现补贴且金额超5000元及以上的（退一罚十）。</w:t>
            </w:r>
          </w:p>
        </w:tc>
      </w:tr>
      <w:tr w14:paraId="1D1FA7AF">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2A17BEA">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5</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0DA22A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违法违规开展服务协议外的其他活动。</w:t>
            </w:r>
          </w:p>
        </w:tc>
      </w:tr>
      <w:tr w14:paraId="04203C1A">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3F2F0523">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6</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2CF78F3">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泄露老人个人隐私信息。</w:t>
            </w:r>
          </w:p>
        </w:tc>
      </w:tr>
      <w:tr w14:paraId="4E51E2A2">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D501FD9">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7</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6705868F">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发生殴打、体罚等欺老虐老行为。</w:t>
            </w:r>
          </w:p>
        </w:tc>
      </w:tr>
      <w:tr w14:paraId="1ACB67E6">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450FBBE">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8</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26C183DE">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未按操作规程或标准提供服务，引发较大安全责任事故。</w:t>
            </w:r>
          </w:p>
        </w:tc>
      </w:tr>
      <w:tr w14:paraId="583B9A5B">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46506A58">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9</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156AAA51">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故意隐瞒不及时报安全责任事故，检查发现安全隐患拒不整改。</w:t>
            </w:r>
          </w:p>
        </w:tc>
      </w:tr>
      <w:tr w14:paraId="037028CB">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700319B6">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04CED9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经查实，被老年人或及家属等年度投诉不能超过5次（不含5次）。</w:t>
            </w:r>
          </w:p>
        </w:tc>
      </w:tr>
      <w:tr w14:paraId="3FC0B99E">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62743C4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11</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1EBF5A08">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因合同纠纷造成群体性事件或不良社会舆论，或其他不良行为。</w:t>
            </w:r>
          </w:p>
        </w:tc>
      </w:tr>
      <w:tr w14:paraId="656C08EC">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02411582">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12</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3E201906">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经第三方测评，年度老人满意度低于95%并核查属实的。</w:t>
            </w:r>
          </w:p>
        </w:tc>
      </w:tr>
      <w:tr w14:paraId="1BBBD771">
        <w:tblPrEx>
          <w:tblCellMar>
            <w:top w:w="0" w:type="dxa"/>
            <w:left w:w="108" w:type="dxa"/>
            <w:bottom w:w="0" w:type="dxa"/>
            <w:right w:w="108" w:type="dxa"/>
          </w:tblCellMar>
        </w:tblPrEx>
        <w:trPr>
          <w:trHeight w:val="345" w:hRule="atLeast"/>
          <w:jc w:val="center"/>
        </w:trPr>
        <w:tc>
          <w:tcPr>
            <w:tcW w:w="1176" w:type="dxa"/>
            <w:tcBorders>
              <w:top w:val="single" w:color="000000" w:sz="4" w:space="0"/>
              <w:left w:val="single" w:color="000000" w:sz="4" w:space="0"/>
              <w:bottom w:val="single" w:color="000000" w:sz="4" w:space="0"/>
              <w:right w:val="single" w:color="000000" w:sz="4" w:space="0"/>
            </w:tcBorders>
            <w:noWrap w:val="0"/>
            <w:vAlign w:val="center"/>
          </w:tcPr>
          <w:p w14:paraId="250B58DD">
            <w:pPr>
              <w:keepNext w:val="0"/>
              <w:keepLines w:val="0"/>
              <w:pageBreakBefore w:val="0"/>
              <w:kinsoku/>
              <w:wordWrap/>
              <w:overflowPunct/>
              <w:topLinePunct w:val="0"/>
              <w:autoSpaceDE/>
              <w:autoSpaceDN/>
              <w:bidi w:val="0"/>
              <w:adjustRightInd w:val="0"/>
              <w:snapToGrid/>
              <w:spacing w:line="320" w:lineRule="exact"/>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13</w:t>
            </w:r>
          </w:p>
        </w:tc>
        <w:tc>
          <w:tcPr>
            <w:tcW w:w="7875" w:type="dxa"/>
            <w:tcBorders>
              <w:top w:val="single" w:color="000000" w:sz="4" w:space="0"/>
              <w:left w:val="single" w:color="000000" w:sz="4" w:space="0"/>
              <w:bottom w:val="single" w:color="000000" w:sz="4" w:space="0"/>
              <w:right w:val="single" w:color="000000" w:sz="4" w:space="0"/>
            </w:tcBorders>
            <w:noWrap w:val="0"/>
            <w:vAlign w:val="center"/>
          </w:tcPr>
          <w:p w14:paraId="5F52A767">
            <w:pPr>
              <w:keepNext w:val="0"/>
              <w:keepLines w:val="0"/>
              <w:pageBreakBefore w:val="0"/>
              <w:widowControl/>
              <w:suppressLineNumbers w:val="0"/>
              <w:kinsoku/>
              <w:wordWrap/>
              <w:overflowPunct/>
              <w:topLinePunct w:val="0"/>
              <w:autoSpaceDE/>
              <w:autoSpaceDN/>
              <w:bidi w:val="0"/>
              <w:adjustRightInd w:val="0"/>
              <w:snapToGrid/>
              <w:spacing w:line="320" w:lineRule="exact"/>
              <w:jc w:val="left"/>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出现违法违规经营行为且超两次或拒不改正的，国家、省、市规定应当列入的其他严重失信情形.</w:t>
            </w:r>
          </w:p>
        </w:tc>
      </w:tr>
    </w:tbl>
    <w:p w14:paraId="7CFE7D23">
      <w:pPr>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snapToGrid w:val="0"/>
          <w:color w:val="auto"/>
          <w:kern w:val="0"/>
          <w:sz w:val="24"/>
          <w:highlight w:val="none"/>
          <w:lang w:eastAsia="zh-CN"/>
        </w:rPr>
      </w:pPr>
      <w:r>
        <w:rPr>
          <w:rFonts w:hint="eastAsia" w:ascii="仿宋" w:hAnsi="仿宋" w:eastAsia="仿宋" w:cs="仿宋"/>
          <w:b/>
          <w:bCs/>
          <w:snapToGrid w:val="0"/>
          <w:color w:val="auto"/>
          <w:kern w:val="0"/>
          <w:sz w:val="24"/>
          <w:highlight w:val="none"/>
          <w:lang w:val="en-US" w:eastAsia="zh-CN"/>
        </w:rPr>
        <w:t>十四、</w:t>
      </w:r>
      <w:r>
        <w:rPr>
          <w:rFonts w:hint="eastAsia" w:ascii="仿宋" w:hAnsi="仿宋" w:eastAsia="仿宋" w:cs="仿宋"/>
          <w:b/>
          <w:bCs/>
          <w:snapToGrid w:val="0"/>
          <w:color w:val="auto"/>
          <w:kern w:val="0"/>
          <w:sz w:val="24"/>
          <w:highlight w:val="none"/>
          <w:lang w:eastAsia="zh-CN"/>
        </w:rPr>
        <w:t>补充规则</w:t>
      </w:r>
    </w:p>
    <w:p w14:paraId="0B9093C4">
      <w:pPr>
        <w:pageBreakBefore w:val="0"/>
        <w:kinsoku/>
        <w:overflowPunct/>
        <w:autoSpaceDE/>
        <w:autoSpaceDN/>
        <w:bidi w:val="0"/>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lang w:eastAsia="zh-CN"/>
        </w:rPr>
        <w:t>清退后，剩余入围乙方不足入围乙方总数70%且影响框架协议执行的，框架协议有效期内，</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lang w:eastAsia="zh-CN"/>
        </w:rPr>
        <w:t>将补充征集乙方。</w:t>
      </w:r>
    </w:p>
    <w:p w14:paraId="4F37C932">
      <w:pPr>
        <w:pageBreakBefore w:val="0"/>
        <w:kinsoku/>
        <w:overflowPunct/>
        <w:autoSpaceDE/>
        <w:autoSpaceDN/>
        <w:bidi w:val="0"/>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2.甲方</w:t>
      </w:r>
      <w:r>
        <w:rPr>
          <w:rFonts w:hint="eastAsia" w:ascii="仿宋" w:hAnsi="仿宋" w:eastAsia="仿宋" w:cs="仿宋"/>
          <w:snapToGrid w:val="0"/>
          <w:color w:val="auto"/>
          <w:kern w:val="0"/>
          <w:sz w:val="24"/>
          <w:highlight w:val="none"/>
          <w:lang w:eastAsia="zh-CN"/>
        </w:rPr>
        <w:t>补充征集乙方的，补充征集的条件、程序、评审方法和淘汰比例与初次征集相同。补充征集应当遵守原框架协议的有效期。补充征集期间，原框架协议继续履行。</w:t>
      </w:r>
    </w:p>
    <w:p w14:paraId="78747ECF">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十</w:t>
      </w:r>
      <w:r>
        <w:rPr>
          <w:rFonts w:hint="eastAsia" w:ascii="仿宋" w:hAnsi="仿宋" w:eastAsia="仿宋" w:cs="仿宋"/>
          <w:b/>
          <w:snapToGrid w:val="0"/>
          <w:color w:val="auto"/>
          <w:sz w:val="24"/>
          <w:szCs w:val="24"/>
          <w:highlight w:val="none"/>
          <w:lang w:val="en-US" w:eastAsia="zh-CN"/>
        </w:rPr>
        <w:t>五</w:t>
      </w:r>
      <w:r>
        <w:rPr>
          <w:rFonts w:hint="eastAsia" w:ascii="仿宋" w:hAnsi="仿宋" w:eastAsia="仿宋" w:cs="仿宋"/>
          <w:b/>
          <w:snapToGrid w:val="0"/>
          <w:color w:val="auto"/>
          <w:sz w:val="24"/>
          <w:szCs w:val="24"/>
          <w:highlight w:val="none"/>
        </w:rPr>
        <w:t>、违约处理</w:t>
      </w:r>
    </w:p>
    <w:p w14:paraId="5F6E4FFF">
      <w:pPr>
        <w:keepNext w:val="0"/>
        <w:keepLines w:val="0"/>
        <w:pageBreakBefore w:val="0"/>
        <w:numPr>
          <w:ilvl w:val="0"/>
          <w:numId w:val="0"/>
        </w:numPr>
        <w:kinsoku/>
        <w:overflowPunct/>
        <w:autoSpaceDE/>
        <w:autoSpaceDN/>
        <w:bidi w:val="0"/>
        <w:adjustRightInd w:val="0"/>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除不可抗力外，如果乙方没有按照本</w:t>
      </w:r>
      <w:r>
        <w:rPr>
          <w:rFonts w:hint="eastAsia" w:ascii="仿宋" w:hAnsi="仿宋" w:eastAsia="仿宋" w:cs="仿宋"/>
          <w:color w:val="auto"/>
          <w:sz w:val="24"/>
          <w:szCs w:val="24"/>
          <w:highlight w:val="none"/>
          <w:lang w:val="en-US" w:eastAsia="zh-CN"/>
        </w:rPr>
        <w:t>协议</w:t>
      </w:r>
      <w:r>
        <w:rPr>
          <w:rFonts w:hint="eastAsia" w:ascii="仿宋" w:hAnsi="仿宋" w:eastAsia="仿宋" w:cs="仿宋"/>
          <w:color w:val="auto"/>
          <w:sz w:val="24"/>
          <w:szCs w:val="24"/>
          <w:highlight w:val="none"/>
        </w:rPr>
        <w:t>约定的期限、地点和方式服务的，那么甲方可要求乙方支付违约金，违约金每日按</w:t>
      </w:r>
      <w:r>
        <w:rPr>
          <w:rFonts w:hint="eastAsia" w:ascii="仿宋" w:hAnsi="仿宋" w:eastAsia="仿宋" w:cs="仿宋"/>
          <w:color w:val="auto"/>
          <w:sz w:val="24"/>
          <w:szCs w:val="24"/>
          <w:highlight w:val="none"/>
          <w:lang w:val="en-US" w:eastAsia="zh-CN"/>
        </w:rPr>
        <w:t>1000元</w:t>
      </w:r>
      <w:r>
        <w:rPr>
          <w:rFonts w:hint="eastAsia" w:ascii="仿宋" w:hAnsi="仿宋" w:eastAsia="仿宋" w:cs="仿宋"/>
          <w:color w:val="auto"/>
          <w:sz w:val="24"/>
          <w:szCs w:val="24"/>
          <w:highlight w:val="none"/>
        </w:rPr>
        <w:t>计算，最高限额为</w:t>
      </w:r>
      <w:r>
        <w:rPr>
          <w:rFonts w:hint="eastAsia" w:ascii="仿宋" w:hAnsi="仿宋" w:eastAsia="仿宋" w:cs="仿宋"/>
          <w:color w:val="auto"/>
          <w:sz w:val="24"/>
          <w:szCs w:val="24"/>
          <w:highlight w:val="none"/>
          <w:lang w:val="en-US" w:eastAsia="zh-CN"/>
        </w:rPr>
        <w:t>2万元</w:t>
      </w:r>
      <w:r>
        <w:rPr>
          <w:rFonts w:hint="eastAsia" w:ascii="仿宋" w:hAnsi="仿宋" w:eastAsia="仿宋" w:cs="仿宋"/>
          <w:color w:val="auto"/>
          <w:sz w:val="24"/>
          <w:szCs w:val="24"/>
          <w:highlight w:val="none"/>
        </w:rPr>
        <w:t>；违约金计算数额达到前述最高限额之日起，甲方有权在要求乙方支付违约金的同时，书面通知乙方解除本合同；</w:t>
      </w:r>
    </w:p>
    <w:p w14:paraId="54137C7A">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w:t>
      </w:r>
      <w:r>
        <w:rPr>
          <w:rFonts w:hint="eastAsia" w:ascii="仿宋" w:hAnsi="仿宋" w:eastAsia="仿宋" w:cs="仿宋"/>
          <w:color w:val="auto"/>
          <w:sz w:val="24"/>
          <w:szCs w:val="24"/>
          <w:highlight w:val="none"/>
          <w:u w:val="single"/>
          <w:lang w:val="en-US" w:eastAsia="zh-CN"/>
        </w:rPr>
        <w:t>1万元</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7B22F171">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12E611B">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7515AE9">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default"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DE06191">
      <w:pPr>
        <w:keepNext w:val="0"/>
        <w:keepLines w:val="0"/>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如果出现政府采购监督管理部门在处理投诉事项期间，书面通知甲方暂停采购活动的情形，或者询问或质疑事项可能影响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结果的，导致甲方中止履行合同的情形，均不视为甲方违约。</w:t>
      </w:r>
    </w:p>
    <w:p w14:paraId="69C47C42">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十</w:t>
      </w:r>
      <w:r>
        <w:rPr>
          <w:rFonts w:hint="eastAsia" w:ascii="仿宋" w:hAnsi="仿宋" w:eastAsia="仿宋" w:cs="仿宋"/>
          <w:b/>
          <w:snapToGrid w:val="0"/>
          <w:color w:val="auto"/>
          <w:sz w:val="24"/>
          <w:szCs w:val="24"/>
          <w:highlight w:val="none"/>
          <w:lang w:val="en-US" w:eastAsia="zh-CN"/>
        </w:rPr>
        <w:t>六</w:t>
      </w:r>
      <w:r>
        <w:rPr>
          <w:rFonts w:hint="eastAsia" w:ascii="仿宋" w:hAnsi="仿宋" w:eastAsia="仿宋" w:cs="仿宋"/>
          <w:b/>
          <w:snapToGrid w:val="0"/>
          <w:color w:val="auto"/>
          <w:sz w:val="24"/>
          <w:szCs w:val="24"/>
          <w:highlight w:val="none"/>
        </w:rPr>
        <w:t>、不可抗力事件处理</w:t>
      </w:r>
    </w:p>
    <w:p w14:paraId="05C50056">
      <w:pPr>
        <w:keepNext w:val="0"/>
        <w:keepLines w:val="0"/>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1.在合同有效期内，因不可抗力事件导致不能履行合同，则合同履行至合同到期日止。</w:t>
      </w:r>
    </w:p>
    <w:p w14:paraId="1E1DA96E">
      <w:pPr>
        <w:keepNext w:val="0"/>
        <w:keepLines w:val="0"/>
        <w:pageBreakBefore w:val="0"/>
        <w:numPr>
          <w:ilvl w:val="0"/>
          <w:numId w:val="0"/>
        </w:numPr>
        <w:shd w:val="clea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14:paraId="16BCD457">
      <w:pPr>
        <w:keepNext w:val="0"/>
        <w:keepLines w:val="0"/>
        <w:pageBreakBefore w:val="0"/>
        <w:numPr>
          <w:ilvl w:val="0"/>
          <w:numId w:val="0"/>
        </w:numPr>
        <w:kinsoku/>
        <w:overflowPunct/>
        <w:autoSpaceDE/>
        <w:autoSpaceDN/>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十七、</w:t>
      </w:r>
      <w:r>
        <w:rPr>
          <w:rFonts w:hint="eastAsia" w:ascii="仿宋" w:hAnsi="仿宋" w:eastAsia="仿宋" w:cs="仿宋"/>
          <w:b/>
          <w:bCs/>
          <w:color w:val="auto"/>
          <w:sz w:val="24"/>
          <w:szCs w:val="24"/>
          <w:highlight w:val="none"/>
        </w:rPr>
        <w:t>乙方</w:t>
      </w:r>
      <w:r>
        <w:rPr>
          <w:rFonts w:hint="eastAsia" w:ascii="仿宋" w:hAnsi="仿宋" w:eastAsia="仿宋" w:cs="仿宋"/>
          <w:b/>
          <w:bCs/>
          <w:color w:val="auto"/>
          <w:sz w:val="24"/>
          <w:szCs w:val="24"/>
          <w:highlight w:val="none"/>
          <w:lang w:eastAsia="zh-CN"/>
        </w:rPr>
        <w:t>和甲方</w:t>
      </w:r>
      <w:r>
        <w:rPr>
          <w:rFonts w:hint="eastAsia" w:ascii="仿宋" w:hAnsi="仿宋" w:eastAsia="仿宋" w:cs="仿宋"/>
          <w:b/>
          <w:bCs/>
          <w:color w:val="auto"/>
          <w:sz w:val="24"/>
          <w:szCs w:val="24"/>
          <w:highlight w:val="none"/>
        </w:rPr>
        <w:t>发生争议的</w:t>
      </w:r>
      <w:r>
        <w:rPr>
          <w:rFonts w:hint="eastAsia" w:ascii="仿宋" w:hAnsi="仿宋" w:eastAsia="仿宋" w:cs="仿宋"/>
          <w:b/>
          <w:bCs/>
          <w:color w:val="auto"/>
          <w:sz w:val="24"/>
          <w:szCs w:val="24"/>
          <w:highlight w:val="none"/>
          <w:lang w:eastAsia="zh-CN"/>
        </w:rPr>
        <w:t>处理</w:t>
      </w:r>
    </w:p>
    <w:p w14:paraId="0857C5C3">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双方如</w:t>
      </w:r>
      <w:r>
        <w:rPr>
          <w:rFonts w:hint="eastAsia" w:ascii="仿宋" w:hAnsi="仿宋" w:eastAsia="仿宋" w:cs="仿宋"/>
          <w:color w:val="auto"/>
          <w:sz w:val="24"/>
          <w:szCs w:val="24"/>
          <w:highlight w:val="none"/>
        </w:rPr>
        <w:t>发生</w:t>
      </w:r>
      <w:r>
        <w:rPr>
          <w:rFonts w:hint="eastAsia" w:ascii="仿宋" w:hAnsi="仿宋" w:eastAsia="仿宋" w:cs="仿宋"/>
          <w:color w:val="auto"/>
          <w:sz w:val="24"/>
          <w:szCs w:val="24"/>
          <w:highlight w:val="none"/>
          <w:lang w:eastAsia="zh-CN"/>
        </w:rPr>
        <w:t>合同</w:t>
      </w:r>
      <w:r>
        <w:rPr>
          <w:rFonts w:hint="eastAsia" w:ascii="仿宋" w:hAnsi="仿宋" w:eastAsia="仿宋" w:cs="仿宋"/>
          <w:color w:val="auto"/>
          <w:sz w:val="24"/>
          <w:szCs w:val="24"/>
          <w:highlight w:val="none"/>
        </w:rPr>
        <w:t>纠纷，应当</w:t>
      </w:r>
      <w:r>
        <w:rPr>
          <w:rFonts w:hint="eastAsia" w:ascii="仿宋" w:hAnsi="仿宋" w:eastAsia="仿宋" w:cs="仿宋"/>
          <w:color w:val="auto"/>
          <w:sz w:val="24"/>
          <w:szCs w:val="24"/>
          <w:highlight w:val="none"/>
          <w:lang w:eastAsia="zh-CN"/>
        </w:rPr>
        <w:t>友好</w:t>
      </w:r>
      <w:r>
        <w:rPr>
          <w:rFonts w:hint="eastAsia" w:ascii="仿宋" w:hAnsi="仿宋" w:eastAsia="仿宋" w:cs="仿宋"/>
          <w:color w:val="auto"/>
          <w:sz w:val="24"/>
          <w:szCs w:val="24"/>
          <w:highlight w:val="none"/>
        </w:rPr>
        <w:t>协商，并按《中华人民共和国民法典》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《中华人民共和国政府采购法》、《中华人民共和国政府采购法实施条例》、《政府采购框架协议采购方式管理暂行办法》</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相关法律、法规、规章的规定</w:t>
      </w:r>
      <w:r>
        <w:rPr>
          <w:rFonts w:hint="eastAsia" w:ascii="仿宋" w:hAnsi="仿宋" w:eastAsia="仿宋" w:cs="仿宋"/>
          <w:color w:val="auto"/>
          <w:sz w:val="24"/>
          <w:szCs w:val="24"/>
          <w:highlight w:val="none"/>
          <w:lang w:eastAsia="zh-CN"/>
        </w:rPr>
        <w:t>及本项目征集文件的要求</w:t>
      </w:r>
      <w:r>
        <w:rPr>
          <w:rFonts w:hint="eastAsia" w:ascii="仿宋" w:hAnsi="仿宋" w:eastAsia="仿宋" w:cs="仿宋"/>
          <w:color w:val="auto"/>
          <w:sz w:val="24"/>
          <w:szCs w:val="24"/>
          <w:highlight w:val="none"/>
        </w:rPr>
        <w:t>处理。</w:t>
      </w:r>
    </w:p>
    <w:p w14:paraId="77376871">
      <w:pPr>
        <w:keepNext w:val="0"/>
        <w:keepLines w:val="0"/>
        <w:pageBreakBefore w:val="0"/>
        <w:numPr>
          <w:ilvl w:val="0"/>
          <w:numId w:val="0"/>
        </w:numPr>
        <w:kinsoku/>
        <w:overflowPunct/>
        <w:autoSpaceDE/>
        <w:autoSpaceDN/>
        <w:bidi w:val="0"/>
        <w:adjustRightInd w:val="0"/>
        <w:snapToGrid w:val="0"/>
        <w:spacing w:line="360" w:lineRule="auto"/>
        <w:ind w:left="0" w:leftChars="0"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val="en-US" w:eastAsia="zh-CN"/>
        </w:rPr>
        <w:t>十八、</w:t>
      </w:r>
      <w:r>
        <w:rPr>
          <w:rFonts w:hint="eastAsia" w:ascii="仿宋" w:hAnsi="仿宋" w:eastAsia="仿宋" w:cs="仿宋"/>
          <w:b/>
          <w:bCs/>
          <w:color w:val="auto"/>
          <w:sz w:val="24"/>
          <w:szCs w:val="24"/>
          <w:highlight w:val="none"/>
        </w:rPr>
        <w:t>本协议</w:t>
      </w:r>
      <w:r>
        <w:rPr>
          <w:rFonts w:hint="eastAsia" w:ascii="仿宋" w:hAnsi="仿宋" w:eastAsia="仿宋" w:cs="仿宋"/>
          <w:b/>
          <w:bCs/>
          <w:color w:val="auto"/>
          <w:sz w:val="24"/>
          <w:szCs w:val="24"/>
          <w:highlight w:val="none"/>
          <w:lang w:eastAsia="zh-CN"/>
        </w:rPr>
        <w:t>发生</w:t>
      </w:r>
      <w:r>
        <w:rPr>
          <w:rFonts w:hint="eastAsia" w:ascii="仿宋" w:hAnsi="仿宋" w:eastAsia="仿宋" w:cs="仿宋"/>
          <w:b/>
          <w:bCs/>
          <w:color w:val="auto"/>
          <w:sz w:val="24"/>
          <w:szCs w:val="24"/>
          <w:highlight w:val="none"/>
        </w:rPr>
        <w:t>争议的</w:t>
      </w:r>
      <w:r>
        <w:rPr>
          <w:rFonts w:hint="eastAsia" w:ascii="仿宋" w:hAnsi="仿宋" w:eastAsia="仿宋" w:cs="仿宋"/>
          <w:b/>
          <w:bCs/>
          <w:color w:val="auto"/>
          <w:sz w:val="24"/>
          <w:szCs w:val="24"/>
          <w:highlight w:val="none"/>
          <w:lang w:eastAsia="zh-CN"/>
        </w:rPr>
        <w:t>处理</w:t>
      </w:r>
    </w:p>
    <w:p w14:paraId="4F750A34">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双方在执行合同中所发生的一切争议，应通过协商解决。如协商不成，可向甲方所在地法院起诉。</w:t>
      </w:r>
    </w:p>
    <w:p w14:paraId="7B050FC8">
      <w:pPr>
        <w:pStyle w:val="28"/>
        <w:keepNext w:val="0"/>
        <w:keepLines w:val="0"/>
        <w:pageBreakBefore w:val="0"/>
        <w:kinsoku/>
        <w:wordWrap/>
        <w:overflowPunct/>
        <w:topLinePunct w:val="0"/>
        <w:autoSpaceDE/>
        <w:autoSpaceDN/>
        <w:bidi w:val="0"/>
        <w:adjustRightInd w:val="0"/>
        <w:snapToGrid w:val="0"/>
        <w:spacing w:line="360" w:lineRule="auto"/>
        <w:ind w:left="0" w:leftChars="0" w:firstLine="513" w:firstLineChars="213"/>
        <w:textAlignment w:val="auto"/>
        <w:rPr>
          <w:rFonts w:hint="eastAsia" w:ascii="仿宋" w:hAnsi="仿宋" w:eastAsia="仿宋" w:cs="仿宋"/>
          <w:b/>
          <w:snapToGrid w:val="0"/>
          <w:color w:val="auto"/>
          <w:sz w:val="24"/>
          <w:szCs w:val="24"/>
          <w:highlight w:val="none"/>
        </w:rPr>
      </w:pPr>
      <w:r>
        <w:rPr>
          <w:rFonts w:hint="eastAsia" w:ascii="仿宋" w:hAnsi="仿宋" w:eastAsia="仿宋" w:cs="仿宋"/>
          <w:b/>
          <w:snapToGrid w:val="0"/>
          <w:color w:val="auto"/>
          <w:sz w:val="24"/>
          <w:szCs w:val="24"/>
          <w:highlight w:val="none"/>
        </w:rPr>
        <w:t>十</w:t>
      </w:r>
      <w:r>
        <w:rPr>
          <w:rFonts w:hint="eastAsia" w:ascii="仿宋" w:hAnsi="仿宋" w:eastAsia="仿宋" w:cs="仿宋"/>
          <w:b/>
          <w:snapToGrid w:val="0"/>
          <w:color w:val="auto"/>
          <w:sz w:val="24"/>
          <w:szCs w:val="24"/>
          <w:highlight w:val="none"/>
          <w:lang w:val="en-US" w:eastAsia="zh-CN"/>
        </w:rPr>
        <w:t>九</w:t>
      </w:r>
      <w:r>
        <w:rPr>
          <w:rFonts w:hint="eastAsia" w:ascii="仿宋" w:hAnsi="仿宋" w:eastAsia="仿宋" w:cs="仿宋"/>
          <w:b/>
          <w:snapToGrid w:val="0"/>
          <w:color w:val="auto"/>
          <w:sz w:val="24"/>
          <w:szCs w:val="24"/>
          <w:highlight w:val="none"/>
        </w:rPr>
        <w:t>、协议生效</w:t>
      </w:r>
      <w:r>
        <w:rPr>
          <w:rFonts w:hint="eastAsia" w:ascii="仿宋" w:hAnsi="仿宋" w:eastAsia="仿宋" w:cs="仿宋"/>
          <w:b/>
          <w:snapToGrid w:val="0"/>
          <w:color w:val="auto"/>
          <w:sz w:val="24"/>
          <w:szCs w:val="24"/>
          <w:highlight w:val="none"/>
          <w:lang w:eastAsia="zh-CN"/>
        </w:rPr>
        <w:t>及其他</w:t>
      </w:r>
    </w:p>
    <w:p w14:paraId="136194B4">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1</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合同经双方加盖单位公章后生效。</w:t>
      </w:r>
    </w:p>
    <w:p w14:paraId="3640EA7B">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2</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本合同未尽事宜，遵照《</w:t>
      </w:r>
      <w:r>
        <w:rPr>
          <w:rFonts w:hint="eastAsia" w:ascii="仿宋" w:hAnsi="仿宋" w:eastAsia="仿宋" w:cs="仿宋"/>
          <w:snapToGrid w:val="0"/>
          <w:color w:val="auto"/>
          <w:sz w:val="24"/>
          <w:szCs w:val="24"/>
          <w:highlight w:val="none"/>
          <w:lang w:val="en-US" w:eastAsia="zh-CN"/>
        </w:rPr>
        <w:t>中华人民共和国</w:t>
      </w:r>
      <w:r>
        <w:rPr>
          <w:rFonts w:hint="eastAsia" w:ascii="仿宋" w:hAnsi="仿宋" w:eastAsia="仿宋" w:cs="仿宋"/>
          <w:snapToGrid w:val="0"/>
          <w:color w:val="auto"/>
          <w:sz w:val="24"/>
          <w:szCs w:val="24"/>
          <w:highlight w:val="none"/>
        </w:rPr>
        <w:t>民法典》有关条文执行。</w:t>
      </w:r>
    </w:p>
    <w:p w14:paraId="3E5B4952">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3</w:t>
      </w:r>
      <w:r>
        <w:rPr>
          <w:rFonts w:hint="eastAsia" w:ascii="仿宋" w:hAnsi="仿宋" w:eastAsia="仿宋" w:cs="仿宋"/>
          <w:snapToGrid w:val="0"/>
          <w:color w:val="auto"/>
          <w:sz w:val="24"/>
          <w:szCs w:val="24"/>
          <w:highlight w:val="none"/>
          <w:lang w:eastAsia="zh-CN"/>
        </w:rPr>
        <w:t>.</w:t>
      </w:r>
      <w:r>
        <w:rPr>
          <w:rFonts w:hint="eastAsia" w:ascii="仿宋" w:hAnsi="仿宋" w:eastAsia="仿宋" w:cs="仿宋"/>
          <w:snapToGrid w:val="0"/>
          <w:color w:val="auto"/>
          <w:sz w:val="24"/>
          <w:szCs w:val="24"/>
          <w:highlight w:val="none"/>
        </w:rPr>
        <w:t>本合同正本一式</w:t>
      </w:r>
      <w:r>
        <w:rPr>
          <w:rFonts w:hint="eastAsia" w:ascii="仿宋" w:hAnsi="仿宋" w:eastAsia="仿宋" w:cs="仿宋"/>
          <w:snapToGrid w:val="0"/>
          <w:color w:val="auto"/>
          <w:sz w:val="24"/>
          <w:szCs w:val="24"/>
          <w:highlight w:val="none"/>
          <w:lang w:val="en-US" w:eastAsia="zh-CN"/>
        </w:rPr>
        <w:t>四</w:t>
      </w:r>
      <w:r>
        <w:rPr>
          <w:rFonts w:hint="eastAsia" w:ascii="仿宋" w:hAnsi="仿宋" w:eastAsia="仿宋" w:cs="仿宋"/>
          <w:snapToGrid w:val="0"/>
          <w:color w:val="auto"/>
          <w:sz w:val="24"/>
          <w:szCs w:val="24"/>
          <w:highlight w:val="none"/>
        </w:rPr>
        <w:t>份，具有同等法律效力，甲乙双方各执</w:t>
      </w:r>
      <w:r>
        <w:rPr>
          <w:rFonts w:hint="eastAsia" w:ascii="仿宋" w:hAnsi="仿宋" w:eastAsia="仿宋" w:cs="仿宋"/>
          <w:snapToGrid w:val="0"/>
          <w:color w:val="auto"/>
          <w:sz w:val="24"/>
          <w:szCs w:val="24"/>
          <w:highlight w:val="none"/>
          <w:lang w:val="en-US" w:eastAsia="zh-CN"/>
        </w:rPr>
        <w:t>二</w:t>
      </w:r>
      <w:r>
        <w:rPr>
          <w:rFonts w:hint="eastAsia" w:ascii="仿宋" w:hAnsi="仿宋" w:eastAsia="仿宋" w:cs="仿宋"/>
          <w:snapToGrid w:val="0"/>
          <w:color w:val="auto"/>
          <w:sz w:val="24"/>
          <w:szCs w:val="24"/>
          <w:highlight w:val="none"/>
        </w:rPr>
        <w:t>份。</w:t>
      </w:r>
    </w:p>
    <w:p w14:paraId="3A56C5BE">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p>
    <w:p w14:paraId="7DCBB7BD">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p>
    <w:p w14:paraId="293BB165">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jc w:val="lef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甲方（盖章）：                       乙方（盖章）：</w:t>
      </w:r>
    </w:p>
    <w:p w14:paraId="1890D010">
      <w:pPr>
        <w:pStyle w:val="28"/>
        <w:keepNext w:val="0"/>
        <w:keepLines w:val="0"/>
        <w:pageBreakBefore w:val="0"/>
        <w:kinsoku/>
        <w:wordWrap/>
        <w:overflowPunct/>
        <w:topLinePunct w:val="0"/>
        <w:autoSpaceDE/>
        <w:autoSpaceDN/>
        <w:bidi w:val="0"/>
        <w:adjustRightInd w:val="0"/>
        <w:snapToGrid w:val="0"/>
        <w:spacing w:line="360" w:lineRule="auto"/>
        <w:ind w:left="0" w:leftChars="0" w:firstLine="511" w:firstLineChars="213"/>
        <w:textAlignment w:val="auto"/>
        <w:rPr>
          <w:rFonts w:hint="eastAsia" w:ascii="仿宋" w:hAnsi="仿宋" w:eastAsia="仿宋" w:cs="仿宋"/>
          <w:snapToGrid w:val="0"/>
          <w:color w:val="auto"/>
          <w:sz w:val="24"/>
          <w:szCs w:val="24"/>
          <w:highlight w:val="none"/>
        </w:rPr>
      </w:pPr>
    </w:p>
    <w:p w14:paraId="5AF1A772">
      <w:pPr>
        <w:pStyle w:val="28"/>
        <w:keepNext w:val="0"/>
        <w:keepLines w:val="0"/>
        <w:pageBreakBefore w:val="0"/>
        <w:kinsoku/>
        <w:wordWrap/>
        <w:overflowPunct/>
        <w:topLinePunct w:val="0"/>
        <w:autoSpaceDE/>
        <w:autoSpaceDN/>
        <w:bidi w:val="0"/>
        <w:adjustRightInd w:val="0"/>
        <w:snapToGrid w:val="0"/>
        <w:spacing w:line="360" w:lineRule="auto"/>
        <w:ind w:left="0" w:leftChars="0" w:firstLine="3631" w:firstLineChars="1513"/>
        <w:jc w:val="right"/>
        <w:textAlignment w:val="auto"/>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lang w:val="en-US" w:eastAsia="zh-CN"/>
        </w:rPr>
        <w:t>签订</w:t>
      </w:r>
      <w:r>
        <w:rPr>
          <w:rFonts w:hint="eastAsia" w:ascii="仿宋" w:hAnsi="仿宋" w:eastAsia="仿宋" w:cs="仿宋"/>
          <w:snapToGrid w:val="0"/>
          <w:color w:val="auto"/>
          <w:sz w:val="24"/>
          <w:szCs w:val="24"/>
          <w:highlight w:val="none"/>
        </w:rPr>
        <w:t>日期：      年   月   日</w:t>
      </w:r>
    </w:p>
    <w:p w14:paraId="440140AE">
      <w:pPr>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br w:type="page"/>
      </w:r>
    </w:p>
    <w:p w14:paraId="372FFCEB">
      <w:pPr>
        <w:keepNext w:val="0"/>
        <w:keepLines w:val="0"/>
        <w:pageBreakBefore w:val="0"/>
        <w:kinsoku/>
        <w:wordWrap w:val="0"/>
        <w:overflowPunct/>
        <w:topLinePunct/>
        <w:autoSpaceDE/>
        <w:autoSpaceDN/>
        <w:bidi w:val="0"/>
        <w:adjustRightInd w:val="0"/>
        <w:snapToGrid w:val="0"/>
        <w:spacing w:line="360" w:lineRule="auto"/>
        <w:ind w:firstLine="562" w:firstLineChars="200"/>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eastAsia="zh-CN"/>
        </w:rPr>
        <w:t>杭州市滨江区2025-2026年居家养老综合服务封闭式框架协议采购项目（</w:t>
      </w:r>
      <w:r>
        <w:rPr>
          <w:rFonts w:hint="eastAsia" w:ascii="仿宋" w:hAnsi="仿宋" w:eastAsia="仿宋" w:cs="仿宋"/>
          <w:b/>
          <w:bCs/>
          <w:color w:val="auto"/>
          <w:kern w:val="0"/>
          <w:sz w:val="28"/>
          <w:szCs w:val="28"/>
          <w:highlight w:val="none"/>
          <w:lang w:val="en-US" w:eastAsia="zh-CN"/>
        </w:rPr>
        <w:t>标项二）</w:t>
      </w:r>
      <w:r>
        <w:rPr>
          <w:rFonts w:hint="eastAsia" w:ascii="仿宋" w:hAnsi="仿宋" w:eastAsia="仿宋" w:cs="仿宋"/>
          <w:b/>
          <w:bCs/>
          <w:color w:val="auto"/>
          <w:kern w:val="0"/>
          <w:sz w:val="28"/>
          <w:szCs w:val="28"/>
          <w:highlight w:val="none"/>
        </w:rPr>
        <w:t>采购合同</w:t>
      </w:r>
    </w:p>
    <w:p w14:paraId="4F0B5C21">
      <w:pPr>
        <w:keepNext w:val="0"/>
        <w:keepLines w:val="0"/>
        <w:pageBreakBefore w:val="0"/>
        <w:widowControl/>
        <w:kinsoku/>
        <w:wordWrap w:val="0"/>
        <w:overflowPunct/>
        <w:topLinePunct/>
        <w:autoSpaceDE/>
        <w:autoSpaceDN/>
        <w:bidi w:val="0"/>
        <w:adjustRightInd w:val="0"/>
        <w:snapToGrid w:val="0"/>
        <w:spacing w:line="360" w:lineRule="auto"/>
        <w:jc w:val="center"/>
        <w:textAlignment w:val="baseline"/>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（本合同为合同样稿，最终稿由</w:t>
      </w:r>
      <w:r>
        <w:rPr>
          <w:rFonts w:hint="eastAsia" w:ascii="仿宋" w:hAnsi="仿宋" w:eastAsia="仿宋" w:cs="仿宋"/>
          <w:color w:val="auto"/>
          <w:kern w:val="0"/>
          <w:sz w:val="24"/>
          <w:szCs w:val="24"/>
          <w:highlight w:val="none"/>
          <w:lang w:eastAsia="zh-CN"/>
        </w:rPr>
        <w:t>各方</w:t>
      </w:r>
      <w:r>
        <w:rPr>
          <w:rFonts w:hint="eastAsia" w:ascii="仿宋" w:hAnsi="仿宋" w:eastAsia="仿宋" w:cs="仿宋"/>
          <w:color w:val="auto"/>
          <w:kern w:val="0"/>
          <w:sz w:val="24"/>
          <w:szCs w:val="24"/>
          <w:highlight w:val="none"/>
        </w:rPr>
        <w:t>协商后确定）</w:t>
      </w:r>
    </w:p>
    <w:p w14:paraId="0220AC3C">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auto"/>
          <w:kern w:val="0"/>
          <w:sz w:val="24"/>
          <w:szCs w:val="24"/>
          <w:highlight w:val="none"/>
          <w:lang w:eastAsia="zh-CN"/>
        </w:rPr>
      </w:pPr>
      <w:r>
        <w:rPr>
          <w:rFonts w:hint="eastAsia" w:ascii="仿宋" w:hAnsi="仿宋" w:eastAsia="仿宋" w:cs="仿宋"/>
          <w:bCs/>
          <w:color w:val="auto"/>
          <w:kern w:val="0"/>
          <w:sz w:val="24"/>
          <w:szCs w:val="24"/>
          <w:highlight w:val="none"/>
        </w:rPr>
        <w:t>甲  方：</w:t>
      </w:r>
      <w:r>
        <w:rPr>
          <w:rFonts w:hint="eastAsia" w:ascii="仿宋" w:hAnsi="仿宋" w:eastAsia="仿宋" w:cs="仿宋"/>
          <w:bCs/>
          <w:color w:val="auto"/>
          <w:kern w:val="0"/>
          <w:sz w:val="24"/>
          <w:szCs w:val="24"/>
          <w:highlight w:val="none"/>
          <w:lang w:eastAsia="zh-CN"/>
        </w:rPr>
        <w:t>杭州市滨江区民政局</w:t>
      </w:r>
    </w:p>
    <w:p w14:paraId="156A9546">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乙  方：</w:t>
      </w:r>
    </w:p>
    <w:p w14:paraId="684B3CAE">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default"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eastAsia="zh-CN"/>
        </w:rPr>
        <w:t>丙</w:t>
      </w:r>
      <w:r>
        <w:rPr>
          <w:rFonts w:hint="eastAsia" w:ascii="仿宋" w:hAnsi="仿宋" w:eastAsia="仿宋" w:cs="仿宋"/>
          <w:bCs/>
          <w:color w:val="auto"/>
          <w:kern w:val="0"/>
          <w:sz w:val="24"/>
          <w:szCs w:val="24"/>
          <w:highlight w:val="none"/>
          <w:lang w:val="en-US" w:eastAsia="zh-CN"/>
        </w:rPr>
        <w:t xml:space="preserve">  </w:t>
      </w:r>
      <w:r>
        <w:rPr>
          <w:rFonts w:hint="eastAsia" w:ascii="仿宋" w:hAnsi="仿宋" w:eastAsia="仿宋" w:cs="仿宋"/>
          <w:bCs/>
          <w:color w:val="auto"/>
          <w:kern w:val="0"/>
          <w:sz w:val="24"/>
          <w:szCs w:val="24"/>
          <w:highlight w:val="none"/>
          <w:lang w:eastAsia="zh-CN"/>
        </w:rPr>
        <w:t>方：</w:t>
      </w:r>
      <w:r>
        <w:rPr>
          <w:rFonts w:hint="eastAsia" w:ascii="仿宋" w:hAnsi="仿宋" w:eastAsia="仿宋" w:cs="仿宋"/>
          <w:bCs/>
          <w:color w:val="auto"/>
          <w:kern w:val="0"/>
          <w:sz w:val="24"/>
          <w:szCs w:val="24"/>
          <w:highlight w:val="none"/>
          <w:lang w:val="en-US" w:eastAsia="zh-CN"/>
        </w:rPr>
        <w:t>街道</w:t>
      </w:r>
    </w:p>
    <w:p w14:paraId="5011F044">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经过公开</w:t>
      </w:r>
      <w:r>
        <w:rPr>
          <w:rFonts w:hint="eastAsia" w:ascii="仿宋" w:hAnsi="仿宋" w:eastAsia="仿宋" w:cs="仿宋"/>
          <w:color w:val="auto"/>
          <w:sz w:val="24"/>
          <w:szCs w:val="24"/>
          <w:highlight w:val="none"/>
          <w:lang w:val="en-US" w:eastAsia="zh-CN"/>
        </w:rPr>
        <w:t>征集</w:t>
      </w:r>
      <w:r>
        <w:rPr>
          <w:rFonts w:hint="eastAsia" w:ascii="仿宋" w:hAnsi="仿宋" w:eastAsia="仿宋" w:cs="仿宋"/>
          <w:color w:val="auto"/>
          <w:sz w:val="24"/>
          <w:szCs w:val="24"/>
          <w:highlight w:val="none"/>
        </w:rPr>
        <w:t>采购（编号：      ），确定</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为</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szCs w:val="24"/>
          <w:highlight w:val="none"/>
        </w:rPr>
        <w:t>甲乙</w:t>
      </w:r>
      <w:r>
        <w:rPr>
          <w:rFonts w:hint="eastAsia" w:ascii="仿宋" w:hAnsi="仿宋" w:eastAsia="仿宋" w:cs="仿宋"/>
          <w:color w:val="auto"/>
          <w:sz w:val="24"/>
          <w:szCs w:val="24"/>
          <w:highlight w:val="none"/>
          <w:lang w:eastAsia="zh-CN"/>
        </w:rPr>
        <w:t>丙三</w:t>
      </w:r>
      <w:r>
        <w:rPr>
          <w:rFonts w:hint="eastAsia" w:ascii="仿宋" w:hAnsi="仿宋" w:eastAsia="仿宋" w:cs="仿宋"/>
          <w:color w:val="auto"/>
          <w:sz w:val="24"/>
          <w:szCs w:val="24"/>
          <w:highlight w:val="none"/>
        </w:rPr>
        <w:t>方</w:t>
      </w:r>
      <w:r>
        <w:rPr>
          <w:rFonts w:hint="eastAsia" w:ascii="仿宋" w:hAnsi="仿宋" w:eastAsia="仿宋" w:cs="仿宋"/>
          <w:color w:val="auto"/>
          <w:sz w:val="24"/>
          <w:szCs w:val="24"/>
          <w:highlight w:val="none"/>
          <w:lang w:val="zh-CN"/>
        </w:rPr>
        <w:t>协商一致，约定以下合同</w:t>
      </w:r>
      <w:r>
        <w:rPr>
          <w:rFonts w:hint="eastAsia" w:ascii="仿宋" w:hAnsi="仿宋" w:eastAsia="仿宋" w:cs="仿宋"/>
          <w:color w:val="auto"/>
          <w:sz w:val="24"/>
          <w:szCs w:val="24"/>
          <w:highlight w:val="none"/>
        </w:rPr>
        <w:t>条款，以兹共同遵守、全面履行。</w:t>
      </w:r>
    </w:p>
    <w:p w14:paraId="7E7F7C8B">
      <w:pPr>
        <w:keepNext w:val="0"/>
        <w:keepLines w:val="0"/>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第一条</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合同概况</w:t>
      </w:r>
    </w:p>
    <w:p w14:paraId="6910BF43">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甲方作为委托人，</w:t>
      </w:r>
      <w:r>
        <w:rPr>
          <w:rFonts w:hint="eastAsia" w:ascii="仿宋" w:hAnsi="仿宋" w:eastAsia="仿宋" w:cs="仿宋"/>
          <w:color w:val="auto"/>
          <w:kern w:val="0"/>
          <w:sz w:val="24"/>
          <w:szCs w:val="24"/>
          <w:highlight w:val="none"/>
          <w:lang w:eastAsia="zh-CN"/>
        </w:rPr>
        <w:t>丙方作为本街道辖区范围内的具体实施人，</w:t>
      </w:r>
      <w:r>
        <w:rPr>
          <w:rFonts w:hint="eastAsia" w:ascii="仿宋" w:hAnsi="仿宋" w:eastAsia="仿宋" w:cs="仿宋"/>
          <w:color w:val="auto"/>
          <w:kern w:val="0"/>
          <w:sz w:val="24"/>
          <w:szCs w:val="24"/>
          <w:highlight w:val="none"/>
        </w:rPr>
        <w:t>乙方</w:t>
      </w:r>
      <w:r>
        <w:rPr>
          <w:rFonts w:hint="eastAsia" w:ascii="仿宋" w:hAnsi="仿宋" w:eastAsia="仿宋" w:cs="仿宋"/>
          <w:color w:val="auto"/>
          <w:kern w:val="0"/>
          <w:sz w:val="24"/>
          <w:szCs w:val="24"/>
          <w:highlight w:val="none"/>
          <w:lang w:eastAsia="zh-CN"/>
        </w:rPr>
        <w:t>作为</w:t>
      </w:r>
      <w:r>
        <w:rPr>
          <w:rFonts w:hint="eastAsia" w:ascii="仿宋" w:hAnsi="仿宋" w:eastAsia="仿宋" w:cs="仿宋"/>
          <w:color w:val="auto"/>
          <w:kern w:val="0"/>
          <w:sz w:val="24"/>
          <w:szCs w:val="24"/>
          <w:highlight w:val="none"/>
        </w:rPr>
        <w:t>受委托人向甲方</w:t>
      </w:r>
      <w:r>
        <w:rPr>
          <w:rFonts w:hint="eastAsia" w:ascii="仿宋" w:hAnsi="仿宋" w:eastAsia="仿宋" w:cs="仿宋"/>
          <w:color w:val="auto"/>
          <w:kern w:val="0"/>
          <w:sz w:val="24"/>
          <w:szCs w:val="24"/>
          <w:highlight w:val="none"/>
          <w:lang w:eastAsia="zh-CN"/>
        </w:rPr>
        <w:t>、丙方</w:t>
      </w:r>
      <w:r>
        <w:rPr>
          <w:rFonts w:hint="eastAsia" w:ascii="仿宋" w:hAnsi="仿宋" w:eastAsia="仿宋" w:cs="仿宋"/>
          <w:color w:val="auto"/>
          <w:kern w:val="0"/>
          <w:sz w:val="24"/>
          <w:szCs w:val="24"/>
          <w:highlight w:val="none"/>
        </w:rPr>
        <w:t>提供服务，</w:t>
      </w:r>
      <w:r>
        <w:rPr>
          <w:rFonts w:hint="eastAsia" w:ascii="仿宋" w:hAnsi="仿宋" w:eastAsia="仿宋" w:cs="仿宋"/>
          <w:color w:val="auto"/>
          <w:kern w:val="0"/>
          <w:sz w:val="24"/>
          <w:szCs w:val="24"/>
          <w:highlight w:val="none"/>
          <w:lang w:eastAsia="zh-CN"/>
        </w:rPr>
        <w:t>三方</w:t>
      </w:r>
      <w:r>
        <w:rPr>
          <w:rFonts w:hint="eastAsia" w:ascii="仿宋" w:hAnsi="仿宋" w:eastAsia="仿宋" w:cs="仿宋"/>
          <w:color w:val="auto"/>
          <w:kern w:val="0"/>
          <w:sz w:val="24"/>
          <w:szCs w:val="24"/>
          <w:highlight w:val="none"/>
        </w:rPr>
        <w:t>按照法律法规以及合同规定开展相关工作。</w:t>
      </w:r>
    </w:p>
    <w:p w14:paraId="4B1E917C">
      <w:pPr>
        <w:keepNext w:val="0"/>
        <w:keepLines w:val="0"/>
        <w:pageBreakBefore w:val="0"/>
        <w:kinsoku/>
        <w:overflowPunct/>
        <w:autoSpaceDE/>
        <w:autoSpaceDN/>
        <w:bidi w:val="0"/>
        <w:adjustRightInd w:val="0"/>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第二条</w:t>
      </w:r>
      <w:r>
        <w:rPr>
          <w:rFonts w:hint="eastAsia" w:ascii="仿宋" w:hAnsi="仿宋" w:eastAsia="仿宋" w:cs="仿宋"/>
          <w:b/>
          <w:bCs/>
          <w:color w:val="auto"/>
          <w:kern w:val="0"/>
          <w:sz w:val="24"/>
          <w:szCs w:val="24"/>
          <w:highlight w:val="none"/>
          <w:lang w:val="en-US" w:eastAsia="zh-CN"/>
        </w:rPr>
        <w:t xml:space="preserve"> </w:t>
      </w:r>
      <w:r>
        <w:rPr>
          <w:rFonts w:hint="eastAsia" w:ascii="仿宋" w:hAnsi="仿宋" w:eastAsia="仿宋" w:cs="仿宋"/>
          <w:b/>
          <w:bCs/>
          <w:color w:val="auto"/>
          <w:kern w:val="0"/>
          <w:sz w:val="24"/>
          <w:szCs w:val="24"/>
          <w:highlight w:val="none"/>
        </w:rPr>
        <w:t>服务期限</w:t>
      </w:r>
    </w:p>
    <w:p w14:paraId="0C5C56F8">
      <w:pPr>
        <w:keepNext w:val="0"/>
        <w:keepLines w:val="0"/>
        <w:pageBreakBefore w:val="0"/>
        <w:kinsoku/>
        <w:overflowPunct/>
        <w:autoSpaceDE/>
        <w:autoSpaceDN/>
        <w:bidi w:val="0"/>
        <w:adjustRightInd w:val="0"/>
        <w:snapToGrid w:val="0"/>
        <w:spacing w:line="360" w:lineRule="auto"/>
        <w:ind w:firstLine="480"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本项目服务期两年，具体起止时间为2025年 月 日至2026年 月 日。合同一年一签，服务期内</w:t>
      </w:r>
      <w:r>
        <w:rPr>
          <w:rFonts w:hint="eastAsia" w:ascii="仿宋" w:hAnsi="仿宋" w:eastAsia="仿宋" w:cs="仿宋"/>
          <w:b/>
          <w:bCs/>
          <w:color w:val="auto"/>
          <w:spacing w:val="0"/>
          <w:kern w:val="2"/>
          <w:sz w:val="24"/>
          <w:szCs w:val="24"/>
          <w:highlight w:val="none"/>
          <w:lang w:val="en-US" w:eastAsia="zh-CN" w:bidi="ar-SA"/>
        </w:rPr>
        <w:t>上门服务项目</w:t>
      </w:r>
      <w:r>
        <w:rPr>
          <w:rFonts w:hint="eastAsia" w:ascii="仿宋" w:hAnsi="仿宋" w:eastAsia="仿宋" w:cs="仿宋"/>
          <w:color w:val="auto"/>
          <w:kern w:val="0"/>
          <w:sz w:val="24"/>
          <w:szCs w:val="24"/>
          <w:highlight w:val="none"/>
          <w:lang w:val="en-US" w:eastAsia="zh-CN"/>
        </w:rPr>
        <w:t>实行月度考核。服务期内乙方月度考核分出现两次85分（不含）以下的或满足“清退机制”条件之一的，甲方有权随时与乙方暂停服务终止合同，</w:t>
      </w:r>
      <w:r>
        <w:rPr>
          <w:rFonts w:hint="eastAsia" w:ascii="仿宋" w:hAnsi="仿宋" w:eastAsia="仿宋" w:cs="仿宋"/>
          <w:color w:val="auto"/>
          <w:kern w:val="0"/>
          <w:sz w:val="24"/>
          <w:szCs w:val="24"/>
          <w:highlight w:val="none"/>
        </w:rPr>
        <w:t>在服务期限，如</w:t>
      </w:r>
      <w:r>
        <w:rPr>
          <w:rFonts w:hint="eastAsia" w:ascii="仿宋" w:hAnsi="仿宋" w:eastAsia="仿宋" w:cs="仿宋"/>
          <w:color w:val="auto"/>
          <w:kern w:val="0"/>
          <w:sz w:val="24"/>
          <w:szCs w:val="24"/>
          <w:highlight w:val="none"/>
          <w:lang w:val="en-US" w:eastAsia="zh-CN"/>
        </w:rPr>
        <w:t>乙方</w:t>
      </w:r>
      <w:r>
        <w:rPr>
          <w:rFonts w:hint="eastAsia" w:ascii="仿宋" w:hAnsi="仿宋" w:eastAsia="仿宋" w:cs="仿宋"/>
          <w:color w:val="auto"/>
          <w:kern w:val="0"/>
          <w:sz w:val="24"/>
          <w:szCs w:val="24"/>
          <w:highlight w:val="none"/>
        </w:rPr>
        <w:t>考核不通过的，</w:t>
      </w:r>
      <w:r>
        <w:rPr>
          <w:rFonts w:hint="eastAsia" w:ascii="仿宋" w:hAnsi="仿宋" w:eastAsia="仿宋" w:cs="仿宋"/>
          <w:color w:val="auto"/>
          <w:kern w:val="0"/>
          <w:sz w:val="24"/>
          <w:szCs w:val="24"/>
          <w:highlight w:val="none"/>
          <w:lang w:val="en-US" w:eastAsia="zh-CN"/>
        </w:rPr>
        <w:t>甲方</w:t>
      </w:r>
      <w:r>
        <w:rPr>
          <w:rFonts w:hint="eastAsia" w:ascii="仿宋" w:hAnsi="仿宋" w:eastAsia="仿宋" w:cs="仿宋"/>
          <w:color w:val="auto"/>
          <w:kern w:val="0"/>
          <w:sz w:val="24"/>
          <w:szCs w:val="24"/>
          <w:highlight w:val="none"/>
        </w:rPr>
        <w:t>有权无责终止合同履行，重新组织采购活动。</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b/>
          <w:bCs/>
          <w:color w:val="auto"/>
          <w:sz w:val="24"/>
          <w:szCs w:val="24"/>
          <w:highlight w:val="none"/>
          <w:lang w:val="en-US" w:eastAsia="zh-CN"/>
        </w:rPr>
        <w:t xml:space="preserve">第三条 </w:t>
      </w:r>
      <w:r>
        <w:rPr>
          <w:rFonts w:hint="eastAsia" w:ascii="仿宋" w:hAnsi="仿宋" w:eastAsia="仿宋" w:cs="仿宋"/>
          <w:b/>
          <w:bCs/>
          <w:color w:val="auto"/>
          <w:sz w:val="24"/>
          <w:szCs w:val="24"/>
          <w:highlight w:val="none"/>
        </w:rPr>
        <w:t>合同价格</w:t>
      </w:r>
      <w:r>
        <w:rPr>
          <w:rFonts w:hint="eastAsia" w:ascii="仿宋" w:hAnsi="仿宋" w:eastAsia="仿宋" w:cs="仿宋"/>
          <w:b/>
          <w:bCs/>
          <w:color w:val="auto"/>
          <w:sz w:val="24"/>
          <w:szCs w:val="24"/>
          <w:highlight w:val="none"/>
          <w:lang w:val="en-US" w:eastAsia="zh-CN"/>
        </w:rPr>
        <w:t>与形式</w:t>
      </w:r>
    </w:p>
    <w:p w14:paraId="287FFA04">
      <w:pPr>
        <w:keepNext w:val="0"/>
        <w:keepLines w:val="0"/>
        <w:pageBreakBefore w:val="0"/>
        <w:kinsoku/>
        <w:overflowPunct/>
        <w:autoSpaceDE/>
        <w:autoSpaceDN/>
        <w:bidi w:val="0"/>
        <w:adjustRightInd w:val="0"/>
        <w:snapToGrid w:val="0"/>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本合同</w:t>
      </w:r>
      <w:r>
        <w:rPr>
          <w:rFonts w:hint="eastAsia" w:ascii="仿宋" w:hAnsi="仿宋" w:eastAsia="仿宋" w:cs="仿宋"/>
          <w:color w:val="auto"/>
          <w:sz w:val="24"/>
          <w:szCs w:val="24"/>
          <w:highlight w:val="none"/>
          <w:lang w:val="en-US" w:eastAsia="zh-CN"/>
        </w:rPr>
        <w:t>固定单价</w:t>
      </w:r>
      <w:r>
        <w:rPr>
          <w:rFonts w:hint="eastAsia" w:ascii="仿宋" w:hAnsi="仿宋" w:eastAsia="仿宋" w:cs="仿宋"/>
          <w:color w:val="auto"/>
          <w:sz w:val="24"/>
          <w:szCs w:val="24"/>
          <w:highlight w:val="none"/>
        </w:rPr>
        <w:t>为：</w:t>
      </w:r>
      <w:r>
        <w:rPr>
          <w:rFonts w:hint="eastAsia" w:ascii="仿宋" w:hAnsi="仿宋" w:eastAsia="仿宋" w:cs="仿宋"/>
          <w:bCs/>
          <w:color w:val="auto"/>
          <w:sz w:val="24"/>
          <w:szCs w:val="24"/>
          <w:highlight w:val="none"/>
          <w:lang w:val="en-US" w:eastAsia="zh-CN"/>
        </w:rPr>
        <w:t>35元/小时</w:t>
      </w:r>
      <w:r>
        <w:rPr>
          <w:rFonts w:hint="eastAsia" w:ascii="仿宋" w:hAnsi="仿宋" w:eastAsia="仿宋" w:cs="仿宋"/>
          <w:bCs/>
          <w:color w:val="auto"/>
          <w:sz w:val="24"/>
          <w:szCs w:val="24"/>
          <w:highlight w:val="none"/>
          <w:lang w:eastAsia="zh-CN"/>
        </w:rPr>
        <w:t>。</w:t>
      </w:r>
    </w:p>
    <w:p w14:paraId="2B7F2462">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color w:val="auto"/>
          <w:kern w:val="0"/>
          <w:sz w:val="24"/>
          <w:szCs w:val="24"/>
          <w:highlight w:val="none"/>
        </w:rPr>
        <w:t>注：</w:t>
      </w:r>
      <w:r>
        <w:rPr>
          <w:rFonts w:hint="eastAsia" w:ascii="仿宋" w:hAnsi="仿宋" w:eastAsia="仿宋" w:cs="仿宋"/>
          <w:bCs/>
          <w:color w:val="auto"/>
          <w:kern w:val="0"/>
          <w:sz w:val="24"/>
          <w:szCs w:val="24"/>
          <w:highlight w:val="none"/>
        </w:rPr>
        <w:t>以上合同价包含本项目实施所需的一切费用。</w:t>
      </w:r>
    </w:p>
    <w:p w14:paraId="5FCD0604">
      <w:pPr>
        <w:keepNext w:val="0"/>
        <w:keepLines w:val="0"/>
        <w:pageBreakBefore w:val="0"/>
        <w:kinsoku/>
        <w:wordWrap w:val="0"/>
        <w:overflowPunct/>
        <w:topLinePunct/>
        <w:autoSpaceDE/>
        <w:autoSpaceDN/>
        <w:bidi w:val="0"/>
        <w:adjustRightInd w:val="0"/>
        <w:snapToGrid w:val="0"/>
        <w:spacing w:line="360" w:lineRule="auto"/>
        <w:ind w:firstLine="480" w:firstLineChars="200"/>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合同形式：固定</w:t>
      </w:r>
      <w:r>
        <w:rPr>
          <w:rFonts w:hint="eastAsia" w:ascii="仿宋" w:hAnsi="仿宋" w:eastAsia="仿宋" w:cs="仿宋"/>
          <w:bCs/>
          <w:color w:val="auto"/>
          <w:kern w:val="0"/>
          <w:sz w:val="24"/>
          <w:szCs w:val="24"/>
          <w:highlight w:val="none"/>
          <w:lang w:val="en-US" w:eastAsia="zh-CN"/>
        </w:rPr>
        <w:t>单价</w:t>
      </w:r>
      <w:r>
        <w:rPr>
          <w:rFonts w:hint="eastAsia" w:ascii="仿宋" w:hAnsi="仿宋" w:eastAsia="仿宋" w:cs="仿宋"/>
          <w:bCs/>
          <w:color w:val="auto"/>
          <w:kern w:val="0"/>
          <w:sz w:val="24"/>
          <w:szCs w:val="24"/>
          <w:highlight w:val="none"/>
        </w:rPr>
        <w:t>合同。</w:t>
      </w:r>
    </w:p>
    <w:p w14:paraId="4EF45333">
      <w:pPr>
        <w:keepNext w:val="0"/>
        <w:keepLines w:val="0"/>
        <w:pageBreakBefore w:val="0"/>
        <w:numPr>
          <w:ilvl w:val="0"/>
          <w:numId w:val="6"/>
        </w:numPr>
        <w:kinsoku/>
        <w:overflowPunct/>
        <w:autoSpaceDE/>
        <w:autoSpaceDN/>
        <w:bidi w:val="0"/>
        <w:adjustRightInd w:val="0"/>
        <w:snapToGrid w:val="0"/>
        <w:spacing w:line="360" w:lineRule="auto"/>
        <w:ind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服务内容</w:t>
      </w:r>
    </w:p>
    <w:p w14:paraId="77DB2C96">
      <w:pPr>
        <w:keepNext w:val="0"/>
        <w:keepLines w:val="0"/>
        <w:pageBreakBefore w:val="0"/>
        <w:widowControl w:val="0"/>
        <w:kinsoku/>
        <w:wordWrap/>
        <w:overflowPunct/>
        <w:topLinePunct w:val="0"/>
        <w:autoSpaceDE/>
        <w:autoSpaceDN/>
        <w:bidi w:val="0"/>
        <w:adjustRightInd w:val="0"/>
        <w:spacing w:line="500" w:lineRule="exact"/>
        <w:ind w:firstLine="482" w:firstLineChars="200"/>
        <w:jc w:val="lef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1.服务对象</w:t>
      </w:r>
    </w:p>
    <w:p w14:paraId="52C540CE">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1.1享受</w:t>
      </w:r>
      <w:r>
        <w:rPr>
          <w:rFonts w:hint="eastAsia" w:ascii="仿宋" w:hAnsi="仿宋" w:eastAsia="仿宋" w:cs="仿宋"/>
          <w:color w:val="auto"/>
          <w:sz w:val="24"/>
          <w:szCs w:val="24"/>
          <w:highlight w:val="none"/>
          <w:shd w:val="clear" w:color="auto" w:fill="auto"/>
        </w:rPr>
        <w:t>养老服务补贴、养老护理补贴</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lang w:val="en-US" w:eastAsia="zh-CN"/>
        </w:rPr>
        <w:t>账户有重阳分的老年人</w:t>
      </w:r>
      <w:r>
        <w:rPr>
          <w:rFonts w:hint="eastAsia" w:ascii="仿宋" w:hAnsi="仿宋" w:eastAsia="仿宋" w:cs="仿宋"/>
          <w:color w:val="auto"/>
          <w:sz w:val="24"/>
          <w:szCs w:val="24"/>
          <w:highlight w:val="none"/>
          <w:shd w:val="clear" w:color="auto" w:fill="auto"/>
        </w:rPr>
        <w:t>，采取电子积分</w:t>
      </w:r>
      <w:r>
        <w:rPr>
          <w:rFonts w:hint="eastAsia" w:ascii="仿宋" w:hAnsi="仿宋" w:eastAsia="仿宋" w:cs="仿宋"/>
          <w:color w:val="auto"/>
          <w:sz w:val="24"/>
          <w:szCs w:val="24"/>
          <w:highlight w:val="none"/>
          <w:shd w:val="clear" w:color="auto" w:fill="auto"/>
          <w:lang w:eastAsia="zh-CN"/>
        </w:rPr>
        <w:t>（以下简称重阳分）</w:t>
      </w:r>
      <w:r>
        <w:rPr>
          <w:rFonts w:hint="eastAsia" w:ascii="仿宋" w:hAnsi="仿宋" w:eastAsia="仿宋" w:cs="仿宋"/>
          <w:color w:val="auto"/>
          <w:sz w:val="24"/>
          <w:szCs w:val="24"/>
          <w:highlight w:val="none"/>
          <w:shd w:val="clear" w:color="auto" w:fill="auto"/>
        </w:rPr>
        <w:t>的形式按月发放至老年人本人的</w:t>
      </w:r>
      <w:r>
        <w:rPr>
          <w:rFonts w:hint="eastAsia" w:ascii="仿宋" w:hAnsi="仿宋" w:eastAsia="仿宋" w:cs="仿宋"/>
          <w:color w:val="auto"/>
          <w:sz w:val="24"/>
          <w:szCs w:val="24"/>
          <w:highlight w:val="none"/>
          <w:shd w:val="clear" w:color="auto" w:fill="auto"/>
          <w:lang w:eastAsia="zh-CN"/>
        </w:rPr>
        <w:t>爱心卡</w:t>
      </w:r>
      <w:r>
        <w:rPr>
          <w:rFonts w:hint="eastAsia" w:ascii="仿宋" w:hAnsi="仿宋" w:eastAsia="仿宋" w:cs="仿宋"/>
          <w:color w:val="auto"/>
          <w:sz w:val="24"/>
          <w:szCs w:val="24"/>
          <w:highlight w:val="none"/>
          <w:shd w:val="clear" w:color="auto" w:fill="auto"/>
        </w:rPr>
        <w:t>专用账户中，以服务给付的方式用于日常生活照料、照护服务范围内的消费结算。</w:t>
      </w:r>
    </w:p>
    <w:p w14:paraId="20181EE3">
      <w:pPr>
        <w:keepNext w:val="0"/>
        <w:keepLines w:val="0"/>
        <w:pageBreakBefore w:val="0"/>
        <w:widowControl w:val="0"/>
        <w:kinsoku/>
        <w:wordWrap/>
        <w:overflowPunct/>
        <w:topLinePunct w:val="0"/>
        <w:autoSpaceDE/>
        <w:autoSpaceDN/>
        <w:bidi w:val="0"/>
        <w:adjustRightInd w:val="0"/>
        <w:spacing w:line="500" w:lineRule="exact"/>
        <w:ind w:firstLine="482" w:firstLineChars="200"/>
        <w:jc w:val="left"/>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2.</w:t>
      </w:r>
      <w:r>
        <w:rPr>
          <w:rFonts w:hint="eastAsia" w:ascii="仿宋" w:hAnsi="仿宋" w:eastAsia="仿宋" w:cs="仿宋"/>
          <w:b/>
          <w:bCs/>
          <w:color w:val="auto"/>
          <w:sz w:val="24"/>
          <w:szCs w:val="24"/>
          <w:highlight w:val="none"/>
          <w:shd w:val="clear" w:color="auto" w:fill="auto"/>
        </w:rPr>
        <w:t>其他事项</w:t>
      </w:r>
    </w:p>
    <w:p w14:paraId="5D17CE5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2.1</w:t>
      </w:r>
      <w:r>
        <w:rPr>
          <w:rFonts w:hint="eastAsia" w:ascii="仿宋" w:hAnsi="仿宋" w:eastAsia="仿宋" w:cs="仿宋"/>
          <w:color w:val="auto"/>
          <w:sz w:val="24"/>
          <w:szCs w:val="24"/>
          <w:highlight w:val="none"/>
          <w:shd w:val="clear" w:color="auto" w:fill="auto"/>
        </w:rPr>
        <w:t>人户分离的老年人，可由户籍地民政</w:t>
      </w:r>
      <w:r>
        <w:rPr>
          <w:rFonts w:hint="eastAsia" w:ascii="仿宋" w:hAnsi="仿宋" w:eastAsia="仿宋" w:cs="仿宋"/>
          <w:color w:val="auto"/>
          <w:sz w:val="24"/>
          <w:szCs w:val="24"/>
          <w:highlight w:val="none"/>
          <w:shd w:val="clear" w:color="auto" w:fill="auto"/>
          <w:lang w:eastAsia="zh-CN"/>
        </w:rPr>
        <w:t>部门</w:t>
      </w:r>
      <w:r>
        <w:rPr>
          <w:rFonts w:hint="eastAsia" w:ascii="仿宋" w:hAnsi="仿宋" w:eastAsia="仿宋" w:cs="仿宋"/>
          <w:color w:val="auto"/>
          <w:sz w:val="24"/>
          <w:szCs w:val="24"/>
          <w:highlight w:val="none"/>
          <w:shd w:val="clear" w:color="auto" w:fill="auto"/>
        </w:rPr>
        <w:t>委托居住地民政部门负责评估，</w:t>
      </w:r>
      <w:r>
        <w:rPr>
          <w:rFonts w:hint="eastAsia" w:ascii="仿宋" w:hAnsi="仿宋" w:eastAsia="仿宋" w:cs="仿宋"/>
          <w:color w:val="auto"/>
          <w:sz w:val="24"/>
          <w:szCs w:val="24"/>
          <w:highlight w:val="none"/>
          <w:shd w:val="clear" w:color="auto" w:fill="auto"/>
          <w:lang w:eastAsia="zh-CN"/>
        </w:rPr>
        <w:t>重阳分</w:t>
      </w:r>
      <w:r>
        <w:rPr>
          <w:rFonts w:hint="eastAsia" w:ascii="仿宋" w:hAnsi="仿宋" w:eastAsia="仿宋" w:cs="仿宋"/>
          <w:color w:val="auto"/>
          <w:sz w:val="24"/>
          <w:szCs w:val="24"/>
          <w:highlight w:val="none"/>
          <w:shd w:val="clear" w:color="auto" w:fill="auto"/>
        </w:rPr>
        <w:t>发放按照户籍地民政</w:t>
      </w:r>
      <w:r>
        <w:rPr>
          <w:rFonts w:hint="eastAsia" w:ascii="仿宋" w:hAnsi="仿宋" w:eastAsia="仿宋" w:cs="仿宋"/>
          <w:color w:val="auto"/>
          <w:sz w:val="24"/>
          <w:szCs w:val="24"/>
          <w:highlight w:val="none"/>
          <w:shd w:val="clear" w:color="auto" w:fill="auto"/>
          <w:lang w:eastAsia="zh-CN"/>
        </w:rPr>
        <w:t>部门</w:t>
      </w:r>
      <w:r>
        <w:rPr>
          <w:rFonts w:hint="eastAsia" w:ascii="仿宋" w:hAnsi="仿宋" w:eastAsia="仿宋" w:cs="仿宋"/>
          <w:color w:val="auto"/>
          <w:sz w:val="24"/>
          <w:szCs w:val="24"/>
          <w:highlight w:val="none"/>
          <w:shd w:val="clear" w:color="auto" w:fill="auto"/>
        </w:rPr>
        <w:t>相关规定执行。</w:t>
      </w:r>
    </w:p>
    <w:p w14:paraId="44CBD0A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2.2</w:t>
      </w:r>
      <w:r>
        <w:rPr>
          <w:rFonts w:hint="eastAsia" w:ascii="仿宋" w:hAnsi="仿宋" w:eastAsia="仿宋" w:cs="仿宋"/>
          <w:color w:val="auto"/>
          <w:sz w:val="24"/>
          <w:szCs w:val="24"/>
          <w:highlight w:val="none"/>
          <w:shd w:val="clear" w:color="auto" w:fill="auto"/>
        </w:rPr>
        <w:t>按规定实施老年人能力评估，首次评估费用由区财政资金保障。老年人再次评估或对评估结果有异议且复核评估维持原结果的，评估费用由老人自理，可使用</w:t>
      </w:r>
      <w:r>
        <w:rPr>
          <w:rFonts w:hint="eastAsia" w:ascii="仿宋" w:hAnsi="仿宋" w:eastAsia="仿宋" w:cs="仿宋"/>
          <w:color w:val="auto"/>
          <w:sz w:val="24"/>
          <w:szCs w:val="24"/>
          <w:highlight w:val="none"/>
          <w:shd w:val="clear" w:color="auto" w:fill="auto"/>
          <w:lang w:eastAsia="zh-CN"/>
        </w:rPr>
        <w:t>重阳分</w:t>
      </w:r>
      <w:r>
        <w:rPr>
          <w:rFonts w:hint="eastAsia" w:ascii="仿宋" w:hAnsi="仿宋" w:eastAsia="仿宋" w:cs="仿宋"/>
          <w:color w:val="auto"/>
          <w:sz w:val="24"/>
          <w:szCs w:val="24"/>
          <w:highlight w:val="none"/>
          <w:shd w:val="clear" w:color="auto" w:fill="auto"/>
        </w:rPr>
        <w:t>抵扣。</w:t>
      </w:r>
    </w:p>
    <w:p w14:paraId="19EC2639">
      <w:pPr>
        <w:keepNext w:val="0"/>
        <w:keepLines w:val="0"/>
        <w:pageBreakBefore w:val="0"/>
        <w:widowControl w:val="0"/>
        <w:kinsoku/>
        <w:wordWrap/>
        <w:overflowPunct/>
        <w:topLinePunct w:val="0"/>
        <w:autoSpaceDE/>
        <w:autoSpaceDN/>
        <w:bidi w:val="0"/>
        <w:adjustRightInd w:val="0"/>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2.3</w:t>
      </w:r>
      <w:r>
        <w:rPr>
          <w:rFonts w:hint="eastAsia" w:ascii="仿宋" w:hAnsi="仿宋" w:eastAsia="仿宋" w:cs="仿宋"/>
          <w:color w:val="auto"/>
          <w:sz w:val="24"/>
          <w:szCs w:val="24"/>
          <w:highlight w:val="none"/>
          <w:shd w:val="clear" w:color="auto" w:fill="auto"/>
        </w:rPr>
        <w:t>享受对象提供虚假材料或做虚假陈述经查实的，责令退回非法获取的津贴，并根据相关规定处理。</w:t>
      </w:r>
    </w:p>
    <w:p w14:paraId="5AEA524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2.4</w:t>
      </w:r>
      <w:r>
        <w:rPr>
          <w:rFonts w:hint="eastAsia" w:ascii="仿宋" w:hAnsi="仿宋" w:eastAsia="仿宋" w:cs="仿宋"/>
          <w:color w:val="auto"/>
          <w:sz w:val="24"/>
          <w:szCs w:val="24"/>
          <w:highlight w:val="none"/>
          <w:shd w:val="clear" w:color="auto" w:fill="auto"/>
        </w:rPr>
        <w:t>老年人能力评估机构、</w:t>
      </w:r>
      <w:r>
        <w:rPr>
          <w:rFonts w:hint="eastAsia" w:ascii="仿宋" w:hAnsi="仿宋" w:eastAsia="仿宋" w:cs="仿宋"/>
          <w:color w:val="auto"/>
          <w:sz w:val="24"/>
          <w:szCs w:val="24"/>
          <w:highlight w:val="none"/>
          <w:shd w:val="clear" w:color="auto" w:fill="auto"/>
          <w:lang w:eastAsia="zh-CN"/>
        </w:rPr>
        <w:t>中标人</w:t>
      </w:r>
      <w:r>
        <w:rPr>
          <w:rFonts w:hint="eastAsia" w:ascii="仿宋" w:hAnsi="仿宋" w:eastAsia="仿宋" w:cs="仿宋"/>
          <w:color w:val="auto"/>
          <w:sz w:val="24"/>
          <w:szCs w:val="24"/>
          <w:highlight w:val="none"/>
          <w:shd w:val="clear" w:color="auto" w:fill="auto"/>
        </w:rPr>
        <w:t>和第三方运营监管机构（含满意度测评）应当进行相互回避，评估机构、</w:t>
      </w:r>
      <w:r>
        <w:rPr>
          <w:rFonts w:hint="eastAsia" w:ascii="仿宋" w:hAnsi="仿宋" w:eastAsia="仿宋" w:cs="仿宋"/>
          <w:color w:val="auto"/>
          <w:sz w:val="24"/>
          <w:szCs w:val="24"/>
          <w:highlight w:val="none"/>
          <w:shd w:val="clear" w:color="auto" w:fill="auto"/>
          <w:lang w:eastAsia="zh-CN"/>
        </w:rPr>
        <w:t>中标人</w:t>
      </w:r>
      <w:r>
        <w:rPr>
          <w:rFonts w:hint="eastAsia" w:ascii="仿宋" w:hAnsi="仿宋" w:eastAsia="仿宋" w:cs="仿宋"/>
          <w:color w:val="auto"/>
          <w:sz w:val="24"/>
          <w:szCs w:val="24"/>
          <w:highlight w:val="none"/>
          <w:shd w:val="clear" w:color="auto" w:fill="auto"/>
        </w:rPr>
        <w:t>和监管机构管理人不能为同一人或者不能存在直接控股、管理关系；同时回避直系亲属在同一行政区域从事养老服务的评估、监管、审核审批工作。</w:t>
      </w:r>
    </w:p>
    <w:p w14:paraId="3744DFAF">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b/>
          <w:bCs/>
          <w:color w:val="auto"/>
          <w:sz w:val="24"/>
          <w:szCs w:val="24"/>
          <w:highlight w:val="none"/>
          <w:shd w:val="clear" w:color="auto" w:fill="auto"/>
          <w:lang w:val="en-US" w:eastAsia="zh-CN"/>
        </w:rPr>
        <w:t>3.</w:t>
      </w:r>
      <w:r>
        <w:rPr>
          <w:rFonts w:hint="eastAsia" w:ascii="仿宋" w:hAnsi="仿宋" w:eastAsia="仿宋" w:cs="仿宋"/>
          <w:b/>
          <w:bCs/>
          <w:color w:val="auto"/>
          <w:sz w:val="24"/>
          <w:szCs w:val="24"/>
          <w:highlight w:val="none"/>
          <w:shd w:val="clear" w:color="auto" w:fill="auto"/>
        </w:rPr>
        <w:t>服务</w:t>
      </w:r>
      <w:r>
        <w:rPr>
          <w:rFonts w:hint="eastAsia" w:ascii="仿宋" w:hAnsi="仿宋" w:eastAsia="仿宋" w:cs="仿宋"/>
          <w:b/>
          <w:bCs/>
          <w:color w:val="auto"/>
          <w:sz w:val="24"/>
          <w:szCs w:val="24"/>
          <w:highlight w:val="none"/>
          <w:shd w:val="clear" w:color="auto" w:fill="auto"/>
          <w:lang w:val="en-US" w:eastAsia="zh-CN"/>
        </w:rPr>
        <w:t>人员</w:t>
      </w:r>
      <w:r>
        <w:rPr>
          <w:rFonts w:hint="eastAsia" w:ascii="仿宋" w:hAnsi="仿宋" w:eastAsia="仿宋" w:cs="仿宋"/>
          <w:b/>
          <w:bCs/>
          <w:color w:val="auto"/>
          <w:sz w:val="24"/>
          <w:szCs w:val="24"/>
          <w:highlight w:val="none"/>
          <w:shd w:val="clear" w:color="auto" w:fill="auto"/>
        </w:rPr>
        <w:t>要求</w:t>
      </w:r>
    </w:p>
    <w:p w14:paraId="08BC4053">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1.1</w:t>
      </w:r>
      <w:r>
        <w:rPr>
          <w:rFonts w:hint="eastAsia" w:ascii="仿宋" w:hAnsi="仿宋" w:eastAsia="仿宋" w:cs="仿宋"/>
          <w:color w:val="auto"/>
          <w:sz w:val="24"/>
          <w:szCs w:val="24"/>
          <w:highlight w:val="none"/>
          <w:shd w:val="clear" w:color="auto" w:fill="auto"/>
        </w:rPr>
        <w:t>基本要求</w:t>
      </w:r>
    </w:p>
    <w:p w14:paraId="4F5694C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（1）具备合法的劳动从业资格；</w:t>
      </w:r>
    </w:p>
    <w:p w14:paraId="4B273B1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（2）信守职业道德，遵纪守法，熟悉居家养老服务程序和规范要求；</w:t>
      </w:r>
    </w:p>
    <w:p w14:paraId="1974E0C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（3）具有符合岗位要求的文化程度、健康状况证明及语言表达能力</w:t>
      </w:r>
      <w:r>
        <w:rPr>
          <w:rFonts w:hint="eastAsia" w:ascii="仿宋" w:hAnsi="仿宋" w:eastAsia="仿宋" w:cs="仿宋"/>
          <w:color w:val="auto"/>
          <w:sz w:val="24"/>
          <w:szCs w:val="24"/>
          <w:highlight w:val="none"/>
          <w:shd w:val="clear" w:color="auto" w:fill="auto"/>
          <w:lang w:val="en-US" w:eastAsia="zh-CN"/>
        </w:rPr>
        <w:t>；</w:t>
      </w:r>
    </w:p>
    <w:p w14:paraId="08AB4BE6">
      <w:pPr>
        <w:pStyle w:val="21"/>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（4）项目应标服务人员与实际服务人员需保持一致，不得更换，否则按考核条款作出相应处罚。</w:t>
      </w:r>
    </w:p>
    <w:p w14:paraId="5507CEEB">
      <w:pPr>
        <w:pStyle w:val="21"/>
        <w:keepNext w:val="0"/>
        <w:keepLines w:val="0"/>
        <w:pageBreakBefore w:val="0"/>
        <w:widowControl w:val="0"/>
        <w:kinsoku/>
        <w:wordWrap/>
        <w:overflowPunct/>
        <w:topLinePunct w:val="0"/>
        <w:autoSpaceDE/>
        <w:autoSpaceDN/>
        <w:bidi w:val="0"/>
        <w:adjustRightInd w:val="0"/>
        <w:snapToGrid/>
        <w:spacing w:line="500" w:lineRule="exac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shd w:val="clear" w:color="auto" w:fill="auto"/>
          <w:lang w:val="en-US" w:eastAsia="zh-CN"/>
        </w:rPr>
        <w:t>（5）服务人员数量要求：</w:t>
      </w:r>
      <w:r>
        <w:rPr>
          <w:rFonts w:hint="eastAsia" w:ascii="仿宋" w:hAnsi="仿宋" w:eastAsia="仿宋" w:cs="仿宋"/>
          <w:b w:val="0"/>
          <w:bCs w:val="0"/>
          <w:color w:val="auto"/>
          <w:sz w:val="24"/>
          <w:szCs w:val="24"/>
          <w:highlight w:val="none"/>
          <w:lang w:val="en-US" w:eastAsia="zh-CN"/>
        </w:rPr>
        <w:t>居家养老上门服务</w:t>
      </w:r>
      <w:r>
        <w:rPr>
          <w:rFonts w:hint="eastAsia" w:ascii="仿宋" w:hAnsi="仿宋" w:eastAsia="仿宋" w:cs="仿宋"/>
          <w:b w:val="0"/>
          <w:bCs w:val="0"/>
          <w:color w:val="auto"/>
          <w:sz w:val="24"/>
          <w:szCs w:val="24"/>
          <w:highlight w:val="none"/>
        </w:rPr>
        <w:t>配备负责人1名，</w:t>
      </w:r>
      <w:r>
        <w:rPr>
          <w:rFonts w:hint="eastAsia" w:ascii="仿宋" w:hAnsi="仿宋" w:eastAsia="仿宋" w:cs="仿宋"/>
          <w:b w:val="0"/>
          <w:bCs w:val="0"/>
          <w:color w:val="auto"/>
          <w:sz w:val="24"/>
          <w:szCs w:val="24"/>
          <w:highlight w:val="none"/>
          <w:lang w:val="en-US" w:eastAsia="zh-CN"/>
        </w:rPr>
        <w:t>居家养老上门服务配备负责人1名，每个街道配备站长1人，同时需配备持证护理员需不少于30人，其中护理员须具备养老护理员职业技能等级证书五级及以上且人员年龄均不得超过60周岁。</w:t>
      </w:r>
    </w:p>
    <w:p w14:paraId="690BC7A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1.2</w:t>
      </w:r>
      <w:r>
        <w:rPr>
          <w:rFonts w:hint="eastAsia" w:ascii="仿宋" w:hAnsi="仿宋" w:eastAsia="仿宋" w:cs="仿宋"/>
          <w:color w:val="auto"/>
          <w:sz w:val="24"/>
          <w:szCs w:val="24"/>
          <w:highlight w:val="none"/>
          <w:shd w:val="clear" w:color="auto" w:fill="auto"/>
        </w:rPr>
        <w:t>管理人员</w:t>
      </w:r>
    </w:p>
    <w:p w14:paraId="0CEE479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（1）了解国家和行业主管部门有关居家养老服务的法律、法规和规定；</w:t>
      </w:r>
    </w:p>
    <w:p w14:paraId="76B8D12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（2）掌握企业管理、经营项目的有关专业知识及专业技术；</w:t>
      </w:r>
    </w:p>
    <w:p w14:paraId="644D7B5A">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（3）具有高中以上文化程度和一定年限的管理工作经历；</w:t>
      </w:r>
    </w:p>
    <w:p w14:paraId="47EDF56C">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（4）每年至少参加1次以上管理培训活动。</w:t>
      </w:r>
    </w:p>
    <w:p w14:paraId="55BC489B">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（5）</w:t>
      </w:r>
      <w:r>
        <w:rPr>
          <w:rFonts w:hint="eastAsia" w:ascii="仿宋" w:hAnsi="仿宋" w:eastAsia="仿宋" w:cs="仿宋"/>
          <w:color w:val="auto"/>
          <w:sz w:val="24"/>
          <w:szCs w:val="24"/>
          <w:highlight w:val="none"/>
          <w:shd w:val="clear" w:color="auto" w:fill="auto"/>
          <w:lang w:val="en-US" w:eastAsia="zh-CN"/>
        </w:rPr>
        <w:t>项目应标负责人与实际服务负责人需保持一致，不得更换。</w:t>
      </w:r>
    </w:p>
    <w:p w14:paraId="48263F3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居家养老服务</w:t>
      </w:r>
      <w:r>
        <w:rPr>
          <w:rFonts w:hint="eastAsia" w:ascii="仿宋" w:hAnsi="仿宋" w:eastAsia="仿宋" w:cs="仿宋"/>
          <w:color w:val="auto"/>
          <w:sz w:val="24"/>
          <w:szCs w:val="24"/>
          <w:highlight w:val="none"/>
          <w:lang w:eastAsia="zh-CN"/>
        </w:rPr>
        <w:t>人</w:t>
      </w:r>
      <w:r>
        <w:rPr>
          <w:rFonts w:hint="eastAsia" w:ascii="仿宋" w:hAnsi="仿宋" w:eastAsia="仿宋" w:cs="仿宋"/>
          <w:color w:val="auto"/>
          <w:sz w:val="24"/>
          <w:szCs w:val="24"/>
          <w:highlight w:val="none"/>
        </w:rPr>
        <w:t>员</w:t>
      </w:r>
    </w:p>
    <w:p w14:paraId="00D163E9">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（1）具备与服务内容相适应的岗位技能；</w:t>
      </w:r>
    </w:p>
    <w:p w14:paraId="1F53011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（2）年龄在18周岁以上、60周岁以下，初中以上文化程度；</w:t>
      </w:r>
    </w:p>
    <w:p w14:paraId="2D8B78B7">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（3）无精神病史和各类传染病；</w:t>
      </w:r>
    </w:p>
    <w:p w14:paraId="0B7826B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（4）每年在岗培训不少于10学时</w:t>
      </w:r>
      <w:r>
        <w:rPr>
          <w:rFonts w:hint="eastAsia" w:ascii="仿宋" w:hAnsi="仿宋" w:eastAsia="仿宋" w:cs="仿宋"/>
          <w:color w:val="auto"/>
          <w:sz w:val="24"/>
          <w:szCs w:val="24"/>
          <w:highlight w:val="none"/>
          <w:lang w:val="en-US" w:eastAsia="zh-CN"/>
        </w:rPr>
        <w:t>；</w:t>
      </w:r>
    </w:p>
    <w:p w14:paraId="29C69F2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（5）护理员上岗持证率100%</w:t>
      </w:r>
      <w:r>
        <w:rPr>
          <w:rFonts w:hint="eastAsia" w:ascii="仿宋" w:hAnsi="仿宋" w:eastAsia="仿宋" w:cs="仿宋"/>
          <w:color w:val="auto"/>
          <w:sz w:val="24"/>
          <w:szCs w:val="24"/>
          <w:highlight w:val="none"/>
          <w:lang w:val="en-US" w:eastAsia="zh-CN"/>
        </w:rPr>
        <w:t>；</w:t>
      </w:r>
    </w:p>
    <w:p w14:paraId="1E32B8A1">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（6）所有服务员须配备智能手机上岗。</w:t>
      </w:r>
    </w:p>
    <w:p w14:paraId="70DBC676">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行为规范</w:t>
      </w:r>
    </w:p>
    <w:p w14:paraId="222E95D2">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（1）仪表仪容端庄、大方、整洁；</w:t>
      </w:r>
    </w:p>
    <w:p w14:paraId="505E7E04">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（2）统一着装、配备工号牌；</w:t>
      </w:r>
    </w:p>
    <w:p w14:paraId="118AC7D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（3）提倡使用普通话，语言文明、简洁、清晰；</w:t>
      </w:r>
    </w:p>
    <w:p w14:paraId="46CC250E">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（4）主动服务，符合相应岗位的服务礼仪规范；</w:t>
      </w:r>
    </w:p>
    <w:p w14:paraId="45F26855">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（5）尊老敬老，对老年人富有爱心。</w:t>
      </w:r>
    </w:p>
    <w:p w14:paraId="75580B5E">
      <w:pPr>
        <w:keepNext w:val="0"/>
        <w:keepLines w:val="0"/>
        <w:pageBreakBefore w:val="0"/>
        <w:widowControl w:val="0"/>
        <w:kinsoku/>
        <w:wordWrap/>
        <w:overflowPunct/>
        <w:topLinePunct w:val="0"/>
        <w:autoSpaceDE/>
        <w:autoSpaceDN/>
        <w:bidi w:val="0"/>
        <w:adjustRightInd w:val="0"/>
        <w:snapToGrid/>
        <w:spacing w:line="500" w:lineRule="exact"/>
        <w:ind w:firstLine="482" w:firstLineChars="20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服务规范</w:t>
      </w:r>
    </w:p>
    <w:p w14:paraId="5484142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基本要求</w:t>
      </w:r>
      <w:r>
        <w:rPr>
          <w:rFonts w:hint="eastAsia" w:ascii="仿宋" w:hAnsi="仿宋" w:eastAsia="仿宋" w:cs="仿宋"/>
          <w:color w:val="auto"/>
          <w:sz w:val="24"/>
          <w:szCs w:val="24"/>
          <w:highlight w:val="none"/>
          <w:lang w:eastAsia="zh-CN"/>
        </w:rPr>
        <w:t>：乙方</w:t>
      </w:r>
      <w:r>
        <w:rPr>
          <w:rFonts w:hint="eastAsia" w:ascii="仿宋" w:hAnsi="仿宋" w:eastAsia="仿宋" w:cs="仿宋"/>
          <w:color w:val="auto"/>
          <w:sz w:val="24"/>
          <w:szCs w:val="24"/>
          <w:highlight w:val="none"/>
        </w:rPr>
        <w:t>根据</w:t>
      </w:r>
      <w:r>
        <w:rPr>
          <w:rFonts w:hint="eastAsia" w:ascii="仿宋" w:hAnsi="仿宋" w:eastAsia="仿宋" w:cs="仿宋"/>
          <w:color w:val="auto"/>
          <w:sz w:val="24"/>
          <w:szCs w:val="24"/>
          <w:highlight w:val="none"/>
          <w:lang w:eastAsia="zh-CN"/>
        </w:rPr>
        <w:t>老人</w:t>
      </w:r>
      <w:r>
        <w:rPr>
          <w:rFonts w:hint="eastAsia" w:ascii="仿宋" w:hAnsi="仿宋" w:eastAsia="仿宋" w:cs="仿宋"/>
          <w:color w:val="auto"/>
          <w:sz w:val="24"/>
          <w:szCs w:val="24"/>
          <w:highlight w:val="none"/>
        </w:rPr>
        <w:t>的需求，合理分工服务人员，制订服务计划，明确服务内容。</w:t>
      </w:r>
    </w:p>
    <w:p w14:paraId="5B3B0B7D">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与服务对象签订服务协议，签约率100%；</w:t>
      </w:r>
    </w:p>
    <w:p w14:paraId="3A3E4DD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eastAsia="zh-CN"/>
        </w:rPr>
        <w:t>）制定上门</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方案（含上门服务应急预案等）</w:t>
      </w:r>
      <w:r>
        <w:rPr>
          <w:rFonts w:hint="eastAsia" w:ascii="仿宋" w:hAnsi="仿宋" w:eastAsia="仿宋" w:cs="仿宋"/>
          <w:color w:val="auto"/>
          <w:sz w:val="24"/>
          <w:szCs w:val="24"/>
          <w:highlight w:val="none"/>
        </w:rPr>
        <w:t>；</w:t>
      </w:r>
    </w:p>
    <w:p w14:paraId="1D1F1BC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定期进行检查，并记录检查结果（包含内容、时间、地点、人员、落实情况等）；</w:t>
      </w:r>
    </w:p>
    <w:p w14:paraId="72F1E7B8">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为老年人提供的服务完成率达100%，老年人或监护人满意率≧95%；</w:t>
      </w:r>
    </w:p>
    <w:p w14:paraId="333767CF">
      <w:pPr>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1.2服务流程</w:t>
      </w:r>
    </w:p>
    <w:p w14:paraId="27C5A4BC">
      <w:pPr>
        <w:pStyle w:val="783"/>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（1）乙方与所在服务的街道对接，根据街道提供的新增上门服务老人名单进行服务。首次上门，服务人员需与社区沟通、同时在社工陪同下上门。</w:t>
      </w:r>
    </w:p>
    <w:p w14:paraId="7F3D5485">
      <w:pPr>
        <w:pStyle w:val="21"/>
        <w:keepNext w:val="0"/>
        <w:keepLines w:val="0"/>
        <w:pageBreakBefore w:val="0"/>
        <w:widowControl w:val="0"/>
        <w:kinsoku/>
        <w:wordWrap/>
        <w:overflowPunct/>
        <w:topLinePunct w:val="0"/>
        <w:autoSpaceDE/>
        <w:autoSpaceDN/>
        <w:bidi w:val="0"/>
        <w:adjustRightInd w:val="0"/>
        <w:snapToGrid/>
        <w:spacing w:line="500" w:lineRule="exact"/>
        <w:ind w:left="0" w:leftChars="0" w:firstLine="48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pacing w:val="0"/>
          <w:kern w:val="2"/>
          <w:sz w:val="24"/>
          <w:szCs w:val="24"/>
          <w:highlight w:val="none"/>
          <w:lang w:val="en-US" w:eastAsia="zh-CN" w:bidi="ar-SA"/>
        </w:rPr>
        <w:t>（2）本项目由甲方组织第三方监管单位通过杭州市“互联网+养老”平台进行监管，要求乙方严格按照甲方的服务流程及要求进行服务，实际服务时间以监管平台显示的时间为准。具体服务流程如下：</w:t>
      </w:r>
    </w:p>
    <w:p w14:paraId="219C8D6F">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上门服务前的准备</w:t>
      </w:r>
    </w:p>
    <w:p w14:paraId="2EE9761C">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（1）对老人基本状况有一个较深入的了解</w:t>
      </w:r>
    </w:p>
    <w:p w14:paraId="5CA7F0C6">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（2）通过电话与老人确认服务时间，了解老人的需求，确定每次服务的内容。</w:t>
      </w:r>
    </w:p>
    <w:p w14:paraId="16F8288D">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（3）确定上门服务的服务人员</w:t>
      </w:r>
    </w:p>
    <w:p w14:paraId="1DAE7F0E">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（4）服务人员准备上门服务</w:t>
      </w:r>
    </w:p>
    <w:p w14:paraId="2AB0AFD6">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上门服务的过程</w:t>
      </w:r>
    </w:p>
    <w:p w14:paraId="606D548F">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（1）服务人员穿工作服、佩戴工作卡上门服务</w:t>
      </w:r>
    </w:p>
    <w:p w14:paraId="38614D69">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（2）轻敲三下门，等待服务对象或其家人开门。做自我介绍并说明来意。</w:t>
      </w:r>
    </w:p>
    <w:p w14:paraId="6492558D">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（3）确定服务内容和需要的服务时间；</w:t>
      </w:r>
    </w:p>
    <w:p w14:paraId="73442E88">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（4）讲明需要用市民卡进行结算；</w:t>
      </w:r>
    </w:p>
    <w:p w14:paraId="5AD86A7F">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（5）确定老人家中财物的摆放和数量；</w:t>
      </w:r>
    </w:p>
    <w:p w14:paraId="71E92DBF">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（6）开展服务时需保持良好的服务态度，并保持微笑，使用敬语。</w:t>
      </w:r>
    </w:p>
    <w:p w14:paraId="27873234">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（7）服务人员严格按照服务要求足时完成相应服务。</w:t>
      </w:r>
    </w:p>
    <w:p w14:paraId="39AF91F2">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eastAsia"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上门服务的结算</w:t>
      </w:r>
    </w:p>
    <w:p w14:paraId="4A1D3A3E">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（1）请老人拿出市民卡；</w:t>
      </w:r>
    </w:p>
    <w:p w14:paraId="6A575266">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（2）POS机上操作结束服务，根据POS机所示服务时间及结算金额，向老人进行说明和核实；</w:t>
      </w:r>
    </w:p>
    <w:p w14:paraId="64892B63">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（3）刷市民卡进行结算并打印小票交与老人或其家属；</w:t>
      </w:r>
    </w:p>
    <w:p w14:paraId="2EA34C4C">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（4）向老人或其家属说明和解释小票内容，提醒市民卡重阳分剩余分数；</w:t>
      </w:r>
    </w:p>
    <w:p w14:paraId="767DBC82">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color w:val="auto"/>
          <w:spacing w:val="0"/>
          <w:kern w:val="2"/>
          <w:sz w:val="24"/>
          <w:szCs w:val="24"/>
          <w:highlight w:val="none"/>
          <w:lang w:val="en-US" w:eastAsia="zh-CN" w:bidi="ar-SA"/>
        </w:rPr>
        <w:t>结束后请服务人员带好随身工具物品离开老人家里。</w:t>
      </w:r>
    </w:p>
    <w:p w14:paraId="413BDFC7">
      <w:pPr>
        <w:pStyle w:val="21"/>
        <w:keepNext w:val="0"/>
        <w:keepLines w:val="0"/>
        <w:pageBreakBefore w:val="0"/>
        <w:widowControl w:val="0"/>
        <w:kinsoku/>
        <w:wordWrap/>
        <w:overflowPunct/>
        <w:topLinePunct w:val="0"/>
        <w:autoSpaceDE/>
        <w:autoSpaceDN/>
        <w:bidi w:val="0"/>
        <w:adjustRightInd w:val="0"/>
        <w:snapToGrid/>
        <w:spacing w:line="500" w:lineRule="exact"/>
        <w:ind w:firstLine="482" w:firstLineChars="200"/>
        <w:textAlignment w:val="auto"/>
        <w:rPr>
          <w:rFonts w:hint="default" w:ascii="仿宋" w:hAnsi="仿宋" w:eastAsia="仿宋" w:cs="仿宋"/>
          <w:b/>
          <w:bCs/>
          <w:color w:val="auto"/>
          <w:spacing w:val="0"/>
          <w:kern w:val="2"/>
          <w:sz w:val="24"/>
          <w:szCs w:val="24"/>
          <w:highlight w:val="none"/>
          <w:lang w:val="en-US" w:eastAsia="zh-CN" w:bidi="ar-SA"/>
        </w:rPr>
      </w:pPr>
      <w:r>
        <w:rPr>
          <w:rFonts w:hint="eastAsia" w:ascii="仿宋" w:hAnsi="仿宋" w:eastAsia="仿宋" w:cs="仿宋"/>
          <w:b/>
          <w:bCs/>
          <w:color w:val="auto"/>
          <w:spacing w:val="0"/>
          <w:kern w:val="2"/>
          <w:sz w:val="24"/>
          <w:szCs w:val="24"/>
          <w:highlight w:val="none"/>
          <w:lang w:val="en-US" w:eastAsia="zh-CN" w:bidi="ar-SA"/>
        </w:rPr>
        <w:t>第五条 解除合同</w:t>
      </w:r>
    </w:p>
    <w:p w14:paraId="187014A5">
      <w:pPr>
        <w:pStyle w:val="21"/>
        <w:keepNext w:val="0"/>
        <w:keepLines w:val="0"/>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spacing w:val="0"/>
          <w:kern w:val="2"/>
          <w:sz w:val="24"/>
          <w:szCs w:val="24"/>
          <w:highlight w:val="none"/>
          <w:lang w:val="en-US" w:eastAsia="zh-CN" w:bidi="ar-SA"/>
        </w:rPr>
        <w:t>1.有下列情形之一的，</w:t>
      </w:r>
      <w:r>
        <w:rPr>
          <w:rFonts w:hint="eastAsia" w:ascii="仿宋" w:hAnsi="仿宋" w:eastAsia="仿宋" w:cs="仿宋"/>
          <w:color w:val="auto"/>
          <w:kern w:val="0"/>
          <w:sz w:val="24"/>
          <w:highlight w:val="none"/>
          <w:lang w:eastAsia="zh-CN"/>
        </w:rPr>
        <w:t>采购合同的三方当事人可以解除合同：</w:t>
      </w:r>
    </w:p>
    <w:p w14:paraId="651EF17B">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1.</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lang w:eastAsia="zh-CN"/>
        </w:rPr>
        <w:t>因不可抗力致使不能实现合同目的；</w:t>
      </w:r>
    </w:p>
    <w:p w14:paraId="762A47E1">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1.2</w:t>
      </w:r>
      <w:r>
        <w:rPr>
          <w:rFonts w:hint="eastAsia" w:ascii="仿宋" w:hAnsi="仿宋" w:eastAsia="仿宋" w:cs="仿宋"/>
          <w:color w:val="auto"/>
          <w:kern w:val="0"/>
          <w:sz w:val="24"/>
          <w:highlight w:val="none"/>
          <w:lang w:eastAsia="zh-CN"/>
        </w:rPr>
        <w:t xml:space="preserve">在履行期限届满之前，乙方明确表示或者以自己的行为表示不履行主要义务； </w:t>
      </w:r>
    </w:p>
    <w:p w14:paraId="3E7C303F">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1.3</w:t>
      </w:r>
      <w:r>
        <w:rPr>
          <w:rFonts w:hint="eastAsia" w:ascii="仿宋" w:hAnsi="仿宋" w:eastAsia="仿宋" w:cs="仿宋"/>
          <w:color w:val="auto"/>
          <w:kern w:val="0"/>
          <w:sz w:val="24"/>
          <w:highlight w:val="none"/>
          <w:lang w:eastAsia="zh-CN"/>
        </w:rPr>
        <w:t>乙方迟延履行主要义务，经催告后在合理期限内仍未履行；</w:t>
      </w:r>
    </w:p>
    <w:p w14:paraId="791CB06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lang w:eastAsia="zh-CN"/>
        </w:rPr>
        <w:t xml:space="preserve">乙方迟延履行义务或者有其他违约行为致使不能实现合同目的； </w:t>
      </w:r>
    </w:p>
    <w:p w14:paraId="7260875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1.5</w:t>
      </w:r>
      <w:r>
        <w:rPr>
          <w:rFonts w:hint="eastAsia" w:ascii="仿宋" w:hAnsi="仿宋" w:eastAsia="仿宋" w:cs="仿宋"/>
          <w:color w:val="auto"/>
          <w:kern w:val="0"/>
          <w:sz w:val="24"/>
          <w:highlight w:val="none"/>
          <w:lang w:eastAsia="zh-CN"/>
        </w:rPr>
        <w:t>乙方转包，或者未经甲方同意采取分包方式履行合同；</w:t>
      </w:r>
    </w:p>
    <w:p w14:paraId="21AC65B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1.6乙方及其工作人员</w:t>
      </w:r>
      <w:r>
        <w:rPr>
          <w:rFonts w:hint="default" w:ascii="仿宋" w:hAnsi="仿宋" w:eastAsia="仿宋" w:cs="仿宋"/>
          <w:color w:val="auto"/>
          <w:kern w:val="0"/>
          <w:sz w:val="24"/>
          <w:highlight w:val="none"/>
          <w:lang w:eastAsia="zh-CN"/>
        </w:rPr>
        <w:t>发生欺老虐老情况的</w:t>
      </w:r>
      <w:r>
        <w:rPr>
          <w:rFonts w:hint="eastAsia" w:ascii="仿宋" w:hAnsi="仿宋" w:eastAsia="仿宋" w:cs="仿宋"/>
          <w:color w:val="auto"/>
          <w:kern w:val="0"/>
          <w:sz w:val="24"/>
          <w:highlight w:val="none"/>
          <w:lang w:eastAsia="zh-CN"/>
        </w:rPr>
        <w:t>；</w:t>
      </w:r>
    </w:p>
    <w:p w14:paraId="66C9025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1.7乙方虚假承诺，未履行投标文件中承诺的；</w:t>
      </w:r>
    </w:p>
    <w:p w14:paraId="30EE918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1.8乙方拖欠员工工资，工资发放不及时的；</w:t>
      </w:r>
    </w:p>
    <w:p w14:paraId="20A7103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1.9乙方</w:t>
      </w:r>
      <w:r>
        <w:rPr>
          <w:rFonts w:hint="eastAsia" w:ascii="仿宋" w:hAnsi="仿宋" w:eastAsia="仿宋" w:cs="仿宋"/>
          <w:color w:val="auto"/>
          <w:kern w:val="0"/>
          <w:sz w:val="24"/>
          <w:highlight w:val="none"/>
          <w:lang w:eastAsia="zh-CN"/>
        </w:rPr>
        <w:t>不按规定提供服务、不执行运行补助情况等虚假违规行为的</w:t>
      </w:r>
      <w:r>
        <w:rPr>
          <w:rFonts w:hint="default" w:ascii="仿宋" w:hAnsi="仿宋" w:eastAsia="仿宋" w:cs="仿宋"/>
          <w:color w:val="auto"/>
          <w:kern w:val="0"/>
          <w:sz w:val="24"/>
          <w:highlight w:val="none"/>
          <w:lang w:eastAsia="zh-CN"/>
        </w:rPr>
        <w:t>；</w:t>
      </w:r>
    </w:p>
    <w:p w14:paraId="6FCB10A2">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default"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1.10</w:t>
      </w:r>
      <w:r>
        <w:rPr>
          <w:rFonts w:hint="default" w:ascii="仿宋" w:hAnsi="仿宋" w:eastAsia="仿宋" w:cs="仿宋"/>
          <w:color w:val="auto"/>
          <w:kern w:val="0"/>
          <w:sz w:val="24"/>
          <w:highlight w:val="none"/>
          <w:lang w:eastAsia="zh-CN"/>
        </w:rPr>
        <w:t>发生重大安全责任事故或存在重大安全隐患</w:t>
      </w:r>
      <w:r>
        <w:rPr>
          <w:rFonts w:hint="eastAsia" w:ascii="仿宋" w:hAnsi="仿宋" w:eastAsia="仿宋" w:cs="仿宋"/>
          <w:color w:val="auto"/>
          <w:kern w:val="0"/>
          <w:sz w:val="24"/>
          <w:highlight w:val="none"/>
          <w:lang w:val="en-US" w:eastAsia="zh-CN"/>
        </w:rPr>
        <w:t>被职能部门勒令停业</w:t>
      </w:r>
      <w:r>
        <w:rPr>
          <w:rFonts w:hint="default" w:ascii="仿宋" w:hAnsi="仿宋" w:eastAsia="仿宋" w:cs="仿宋"/>
          <w:color w:val="auto"/>
          <w:kern w:val="0"/>
          <w:sz w:val="24"/>
          <w:highlight w:val="none"/>
          <w:lang w:eastAsia="zh-CN"/>
        </w:rPr>
        <w:t>的；</w:t>
      </w:r>
    </w:p>
    <w:p w14:paraId="1806BA80">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1.11</w:t>
      </w:r>
      <w:r>
        <w:rPr>
          <w:rFonts w:hint="eastAsia" w:ascii="仿宋" w:hAnsi="仿宋" w:eastAsia="仿宋" w:cs="仿宋"/>
          <w:color w:val="auto"/>
          <w:kern w:val="0"/>
          <w:sz w:val="24"/>
          <w:highlight w:val="none"/>
          <w:lang w:eastAsia="zh-CN"/>
        </w:rPr>
        <w:t>违约金达到合同约定的最高限额；</w:t>
      </w:r>
    </w:p>
    <w:p w14:paraId="43017C7C">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1.12</w:t>
      </w:r>
      <w:r>
        <w:rPr>
          <w:rFonts w:hint="eastAsia" w:ascii="仿宋" w:hAnsi="仿宋" w:eastAsia="仿宋" w:cs="仿宋"/>
          <w:color w:val="auto"/>
          <w:kern w:val="0"/>
          <w:sz w:val="24"/>
          <w:highlight w:val="none"/>
          <w:lang w:eastAsia="zh-CN"/>
        </w:rPr>
        <w:t>法律法规规定的其他情形。</w:t>
      </w:r>
    </w:p>
    <w:p w14:paraId="4CE4053A">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2.甲方解除合同的，合同于甲方发出书面解除合同通知书送达乙方之日起解除。乙方应在合同解除后</w:t>
      </w:r>
      <w:r>
        <w:rPr>
          <w:rFonts w:hint="eastAsia" w:ascii="仿宋" w:hAnsi="仿宋" w:eastAsia="仿宋" w:cs="仿宋"/>
          <w:color w:val="auto"/>
          <w:kern w:val="0"/>
          <w:sz w:val="24"/>
          <w:highlight w:val="none"/>
          <w:u w:val="single"/>
          <w:lang w:eastAsia="zh-CN"/>
        </w:rPr>
        <w:t>10</w:t>
      </w:r>
      <w:r>
        <w:rPr>
          <w:rFonts w:hint="eastAsia" w:ascii="仿宋" w:hAnsi="仿宋" w:eastAsia="仿宋" w:cs="仿宋"/>
          <w:color w:val="auto"/>
          <w:kern w:val="0"/>
          <w:sz w:val="24"/>
          <w:highlight w:val="none"/>
          <w:lang w:eastAsia="zh-CN"/>
        </w:rPr>
        <w:t>日内退还甲方已支付的合同款，逾期退还合同款的，每日按未退还金额的</w:t>
      </w:r>
      <w:r>
        <w:rPr>
          <w:rFonts w:hint="eastAsia" w:ascii="仿宋" w:hAnsi="仿宋" w:eastAsia="仿宋" w:cs="仿宋"/>
          <w:color w:val="auto"/>
          <w:kern w:val="0"/>
          <w:sz w:val="24"/>
          <w:highlight w:val="none"/>
          <w:u w:val="single"/>
          <w:lang w:eastAsia="zh-CN"/>
        </w:rPr>
        <w:t xml:space="preserve"> 1 %</w:t>
      </w:r>
      <w:r>
        <w:rPr>
          <w:rFonts w:hint="eastAsia" w:ascii="仿宋" w:hAnsi="仿宋" w:eastAsia="仿宋" w:cs="仿宋"/>
          <w:color w:val="auto"/>
          <w:kern w:val="0"/>
          <w:sz w:val="24"/>
          <w:highlight w:val="none"/>
          <w:lang w:eastAsia="zh-CN"/>
        </w:rPr>
        <w:t>支付违约金。</w:t>
      </w:r>
    </w:p>
    <w:p w14:paraId="459BEBB3">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3.因乙方的原因导致合同解除，给甲方造成损失的，乙方应予以赔偿，赔偿事宜三方协商确定。</w:t>
      </w:r>
    </w:p>
    <w:p w14:paraId="352C5E38">
      <w:pPr>
        <w:keepNext w:val="0"/>
        <w:keepLines w:val="0"/>
        <w:pageBreakBefore w:val="0"/>
        <w:widowControl w:val="0"/>
        <w:tabs>
          <w:tab w:val="left" w:pos="0"/>
        </w:tabs>
        <w:kinsoku/>
        <w:wordWrap/>
        <w:overflowPunct/>
        <w:topLinePunct w:val="0"/>
        <w:autoSpaceDE/>
        <w:autoSpaceDN/>
        <w:bidi w:val="0"/>
        <w:adjustRightInd w:val="0"/>
        <w:snapToGrid w:val="0"/>
        <w:spacing w:line="360" w:lineRule="auto"/>
        <w:ind w:left="0" w:leftChars="0"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lang w:eastAsia="zh-CN"/>
        </w:rPr>
        <w:t>.解除合同的，应当报同级财政部门备案。</w:t>
      </w:r>
    </w:p>
    <w:p w14:paraId="63CB7A5B">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第六条 </w:t>
      </w:r>
      <w:r>
        <w:rPr>
          <w:rFonts w:hint="eastAsia" w:ascii="仿宋" w:hAnsi="仿宋" w:eastAsia="仿宋" w:cs="仿宋"/>
          <w:b/>
          <w:color w:val="auto"/>
          <w:sz w:val="24"/>
          <w:szCs w:val="24"/>
          <w:highlight w:val="none"/>
        </w:rPr>
        <w:t>资金拨付方式</w:t>
      </w:r>
    </w:p>
    <w:p w14:paraId="385CFDC2">
      <w:pPr>
        <w:widowControl/>
        <w:wordWrap w:val="0"/>
        <w:topLinePunct/>
        <w:snapToGrid w:val="0"/>
        <w:spacing w:line="360" w:lineRule="auto"/>
        <w:ind w:firstLine="482"/>
        <w:jc w:val="left"/>
        <w:textAlignment w:val="baseline"/>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1.甲方和所服务的街社核实每月服务明细后由街社进行支付。</w:t>
      </w:r>
    </w:p>
    <w:p w14:paraId="1E7F2EF7">
      <w:pPr>
        <w:keepNext w:val="0"/>
        <w:keepLines w:val="0"/>
        <w:pageBreakBefore w:val="0"/>
        <w:widowControl/>
        <w:kinsoku/>
        <w:wordWrap w:val="0"/>
        <w:overflowPunct/>
        <w:topLinePunct/>
        <w:autoSpaceDE/>
        <w:autoSpaceDN/>
        <w:bidi w:val="0"/>
        <w:snapToGrid w:val="0"/>
        <w:spacing w:line="360" w:lineRule="auto"/>
        <w:ind w:firstLine="480" w:firstLineChars="200"/>
        <w:jc w:val="left"/>
        <w:textAlignment w:val="baseline"/>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2.本项目每月按照实际服务时间进行结算。</w:t>
      </w:r>
    </w:p>
    <w:p w14:paraId="77DFBB3E">
      <w:pPr>
        <w:widowControl/>
        <w:wordWrap w:val="0"/>
        <w:topLinePunct/>
        <w:snapToGrid w:val="0"/>
        <w:spacing w:line="360" w:lineRule="auto"/>
        <w:ind w:firstLine="482"/>
        <w:jc w:val="left"/>
        <w:textAlignment w:val="baseline"/>
        <w:rPr>
          <w:rFonts w:hint="eastAsia" w:ascii="仿宋" w:hAnsi="仿宋" w:eastAsia="仿宋" w:cs="仿宋"/>
          <w:b w:val="0"/>
          <w:bCs w:val="0"/>
          <w:color w:val="auto"/>
          <w:spacing w:val="0"/>
          <w:kern w:val="2"/>
          <w:sz w:val="24"/>
          <w:szCs w:val="24"/>
          <w:highlight w:val="none"/>
          <w:lang w:val="en-US" w:eastAsia="zh-CN" w:bidi="ar-SA"/>
        </w:rPr>
      </w:pPr>
      <w:r>
        <w:rPr>
          <w:rFonts w:hint="eastAsia" w:ascii="仿宋" w:hAnsi="仿宋" w:eastAsia="仿宋" w:cs="仿宋"/>
          <w:b w:val="0"/>
          <w:bCs w:val="0"/>
          <w:color w:val="auto"/>
          <w:spacing w:val="0"/>
          <w:kern w:val="2"/>
          <w:sz w:val="24"/>
          <w:szCs w:val="24"/>
          <w:highlight w:val="none"/>
          <w:lang w:val="en-US" w:eastAsia="zh-CN" w:bidi="ar-SA"/>
        </w:rPr>
        <w:t>3.由乙方每月按实际发生的各项服务时间，凭乙方开具的正式发票和相关台账，向所服务的街道进行结算。</w:t>
      </w:r>
    </w:p>
    <w:p w14:paraId="588B9CFE">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pacing w:val="0"/>
          <w:kern w:val="2"/>
          <w:sz w:val="24"/>
          <w:szCs w:val="24"/>
          <w:highlight w:val="none"/>
          <w:lang w:val="en-US" w:eastAsia="zh-CN" w:bidi="ar-SA"/>
        </w:rPr>
        <w:t>4.如省市要求有变化，甲方要求更换资金结算支付方式的，需改用甲方要求的支付方式，具体以双方协商为准。</w:t>
      </w:r>
    </w:p>
    <w:p w14:paraId="6F2DFFDA">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textAlignment w:val="baseline"/>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 xml:space="preserve">第七条 </w:t>
      </w:r>
      <w:r>
        <w:rPr>
          <w:rFonts w:hint="eastAsia" w:ascii="仿宋" w:hAnsi="仿宋" w:eastAsia="仿宋" w:cs="仿宋"/>
          <w:b/>
          <w:color w:val="auto"/>
          <w:sz w:val="24"/>
          <w:szCs w:val="24"/>
          <w:highlight w:val="none"/>
        </w:rPr>
        <w:t>转让和分包</w:t>
      </w:r>
    </w:p>
    <w:p w14:paraId="5748EB40">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本项目不得以任何形式进行转包和分</w:t>
      </w:r>
      <w:r>
        <w:rPr>
          <w:rFonts w:hint="eastAsia" w:ascii="仿宋" w:hAnsi="仿宋" w:eastAsia="仿宋" w:cs="仿宋"/>
          <w:color w:val="auto"/>
          <w:sz w:val="24"/>
          <w:szCs w:val="24"/>
          <w:highlight w:val="none"/>
          <w:lang w:val="en-US" w:eastAsia="zh-CN"/>
        </w:rPr>
        <w:t>包。</w:t>
      </w:r>
    </w:p>
    <w:p w14:paraId="5FABE3D1">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第</w:t>
      </w:r>
      <w:r>
        <w:rPr>
          <w:rFonts w:hint="eastAsia" w:ascii="仿宋" w:hAnsi="仿宋" w:eastAsia="仿宋" w:cs="仿宋"/>
          <w:b/>
          <w:bCs/>
          <w:color w:val="auto"/>
          <w:sz w:val="24"/>
          <w:szCs w:val="24"/>
          <w:highlight w:val="none"/>
          <w:lang w:val="en-US" w:eastAsia="zh-CN"/>
        </w:rPr>
        <w:t>八</w:t>
      </w:r>
      <w:r>
        <w:rPr>
          <w:rFonts w:hint="eastAsia" w:ascii="仿宋" w:hAnsi="仿宋" w:eastAsia="仿宋" w:cs="仿宋"/>
          <w:b/>
          <w:bCs/>
          <w:color w:val="auto"/>
          <w:sz w:val="24"/>
          <w:szCs w:val="24"/>
          <w:highlight w:val="none"/>
          <w:lang w:eastAsia="zh-CN"/>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三方</w:t>
      </w:r>
      <w:r>
        <w:rPr>
          <w:rFonts w:hint="eastAsia" w:ascii="仿宋" w:hAnsi="仿宋" w:eastAsia="仿宋" w:cs="仿宋"/>
          <w:b/>
          <w:bCs/>
          <w:color w:val="auto"/>
          <w:sz w:val="24"/>
          <w:szCs w:val="24"/>
          <w:highlight w:val="none"/>
        </w:rPr>
        <w:t>权利和义务</w:t>
      </w:r>
    </w:p>
    <w:p w14:paraId="5FF1F14A">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1.甲方权利和义务</w:t>
      </w:r>
    </w:p>
    <w:p w14:paraId="3CF25426">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1.1甲方负责本项目的组织实施、监督管理、政策宣传推广、服务保障等工作。</w:t>
      </w:r>
    </w:p>
    <w:p w14:paraId="5B2ABCC8">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甲方有权随时向乙方了解项目进度</w:t>
      </w:r>
      <w:r>
        <w:rPr>
          <w:rFonts w:hint="eastAsia" w:ascii="仿宋" w:hAnsi="仿宋" w:eastAsia="仿宋" w:cs="仿宋"/>
          <w:color w:val="auto"/>
          <w:sz w:val="24"/>
          <w:szCs w:val="24"/>
          <w:highlight w:val="none"/>
          <w:lang w:eastAsia="zh-CN"/>
        </w:rPr>
        <w:t>、运行情况</w:t>
      </w:r>
      <w:r>
        <w:rPr>
          <w:rFonts w:hint="eastAsia" w:ascii="仿宋" w:hAnsi="仿宋" w:eastAsia="仿宋" w:cs="仿宋"/>
          <w:color w:val="auto"/>
          <w:sz w:val="24"/>
          <w:szCs w:val="24"/>
          <w:highlight w:val="none"/>
        </w:rPr>
        <w:t>，并要求乙方提供项目相关资料。</w:t>
      </w:r>
    </w:p>
    <w:p w14:paraId="0B5158FC">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甲方有权对项目资金使用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服务质量</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情况进行</w:t>
      </w:r>
      <w:r>
        <w:rPr>
          <w:rFonts w:hint="eastAsia" w:ascii="仿宋" w:hAnsi="仿宋" w:eastAsia="仿宋" w:cs="仿宋"/>
          <w:color w:val="auto"/>
          <w:sz w:val="24"/>
          <w:szCs w:val="24"/>
          <w:highlight w:val="none"/>
          <w:lang w:eastAsia="zh-CN"/>
        </w:rPr>
        <w:t>审核、</w:t>
      </w:r>
      <w:r>
        <w:rPr>
          <w:rFonts w:hint="eastAsia" w:ascii="仿宋" w:hAnsi="仿宋" w:eastAsia="仿宋" w:cs="仿宋"/>
          <w:color w:val="auto"/>
          <w:sz w:val="24"/>
          <w:szCs w:val="24"/>
          <w:highlight w:val="none"/>
        </w:rPr>
        <w:t>监督、检查，并要求乙方提供相关资料。</w:t>
      </w:r>
    </w:p>
    <w:p w14:paraId="2E29664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甲方有权按照本合同约定或有关法律法规、政府管理的相关职能规定，对本项目进行监督和检查，有权要求乙方按照监督检查情况制定相应措施并加以整改。甲方不因行使该监督和检查权而承担任何责任，也不因此减轻或免除乙方根据本合同约定或相关法律法规规定应承担的任何义务或责任。</w:t>
      </w:r>
    </w:p>
    <w:p w14:paraId="49FCE2F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甲方有权在乙方履行合同过程中出现损害或可能损害公共利益、公共安全情形时终止本合同。</w:t>
      </w:r>
    </w:p>
    <w:p w14:paraId="1BAB76E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1.6</w:t>
      </w:r>
      <w:r>
        <w:rPr>
          <w:rFonts w:hint="eastAsia" w:ascii="仿宋" w:hAnsi="仿宋" w:eastAsia="仿宋" w:cs="仿宋"/>
          <w:color w:val="auto"/>
          <w:sz w:val="24"/>
          <w:szCs w:val="24"/>
          <w:highlight w:val="none"/>
        </w:rPr>
        <w:t>甲方有权根据国家政策或法律法规的变动对服务项目的需求标准和质量要求作出相应变动或者取消项目。</w:t>
      </w:r>
    </w:p>
    <w:p w14:paraId="7013AFF1">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w:t>
      </w:r>
      <w:r>
        <w:rPr>
          <w:rFonts w:hint="eastAsia" w:ascii="仿宋" w:hAnsi="仿宋" w:eastAsia="仿宋" w:cs="仿宋"/>
          <w:color w:val="auto"/>
          <w:sz w:val="24"/>
          <w:szCs w:val="24"/>
          <w:highlight w:val="none"/>
        </w:rPr>
        <w:t>甲方有权将乙方履行合同情况及不符合政府购买服务管理规定情况，向相关部门报告并纳入不良信用记录、年检（报）、评估、执法等监管体系中。</w:t>
      </w:r>
    </w:p>
    <w:p w14:paraId="6A5B30E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rPr>
        <w:t>甲方应及时向乙方提供与履行本合同相关的所有必须的文件、资料。</w:t>
      </w:r>
    </w:p>
    <w:p w14:paraId="0ABF9B90">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甲方应为乙方履行本合同过程中与相关政府部门及其他第三方的沟通、协调提供必要的协助。</w:t>
      </w:r>
    </w:p>
    <w:p w14:paraId="5F4C61C0">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1.10</w:t>
      </w:r>
      <w:r>
        <w:rPr>
          <w:rFonts w:hint="eastAsia" w:ascii="仿宋" w:hAnsi="仿宋" w:eastAsia="仿宋" w:cs="仿宋"/>
          <w:color w:val="auto"/>
          <w:sz w:val="24"/>
          <w:szCs w:val="24"/>
          <w:highlight w:val="none"/>
        </w:rPr>
        <w:t>甲方应按照合同约定支付服务费用。</w:t>
      </w:r>
    </w:p>
    <w:p w14:paraId="7A7EF66D">
      <w:pPr>
        <w:keepNext w:val="0"/>
        <w:keepLines w:val="0"/>
        <w:pageBreakBefore w:val="0"/>
        <w:widowControl/>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乙方的权利和义务</w:t>
      </w:r>
    </w:p>
    <w:p w14:paraId="4A0E2E90">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2.1</w:t>
      </w:r>
      <w:r>
        <w:rPr>
          <w:rFonts w:hint="eastAsia" w:ascii="仿宋" w:hAnsi="仿宋" w:eastAsia="仿宋" w:cs="仿宋"/>
          <w:color w:val="auto"/>
          <w:sz w:val="24"/>
          <w:szCs w:val="24"/>
          <w:highlight w:val="none"/>
        </w:rPr>
        <w:t>乙方有权按照本合同约定向甲方收取服务费用。</w:t>
      </w:r>
    </w:p>
    <w:p w14:paraId="5133CB7C">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乙方有权自甲方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处获得与提供本合同项下服务相关的所有必须的文件、资料。</w:t>
      </w:r>
    </w:p>
    <w:p w14:paraId="09755D6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乙方应配备具有相应资质、特定经验的工作人员负责项目实施，组建的</w:t>
      </w:r>
      <w:r>
        <w:rPr>
          <w:rFonts w:hint="eastAsia" w:ascii="仿宋" w:hAnsi="仿宋" w:eastAsia="仿宋" w:cs="仿宋"/>
          <w:color w:val="auto"/>
          <w:sz w:val="24"/>
          <w:szCs w:val="24"/>
          <w:highlight w:val="none"/>
          <w:lang w:val="en-US" w:eastAsia="zh-CN"/>
        </w:rPr>
        <w:t>服务</w:t>
      </w:r>
      <w:r>
        <w:rPr>
          <w:rFonts w:hint="eastAsia" w:ascii="仿宋" w:hAnsi="仿宋" w:eastAsia="仿宋" w:cs="仿宋"/>
          <w:color w:val="auto"/>
          <w:sz w:val="24"/>
          <w:szCs w:val="24"/>
          <w:highlight w:val="none"/>
        </w:rPr>
        <w:t>成员应</w:t>
      </w:r>
      <w:r>
        <w:rPr>
          <w:rFonts w:hint="eastAsia" w:ascii="仿宋" w:hAnsi="仿宋" w:eastAsia="仿宋" w:cs="仿宋"/>
          <w:color w:val="auto"/>
          <w:sz w:val="24"/>
          <w:szCs w:val="24"/>
          <w:highlight w:val="none"/>
          <w:lang w:val="en-US" w:eastAsia="zh-CN"/>
        </w:rPr>
        <w:t>确保到位到岗，</w:t>
      </w:r>
      <w:r>
        <w:rPr>
          <w:rFonts w:hint="eastAsia" w:ascii="仿宋" w:hAnsi="仿宋" w:eastAsia="仿宋" w:cs="仿宋"/>
          <w:color w:val="auto"/>
          <w:sz w:val="24"/>
          <w:szCs w:val="24"/>
          <w:highlight w:val="none"/>
        </w:rPr>
        <w:t>按照本合同约定的标准、要求和时间完成项目。</w:t>
      </w:r>
    </w:p>
    <w:p w14:paraId="4A44266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2.4</w:t>
      </w:r>
      <w:r>
        <w:rPr>
          <w:rFonts w:hint="eastAsia" w:ascii="仿宋" w:hAnsi="仿宋" w:eastAsia="仿宋" w:cs="仿宋"/>
          <w:color w:val="auto"/>
          <w:sz w:val="24"/>
          <w:szCs w:val="24"/>
          <w:highlight w:val="none"/>
        </w:rPr>
        <w:t>乙方不得以任何理由将本合同项下的服务项目转包给第三方承担。</w:t>
      </w:r>
    </w:p>
    <w:p w14:paraId="65E91F5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rPr>
        <w:t>乙方应全面履行本项目实施过程中的相关安全管理职责，因乙方未尽到管理职责发生安全事故的，由乙方承担相应的法律责任。</w:t>
      </w:r>
    </w:p>
    <w:p w14:paraId="622E6DC1">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2.6</w:t>
      </w:r>
      <w:r>
        <w:rPr>
          <w:rFonts w:hint="eastAsia" w:ascii="仿宋" w:hAnsi="仿宋" w:eastAsia="仿宋" w:cs="仿宋"/>
          <w:color w:val="auto"/>
          <w:sz w:val="24"/>
          <w:szCs w:val="24"/>
          <w:highlight w:val="none"/>
        </w:rPr>
        <w:t>乙方承诺根据本合同提供的服务及相关的技术资料，均已取得有关知识产权的权利人的合法授权。如发生涉及到专利权、著作权、商标权等争议，乙方负责处理并承担由此引起的全部法律及经济责任。</w:t>
      </w:r>
    </w:p>
    <w:p w14:paraId="31C351B4">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2.7</w:t>
      </w:r>
      <w:r>
        <w:rPr>
          <w:rFonts w:hint="eastAsia" w:ascii="仿宋" w:hAnsi="仿宋" w:eastAsia="仿宋" w:cs="仿宋"/>
          <w:color w:val="auto"/>
          <w:sz w:val="24"/>
          <w:szCs w:val="24"/>
          <w:highlight w:val="none"/>
        </w:rPr>
        <w:t>乙方应接受并配合甲方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或甲方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组织的对本合同履行情况的监督与检查，对于甲方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指出的问题，应及时作出合理解释或予以纠正。</w:t>
      </w:r>
    </w:p>
    <w:p w14:paraId="43F8B236">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2.8</w:t>
      </w:r>
      <w:r>
        <w:rPr>
          <w:rFonts w:hint="eastAsia" w:ascii="仿宋" w:hAnsi="仿宋" w:eastAsia="仿宋" w:cs="仿宋"/>
          <w:color w:val="auto"/>
          <w:sz w:val="24"/>
          <w:szCs w:val="24"/>
          <w:highlight w:val="none"/>
        </w:rPr>
        <w:t>乙方应对</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资金进行规范的财务管理和会计核算，加强自身监督，确保资金规范管理和使用。</w:t>
      </w:r>
    </w:p>
    <w:p w14:paraId="4F054768">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2.9乙方应建立健全管理与报告制度，按要求向甲方、丙方提供项目执行情况、服务总结等材料，并配合甲方、丙方及甲方、丙方组织的监督检查。</w:t>
      </w:r>
    </w:p>
    <w:p w14:paraId="593F9433">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2.10乙方不得隐瞒、虚报单位资质、资格、人员及违法行为被禁止或限制参加政府采购活动等情况。</w:t>
      </w:r>
    </w:p>
    <w:p w14:paraId="4C716B6D">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2.11乙方有权监督第二阶段确定成交乙方方式。</w:t>
      </w:r>
    </w:p>
    <w:p w14:paraId="06F6C7AF">
      <w:pPr>
        <w:keepNext w:val="0"/>
        <w:keepLines w:val="0"/>
        <w:pageBreakBefore w:val="0"/>
        <w:widowControl/>
        <w:numPr>
          <w:ilvl w:val="0"/>
          <w:numId w:val="0"/>
        </w:numPr>
        <w:kinsoku/>
        <w:wordWrap w:val="0"/>
        <w:overflowPunct/>
        <w:topLinePunct/>
        <w:autoSpaceDE/>
        <w:autoSpaceDN/>
        <w:bidi w:val="0"/>
        <w:adjustRightInd w:val="0"/>
        <w:snapToGrid w:val="0"/>
        <w:spacing w:line="360" w:lineRule="auto"/>
        <w:ind w:left="0" w:leftChars="0" w:firstLine="482" w:firstLineChars="200"/>
        <w:jc w:val="left"/>
        <w:textAlignment w:val="baseline"/>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3.</w:t>
      </w:r>
      <w:r>
        <w:rPr>
          <w:rFonts w:hint="eastAsia" w:ascii="仿宋" w:hAnsi="仿宋" w:eastAsia="仿宋" w:cs="仿宋"/>
          <w:b/>
          <w:bCs/>
          <w:color w:val="auto"/>
          <w:sz w:val="24"/>
          <w:szCs w:val="24"/>
          <w:highlight w:val="none"/>
          <w:lang w:val="en-US" w:eastAsia="zh-CN"/>
        </w:rPr>
        <w:t>丙方的权利和义务</w:t>
      </w:r>
    </w:p>
    <w:p w14:paraId="3E1694C9">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3.1丙方负责本街道辖区范围内养老服务“爱心卡”的组织实施、监督管理、政策宣传推广、投诉案件受理及处理、信息上报、服务保障等工作。</w:t>
      </w:r>
    </w:p>
    <w:p w14:paraId="140B5CE5">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方有权随时向乙方了解</w:t>
      </w:r>
      <w:r>
        <w:rPr>
          <w:rFonts w:hint="eastAsia" w:ascii="仿宋" w:hAnsi="仿宋" w:eastAsia="仿宋" w:cs="仿宋"/>
          <w:color w:val="auto"/>
          <w:sz w:val="24"/>
          <w:szCs w:val="24"/>
          <w:highlight w:val="none"/>
          <w:lang w:eastAsia="zh-CN"/>
        </w:rPr>
        <w:t>本街道辖区范围内服务</w:t>
      </w:r>
      <w:r>
        <w:rPr>
          <w:rFonts w:hint="eastAsia" w:ascii="仿宋" w:hAnsi="仿宋" w:eastAsia="仿宋" w:cs="仿宋"/>
          <w:color w:val="auto"/>
          <w:sz w:val="24"/>
          <w:szCs w:val="24"/>
          <w:highlight w:val="none"/>
        </w:rPr>
        <w:t>进度</w:t>
      </w:r>
      <w:r>
        <w:rPr>
          <w:rFonts w:hint="eastAsia" w:ascii="仿宋" w:hAnsi="仿宋" w:eastAsia="仿宋" w:cs="仿宋"/>
          <w:color w:val="auto"/>
          <w:sz w:val="24"/>
          <w:szCs w:val="24"/>
          <w:highlight w:val="none"/>
          <w:lang w:eastAsia="zh-CN"/>
        </w:rPr>
        <w:t>、运行情况</w:t>
      </w:r>
      <w:r>
        <w:rPr>
          <w:rFonts w:hint="eastAsia" w:ascii="仿宋" w:hAnsi="仿宋" w:eastAsia="仿宋" w:cs="仿宋"/>
          <w:color w:val="auto"/>
          <w:sz w:val="24"/>
          <w:szCs w:val="24"/>
          <w:highlight w:val="none"/>
        </w:rPr>
        <w:t>，并要求乙方提供</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相关资料。</w:t>
      </w:r>
    </w:p>
    <w:p w14:paraId="21A75E96">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3.3丙</w:t>
      </w:r>
      <w:r>
        <w:rPr>
          <w:rFonts w:hint="eastAsia" w:ascii="仿宋" w:hAnsi="仿宋" w:eastAsia="仿宋" w:cs="仿宋"/>
          <w:color w:val="auto"/>
          <w:sz w:val="24"/>
          <w:szCs w:val="24"/>
          <w:highlight w:val="none"/>
        </w:rPr>
        <w:t>方有权对</w:t>
      </w:r>
      <w:r>
        <w:rPr>
          <w:rFonts w:hint="eastAsia" w:ascii="仿宋" w:hAnsi="仿宋" w:eastAsia="仿宋" w:cs="仿宋"/>
          <w:color w:val="auto"/>
          <w:sz w:val="24"/>
          <w:szCs w:val="24"/>
          <w:highlight w:val="none"/>
          <w:lang w:eastAsia="zh-CN"/>
        </w:rPr>
        <w:t>本街道辖区范围内服务</w:t>
      </w:r>
      <w:r>
        <w:rPr>
          <w:rFonts w:hint="eastAsia" w:ascii="仿宋" w:hAnsi="仿宋" w:eastAsia="仿宋" w:cs="仿宋"/>
          <w:color w:val="auto"/>
          <w:sz w:val="24"/>
          <w:szCs w:val="24"/>
          <w:highlight w:val="none"/>
        </w:rPr>
        <w:t>资金使用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服务质量</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情况进行</w:t>
      </w:r>
      <w:r>
        <w:rPr>
          <w:rFonts w:hint="eastAsia" w:ascii="仿宋" w:hAnsi="仿宋" w:eastAsia="仿宋" w:cs="仿宋"/>
          <w:color w:val="auto"/>
          <w:sz w:val="24"/>
          <w:szCs w:val="24"/>
          <w:highlight w:val="none"/>
          <w:lang w:eastAsia="zh-CN"/>
        </w:rPr>
        <w:t>审核、</w:t>
      </w:r>
      <w:r>
        <w:rPr>
          <w:rFonts w:hint="eastAsia" w:ascii="仿宋" w:hAnsi="仿宋" w:eastAsia="仿宋" w:cs="仿宋"/>
          <w:color w:val="auto"/>
          <w:sz w:val="24"/>
          <w:szCs w:val="24"/>
          <w:highlight w:val="none"/>
        </w:rPr>
        <w:t>监督、检查</w:t>
      </w:r>
      <w:r>
        <w:rPr>
          <w:rFonts w:hint="eastAsia" w:ascii="仿宋" w:hAnsi="仿宋" w:eastAsia="仿宋" w:cs="仿宋"/>
          <w:color w:val="auto"/>
          <w:sz w:val="24"/>
          <w:szCs w:val="24"/>
          <w:highlight w:val="none"/>
          <w:lang w:eastAsia="zh-CN"/>
        </w:rPr>
        <w:t>、汇总、上报等</w:t>
      </w:r>
      <w:r>
        <w:rPr>
          <w:rFonts w:hint="eastAsia" w:ascii="仿宋" w:hAnsi="仿宋" w:eastAsia="仿宋" w:cs="仿宋"/>
          <w:color w:val="auto"/>
          <w:sz w:val="24"/>
          <w:szCs w:val="24"/>
          <w:highlight w:val="none"/>
        </w:rPr>
        <w:t>，并要求乙方提供相关资料。</w:t>
      </w:r>
    </w:p>
    <w:p w14:paraId="01E582B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3.4</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有权按照本合同约定或有关法律法规，对本</w:t>
      </w:r>
      <w:r>
        <w:rPr>
          <w:rFonts w:hint="eastAsia" w:ascii="仿宋" w:hAnsi="仿宋" w:eastAsia="仿宋" w:cs="仿宋"/>
          <w:color w:val="auto"/>
          <w:sz w:val="24"/>
          <w:szCs w:val="24"/>
          <w:highlight w:val="none"/>
          <w:lang w:eastAsia="zh-CN"/>
        </w:rPr>
        <w:t>辖区范围内服务情况</w:t>
      </w:r>
      <w:r>
        <w:rPr>
          <w:rFonts w:hint="eastAsia" w:ascii="仿宋" w:hAnsi="仿宋" w:eastAsia="仿宋" w:cs="仿宋"/>
          <w:color w:val="auto"/>
          <w:sz w:val="24"/>
          <w:szCs w:val="24"/>
          <w:highlight w:val="none"/>
        </w:rPr>
        <w:t>进行监督和检查，有权要求乙方按照监督检查情况制定相应措施并加以整改。</w:t>
      </w: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不因行使该监督和检查权而承担任何责任，也不因此减轻或免除乙方根据本合同约定或相关法律法规规定应承担的任何义务或责任。</w:t>
      </w:r>
    </w:p>
    <w:p w14:paraId="16786F7B">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3.5</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方有权在乙方履行合同过程中出现损害或可能损害公共利益、公共安全情形时</w:t>
      </w:r>
      <w:r>
        <w:rPr>
          <w:rFonts w:hint="eastAsia" w:ascii="仿宋" w:hAnsi="仿宋" w:eastAsia="仿宋" w:cs="仿宋"/>
          <w:color w:val="auto"/>
          <w:sz w:val="24"/>
          <w:szCs w:val="24"/>
          <w:highlight w:val="none"/>
          <w:lang w:eastAsia="zh-CN"/>
        </w:rPr>
        <w:t>及时上报给甲方，经甲方审核通过后</w:t>
      </w:r>
      <w:r>
        <w:rPr>
          <w:rFonts w:hint="eastAsia" w:ascii="仿宋" w:hAnsi="仿宋" w:eastAsia="仿宋" w:cs="仿宋"/>
          <w:color w:val="auto"/>
          <w:sz w:val="24"/>
          <w:szCs w:val="24"/>
          <w:highlight w:val="none"/>
        </w:rPr>
        <w:t>终止本合同。</w:t>
      </w:r>
    </w:p>
    <w:p w14:paraId="072CA5E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方有权将乙方履行合同情况及不符合政府购买服务管理规定情况，向相关部门报告。</w:t>
      </w:r>
    </w:p>
    <w:p w14:paraId="49579D0A">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3.7</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方应及时向乙方提供与履行本合同相关的所有必须的文件、资料。</w:t>
      </w:r>
    </w:p>
    <w:p w14:paraId="30D0DA52">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3.8</w:t>
      </w:r>
      <w:r>
        <w:rPr>
          <w:rFonts w:hint="eastAsia" w:ascii="仿宋" w:hAnsi="仿宋" w:eastAsia="仿宋" w:cs="仿宋"/>
          <w:color w:val="auto"/>
          <w:sz w:val="24"/>
          <w:szCs w:val="24"/>
          <w:highlight w:val="none"/>
          <w:lang w:eastAsia="zh-CN"/>
        </w:rPr>
        <w:t>丙</w:t>
      </w:r>
      <w:r>
        <w:rPr>
          <w:rFonts w:hint="eastAsia" w:ascii="仿宋" w:hAnsi="仿宋" w:eastAsia="仿宋" w:cs="仿宋"/>
          <w:color w:val="auto"/>
          <w:sz w:val="24"/>
          <w:szCs w:val="24"/>
          <w:highlight w:val="none"/>
        </w:rPr>
        <w:t>方应为乙方履行本合同过程中与相关政府部门及其他第三方的沟通、协调提供必要的协助。</w:t>
      </w:r>
    </w:p>
    <w:p w14:paraId="6ACC3BAE">
      <w:pPr>
        <w:keepNext w:val="0"/>
        <w:keepLines w:val="0"/>
        <w:pageBreakBefore w:val="0"/>
        <w:widowControl/>
        <w:kinsoku/>
        <w:wordWrap w:val="0"/>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3.9</w:t>
      </w:r>
      <w:r>
        <w:rPr>
          <w:rFonts w:hint="eastAsia" w:ascii="仿宋" w:hAnsi="仿宋" w:eastAsia="仿宋" w:cs="仿宋"/>
          <w:color w:val="auto"/>
          <w:sz w:val="24"/>
          <w:szCs w:val="24"/>
          <w:highlight w:val="none"/>
          <w:lang w:eastAsia="zh-CN"/>
        </w:rPr>
        <w:t xml:space="preserve"> 丙方应按照合同约定及时向甲方上报相应的服务监管情况</w:t>
      </w:r>
      <w:r>
        <w:rPr>
          <w:rFonts w:hint="eastAsia" w:ascii="仿宋" w:hAnsi="仿宋" w:eastAsia="仿宋" w:cs="仿宋"/>
          <w:color w:val="auto"/>
          <w:sz w:val="24"/>
          <w:szCs w:val="24"/>
          <w:highlight w:val="none"/>
        </w:rPr>
        <w:t>。</w:t>
      </w:r>
    </w:p>
    <w:p w14:paraId="7A14B2DB">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第</w:t>
      </w:r>
      <w:r>
        <w:rPr>
          <w:rFonts w:hint="eastAsia" w:ascii="仿宋" w:hAnsi="仿宋" w:eastAsia="仿宋" w:cs="仿宋"/>
          <w:b/>
          <w:bCs/>
          <w:color w:val="auto"/>
          <w:kern w:val="0"/>
          <w:sz w:val="24"/>
          <w:szCs w:val="24"/>
          <w:highlight w:val="none"/>
          <w:lang w:val="en-US" w:eastAsia="zh-CN"/>
        </w:rPr>
        <w:t>九</w:t>
      </w:r>
      <w:r>
        <w:rPr>
          <w:rFonts w:hint="eastAsia" w:ascii="仿宋" w:hAnsi="仿宋" w:eastAsia="仿宋" w:cs="仿宋"/>
          <w:b/>
          <w:bCs/>
          <w:color w:val="auto"/>
          <w:kern w:val="0"/>
          <w:sz w:val="24"/>
          <w:szCs w:val="24"/>
          <w:highlight w:val="none"/>
        </w:rPr>
        <w:t xml:space="preserve">条 </w:t>
      </w:r>
      <w:r>
        <w:rPr>
          <w:rFonts w:hint="eastAsia" w:ascii="仿宋" w:hAnsi="仿宋" w:eastAsia="仿宋" w:cs="仿宋"/>
          <w:b/>
          <w:bCs/>
          <w:color w:val="auto"/>
          <w:kern w:val="0"/>
          <w:sz w:val="24"/>
          <w:szCs w:val="24"/>
          <w:highlight w:val="none"/>
          <w:lang w:eastAsia="zh-CN"/>
        </w:rPr>
        <w:t>三方</w:t>
      </w:r>
      <w:r>
        <w:rPr>
          <w:rFonts w:hint="eastAsia" w:ascii="仿宋" w:hAnsi="仿宋" w:eastAsia="仿宋" w:cs="仿宋"/>
          <w:b/>
          <w:bCs/>
          <w:color w:val="auto"/>
          <w:kern w:val="0"/>
          <w:sz w:val="24"/>
          <w:szCs w:val="24"/>
          <w:highlight w:val="none"/>
        </w:rPr>
        <w:t>保密协议</w:t>
      </w:r>
    </w:p>
    <w:p w14:paraId="4BBB67E3">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乙方对履行本服务期限间知悉的甲方</w:t>
      </w:r>
      <w:r>
        <w:rPr>
          <w:rFonts w:hint="eastAsia" w:ascii="仿宋" w:hAnsi="仿宋" w:eastAsia="仿宋" w:cs="仿宋"/>
          <w:color w:val="auto"/>
          <w:kern w:val="0"/>
          <w:sz w:val="24"/>
          <w:szCs w:val="24"/>
          <w:highlight w:val="none"/>
          <w:lang w:eastAsia="zh-CN"/>
        </w:rPr>
        <w:t>、丙方</w:t>
      </w:r>
      <w:r>
        <w:rPr>
          <w:rFonts w:hint="eastAsia" w:ascii="仿宋" w:hAnsi="仿宋" w:eastAsia="仿宋" w:cs="仿宋"/>
          <w:color w:val="auto"/>
          <w:kern w:val="0"/>
          <w:sz w:val="24"/>
          <w:szCs w:val="24"/>
          <w:highlight w:val="none"/>
        </w:rPr>
        <w:t>秘密附有保密责任，且乙方的保密责任不因本合同的终止而终止。</w:t>
      </w:r>
    </w:p>
    <w:p w14:paraId="227ADEA1">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未经甲方</w:t>
      </w:r>
      <w:r>
        <w:rPr>
          <w:rFonts w:hint="eastAsia" w:ascii="仿宋" w:hAnsi="仿宋" w:eastAsia="仿宋" w:cs="仿宋"/>
          <w:color w:val="auto"/>
          <w:kern w:val="0"/>
          <w:sz w:val="24"/>
          <w:szCs w:val="24"/>
          <w:highlight w:val="none"/>
          <w:lang w:eastAsia="zh-CN"/>
        </w:rPr>
        <w:t>、丙方</w:t>
      </w:r>
      <w:r>
        <w:rPr>
          <w:rFonts w:hint="eastAsia" w:ascii="仿宋" w:hAnsi="仿宋" w:eastAsia="仿宋" w:cs="仿宋"/>
          <w:color w:val="auto"/>
          <w:kern w:val="0"/>
          <w:sz w:val="24"/>
          <w:szCs w:val="24"/>
          <w:highlight w:val="none"/>
        </w:rPr>
        <w:t>同意，乙方服务人员不得擅自记录、复印、拍摄、摘抄、收藏甲方单位的任何文件资料和信息，不得随意翻阅与工作无关的文件和资料，严禁将甲方单位内部会议、谈话内容泄露给第三方。</w:t>
      </w:r>
    </w:p>
    <w:p w14:paraId="62293752">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w:t>
      </w:r>
      <w:r>
        <w:rPr>
          <w:rFonts w:hint="eastAsia" w:ascii="仿宋" w:hAnsi="仿宋" w:eastAsia="仿宋" w:cs="仿宋"/>
          <w:b/>
          <w:color w:val="auto"/>
          <w:sz w:val="24"/>
          <w:szCs w:val="24"/>
          <w:highlight w:val="none"/>
          <w:lang w:val="en-US" w:eastAsia="zh-CN"/>
        </w:rPr>
        <w:t>十</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违约责任</w:t>
      </w:r>
    </w:p>
    <w:p w14:paraId="7807B688">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除不可抗力外，如果乙方没有按照本</w:t>
      </w:r>
      <w:r>
        <w:rPr>
          <w:rFonts w:hint="eastAsia" w:ascii="仿宋" w:hAnsi="仿宋" w:eastAsia="仿宋" w:cs="仿宋"/>
          <w:color w:val="auto"/>
          <w:sz w:val="24"/>
          <w:szCs w:val="24"/>
          <w:highlight w:val="none"/>
          <w:lang w:val="en-US" w:eastAsia="zh-CN"/>
        </w:rPr>
        <w:t>协议</w:t>
      </w:r>
      <w:r>
        <w:rPr>
          <w:rFonts w:hint="eastAsia" w:ascii="仿宋" w:hAnsi="仿宋" w:eastAsia="仿宋" w:cs="仿宋"/>
          <w:color w:val="auto"/>
          <w:sz w:val="24"/>
          <w:szCs w:val="24"/>
          <w:highlight w:val="none"/>
        </w:rPr>
        <w:t>约定的期限、地点和方式服务的，那么甲方可要求乙方支付违约金，违约金每日按</w:t>
      </w:r>
      <w:r>
        <w:rPr>
          <w:rFonts w:hint="eastAsia" w:ascii="仿宋" w:hAnsi="仿宋" w:eastAsia="仿宋" w:cs="仿宋"/>
          <w:color w:val="auto"/>
          <w:sz w:val="24"/>
          <w:szCs w:val="24"/>
          <w:highlight w:val="none"/>
          <w:lang w:val="en-US" w:eastAsia="zh-CN"/>
        </w:rPr>
        <w:t>1000元</w:t>
      </w:r>
      <w:r>
        <w:rPr>
          <w:rFonts w:hint="eastAsia" w:ascii="仿宋" w:hAnsi="仿宋" w:eastAsia="仿宋" w:cs="仿宋"/>
          <w:color w:val="auto"/>
          <w:sz w:val="24"/>
          <w:szCs w:val="24"/>
          <w:highlight w:val="none"/>
        </w:rPr>
        <w:t>计算，最高限额为</w:t>
      </w:r>
      <w:r>
        <w:rPr>
          <w:rFonts w:hint="eastAsia" w:ascii="仿宋" w:hAnsi="仿宋" w:eastAsia="仿宋" w:cs="仿宋"/>
          <w:color w:val="auto"/>
          <w:sz w:val="24"/>
          <w:szCs w:val="24"/>
          <w:highlight w:val="none"/>
          <w:lang w:val="en-US" w:eastAsia="zh-CN"/>
        </w:rPr>
        <w:t>2万元</w:t>
      </w:r>
      <w:r>
        <w:rPr>
          <w:rFonts w:hint="eastAsia" w:ascii="仿宋" w:hAnsi="仿宋" w:eastAsia="仿宋" w:cs="仿宋"/>
          <w:color w:val="auto"/>
          <w:sz w:val="24"/>
          <w:szCs w:val="24"/>
          <w:highlight w:val="none"/>
        </w:rPr>
        <w:t>；违约金计算数额达到前述最高限额之日起，甲方有权在要求乙方支付违约金的同时，书面通知乙方解除本合同；</w:t>
      </w:r>
    </w:p>
    <w:p w14:paraId="5E36568C">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2</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szCs w:val="24"/>
          <w:highlight w:val="none"/>
          <w:u w:val="single"/>
        </w:rPr>
        <w:t>万分之五</w:t>
      </w:r>
      <w:r>
        <w:rPr>
          <w:rFonts w:hint="eastAsia" w:ascii="仿宋" w:hAnsi="仿宋" w:eastAsia="仿宋" w:cs="仿宋"/>
          <w:color w:val="auto"/>
          <w:sz w:val="24"/>
          <w:szCs w:val="24"/>
          <w:highlight w:val="none"/>
        </w:rPr>
        <w:t>计算，最高限额为</w:t>
      </w:r>
      <w:r>
        <w:rPr>
          <w:rFonts w:hint="eastAsia" w:ascii="仿宋" w:hAnsi="仿宋" w:eastAsia="仿宋" w:cs="仿宋"/>
          <w:color w:val="auto"/>
          <w:sz w:val="24"/>
          <w:szCs w:val="24"/>
          <w:highlight w:val="none"/>
          <w:u w:val="single"/>
          <w:lang w:val="en-US" w:eastAsia="zh-CN"/>
        </w:rPr>
        <w:t>1万元</w:t>
      </w:r>
      <w:r>
        <w:rPr>
          <w:rFonts w:hint="eastAsia" w:ascii="仿宋" w:hAnsi="仿宋" w:eastAsia="仿宋" w:cs="仿宋"/>
          <w:color w:val="auto"/>
          <w:sz w:val="24"/>
          <w:szCs w:val="24"/>
          <w:highlight w:val="none"/>
        </w:rPr>
        <w:t>；迟延付款的违约金计算数额达到前述最高限额之日起，乙方有权在要求甲方支付违约金的同时，书面通知甲方解除本合同；</w:t>
      </w:r>
    </w:p>
    <w:p w14:paraId="5484AE08">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14FAA48">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4</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6ED7174">
      <w:pPr>
        <w:keepNext w:val="0"/>
        <w:keepLines w:val="0"/>
        <w:pageBreakBefore w:val="0"/>
        <w:numPr>
          <w:ilvl w:val="0"/>
          <w:numId w:val="0"/>
        </w:numPr>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5</w:t>
      </w:r>
      <w:r>
        <w:rPr>
          <w:rFonts w:hint="default" w:ascii="仿宋" w:hAnsi="仿宋" w:eastAsia="仿宋" w:cs="仿宋"/>
          <w:color w:val="auto"/>
          <w:kern w:val="2"/>
          <w:sz w:val="24"/>
          <w:szCs w:val="24"/>
          <w:highlight w:val="none"/>
          <w:lang w:val="en-US" w:eastAsia="zh-CN" w:bidi="ar-SA"/>
        </w:rPr>
        <w:t>.</w:t>
      </w:r>
      <w:r>
        <w:rPr>
          <w:rFonts w:hint="eastAsia" w:ascii="仿宋" w:hAnsi="仿宋" w:eastAsia="仿宋" w:cs="仿宋"/>
          <w:color w:val="auto"/>
          <w:sz w:val="24"/>
          <w:szCs w:val="24"/>
          <w:highlight w:val="none"/>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0845670">
      <w:pPr>
        <w:keepNext w:val="0"/>
        <w:keepLines w:val="0"/>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如果出现政府采购监督管理部门在处理投诉事项期间，书面通知甲方暂停采购活动的情形，或者询问或质疑事项可能影响</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结果的，导致甲方中止履行合同的情形，均不视为甲方违约。</w:t>
      </w:r>
    </w:p>
    <w:p w14:paraId="016625B2">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不可抗力事件处理</w:t>
      </w:r>
    </w:p>
    <w:p w14:paraId="06C22F53">
      <w:pPr>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1.在合同有效期内，因不可抗力事件导致不能履行合同，则合同履行至合同到期日止。</w:t>
      </w:r>
    </w:p>
    <w:p w14:paraId="633F7CFF">
      <w:pPr>
        <w:pageBreakBefore w:val="0"/>
        <w:widowControl/>
        <w:shd w:val="clear" w:color="auto"/>
        <w:kinsoku/>
        <w:overflowPunct/>
        <w:topLinePunct/>
        <w:autoSpaceDE/>
        <w:autoSpaceDN/>
        <w:bidi w:val="0"/>
        <w:adjustRightInd w:val="0"/>
        <w:snapToGrid w:val="0"/>
        <w:spacing w:line="360" w:lineRule="auto"/>
        <w:ind w:left="0" w:leftChars="0" w:firstLine="480" w:firstLineChars="200"/>
        <w:jc w:val="left"/>
        <w:textAlignment w:val="baseline"/>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2.不可抗力事件发生后，应立即通知对方，并寄送有关权威机构出具的证明。</w:t>
      </w:r>
    </w:p>
    <w:p w14:paraId="5839F937">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争议的解决</w:t>
      </w:r>
    </w:p>
    <w:p w14:paraId="77613BD2">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本合同为政府采购之合同，在发生服务质量问题时，甲方</w:t>
      </w:r>
      <w:r>
        <w:rPr>
          <w:rFonts w:hint="eastAsia" w:ascii="仿宋" w:hAnsi="仿宋" w:eastAsia="仿宋" w:cs="仿宋"/>
          <w:bCs/>
          <w:color w:val="auto"/>
          <w:sz w:val="24"/>
          <w:szCs w:val="24"/>
          <w:highlight w:val="none"/>
          <w:lang w:eastAsia="zh-CN"/>
        </w:rPr>
        <w:t>、丙方</w:t>
      </w:r>
      <w:r>
        <w:rPr>
          <w:rFonts w:hint="eastAsia" w:ascii="仿宋" w:hAnsi="仿宋" w:eastAsia="仿宋" w:cs="仿宋"/>
          <w:bCs/>
          <w:color w:val="auto"/>
          <w:sz w:val="24"/>
          <w:szCs w:val="24"/>
          <w:highlight w:val="none"/>
        </w:rPr>
        <w:t>有权直接向乙方索赔，签订必要的书面处理协议。如协商不成，可向甲方所在地法院起诉。</w:t>
      </w:r>
    </w:p>
    <w:p w14:paraId="44F25D79">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第十</w:t>
      </w:r>
      <w:r>
        <w:rPr>
          <w:rFonts w:hint="eastAsia" w:ascii="仿宋" w:hAnsi="仿宋" w:eastAsia="仿宋" w:cs="仿宋"/>
          <w:b/>
          <w:bCs/>
          <w:color w:val="auto"/>
          <w:sz w:val="24"/>
          <w:szCs w:val="24"/>
          <w:highlight w:val="none"/>
          <w:lang w:val="en-US" w:eastAsia="zh-CN"/>
        </w:rPr>
        <w:t>三</w:t>
      </w:r>
      <w:r>
        <w:rPr>
          <w:rFonts w:hint="eastAsia" w:ascii="仿宋" w:hAnsi="仿宋" w:eastAsia="仿宋" w:cs="仿宋"/>
          <w:b/>
          <w:bCs/>
          <w:color w:val="auto"/>
          <w:sz w:val="24"/>
          <w:szCs w:val="24"/>
          <w:highlight w:val="none"/>
        </w:rPr>
        <w:t>条</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适用法律</w:t>
      </w:r>
    </w:p>
    <w:p w14:paraId="12D4E8B5">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本合同按照中华人民共和国现行法律、法规进行解释。</w:t>
      </w:r>
    </w:p>
    <w:p w14:paraId="5A125A0F">
      <w:pPr>
        <w:pageBreakBefore w:val="0"/>
        <w:kinsoku/>
        <w:overflowPunct/>
        <w:autoSpaceDE/>
        <w:autoSpaceDN/>
        <w:bidi w:val="0"/>
        <w:adjustRightInd w:val="0"/>
        <w:snapToGrid w:val="0"/>
        <w:spacing w:line="360" w:lineRule="auto"/>
        <w:ind w:left="0" w:leftChars="0"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第十</w:t>
      </w: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rPr>
        <w:t>条</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合同的生效</w:t>
      </w:r>
    </w:p>
    <w:p w14:paraId="7446D141">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本合同经</w:t>
      </w:r>
      <w:r>
        <w:rPr>
          <w:rFonts w:hint="eastAsia" w:ascii="仿宋" w:hAnsi="仿宋" w:eastAsia="仿宋" w:cs="仿宋"/>
          <w:color w:val="auto"/>
          <w:sz w:val="24"/>
          <w:szCs w:val="24"/>
          <w:highlight w:val="none"/>
          <w:lang w:val="en-US" w:eastAsia="zh-CN"/>
        </w:rPr>
        <w:t>甲乙丙三方</w:t>
      </w:r>
      <w:r>
        <w:rPr>
          <w:rFonts w:hint="eastAsia" w:ascii="仿宋" w:hAnsi="仿宋" w:eastAsia="仿宋" w:cs="仿宋"/>
          <w:color w:val="auto"/>
          <w:sz w:val="24"/>
          <w:szCs w:val="24"/>
          <w:highlight w:val="none"/>
        </w:rPr>
        <w:t>加盖公章后生效。</w:t>
      </w:r>
    </w:p>
    <w:p w14:paraId="34623249">
      <w:pPr>
        <w:pageBreakBefore w:val="0"/>
        <w:kinsoku/>
        <w:overflowPunct/>
        <w:autoSpaceDE/>
        <w:autoSpaceDN/>
        <w:bidi w:val="0"/>
        <w:adjustRightInd w:val="0"/>
        <w:snapToGrid w:val="0"/>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本合同一式</w:t>
      </w: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份，甲乙</w:t>
      </w:r>
      <w:r>
        <w:rPr>
          <w:rFonts w:hint="eastAsia" w:ascii="仿宋" w:hAnsi="仿宋" w:eastAsia="仿宋" w:cs="仿宋"/>
          <w:color w:val="auto"/>
          <w:sz w:val="24"/>
          <w:szCs w:val="24"/>
          <w:highlight w:val="none"/>
          <w:lang w:eastAsia="zh-CN"/>
        </w:rPr>
        <w:t>丙三方</w:t>
      </w:r>
      <w:r>
        <w:rPr>
          <w:rFonts w:hint="eastAsia" w:ascii="仿宋" w:hAnsi="仿宋" w:eastAsia="仿宋" w:cs="仿宋"/>
          <w:color w:val="auto"/>
          <w:sz w:val="24"/>
          <w:szCs w:val="24"/>
          <w:highlight w:val="none"/>
        </w:rPr>
        <w:t>各执</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rPr>
        <w:t>份，</w:t>
      </w:r>
      <w:r>
        <w:rPr>
          <w:rFonts w:hint="eastAsia" w:ascii="仿宋" w:hAnsi="仿宋" w:eastAsia="仿宋" w:cs="仿宋"/>
          <w:color w:val="auto"/>
          <w:sz w:val="24"/>
          <w:szCs w:val="24"/>
          <w:highlight w:val="none"/>
          <w:lang w:val="en-US" w:eastAsia="zh-CN"/>
        </w:rPr>
        <w:t>采购代理机构</w:t>
      </w:r>
      <w:r>
        <w:rPr>
          <w:rFonts w:hint="eastAsia" w:ascii="仿宋" w:hAnsi="仿宋" w:eastAsia="仿宋" w:cs="仿宋"/>
          <w:color w:val="auto"/>
          <w:sz w:val="24"/>
          <w:szCs w:val="24"/>
          <w:highlight w:val="none"/>
        </w:rPr>
        <w:t>执</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份。</w:t>
      </w:r>
    </w:p>
    <w:p w14:paraId="7FE859EC">
      <w:pPr>
        <w:pageBreakBefore w:val="0"/>
        <w:kinsoku/>
        <w:overflowPunct/>
        <w:autoSpaceDE/>
        <w:autoSpaceDN/>
        <w:bidi w:val="0"/>
        <w:adjustRightInd w:val="0"/>
        <w:snapToGrid w:val="0"/>
        <w:spacing w:line="360" w:lineRule="auto"/>
        <w:ind w:left="4440" w:leftChars="0" w:hanging="4440" w:hangingChars="1850"/>
        <w:rPr>
          <w:rFonts w:hint="eastAsia" w:ascii="仿宋" w:hAnsi="仿宋" w:eastAsia="仿宋" w:cs="仿宋"/>
          <w:color w:val="auto"/>
          <w:sz w:val="24"/>
          <w:szCs w:val="24"/>
          <w:highlight w:val="none"/>
        </w:rPr>
      </w:pPr>
    </w:p>
    <w:p w14:paraId="203932F7">
      <w:pPr>
        <w:pageBreakBefore w:val="0"/>
        <w:kinsoku/>
        <w:overflowPunct/>
        <w:autoSpaceDE/>
        <w:autoSpaceDN/>
        <w:bidi w:val="0"/>
        <w:adjustRightInd w:val="0"/>
        <w:snapToGrid w:val="0"/>
        <w:spacing w:line="360" w:lineRule="auto"/>
        <w:ind w:left="4440" w:leftChars="0" w:hanging="4440" w:hangingChars="18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甲方（公章）：                       乙方（公章）：</w:t>
      </w:r>
    </w:p>
    <w:p w14:paraId="225C1E81">
      <w:pPr>
        <w:pageBreakBefore w:val="0"/>
        <w:kinsoku/>
        <w:overflowPunct/>
        <w:autoSpaceDE/>
        <w:autoSpaceDN/>
        <w:bidi w:val="0"/>
        <w:adjustRightInd w:val="0"/>
        <w:snapToGrid w:val="0"/>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法定代表人或受委托人（签字）         法定代表人或受委托人（签字）</w:t>
      </w:r>
    </w:p>
    <w:p w14:paraId="41EB2ABB">
      <w:pPr>
        <w:pageBreakBefore w:val="0"/>
        <w:kinsoku/>
        <w:overflowPunct/>
        <w:autoSpaceDE/>
        <w:autoSpaceDN/>
        <w:bidi w:val="0"/>
        <w:adjustRightInd w:val="0"/>
        <w:snapToGrid w:val="0"/>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地址：</w:t>
      </w:r>
    </w:p>
    <w:p w14:paraId="70ADB7BB">
      <w:pPr>
        <w:pageBreakBefore w:val="0"/>
        <w:kinsoku/>
        <w:overflowPunct/>
        <w:autoSpaceDE/>
        <w:autoSpaceDN/>
        <w:bidi w:val="0"/>
        <w:adjustRightInd w:val="0"/>
        <w:snapToGrid w:val="0"/>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电话：</w:t>
      </w:r>
    </w:p>
    <w:p w14:paraId="255CF5D3">
      <w:pPr>
        <w:pageBreakBefore w:val="0"/>
        <w:kinsoku/>
        <w:overflowPunct/>
        <w:autoSpaceDE/>
        <w:autoSpaceDN/>
        <w:bidi w:val="0"/>
        <w:adjustRightInd w:val="0"/>
        <w:snapToGrid w:val="0"/>
        <w:spacing w:line="360" w:lineRule="auto"/>
        <w:ind w:left="4440" w:leftChars="0" w:hanging="4440" w:hangingChars="18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丙方</w:t>
      </w:r>
      <w:r>
        <w:rPr>
          <w:rFonts w:hint="eastAsia" w:ascii="仿宋" w:hAnsi="仿宋" w:eastAsia="仿宋" w:cs="仿宋"/>
          <w:color w:val="auto"/>
          <w:sz w:val="24"/>
          <w:szCs w:val="24"/>
          <w:highlight w:val="none"/>
        </w:rPr>
        <w:t xml:space="preserve">（公章）：                       </w:t>
      </w:r>
      <w:r>
        <w:rPr>
          <w:rFonts w:hint="eastAsia" w:ascii="仿宋" w:hAnsi="仿宋" w:eastAsia="仿宋" w:cs="仿宋"/>
          <w:color w:val="auto"/>
          <w:sz w:val="24"/>
          <w:szCs w:val="24"/>
          <w:highlight w:val="none"/>
          <w:lang w:val="en-US" w:eastAsia="zh-CN"/>
        </w:rPr>
        <w:t xml:space="preserve"> </w:t>
      </w:r>
    </w:p>
    <w:p w14:paraId="3620CEEC">
      <w:pPr>
        <w:pageBreakBefore w:val="0"/>
        <w:kinsoku/>
        <w:overflowPunct/>
        <w:autoSpaceDE/>
        <w:autoSpaceDN/>
        <w:bidi w:val="0"/>
        <w:adjustRightInd w:val="0"/>
        <w:snapToGrid w:val="0"/>
        <w:spacing w:line="360" w:lineRule="auto"/>
        <w:ind w:left="0"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法定代表人或受委托人（签字）         </w:t>
      </w:r>
      <w:r>
        <w:rPr>
          <w:rFonts w:hint="eastAsia" w:ascii="仿宋" w:hAnsi="仿宋" w:eastAsia="仿宋" w:cs="仿宋"/>
          <w:color w:val="auto"/>
          <w:sz w:val="24"/>
          <w:szCs w:val="24"/>
          <w:highlight w:val="none"/>
          <w:lang w:val="en-US" w:eastAsia="zh-CN"/>
        </w:rPr>
        <w:t xml:space="preserve"> </w:t>
      </w:r>
    </w:p>
    <w:p w14:paraId="4D1C504A">
      <w:pPr>
        <w:pageBreakBefore w:val="0"/>
        <w:kinsoku/>
        <w:overflowPunct/>
        <w:autoSpaceDE/>
        <w:autoSpaceDN/>
        <w:bidi w:val="0"/>
        <w:adjustRightInd w:val="0"/>
        <w:snapToGrid w:val="0"/>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611BB4DD">
      <w:pPr>
        <w:pageBreakBefore w:val="0"/>
        <w:kinsoku/>
        <w:overflowPunct/>
        <w:autoSpaceDE/>
        <w:autoSpaceDN/>
        <w:bidi w:val="0"/>
        <w:adjustRightInd w:val="0"/>
        <w:snapToGrid w:val="0"/>
        <w:spacing w:line="360" w:lineRule="auto"/>
        <w:ind w:left="0" w:left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电话：                              </w:t>
      </w:r>
    </w:p>
    <w:p w14:paraId="1B3B949E">
      <w:pPr>
        <w:rPr>
          <w:rFonts w:hint="eastAsia"/>
          <w:color w:val="auto"/>
          <w:highlight w:val="none"/>
        </w:rPr>
      </w:pPr>
      <w:r>
        <w:rPr>
          <w:rFonts w:hint="eastAsia" w:ascii="仿宋" w:hAnsi="仿宋" w:eastAsia="仿宋" w:cs="仿宋"/>
          <w:color w:val="auto"/>
          <w:sz w:val="24"/>
          <w:szCs w:val="24"/>
          <w:highlight w:val="none"/>
        </w:rPr>
        <w:t>签约时间：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  月  日</w:t>
      </w:r>
    </w:p>
    <w:p w14:paraId="6A5C49B5">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561190B">
      <w:pPr>
        <w:snapToGrid w:val="0"/>
        <w:spacing w:line="360" w:lineRule="auto"/>
        <w:jc w:val="center"/>
        <w:rPr>
          <w:rFonts w:ascii="仿宋" w:hAnsi="仿宋" w:eastAsia="仿宋" w:cs="仿宋_GB2312"/>
          <w:b/>
          <w:color w:val="auto"/>
          <w:sz w:val="36"/>
          <w:highlight w:val="none"/>
        </w:rPr>
      </w:pPr>
      <w:r>
        <w:rPr>
          <w:rFonts w:hint="eastAsia" w:ascii="仿宋" w:hAnsi="仿宋" w:eastAsia="仿宋" w:cs="仿宋_GB2312"/>
          <w:b/>
          <w:color w:val="auto"/>
          <w:sz w:val="36"/>
          <w:highlight w:val="none"/>
        </w:rPr>
        <w:t>第六部分应提交的有关格式范例</w:t>
      </w:r>
    </w:p>
    <w:p w14:paraId="18CAB8E3">
      <w:pPr>
        <w:spacing w:line="360" w:lineRule="auto"/>
        <w:ind w:firstLine="480" w:firstLineChars="200"/>
        <w:outlineLvl w:val="0"/>
        <w:rPr>
          <w:rFonts w:ascii="仿宋" w:hAnsi="仿宋" w:eastAsia="仿宋" w:cs="仿宋_GB2312"/>
          <w:color w:val="auto"/>
          <w:sz w:val="24"/>
          <w:highlight w:val="none"/>
        </w:rPr>
      </w:pPr>
      <w:r>
        <w:rPr>
          <w:rFonts w:hint="eastAsia" w:ascii="仿宋" w:hAnsi="仿宋" w:eastAsia="仿宋" w:cs="仿宋_GB2312"/>
          <w:color w:val="auto"/>
          <w:sz w:val="24"/>
          <w:highlight w:val="none"/>
        </w:rPr>
        <w:t>供应商按照以下格式编制响应文件。</w:t>
      </w:r>
    </w:p>
    <w:p w14:paraId="59602362">
      <w:pPr>
        <w:spacing w:line="360" w:lineRule="auto"/>
        <w:outlineLvl w:val="0"/>
        <w:rPr>
          <w:rFonts w:ascii="仿宋" w:hAnsi="仿宋" w:eastAsia="仿宋" w:cs="仿宋_GB2312"/>
          <w:color w:val="auto"/>
          <w:sz w:val="36"/>
          <w:szCs w:val="36"/>
          <w:highlight w:val="none"/>
        </w:rPr>
      </w:pPr>
    </w:p>
    <w:p w14:paraId="22746067">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资格文件部分</w:t>
      </w:r>
    </w:p>
    <w:p w14:paraId="3CCBB0B1">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3962E055">
      <w:pPr>
        <w:spacing w:line="360" w:lineRule="auto"/>
        <w:jc w:val="center"/>
        <w:outlineLvl w:val="0"/>
        <w:rPr>
          <w:rFonts w:ascii="仿宋" w:hAnsi="仿宋" w:eastAsia="仿宋" w:cs="仿宋_GB2312"/>
          <w:b/>
          <w:color w:val="auto"/>
          <w:kern w:val="0"/>
          <w:sz w:val="36"/>
          <w:szCs w:val="36"/>
          <w:highlight w:val="none"/>
        </w:rPr>
      </w:pPr>
    </w:p>
    <w:p w14:paraId="45D2B4FB">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（1）符合参加政府采购活动应当具备的一般条件的承诺函……………（页码）</w:t>
      </w:r>
    </w:p>
    <w:p w14:paraId="1ACD3DB4">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（2）联合协议………………………………………………………………（页码）</w:t>
      </w:r>
    </w:p>
    <w:p w14:paraId="465E142B">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（2）落实政府采购政策需满足的资格要求………………………………（页码）</w:t>
      </w:r>
    </w:p>
    <w:p w14:paraId="5F3E880A">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（3）本项目的特定资格要求………………………………………………（页码）</w:t>
      </w:r>
    </w:p>
    <w:p w14:paraId="4E202706">
      <w:pPr>
        <w:snapToGrid w:val="0"/>
        <w:spacing w:line="360" w:lineRule="auto"/>
        <w:rPr>
          <w:rFonts w:ascii="仿宋" w:hAnsi="仿宋" w:eastAsia="仿宋" w:cs="仿宋_GB2312"/>
          <w:color w:val="auto"/>
          <w:kern w:val="0"/>
          <w:sz w:val="24"/>
          <w:highlight w:val="none"/>
        </w:rPr>
      </w:pPr>
    </w:p>
    <w:p w14:paraId="7943D63A">
      <w:pPr>
        <w:spacing w:line="360" w:lineRule="auto"/>
        <w:ind w:firstLine="480" w:firstLineChars="200"/>
        <w:rPr>
          <w:rFonts w:ascii="仿宋" w:hAnsi="仿宋" w:eastAsia="仿宋" w:cs="仿宋_GB2312"/>
          <w:color w:val="auto"/>
          <w:sz w:val="24"/>
          <w:highlight w:val="none"/>
        </w:rPr>
      </w:pPr>
    </w:p>
    <w:p w14:paraId="7958587A">
      <w:pPr>
        <w:snapToGrid w:val="0"/>
        <w:spacing w:line="360" w:lineRule="auto"/>
        <w:rPr>
          <w:rFonts w:ascii="仿宋" w:hAnsi="仿宋" w:eastAsia="仿宋"/>
          <w:b/>
          <w:color w:val="auto"/>
          <w:sz w:val="36"/>
          <w:szCs w:val="20"/>
          <w:highlight w:val="none"/>
        </w:rPr>
      </w:pPr>
      <w:r>
        <w:rPr>
          <w:rFonts w:ascii="仿宋" w:hAnsi="仿宋" w:eastAsia="仿宋"/>
          <w:b/>
          <w:color w:val="auto"/>
          <w:sz w:val="36"/>
          <w:szCs w:val="20"/>
          <w:highlight w:val="none"/>
        </w:rPr>
        <w:br w:type="page"/>
      </w:r>
    </w:p>
    <w:p w14:paraId="35E8AD44">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 xml:space="preserve">  一、 符合参加政府采购活动应当具备的一般条件的承诺函</w:t>
      </w:r>
    </w:p>
    <w:p w14:paraId="54AD165A">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（征集人）、（采购代理机构）：</w:t>
      </w:r>
    </w:p>
    <w:p w14:paraId="006B04F3">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我方参与（项目名称）【编号：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】政府采购活动，郑重承诺：</w:t>
      </w:r>
    </w:p>
    <w:p w14:paraId="18C620B3">
      <w:pPr>
        <w:snapToGrid w:val="0"/>
        <w:spacing w:line="360" w:lineRule="auto"/>
        <w:ind w:firstLine="360" w:firstLineChars="150"/>
        <w:rPr>
          <w:rFonts w:ascii="仿宋" w:hAnsi="仿宋" w:eastAsia="仿宋" w:cs="仿宋_GB2312"/>
          <w:color w:val="auto"/>
          <w:sz w:val="24"/>
          <w:highlight w:val="none"/>
        </w:rPr>
      </w:pPr>
      <w:r>
        <w:rPr>
          <w:rFonts w:hint="eastAsia" w:ascii="仿宋" w:hAnsi="仿宋" w:eastAsia="仿宋" w:cs="仿宋_GB2312"/>
          <w:color w:val="auto"/>
          <w:sz w:val="24"/>
          <w:highlight w:val="none"/>
        </w:rPr>
        <w:t>（一）具备《中华人民共和国政府采购法》第二十二条第一款规定的条件：</w:t>
      </w:r>
    </w:p>
    <w:p w14:paraId="47CDB3B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1、具有独立承担民事责任的能力；</w:t>
      </w:r>
    </w:p>
    <w:p w14:paraId="56F0A79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xml:space="preserve">2、具有良好的商业信誉和健全的财务会计制度； </w:t>
      </w:r>
    </w:p>
    <w:p w14:paraId="633EA55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3、具有履行合同所必需的场地、设备和专业技术能力；</w:t>
      </w:r>
    </w:p>
    <w:p w14:paraId="08059F2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4、有依法缴纳税收和社会保障资金的良好记录；</w:t>
      </w:r>
    </w:p>
    <w:p w14:paraId="6700070A">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5、参加本次政府采购活动前三年内，在经营活动中没有重大违法记录；</w:t>
      </w:r>
    </w:p>
    <w:p w14:paraId="398B8C8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具有法律、行政法规规定的其他条件。</w:t>
      </w:r>
    </w:p>
    <w:p w14:paraId="27B44D5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（二）未被信用中国（</w:t>
      </w:r>
      <w:r>
        <w:rPr>
          <w:rFonts w:ascii="仿宋" w:hAnsi="仿宋" w:eastAsia="仿宋"/>
          <w:color w:val="auto"/>
          <w:sz w:val="24"/>
          <w:highlight w:val="none"/>
        </w:rPr>
        <w:t>www.creditchina.gov.cn)、中国政府采购网（www.ccgp.gov.cn）列入失信被执行人</w:t>
      </w:r>
      <w:r>
        <w:rPr>
          <w:rFonts w:hint="eastAsia" w:ascii="仿宋" w:hAnsi="仿宋" w:eastAsia="仿宋"/>
          <w:color w:val="auto"/>
          <w:sz w:val="24"/>
          <w:highlight w:val="none"/>
        </w:rPr>
        <w:t>名单</w:t>
      </w:r>
      <w:r>
        <w:rPr>
          <w:rFonts w:ascii="仿宋" w:hAnsi="仿宋" w:eastAsia="仿宋"/>
          <w:color w:val="auto"/>
          <w:sz w:val="24"/>
          <w:highlight w:val="none"/>
        </w:rPr>
        <w:t>、重大税收违法案件当事人名单、政府采购严重违法失信行为记录名单。</w:t>
      </w:r>
    </w:p>
    <w:p w14:paraId="59688BB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（三）不存在以下情况：</w:t>
      </w:r>
    </w:p>
    <w:p w14:paraId="1A73C1A9">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1、</w:t>
      </w:r>
      <w:r>
        <w:rPr>
          <w:rFonts w:ascii="仿宋" w:hAnsi="仿宋" w:eastAsia="仿宋" w:cs="仿宋_GB2312"/>
          <w:color w:val="auto"/>
          <w:sz w:val="24"/>
          <w:highlight w:val="none"/>
        </w:rPr>
        <w:t>单位负责人为同一人或者存在直接控股、管理关系的不同供应商参加同一合同项下的政府采购活动的；</w:t>
      </w:r>
    </w:p>
    <w:p w14:paraId="21795E41">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w:t>
      </w:r>
      <w:r>
        <w:rPr>
          <w:rFonts w:ascii="仿宋" w:hAnsi="仿宋" w:eastAsia="仿宋" w:cs="仿宋_GB2312"/>
          <w:color w:val="auto"/>
          <w:sz w:val="24"/>
          <w:highlight w:val="none"/>
        </w:rPr>
        <w:t>为采购项目提供整体设计、规范编制或者项目管理、监理、检测等服务后再参加该采购项目的其他采购活动的。</w:t>
      </w:r>
    </w:p>
    <w:p w14:paraId="3EB5CC9D">
      <w:pPr>
        <w:snapToGrid w:val="0"/>
        <w:spacing w:line="360" w:lineRule="auto"/>
        <w:ind w:firstLine="5520" w:firstLineChars="230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响应供应商名称</w:t>
      </w:r>
      <w:r>
        <w:rPr>
          <w:rFonts w:ascii="仿宋" w:hAnsi="仿宋" w:eastAsia="仿宋" w:cs="仿宋_GB2312"/>
          <w:color w:val="auto"/>
          <w:kern w:val="0"/>
          <w:sz w:val="24"/>
          <w:highlight w:val="none"/>
          <w:lang w:val="zh-CN"/>
        </w:rPr>
        <w:t>(电子签名)：</w:t>
      </w:r>
    </w:p>
    <w:p w14:paraId="4133C826">
      <w:pPr>
        <w:snapToGrid w:val="0"/>
        <w:spacing w:line="360" w:lineRule="auto"/>
        <w:ind w:firstLine="5400" w:firstLineChars="225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rPr>
        <w:t xml:space="preserve">  年  </w:t>
      </w:r>
      <w:r>
        <w:rPr>
          <w:rFonts w:hint="eastAsia" w:ascii="仿宋" w:hAnsi="仿宋" w:eastAsia="仿宋" w:cs="仿宋_GB2312"/>
          <w:color w:val="auto"/>
          <w:kern w:val="0"/>
          <w:sz w:val="24"/>
          <w:highlight w:val="none"/>
          <w:lang w:val="zh-CN"/>
        </w:rPr>
        <w:t>月   日</w:t>
      </w:r>
    </w:p>
    <w:p w14:paraId="1A287013">
      <w:pPr>
        <w:snapToGrid w:val="0"/>
        <w:spacing w:line="360" w:lineRule="auto"/>
        <w:ind w:right="480"/>
        <w:jc w:val="center"/>
        <w:rPr>
          <w:rFonts w:ascii="仿宋" w:hAnsi="仿宋" w:eastAsia="仿宋" w:cs="仿宋_GB2312"/>
          <w:b/>
          <w:color w:val="auto"/>
          <w:kern w:val="0"/>
          <w:sz w:val="32"/>
          <w:szCs w:val="32"/>
          <w:highlight w:val="none"/>
        </w:rPr>
      </w:pPr>
    </w:p>
    <w:p w14:paraId="6C1B59F5">
      <w:pPr>
        <w:snapToGrid w:val="0"/>
        <w:spacing w:line="360" w:lineRule="auto"/>
        <w:ind w:right="480"/>
        <w:jc w:val="center"/>
        <w:rPr>
          <w:rFonts w:ascii="仿宋" w:hAnsi="仿宋" w:eastAsia="仿宋" w:cs="仿宋_GB2312"/>
          <w:b/>
          <w:color w:val="auto"/>
          <w:kern w:val="0"/>
          <w:sz w:val="32"/>
          <w:szCs w:val="32"/>
          <w:highlight w:val="none"/>
        </w:rPr>
      </w:pPr>
    </w:p>
    <w:p w14:paraId="41981AF4">
      <w:pPr>
        <w:widowControl/>
        <w:spacing w:line="360" w:lineRule="auto"/>
        <w:ind w:firstLine="643" w:firstLineChars="20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65CF4C0D">
      <w:pPr>
        <w:widowControl/>
        <w:spacing w:line="360" w:lineRule="auto"/>
        <w:ind w:firstLine="482" w:firstLineChars="200"/>
        <w:jc w:val="left"/>
        <w:rPr>
          <w:rFonts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[以联合体形式投标的，提供联合协议（附件4）；本项目不接受联合体投标或者供应商不以联合体形式投标的，则不需要提供]</w:t>
      </w:r>
    </w:p>
    <w:p w14:paraId="2C9346DF">
      <w:pPr>
        <w:rPr>
          <w:color w:val="auto"/>
          <w:highlight w:val="none"/>
        </w:rPr>
      </w:pPr>
    </w:p>
    <w:p w14:paraId="6096A897">
      <w:pPr>
        <w:snapToGrid w:val="0"/>
        <w:spacing w:line="360" w:lineRule="auto"/>
        <w:ind w:right="480"/>
        <w:rPr>
          <w:rFonts w:ascii="仿宋" w:hAnsi="仿宋" w:eastAsia="仿宋" w:cs="仿宋_GB2312"/>
          <w:b/>
          <w:color w:val="auto"/>
          <w:kern w:val="0"/>
          <w:sz w:val="32"/>
          <w:szCs w:val="32"/>
          <w:highlight w:val="none"/>
        </w:rPr>
      </w:pPr>
    </w:p>
    <w:p w14:paraId="1CC55114">
      <w:pP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br w:type="page"/>
      </w:r>
    </w:p>
    <w:p w14:paraId="42D6DB42">
      <w:pPr>
        <w:snapToGrid w:val="0"/>
        <w:spacing w:line="360" w:lineRule="auto"/>
        <w:ind w:right="48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三、落实政府采购政策需满足的资格要求</w:t>
      </w:r>
    </w:p>
    <w:p w14:paraId="6B75E9BD">
      <w:pPr>
        <w:spacing w:line="360" w:lineRule="auto"/>
        <w:rPr>
          <w:rFonts w:ascii="仿宋" w:hAnsi="仿宋" w:eastAsia="仿宋"/>
          <w:color w:val="auto"/>
          <w:sz w:val="24"/>
          <w:highlight w:val="none"/>
        </w:rPr>
      </w:pPr>
      <w:r>
        <w:rPr>
          <w:rFonts w:hint="eastAsia" w:ascii="仿宋" w:hAnsi="仿宋" w:eastAsia="仿宋" w:cs="仿宋_GB2312"/>
          <w:color w:val="auto"/>
          <w:sz w:val="24"/>
          <w:highlight w:val="none"/>
        </w:rPr>
        <w:t>（根据征集公告</w:t>
      </w:r>
      <w:r>
        <w:rPr>
          <w:rFonts w:hint="eastAsia" w:ascii="仿宋" w:hAnsi="仿宋" w:eastAsia="仿宋"/>
          <w:color w:val="auto"/>
          <w:sz w:val="24"/>
          <w:highlight w:val="none"/>
        </w:rPr>
        <w:t>落实政府采购政策需满足的资格要求选择提供相应的材料；未要求的，无需提供</w:t>
      </w:r>
      <w:r>
        <w:rPr>
          <w:rFonts w:hint="eastAsia" w:ascii="仿宋" w:hAnsi="仿宋" w:eastAsia="仿宋" w:cs="仿宋_GB2312"/>
          <w:color w:val="auto"/>
          <w:sz w:val="24"/>
          <w:highlight w:val="none"/>
        </w:rPr>
        <w:t>）</w:t>
      </w:r>
    </w:p>
    <w:p w14:paraId="33928704">
      <w:pPr>
        <w:snapToGrid w:val="0"/>
        <w:spacing w:before="50" w:after="50" w:line="360" w:lineRule="auto"/>
        <w:ind w:firstLine="472" w:firstLineChars="196"/>
        <w:jc w:val="left"/>
        <w:rPr>
          <w:rFonts w:ascii="仿宋" w:hAnsi="仿宋" w:eastAsia="仿宋" w:cs="仿宋_GB2312"/>
          <w:color w:val="auto"/>
          <w:sz w:val="24"/>
          <w:highlight w:val="none"/>
        </w:rPr>
      </w:pPr>
      <w:r>
        <w:rPr>
          <w:rFonts w:ascii="仿宋" w:hAnsi="仿宋" w:eastAsia="仿宋" w:cs="仿宋_GB2312"/>
          <w:b/>
          <w:color w:val="auto"/>
          <w:sz w:val="24"/>
          <w:highlight w:val="none"/>
        </w:rPr>
        <w:t>A</w:t>
      </w:r>
      <w:r>
        <w:rPr>
          <w:rFonts w:ascii="仿宋" w:hAnsi="仿宋" w:eastAsia="仿宋" w:cs="仿宋_GB2312"/>
          <w:color w:val="auto"/>
          <w:sz w:val="24"/>
          <w:highlight w:val="none"/>
        </w:rPr>
        <w:t>.</w:t>
      </w:r>
      <w:r>
        <w:rPr>
          <w:rFonts w:hint="eastAsia" w:ascii="仿宋" w:hAnsi="仿宋" w:eastAsia="仿宋" w:cs="仿宋_GB2312"/>
          <w:color w:val="auto"/>
          <w:sz w:val="24"/>
          <w:highlight w:val="none"/>
        </w:rPr>
        <w:t>专门面向中小企业，</w:t>
      </w:r>
      <w:r>
        <w:rPr>
          <w:rFonts w:hint="eastAsia" w:ascii="仿宋" w:hAnsi="仿宋" w:eastAsia="仿宋" w:cs="仿宋_GB2312"/>
          <w:color w:val="auto"/>
          <w:sz w:val="24"/>
          <w:highlight w:val="none"/>
          <w:lang w:val="en-US" w:eastAsia="zh-CN"/>
        </w:rPr>
        <w:t>服务</w:t>
      </w:r>
      <w:r>
        <w:rPr>
          <w:rFonts w:hint="eastAsia" w:ascii="仿宋" w:hAnsi="仿宋" w:eastAsia="仿宋" w:cs="仿宋_GB2312"/>
          <w:color w:val="auto"/>
          <w:sz w:val="24"/>
          <w:highlight w:val="none"/>
        </w:rPr>
        <w:t>全部由符合政策要求的中小企业（或小微企业）制造或者服务全部由符合政策要求的中小企业（或小微企业）承接的，提供相应的中小企业声明函（附件6）。</w:t>
      </w:r>
    </w:p>
    <w:p w14:paraId="10DD7782">
      <w:pPr>
        <w:widowControl/>
        <w:spacing w:line="360" w:lineRule="auto"/>
        <w:ind w:firstLine="480"/>
        <w:jc w:val="left"/>
        <w:rPr>
          <w:rFonts w:ascii="仿宋" w:hAnsi="仿宋" w:eastAsia="仿宋"/>
          <w:color w:val="auto"/>
          <w:sz w:val="24"/>
          <w:highlight w:val="none"/>
        </w:rPr>
      </w:pPr>
    </w:p>
    <w:p w14:paraId="45599257">
      <w:pPr>
        <w:widowControl/>
        <w:spacing w:line="360" w:lineRule="auto"/>
        <w:ind w:firstLine="472" w:firstLineChars="196"/>
        <w:jc w:val="left"/>
        <w:rPr>
          <w:rFonts w:ascii="仿宋" w:hAnsi="仿宋" w:eastAsia="仿宋" w:cs="仿宋_GB2312"/>
          <w:color w:val="auto"/>
          <w:sz w:val="24"/>
          <w:highlight w:val="none"/>
        </w:rPr>
      </w:pPr>
      <w:r>
        <w:rPr>
          <w:rFonts w:ascii="仿宋" w:hAnsi="仿宋" w:eastAsia="仿宋" w:cs="仿宋_GB2312"/>
          <w:b/>
          <w:color w:val="auto"/>
          <w:sz w:val="24"/>
          <w:highlight w:val="none"/>
        </w:rPr>
        <w:t>B.</w:t>
      </w:r>
      <w:r>
        <w:rPr>
          <w:rFonts w:hint="eastAsia" w:ascii="仿宋" w:hAnsi="仿宋" w:eastAsia="仿宋" w:cs="仿宋_GB2312"/>
          <w:color w:val="auto"/>
          <w:sz w:val="24"/>
          <w:highlight w:val="none"/>
        </w:rPr>
        <w:t>要求以联合体形式参加的，提供联合协议（附件4）和中小企业声明函（附件6），联合协议中中小企业合同金额应当达到征集公告载明的比例；如果供应商本身提供所有标的均由中小企业制造或承接的，视同符合了资格条件，无需再与其他中小企业组成联合体参加政府采购活动，无需提供联合协议</w:t>
      </w:r>
    </w:p>
    <w:p w14:paraId="0D31C23D">
      <w:pPr>
        <w:widowControl/>
        <w:spacing w:line="360" w:lineRule="auto"/>
        <w:ind w:firstLine="472" w:firstLineChars="196"/>
        <w:jc w:val="left"/>
        <w:rPr>
          <w:rFonts w:ascii="仿宋" w:hAnsi="仿宋" w:eastAsia="仿宋" w:cs="仿宋_GB2312"/>
          <w:b/>
          <w:color w:val="auto"/>
          <w:sz w:val="24"/>
          <w:highlight w:val="none"/>
        </w:rPr>
      </w:pPr>
    </w:p>
    <w:p w14:paraId="54B968AE">
      <w:pPr>
        <w:widowControl/>
        <w:spacing w:line="360" w:lineRule="auto"/>
        <w:ind w:firstLine="472" w:firstLineChars="196"/>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C、</w:t>
      </w:r>
      <w:r>
        <w:rPr>
          <w:rFonts w:hint="eastAsia" w:ascii="仿宋" w:hAnsi="仿宋" w:eastAsia="仿宋" w:cs="仿宋_GB2312"/>
          <w:color w:val="auto"/>
          <w:sz w:val="24"/>
          <w:highlight w:val="none"/>
        </w:rPr>
        <w:t>要求合同分包的，提供分包意向协议（附件5）和中小企业声明函（附件6），分包意向协议中中小企业合同金额应当达到征集公告载明的比例；如果供应商本身提供所有标的均由中小企业制造的，视同符合了资格条件，无需再向中小企业分包，无需提供分包意向协议。</w:t>
      </w:r>
    </w:p>
    <w:p w14:paraId="2C70B354">
      <w:pPr>
        <w:rPr>
          <w:color w:val="auto"/>
          <w:highlight w:val="none"/>
        </w:rPr>
      </w:pPr>
    </w:p>
    <w:p w14:paraId="2483BA30">
      <w:pPr>
        <w:snapToGrid w:val="0"/>
        <w:spacing w:before="50" w:after="50" w:line="360" w:lineRule="auto"/>
        <w:jc w:val="center"/>
        <w:rPr>
          <w:rFonts w:ascii="仿宋" w:hAnsi="仿宋" w:eastAsia="仿宋" w:cs="仿宋_GB2312"/>
          <w:b/>
          <w:color w:val="auto"/>
          <w:kern w:val="0"/>
          <w:sz w:val="32"/>
          <w:szCs w:val="32"/>
          <w:highlight w:val="none"/>
          <w:lang w:val="zh-CN"/>
        </w:rPr>
      </w:pPr>
    </w:p>
    <w:p w14:paraId="25CBE5CD">
      <w:pPr>
        <w:widowControl/>
        <w:spacing w:line="360" w:lineRule="auto"/>
        <w:ind w:left="150"/>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四、本项目的特定资格要求</w:t>
      </w:r>
    </w:p>
    <w:p w14:paraId="0668C803">
      <w:pPr>
        <w:spacing w:line="360" w:lineRule="auto"/>
        <w:jc w:val="center"/>
        <w:rPr>
          <w:rFonts w:ascii="仿宋" w:hAnsi="仿宋" w:eastAsia="仿宋"/>
          <w:color w:val="auto"/>
          <w:sz w:val="24"/>
          <w:highlight w:val="none"/>
        </w:rPr>
      </w:pPr>
      <w:r>
        <w:rPr>
          <w:rFonts w:hint="eastAsia" w:ascii="仿宋" w:hAnsi="仿宋" w:eastAsia="仿宋" w:cs="仿宋_GB2312"/>
          <w:color w:val="auto"/>
          <w:sz w:val="24"/>
          <w:highlight w:val="none"/>
        </w:rPr>
        <w:t>（根据征集公告本项目的特定资格要求</w:t>
      </w:r>
      <w:r>
        <w:rPr>
          <w:rFonts w:hint="eastAsia" w:ascii="仿宋" w:hAnsi="仿宋" w:eastAsia="仿宋"/>
          <w:color w:val="auto"/>
          <w:sz w:val="24"/>
          <w:highlight w:val="none"/>
        </w:rPr>
        <w:t>提供相应的材料；未要求的，无需提供</w:t>
      </w:r>
      <w:r>
        <w:rPr>
          <w:rFonts w:hint="eastAsia" w:ascii="仿宋" w:hAnsi="仿宋" w:eastAsia="仿宋" w:cs="仿宋_GB2312"/>
          <w:color w:val="auto"/>
          <w:sz w:val="24"/>
          <w:highlight w:val="none"/>
        </w:rPr>
        <w:t>）</w:t>
      </w:r>
    </w:p>
    <w:p w14:paraId="48E21791">
      <w:pPr>
        <w:snapToGrid w:val="0"/>
        <w:spacing w:line="360" w:lineRule="auto"/>
        <w:rPr>
          <w:rFonts w:ascii="仿宋" w:hAnsi="仿宋" w:eastAsia="仿宋"/>
          <w:b/>
          <w:color w:val="auto"/>
          <w:sz w:val="36"/>
          <w:szCs w:val="20"/>
          <w:highlight w:val="none"/>
        </w:rPr>
      </w:pPr>
    </w:p>
    <w:p w14:paraId="64EF3AE5">
      <w:pPr>
        <w:snapToGrid w:val="0"/>
        <w:spacing w:line="360" w:lineRule="auto"/>
        <w:rPr>
          <w:rFonts w:ascii="仿宋" w:hAnsi="仿宋" w:eastAsia="仿宋"/>
          <w:b/>
          <w:color w:val="auto"/>
          <w:sz w:val="36"/>
          <w:szCs w:val="20"/>
          <w:highlight w:val="none"/>
        </w:rPr>
      </w:pPr>
    </w:p>
    <w:p w14:paraId="65B87C0D">
      <w:pPr>
        <w:snapToGrid w:val="0"/>
        <w:spacing w:line="360" w:lineRule="auto"/>
        <w:rPr>
          <w:rFonts w:ascii="仿宋" w:hAnsi="仿宋" w:eastAsia="仿宋"/>
          <w:b/>
          <w:color w:val="auto"/>
          <w:sz w:val="36"/>
          <w:szCs w:val="20"/>
          <w:highlight w:val="none"/>
        </w:rPr>
      </w:pPr>
    </w:p>
    <w:p w14:paraId="76F772C1">
      <w:pPr>
        <w:snapToGrid w:val="0"/>
        <w:spacing w:line="360" w:lineRule="auto"/>
        <w:rPr>
          <w:rFonts w:ascii="仿宋" w:hAnsi="仿宋" w:eastAsia="仿宋"/>
          <w:b/>
          <w:color w:val="auto"/>
          <w:sz w:val="36"/>
          <w:szCs w:val="20"/>
          <w:highlight w:val="none"/>
        </w:rPr>
      </w:pPr>
    </w:p>
    <w:p w14:paraId="074C6719">
      <w:pPr>
        <w:snapToGrid w:val="0"/>
        <w:spacing w:line="360" w:lineRule="auto"/>
        <w:rPr>
          <w:rFonts w:ascii="仿宋" w:hAnsi="仿宋" w:eastAsia="仿宋"/>
          <w:b/>
          <w:color w:val="auto"/>
          <w:sz w:val="36"/>
          <w:szCs w:val="20"/>
          <w:highlight w:val="none"/>
        </w:rPr>
      </w:pPr>
    </w:p>
    <w:p w14:paraId="5DA7EB86">
      <w:pPr>
        <w:spacing w:line="360" w:lineRule="auto"/>
        <w:ind w:right="420" w:firstLine="3054" w:firstLineChars="845"/>
        <w:rPr>
          <w:rFonts w:ascii="仿宋" w:hAnsi="仿宋" w:eastAsia="仿宋" w:cs="仿宋_GB2312"/>
          <w:b/>
          <w:color w:val="auto"/>
          <w:kern w:val="0"/>
          <w:sz w:val="36"/>
          <w:szCs w:val="36"/>
          <w:highlight w:val="none"/>
        </w:rPr>
      </w:pPr>
    </w:p>
    <w:p w14:paraId="148A5528">
      <w:pPr>
        <w:spacing w:line="360" w:lineRule="auto"/>
        <w:ind w:right="420" w:firstLine="3054" w:firstLineChars="845"/>
        <w:rPr>
          <w:rFonts w:ascii="仿宋" w:hAnsi="仿宋" w:eastAsia="仿宋" w:cs="仿宋_GB2312"/>
          <w:b/>
          <w:color w:val="auto"/>
          <w:kern w:val="0"/>
          <w:sz w:val="36"/>
          <w:szCs w:val="36"/>
          <w:highlight w:val="none"/>
        </w:rPr>
      </w:pPr>
    </w:p>
    <w:p w14:paraId="6CE0719C">
      <w:pPr>
        <w:spacing w:line="360" w:lineRule="auto"/>
        <w:ind w:right="420"/>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商务技术文件部分</w:t>
      </w:r>
    </w:p>
    <w:p w14:paraId="5744DD4E">
      <w:pPr>
        <w:spacing w:line="360" w:lineRule="auto"/>
        <w:jc w:val="center"/>
        <w:outlineLvl w:val="0"/>
        <w:rPr>
          <w:rFonts w:ascii="仿宋" w:hAnsi="仿宋" w:eastAsia="仿宋" w:cs="仿宋_GB2312"/>
          <w:b/>
          <w:color w:val="auto"/>
          <w:kern w:val="0"/>
          <w:sz w:val="24"/>
          <w:highlight w:val="none"/>
        </w:rPr>
      </w:pPr>
    </w:p>
    <w:p w14:paraId="76064354">
      <w:pPr>
        <w:spacing w:line="360" w:lineRule="auto"/>
        <w:jc w:val="center"/>
        <w:outlineLvl w:val="0"/>
        <w:rPr>
          <w:rFonts w:ascii="仿宋" w:hAnsi="仿宋" w:eastAsia="仿宋" w:cs="仿宋_GB2312"/>
          <w:b/>
          <w:color w:val="auto"/>
          <w:kern w:val="0"/>
          <w:sz w:val="28"/>
          <w:szCs w:val="28"/>
          <w:highlight w:val="none"/>
        </w:rPr>
      </w:pPr>
      <w:r>
        <w:rPr>
          <w:rFonts w:hint="eastAsia" w:ascii="仿宋" w:hAnsi="仿宋" w:eastAsia="仿宋" w:cs="仿宋_GB2312"/>
          <w:b/>
          <w:color w:val="auto"/>
          <w:kern w:val="0"/>
          <w:sz w:val="28"/>
          <w:szCs w:val="28"/>
          <w:highlight w:val="none"/>
        </w:rPr>
        <w:t>目录</w:t>
      </w:r>
    </w:p>
    <w:p w14:paraId="3228FE19">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1）投标函</w:t>
      </w:r>
      <w:r>
        <w:rPr>
          <w:rFonts w:hint="eastAsia" w:ascii="仿宋" w:hAnsi="仿宋" w:eastAsia="仿宋" w:cs="仿宋_GB2312"/>
          <w:color w:val="auto"/>
          <w:highlight w:val="none"/>
        </w:rPr>
        <w:t>…………………………………………………………………………………（页码）</w:t>
      </w: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2）授权委托书或法定代表人（单位负责人、自然人本人）身份证明</w:t>
      </w:r>
      <w:r>
        <w:rPr>
          <w:rFonts w:hint="eastAsia" w:ascii="仿宋" w:hAnsi="仿宋" w:eastAsia="仿宋" w:cs="仿宋_GB2312"/>
          <w:color w:val="auto"/>
          <w:highlight w:val="none"/>
        </w:rPr>
        <w:t>………（页码）</w:t>
      </w:r>
    </w:p>
    <w:p w14:paraId="5D9E647C">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）分包意向协议</w:t>
      </w:r>
      <w:r>
        <w:rPr>
          <w:rFonts w:hint="eastAsia" w:ascii="仿宋" w:hAnsi="仿宋" w:eastAsia="仿宋" w:cs="仿宋_GB2312"/>
          <w:color w:val="auto"/>
          <w:highlight w:val="none"/>
        </w:rPr>
        <w:t>…………………………………………………………………………（页码）</w:t>
      </w:r>
    </w:p>
    <w:p w14:paraId="253F86F8">
      <w:pPr>
        <w:snapToGrid w:val="0"/>
        <w:spacing w:line="360" w:lineRule="auto"/>
        <w:ind w:firstLine="480" w:firstLineChars="200"/>
        <w:rPr>
          <w:rFonts w:ascii="仿宋" w:hAnsi="仿宋" w:eastAsia="仿宋" w:cs="仿宋_GB2312"/>
          <w:color w:val="auto"/>
          <w:highlight w:val="none"/>
        </w:rPr>
      </w:pP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）符合性审查资料</w:t>
      </w:r>
      <w:r>
        <w:rPr>
          <w:rFonts w:hint="eastAsia" w:ascii="仿宋" w:hAnsi="仿宋" w:eastAsia="仿宋" w:cs="仿宋_GB2312"/>
          <w:color w:val="auto"/>
          <w:highlight w:val="none"/>
        </w:rPr>
        <w:t>………………………………………………………………………（页码）</w:t>
      </w:r>
    </w:p>
    <w:p w14:paraId="591DBB0C">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）评标标准相应的商务技术资料</w:t>
      </w:r>
      <w:r>
        <w:rPr>
          <w:rFonts w:hint="eastAsia" w:ascii="仿宋" w:hAnsi="仿宋" w:eastAsia="仿宋" w:cs="仿宋_GB2312"/>
          <w:color w:val="auto"/>
          <w:highlight w:val="none"/>
        </w:rPr>
        <w:t>……………………………………………………（页码）</w:t>
      </w:r>
    </w:p>
    <w:p w14:paraId="12A4A61F">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）投标标的清单………………………………………………………………（页码）</w:t>
      </w:r>
    </w:p>
    <w:p w14:paraId="3C1F3DDB">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rPr>
        <w:t>（</w:t>
      </w:r>
      <w:r>
        <w:rPr>
          <w:rFonts w:ascii="仿宋" w:hAnsi="仿宋" w:eastAsia="仿宋" w:cs="仿宋_GB2312"/>
          <w:color w:val="auto"/>
          <w:sz w:val="24"/>
          <w:highlight w:val="none"/>
        </w:rPr>
        <w:t>7）商务技术偏离表</w:t>
      </w:r>
      <w:r>
        <w:rPr>
          <w:rFonts w:hint="eastAsia" w:ascii="仿宋" w:hAnsi="仿宋" w:eastAsia="仿宋" w:cs="仿宋_GB2312"/>
          <w:color w:val="auto"/>
          <w:highlight w:val="none"/>
        </w:rPr>
        <w:t>………………………………………………………………………（页码）</w:t>
      </w:r>
    </w:p>
    <w:p w14:paraId="7B0D1404">
      <w:pPr>
        <w:snapToGrid w:val="0"/>
        <w:spacing w:line="360" w:lineRule="auto"/>
        <w:ind w:left="479" w:leftChars="228"/>
        <w:rPr>
          <w:rFonts w:ascii="仿宋" w:hAnsi="仿宋" w:eastAsia="仿宋" w:cs="仿宋_GB2312"/>
          <w:color w:val="auto"/>
          <w:highlight w:val="none"/>
        </w:rPr>
      </w:pPr>
      <w:r>
        <w:rPr>
          <w:rFonts w:hint="eastAsia"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r>
        <w:rPr>
          <w:rFonts w:hint="eastAsia" w:ascii="仿宋" w:hAnsi="仿宋" w:eastAsia="仿宋" w:cs="仿宋_GB2312"/>
          <w:color w:val="auto"/>
          <w:highlight w:val="none"/>
        </w:rPr>
        <w:t>…………………………………………………（页码）</w:t>
      </w:r>
    </w:p>
    <w:p w14:paraId="1430F032">
      <w:pPr>
        <w:snapToGrid w:val="0"/>
        <w:spacing w:line="360" w:lineRule="auto"/>
        <w:jc w:val="center"/>
        <w:rPr>
          <w:rFonts w:ascii="仿宋" w:hAnsi="仿宋" w:eastAsia="仿宋" w:cs="仿宋_GB2312"/>
          <w:b/>
          <w:color w:val="auto"/>
          <w:kern w:val="0"/>
          <w:sz w:val="32"/>
          <w:szCs w:val="32"/>
          <w:highlight w:val="none"/>
          <w:lang w:val="zh-CN"/>
        </w:rPr>
      </w:pPr>
    </w:p>
    <w:p w14:paraId="4B9AE959">
      <w:pPr>
        <w:snapToGrid w:val="0"/>
        <w:spacing w:line="360" w:lineRule="auto"/>
        <w:jc w:val="center"/>
        <w:rPr>
          <w:rFonts w:ascii="仿宋" w:hAnsi="仿宋" w:eastAsia="仿宋" w:cs="仿宋_GB2312"/>
          <w:b/>
          <w:color w:val="auto"/>
          <w:kern w:val="0"/>
          <w:sz w:val="32"/>
          <w:szCs w:val="32"/>
          <w:highlight w:val="none"/>
          <w:lang w:val="zh-CN"/>
        </w:rPr>
      </w:pPr>
    </w:p>
    <w:p w14:paraId="63E271C0">
      <w:pPr>
        <w:snapToGrid w:val="0"/>
        <w:spacing w:line="360" w:lineRule="auto"/>
        <w:jc w:val="center"/>
        <w:rPr>
          <w:rFonts w:ascii="仿宋" w:hAnsi="仿宋" w:eastAsia="仿宋" w:cs="仿宋_GB2312"/>
          <w:b/>
          <w:color w:val="auto"/>
          <w:kern w:val="0"/>
          <w:sz w:val="32"/>
          <w:szCs w:val="32"/>
          <w:highlight w:val="none"/>
          <w:lang w:val="zh-CN"/>
        </w:rPr>
      </w:pPr>
    </w:p>
    <w:p w14:paraId="5A7E1F31">
      <w:pPr>
        <w:snapToGrid w:val="0"/>
        <w:spacing w:line="360" w:lineRule="auto"/>
        <w:jc w:val="center"/>
        <w:rPr>
          <w:rFonts w:ascii="仿宋" w:hAnsi="仿宋" w:eastAsia="仿宋" w:cs="仿宋_GB2312"/>
          <w:b/>
          <w:color w:val="auto"/>
          <w:kern w:val="0"/>
          <w:sz w:val="32"/>
          <w:szCs w:val="32"/>
          <w:highlight w:val="none"/>
          <w:lang w:val="zh-CN"/>
        </w:rPr>
      </w:pPr>
    </w:p>
    <w:p w14:paraId="4600197A">
      <w:pPr>
        <w:snapToGrid w:val="0"/>
        <w:spacing w:line="360" w:lineRule="auto"/>
        <w:jc w:val="center"/>
        <w:rPr>
          <w:rFonts w:ascii="仿宋" w:hAnsi="仿宋" w:eastAsia="仿宋" w:cs="仿宋_GB2312"/>
          <w:b/>
          <w:color w:val="auto"/>
          <w:kern w:val="0"/>
          <w:sz w:val="32"/>
          <w:szCs w:val="32"/>
          <w:highlight w:val="none"/>
          <w:lang w:val="zh-CN"/>
        </w:rPr>
      </w:pPr>
    </w:p>
    <w:p w14:paraId="7761D8F6">
      <w:pPr>
        <w:snapToGrid w:val="0"/>
        <w:spacing w:line="360" w:lineRule="auto"/>
        <w:jc w:val="center"/>
        <w:outlineLvl w:val="0"/>
        <w:rPr>
          <w:rFonts w:ascii="仿宋" w:hAnsi="仿宋" w:eastAsia="仿宋" w:cs="仿宋_GB2312"/>
          <w:b/>
          <w:color w:val="auto"/>
          <w:kern w:val="0"/>
          <w:sz w:val="32"/>
          <w:szCs w:val="32"/>
          <w:highlight w:val="none"/>
        </w:rPr>
      </w:pPr>
    </w:p>
    <w:p w14:paraId="2E93BC29">
      <w:pPr>
        <w:snapToGrid w:val="0"/>
        <w:spacing w:line="360" w:lineRule="auto"/>
        <w:jc w:val="center"/>
        <w:outlineLvl w:val="0"/>
        <w:rPr>
          <w:rFonts w:ascii="仿宋" w:hAnsi="仿宋" w:eastAsia="仿宋" w:cs="仿宋_GB2312"/>
          <w:b/>
          <w:color w:val="auto"/>
          <w:kern w:val="0"/>
          <w:sz w:val="32"/>
          <w:szCs w:val="32"/>
          <w:highlight w:val="none"/>
        </w:rPr>
      </w:pPr>
    </w:p>
    <w:p w14:paraId="11EAC266">
      <w:pPr>
        <w:rPr>
          <w:rFonts w:ascii="仿宋" w:hAnsi="仿宋" w:eastAsia="仿宋"/>
          <w:color w:val="auto"/>
          <w:highlight w:val="none"/>
        </w:rPr>
      </w:pPr>
    </w:p>
    <w:p w14:paraId="2668FCA7">
      <w:pPr>
        <w:snapToGrid w:val="0"/>
        <w:spacing w:line="360" w:lineRule="auto"/>
        <w:jc w:val="center"/>
        <w:outlineLvl w:val="0"/>
        <w:rPr>
          <w:rFonts w:ascii="仿宋" w:hAnsi="仿宋" w:eastAsia="仿宋" w:cs="仿宋_GB2312"/>
          <w:b/>
          <w:color w:val="auto"/>
          <w:kern w:val="0"/>
          <w:sz w:val="32"/>
          <w:szCs w:val="32"/>
          <w:highlight w:val="none"/>
        </w:rPr>
      </w:pPr>
    </w:p>
    <w:p w14:paraId="0E536844">
      <w:pPr>
        <w:snapToGrid w:val="0"/>
        <w:spacing w:line="360" w:lineRule="auto"/>
        <w:jc w:val="center"/>
        <w:outlineLvl w:val="0"/>
        <w:rPr>
          <w:rFonts w:ascii="仿宋" w:hAnsi="仿宋" w:eastAsia="仿宋" w:cs="仿宋_GB2312"/>
          <w:b/>
          <w:color w:val="auto"/>
          <w:kern w:val="0"/>
          <w:sz w:val="32"/>
          <w:szCs w:val="32"/>
          <w:highlight w:val="none"/>
        </w:rPr>
      </w:pPr>
    </w:p>
    <w:p w14:paraId="3F416AC0">
      <w:pPr>
        <w:snapToGrid w:val="0"/>
        <w:spacing w:line="360" w:lineRule="auto"/>
        <w:jc w:val="center"/>
        <w:outlineLvl w:val="0"/>
        <w:rPr>
          <w:rFonts w:ascii="仿宋" w:hAnsi="仿宋" w:eastAsia="仿宋" w:cs="仿宋_GB2312"/>
          <w:b/>
          <w:color w:val="auto"/>
          <w:kern w:val="0"/>
          <w:sz w:val="32"/>
          <w:szCs w:val="32"/>
          <w:highlight w:val="none"/>
        </w:rPr>
      </w:pPr>
    </w:p>
    <w:p w14:paraId="76CD4A0B">
      <w:pPr>
        <w:snapToGrid w:val="0"/>
        <w:spacing w:line="360" w:lineRule="auto"/>
        <w:jc w:val="center"/>
        <w:outlineLvl w:val="0"/>
        <w:rPr>
          <w:rFonts w:ascii="仿宋" w:hAnsi="仿宋" w:eastAsia="仿宋" w:cs="仿宋_GB2312"/>
          <w:b/>
          <w:color w:val="auto"/>
          <w:kern w:val="0"/>
          <w:sz w:val="32"/>
          <w:szCs w:val="32"/>
          <w:highlight w:val="none"/>
        </w:rPr>
      </w:pPr>
    </w:p>
    <w:p w14:paraId="0005955C">
      <w:pPr>
        <w:snapToGrid w:val="0"/>
        <w:spacing w:line="360" w:lineRule="auto"/>
        <w:jc w:val="center"/>
        <w:outlineLvl w:val="0"/>
        <w:rPr>
          <w:rFonts w:ascii="仿宋" w:hAnsi="仿宋" w:eastAsia="仿宋" w:cs="仿宋_GB2312"/>
          <w:b/>
          <w:color w:val="auto"/>
          <w:kern w:val="0"/>
          <w:sz w:val="32"/>
          <w:szCs w:val="32"/>
          <w:highlight w:val="none"/>
        </w:rPr>
      </w:pPr>
    </w:p>
    <w:p w14:paraId="149404AC">
      <w:pPr>
        <w:snapToGrid w:val="0"/>
        <w:spacing w:line="360" w:lineRule="auto"/>
        <w:jc w:val="center"/>
        <w:outlineLvl w:val="0"/>
        <w:rPr>
          <w:rFonts w:hint="eastAsia" w:ascii="仿宋" w:hAnsi="仿宋" w:eastAsia="仿宋" w:cs="仿宋_GB2312"/>
          <w:b/>
          <w:color w:val="auto"/>
          <w:kern w:val="0"/>
          <w:sz w:val="32"/>
          <w:szCs w:val="32"/>
          <w:highlight w:val="none"/>
        </w:rPr>
      </w:pPr>
    </w:p>
    <w:p w14:paraId="3F15D868">
      <w:pPr>
        <w:snapToGrid w:val="0"/>
        <w:spacing w:line="360" w:lineRule="auto"/>
        <w:jc w:val="center"/>
        <w:outlineLvl w:val="0"/>
        <w:rPr>
          <w:rFonts w:ascii="仿宋" w:hAnsi="仿宋" w:eastAsia="仿宋" w:cs="仿宋_GB2312"/>
          <w:b/>
          <w:color w:val="auto"/>
          <w:sz w:val="32"/>
          <w:szCs w:val="32"/>
          <w:highlight w:val="none"/>
        </w:rPr>
      </w:pPr>
      <w:r>
        <w:rPr>
          <w:rFonts w:hint="eastAsia" w:ascii="仿宋" w:hAnsi="仿宋" w:eastAsia="仿宋" w:cs="仿宋_GB2312"/>
          <w:b/>
          <w:color w:val="auto"/>
          <w:kern w:val="0"/>
          <w:sz w:val="32"/>
          <w:szCs w:val="32"/>
          <w:highlight w:val="none"/>
        </w:rPr>
        <w:t>一、投标</w:t>
      </w:r>
      <w:r>
        <w:rPr>
          <w:rFonts w:hint="eastAsia" w:ascii="仿宋" w:hAnsi="仿宋" w:eastAsia="仿宋" w:cs="仿宋_GB2312"/>
          <w:b/>
          <w:color w:val="auto"/>
          <w:sz w:val="32"/>
          <w:szCs w:val="32"/>
          <w:highlight w:val="none"/>
        </w:rPr>
        <w:t>函</w:t>
      </w:r>
    </w:p>
    <w:p w14:paraId="25C7FC10">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（征集人）、（采购代理机构）：</w:t>
      </w:r>
    </w:p>
    <w:p w14:paraId="50307F22">
      <w:pPr>
        <w:snapToGrid w:val="0"/>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我方参加你方组织的（项目名称）【编号：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】征集的有关活动，并对此项目进行投标。为此：</w:t>
      </w:r>
    </w:p>
    <w:p w14:paraId="7B213E8B">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1、我方承诺投标有效期从提交响应文件的截止之日起</w:t>
      </w:r>
      <w:r>
        <w:rPr>
          <w:rFonts w:hint="eastAsia" w:ascii="仿宋" w:hAnsi="仿宋" w:eastAsia="仿宋" w:cs="仿宋_GB2312"/>
          <w:color w:val="auto"/>
          <w:sz w:val="24"/>
          <w:highlight w:val="none"/>
          <w:u w:val="single"/>
        </w:rPr>
        <w:t xml:space="preserve">    </w:t>
      </w:r>
      <w:r>
        <w:rPr>
          <w:rFonts w:hint="eastAsia" w:ascii="仿宋" w:hAnsi="仿宋" w:eastAsia="仿宋" w:cs="仿宋_GB2312"/>
          <w:color w:val="auto"/>
          <w:sz w:val="24"/>
          <w:highlight w:val="none"/>
        </w:rPr>
        <w:t>天（不少于</w:t>
      </w:r>
      <w:r>
        <w:rPr>
          <w:rFonts w:ascii="仿宋" w:hAnsi="仿宋" w:eastAsia="仿宋" w:cs="仿宋_GB2312"/>
          <w:color w:val="auto"/>
          <w:sz w:val="24"/>
          <w:highlight w:val="none"/>
        </w:rPr>
        <w:t>90天）</w:t>
      </w:r>
      <w:r>
        <w:rPr>
          <w:rFonts w:hint="eastAsia" w:ascii="仿宋" w:hAnsi="仿宋" w:eastAsia="仿宋"/>
          <w:color w:val="auto"/>
          <w:highlight w:val="none"/>
        </w:rPr>
        <w:t>，</w:t>
      </w:r>
      <w:r>
        <w:rPr>
          <w:rFonts w:hint="eastAsia" w:ascii="仿宋" w:hAnsi="仿宋" w:eastAsia="仿宋" w:cs="仿宋_GB2312"/>
          <w:color w:val="auto"/>
          <w:sz w:val="24"/>
          <w:highlight w:val="none"/>
        </w:rPr>
        <w:t>本响应文件在投标有效期满之前均具有约束力。</w:t>
      </w:r>
    </w:p>
    <w:p w14:paraId="64A2DE08">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2、我方的响应文件包括以下内容：</w:t>
      </w:r>
    </w:p>
    <w:p w14:paraId="5C255975">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2.1资格文件：</w:t>
      </w:r>
    </w:p>
    <w:p w14:paraId="09D40BB9">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2.1.1</w:t>
      </w:r>
      <w:r>
        <w:rPr>
          <w:rFonts w:hint="eastAsia" w:ascii="仿宋" w:hAnsi="仿宋" w:eastAsia="仿宋" w:cs="仿宋_GB2312"/>
          <w:color w:val="auto"/>
          <w:sz w:val="24"/>
          <w:highlight w:val="none"/>
        </w:rPr>
        <w:t>承诺函；</w:t>
      </w:r>
    </w:p>
    <w:p w14:paraId="1CB011D0">
      <w:pPr>
        <w:snapToGrid w:val="0"/>
        <w:spacing w:line="360" w:lineRule="auto"/>
        <w:ind w:left="420" w:leftChars="20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2.1.2联合协议（如果有)；</w:t>
      </w:r>
    </w:p>
    <w:p w14:paraId="07599698">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落实政府采购政策需满足的资格要求</w:t>
      </w:r>
      <w:r>
        <w:rPr>
          <w:rFonts w:hint="eastAsia" w:ascii="仿宋" w:hAnsi="仿宋" w:eastAsia="仿宋" w:cs="仿宋_GB2312"/>
          <w:color w:val="auto"/>
          <w:sz w:val="24"/>
          <w:highlight w:val="none"/>
        </w:rPr>
        <w:t>（如果有）；</w:t>
      </w:r>
    </w:p>
    <w:p w14:paraId="227FE4CA">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2.1.</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本项目的特定资格要求</w:t>
      </w:r>
      <w:r>
        <w:rPr>
          <w:rFonts w:hint="eastAsia" w:ascii="仿宋" w:hAnsi="仿宋" w:eastAsia="仿宋" w:cs="仿宋_GB2312"/>
          <w:color w:val="auto"/>
          <w:sz w:val="24"/>
          <w:highlight w:val="none"/>
        </w:rPr>
        <w:t>（如果有）。</w:t>
      </w:r>
    </w:p>
    <w:p w14:paraId="7C3AFAFB">
      <w:pPr>
        <w:snapToGrid w:val="0"/>
        <w:spacing w:line="360" w:lineRule="auto"/>
        <w:ind w:left="210" w:leftChars="1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hint="eastAsia" w:ascii="仿宋" w:hAnsi="仿宋" w:eastAsia="仿宋" w:cs="仿宋_GB2312"/>
          <w:color w:val="auto"/>
          <w:sz w:val="24"/>
          <w:highlight w:val="none"/>
        </w:rPr>
        <w:t>商务技术</w:t>
      </w:r>
      <w:r>
        <w:rPr>
          <w:rFonts w:hint="eastAsia" w:ascii="仿宋" w:hAnsi="仿宋" w:eastAsia="仿宋" w:cs="仿宋_GB2312"/>
          <w:color w:val="auto"/>
          <w:sz w:val="24"/>
          <w:highlight w:val="none"/>
          <w:lang w:val="zh-CN"/>
        </w:rPr>
        <w:t>文件：</w:t>
      </w:r>
    </w:p>
    <w:p w14:paraId="1C5BE870">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2.2.1投标函；</w:t>
      </w:r>
    </w:p>
    <w:p w14:paraId="0FA45FAF">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2.2.2授权委托书或法定代表人（单位负责人）身份证明；</w:t>
      </w:r>
    </w:p>
    <w:p w14:paraId="5EE029BA">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3</w:t>
      </w:r>
      <w:r>
        <w:rPr>
          <w:rFonts w:ascii="仿宋" w:hAnsi="仿宋" w:eastAsia="仿宋" w:cs="仿宋_GB2312"/>
          <w:color w:val="auto"/>
          <w:sz w:val="24"/>
          <w:highlight w:val="none"/>
        </w:rPr>
        <w:t>分包意向协议</w:t>
      </w:r>
      <w:r>
        <w:rPr>
          <w:rFonts w:hint="eastAsia" w:ascii="仿宋" w:hAnsi="仿宋" w:eastAsia="仿宋" w:cs="仿宋_GB2312"/>
          <w:color w:val="auto"/>
          <w:sz w:val="24"/>
          <w:highlight w:val="none"/>
        </w:rPr>
        <w:t>（如果有）；</w:t>
      </w:r>
    </w:p>
    <w:p w14:paraId="4CD26059">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4</w:t>
      </w:r>
      <w:r>
        <w:rPr>
          <w:rFonts w:ascii="仿宋" w:hAnsi="仿宋" w:eastAsia="仿宋" w:cs="仿宋_GB2312"/>
          <w:color w:val="auto"/>
          <w:sz w:val="24"/>
          <w:highlight w:val="none"/>
        </w:rPr>
        <w:t>符合性审查资料；</w:t>
      </w:r>
    </w:p>
    <w:p w14:paraId="3FFE1805">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w:t>
      </w:r>
      <w:r>
        <w:rPr>
          <w:rFonts w:hint="eastAsia" w:ascii="仿宋" w:hAnsi="仿宋" w:eastAsia="仿宋" w:cs="仿宋_GB2312"/>
          <w:color w:val="auto"/>
          <w:sz w:val="24"/>
          <w:highlight w:val="none"/>
        </w:rPr>
        <w:t>5</w:t>
      </w:r>
      <w:r>
        <w:rPr>
          <w:rFonts w:ascii="仿宋" w:hAnsi="仿宋" w:eastAsia="仿宋" w:cs="仿宋_GB2312"/>
          <w:color w:val="auto"/>
          <w:sz w:val="24"/>
          <w:highlight w:val="none"/>
        </w:rPr>
        <w:t>评标标准相应的商务技术资料；</w:t>
      </w:r>
    </w:p>
    <w:p w14:paraId="6BBADF23">
      <w:pPr>
        <w:snapToGrid w:val="0"/>
        <w:spacing w:line="360" w:lineRule="auto"/>
        <w:ind w:left="420" w:leftChars="200"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2.2.</w:t>
      </w:r>
      <w:r>
        <w:rPr>
          <w:rFonts w:ascii="仿宋" w:hAnsi="仿宋" w:eastAsia="仿宋" w:cs="仿宋_GB2312"/>
          <w:color w:val="auto"/>
          <w:sz w:val="24"/>
          <w:highlight w:val="none"/>
        </w:rPr>
        <w:t>6</w:t>
      </w:r>
      <w:r>
        <w:rPr>
          <w:rFonts w:hint="eastAsia" w:ascii="仿宋" w:hAnsi="仿宋" w:eastAsia="仿宋" w:cs="仿宋_GB2312"/>
          <w:color w:val="auto"/>
          <w:sz w:val="24"/>
          <w:highlight w:val="none"/>
        </w:rPr>
        <w:t>投标标的清单；</w:t>
      </w:r>
    </w:p>
    <w:p w14:paraId="43403574">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2.2.7商务技术偏离表；</w:t>
      </w:r>
    </w:p>
    <w:p w14:paraId="12F0EA64">
      <w:pPr>
        <w:snapToGrid w:val="0"/>
        <w:spacing w:line="360" w:lineRule="auto"/>
        <w:ind w:left="420" w:leftChars="200" w:firstLine="480" w:firstLineChars="200"/>
        <w:rPr>
          <w:rFonts w:ascii="仿宋" w:hAnsi="仿宋" w:eastAsia="仿宋" w:cs="仿宋_GB2312"/>
          <w:color w:val="auto"/>
          <w:sz w:val="24"/>
          <w:highlight w:val="none"/>
          <w:lang w:val="zh-CN"/>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8</w:t>
      </w:r>
      <w:r>
        <w:rPr>
          <w:rFonts w:hint="eastAsia" w:ascii="仿宋" w:hAnsi="仿宋" w:eastAsia="仿宋" w:cs="仿宋_GB2312"/>
          <w:color w:val="auto"/>
          <w:sz w:val="24"/>
          <w:highlight w:val="none"/>
          <w:lang w:val="zh-CN"/>
        </w:rPr>
        <w:t>政府采购供应商廉洁自律承诺书；</w:t>
      </w:r>
    </w:p>
    <w:p w14:paraId="461910B8">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w:t>
      </w:r>
      <w:r>
        <w:rPr>
          <w:rFonts w:ascii="仿宋" w:hAnsi="仿宋" w:eastAsia="仿宋" w:cs="仿宋_GB2312"/>
          <w:color w:val="auto"/>
          <w:sz w:val="24"/>
          <w:highlight w:val="none"/>
          <w:lang w:val="zh-CN"/>
        </w:rPr>
        <w:t>.</w:t>
      </w:r>
      <w:r>
        <w:rPr>
          <w:rFonts w:ascii="仿宋" w:hAnsi="仿宋" w:eastAsia="仿宋" w:cs="仿宋_GB2312"/>
          <w:color w:val="auto"/>
          <w:sz w:val="24"/>
          <w:highlight w:val="none"/>
        </w:rPr>
        <w:t>3报价文件</w:t>
      </w:r>
    </w:p>
    <w:p w14:paraId="42CC2730">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2.3.1开标一览表（报价表）；</w:t>
      </w:r>
    </w:p>
    <w:p w14:paraId="5D3AB8C1">
      <w:pPr>
        <w:snapToGrid w:val="0"/>
        <w:spacing w:line="360" w:lineRule="auto"/>
        <w:ind w:left="420" w:leftChars="2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2.3.2中小企业声明函</w:t>
      </w:r>
      <w:r>
        <w:rPr>
          <w:rFonts w:hint="eastAsia" w:ascii="仿宋" w:hAnsi="仿宋" w:eastAsia="仿宋" w:cs="仿宋_GB2312"/>
          <w:color w:val="auto"/>
          <w:sz w:val="24"/>
          <w:highlight w:val="none"/>
        </w:rPr>
        <w:t>（如果有）。</w:t>
      </w:r>
    </w:p>
    <w:p w14:paraId="185D6077">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3、我方承诺除商务技术偏离表列出的偏离外，我方响应征集文件的全部要求。</w:t>
      </w:r>
    </w:p>
    <w:p w14:paraId="53B711E0">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4、如我方中标，我方承诺：</w:t>
      </w:r>
    </w:p>
    <w:p w14:paraId="2F5EB246">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4.1在收到中标通知书后，在中标通知书规定的期限内与你方签订合同； </w:t>
      </w:r>
    </w:p>
    <w:p w14:paraId="1EDC30DF">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4.2在签订合同时不向你方提出附加条件； </w:t>
      </w:r>
    </w:p>
    <w:p w14:paraId="29B40E0D">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4.3按照征集文件要求提交履约保证金； </w:t>
      </w:r>
    </w:p>
    <w:p w14:paraId="2D36CC09">
      <w:pPr>
        <w:snapToGrid w:val="0"/>
        <w:spacing w:line="360" w:lineRule="auto"/>
        <w:ind w:left="210" w:leftChars="100"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 xml:space="preserve">4.4在合同约定的期限内完成合同规定的全部义务。 </w:t>
      </w:r>
    </w:p>
    <w:p w14:paraId="1198CC64">
      <w:pPr>
        <w:snapToGrid w:val="0"/>
        <w:spacing w:line="360" w:lineRule="auto"/>
        <w:ind w:firstLine="480" w:firstLineChars="200"/>
        <w:rPr>
          <w:rFonts w:ascii="仿宋" w:hAnsi="仿宋" w:eastAsia="仿宋" w:cs="仿宋_GB2312"/>
          <w:color w:val="auto"/>
          <w:sz w:val="24"/>
          <w:highlight w:val="none"/>
        </w:rPr>
      </w:pPr>
      <w:r>
        <w:rPr>
          <w:rFonts w:ascii="仿宋" w:hAnsi="仿宋" w:eastAsia="仿宋" w:cs="仿宋_GB2312"/>
          <w:color w:val="auto"/>
          <w:sz w:val="24"/>
          <w:highlight w:val="none"/>
        </w:rPr>
        <w:t>5、其他补充说明:</w:t>
      </w:r>
      <w:r>
        <w:rPr>
          <w:rFonts w:hint="eastAsia" w:ascii="仿宋" w:hAnsi="仿宋" w:eastAsia="仿宋" w:cs="仿宋_GB2312"/>
          <w:color w:val="auto"/>
          <w:sz w:val="24"/>
          <w:highlight w:val="none"/>
        </w:rPr>
        <w:t>。</w:t>
      </w:r>
    </w:p>
    <w:p w14:paraId="2D0DD94E">
      <w:pPr>
        <w:spacing w:line="360" w:lineRule="auto"/>
        <w:ind w:firstLine="3600" w:firstLineChars="1500"/>
        <w:rPr>
          <w:rFonts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响应供应商</w:t>
      </w:r>
      <w:r>
        <w:rPr>
          <w:rFonts w:hint="eastAsia" w:ascii="仿宋" w:hAnsi="仿宋" w:eastAsia="仿宋" w:cs="仿宋_GB2312"/>
          <w:color w:val="auto"/>
          <w:sz w:val="24"/>
          <w:highlight w:val="none"/>
        </w:rPr>
        <w:t>名称（电子签名）：</w:t>
      </w:r>
    </w:p>
    <w:p w14:paraId="78178B49">
      <w:pPr>
        <w:spacing w:line="360" w:lineRule="auto"/>
        <w:jc w:val="center"/>
        <w:rPr>
          <w:rFonts w:ascii="仿宋" w:hAnsi="仿宋" w:eastAsia="仿宋" w:cs="仿宋_GB2312"/>
          <w:color w:val="auto"/>
          <w:sz w:val="24"/>
          <w:highlight w:val="none"/>
        </w:rPr>
      </w:pPr>
      <w:r>
        <w:rPr>
          <w:rFonts w:ascii="仿宋" w:hAnsi="仿宋" w:eastAsia="仿宋" w:cs="仿宋_GB2312"/>
          <w:color w:val="auto"/>
          <w:sz w:val="24"/>
          <w:highlight w:val="none"/>
        </w:rPr>
        <w:t xml:space="preserve">     日期：  年   月   日</w:t>
      </w:r>
    </w:p>
    <w:p w14:paraId="02CB45D6">
      <w:pPr>
        <w:jc w:val="center"/>
        <w:rPr>
          <w:rFonts w:ascii="仿宋" w:hAnsi="仿宋" w:eastAsia="仿宋" w:cs="仿宋_GB2312"/>
          <w:b/>
          <w:color w:val="auto"/>
          <w:kern w:val="0"/>
          <w:sz w:val="32"/>
          <w:szCs w:val="32"/>
          <w:highlight w:val="none"/>
          <w:lang w:val="zh-CN"/>
        </w:rPr>
      </w:pPr>
    </w:p>
    <w:p w14:paraId="55B696A6">
      <w:pPr>
        <w:jc w:val="center"/>
        <w:rPr>
          <w:rFonts w:ascii="仿宋" w:hAnsi="仿宋" w:eastAsia="仿宋" w:cs="仿宋_GB2312"/>
          <w:b/>
          <w:color w:val="auto"/>
          <w:kern w:val="0"/>
          <w:sz w:val="32"/>
          <w:szCs w:val="32"/>
          <w:highlight w:val="none"/>
          <w:lang w:val="zh-CN"/>
        </w:rPr>
      </w:pPr>
    </w:p>
    <w:p w14:paraId="40A05D1C">
      <w:pPr>
        <w:jc w:val="center"/>
        <w:rPr>
          <w:rFonts w:ascii="仿宋" w:hAnsi="仿宋" w:eastAsia="仿宋" w:cs="仿宋_GB2312"/>
          <w:b/>
          <w:color w:val="auto"/>
          <w:kern w:val="0"/>
          <w:sz w:val="32"/>
          <w:szCs w:val="32"/>
          <w:highlight w:val="none"/>
          <w:lang w:val="zh-CN"/>
        </w:rPr>
      </w:pPr>
      <w:r>
        <w:rPr>
          <w:rFonts w:hint="eastAsia" w:ascii="仿宋" w:hAnsi="仿宋" w:eastAsia="仿宋" w:cs="仿宋_GB2312"/>
          <w:b/>
          <w:color w:val="auto"/>
          <w:kern w:val="0"/>
          <w:sz w:val="32"/>
          <w:szCs w:val="32"/>
          <w:highlight w:val="none"/>
          <w:lang w:val="zh-CN"/>
        </w:rPr>
        <w:t>二、授权委托书或法定代表人（单位负责人、自然人本人）身份证明</w:t>
      </w:r>
    </w:p>
    <w:p w14:paraId="2EA67238">
      <w:pPr>
        <w:snapToGrid w:val="0"/>
        <w:spacing w:line="360" w:lineRule="auto"/>
        <w:rPr>
          <w:rFonts w:ascii="仿宋" w:hAnsi="仿宋" w:eastAsia="仿宋" w:cs="仿宋_GB2312"/>
          <w:color w:val="auto"/>
          <w:sz w:val="24"/>
          <w:highlight w:val="none"/>
        </w:rPr>
      </w:pPr>
    </w:p>
    <w:p w14:paraId="194976B9">
      <w:pPr>
        <w:snapToGrid w:val="0"/>
        <w:spacing w:line="360" w:lineRule="auto"/>
        <w:ind w:firstLine="2872" w:firstLineChars="894"/>
        <w:rPr>
          <w:rFonts w:ascii="仿宋" w:hAnsi="仿宋" w:eastAsia="仿宋"/>
          <w:color w:val="auto"/>
          <w:highlight w:val="none"/>
        </w:rPr>
      </w:pPr>
      <w:r>
        <w:rPr>
          <w:rFonts w:hint="eastAsia" w:ascii="仿宋" w:hAnsi="仿宋" w:eastAsia="仿宋" w:cs="仿宋_GB2312"/>
          <w:b/>
          <w:color w:val="auto"/>
          <w:kern w:val="0"/>
          <w:sz w:val="32"/>
          <w:szCs w:val="32"/>
          <w:highlight w:val="none"/>
          <w:lang w:val="zh-CN"/>
        </w:rPr>
        <w:t>授权委托书（适用于非联合体投标）</w:t>
      </w:r>
    </w:p>
    <w:p w14:paraId="69B5ED9D">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（征集人）、（采购代理机构）</w:t>
      </w:r>
      <w:r>
        <w:rPr>
          <w:rFonts w:hint="eastAsia" w:ascii="仿宋" w:hAnsi="仿宋" w:eastAsia="仿宋" w:cs="仿宋_GB2312"/>
          <w:color w:val="auto"/>
          <w:kern w:val="0"/>
          <w:sz w:val="24"/>
          <w:highlight w:val="none"/>
          <w:lang w:val="zh-CN"/>
        </w:rPr>
        <w:t>：</w:t>
      </w:r>
    </w:p>
    <w:p w14:paraId="427757DF">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委托（姓名）为我方代理人（身份证号码：，手机：），以我方名义处理</w:t>
      </w:r>
      <w:r>
        <w:rPr>
          <w:rFonts w:hint="eastAsia" w:ascii="仿宋" w:hAnsi="仿宋" w:eastAsia="仿宋" w:cs="仿宋_GB2312"/>
          <w:color w:val="auto"/>
          <w:sz w:val="24"/>
          <w:highlight w:val="none"/>
        </w:rPr>
        <w:t>（项目名称）【征集编号：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14:paraId="6DCB39A1">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14:paraId="0386F9C2">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14:paraId="77F919FA">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响应供应商</w:t>
      </w:r>
      <w:r>
        <w:rPr>
          <w:rFonts w:ascii="仿宋" w:hAnsi="仿宋" w:eastAsia="仿宋" w:cs="仿宋_GB2312"/>
          <w:color w:val="auto"/>
          <w:kern w:val="0"/>
          <w:sz w:val="24"/>
          <w:highlight w:val="none"/>
          <w:lang w:val="zh-CN"/>
        </w:rPr>
        <w:t>名称(电子签名)：</w:t>
      </w:r>
    </w:p>
    <w:p w14:paraId="0A505B8C">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签发日期：  年  月   日</w:t>
      </w:r>
    </w:p>
    <w:p w14:paraId="0B4F3F73">
      <w:pPr>
        <w:snapToGrid w:val="0"/>
        <w:spacing w:line="360" w:lineRule="auto"/>
        <w:rPr>
          <w:rFonts w:ascii="仿宋" w:hAnsi="仿宋" w:eastAsia="仿宋" w:cs="仿宋_GB2312"/>
          <w:color w:val="auto"/>
          <w:sz w:val="24"/>
          <w:highlight w:val="none"/>
        </w:rPr>
      </w:pPr>
    </w:p>
    <w:p w14:paraId="7CDA43DD">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lang w:val="zh-CN"/>
        </w:rPr>
        <w:t>授权委托书（适用于联合体投标）</w:t>
      </w:r>
    </w:p>
    <w:p w14:paraId="391B72CC">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（征集人）、（采购代理机构）</w:t>
      </w:r>
      <w:r>
        <w:rPr>
          <w:rFonts w:hint="eastAsia" w:ascii="仿宋" w:hAnsi="仿宋" w:eastAsia="仿宋" w:cs="仿宋_GB2312"/>
          <w:color w:val="auto"/>
          <w:kern w:val="0"/>
          <w:sz w:val="24"/>
          <w:highlight w:val="none"/>
          <w:lang w:val="zh-CN"/>
        </w:rPr>
        <w:t>：</w:t>
      </w:r>
    </w:p>
    <w:p w14:paraId="590D79D5">
      <w:pPr>
        <w:snapToGrid w:val="0"/>
        <w:spacing w:line="360" w:lineRule="auto"/>
        <w:ind w:firstLine="576"/>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现</w:t>
      </w:r>
      <w:r>
        <w:rPr>
          <w:rFonts w:hint="eastAsia" w:ascii="仿宋" w:hAnsi="仿宋" w:eastAsia="仿宋" w:cs="仿宋_GB2312"/>
          <w:color w:val="auto"/>
          <w:kern w:val="0"/>
          <w:sz w:val="24"/>
          <w:highlight w:val="none"/>
          <w:lang w:val="zh-CN"/>
        </w:rPr>
        <w:t>委托（姓名）为我方代理人（身份证号码：，手机：），以我方名义处理</w:t>
      </w:r>
      <w:r>
        <w:rPr>
          <w:rFonts w:hint="eastAsia" w:ascii="仿宋" w:hAnsi="仿宋" w:eastAsia="仿宋" w:cs="仿宋_GB2312"/>
          <w:color w:val="auto"/>
          <w:sz w:val="24"/>
          <w:highlight w:val="none"/>
        </w:rPr>
        <w:t>（项目名称）【征集编号：</w:t>
      </w:r>
      <w:r>
        <w:rPr>
          <w:rFonts w:hint="eastAsia" w:ascii="仿宋" w:hAnsi="仿宋" w:eastAsia="仿宋"/>
          <w:color w:val="auto"/>
          <w:sz w:val="24"/>
          <w:highlight w:val="none"/>
        </w:rPr>
        <w:t>（采购编号）</w:t>
      </w:r>
      <w:r>
        <w:rPr>
          <w:rFonts w:hint="eastAsia" w:ascii="仿宋" w:hAnsi="仿宋" w:eastAsia="仿宋" w:cs="仿宋_GB2312"/>
          <w:color w:val="auto"/>
          <w:sz w:val="24"/>
          <w:highlight w:val="none"/>
        </w:rPr>
        <w:t>】</w:t>
      </w:r>
      <w:r>
        <w:rPr>
          <w:rFonts w:hint="eastAsia" w:ascii="仿宋" w:hAnsi="仿宋" w:eastAsia="仿宋" w:cs="仿宋_GB2312"/>
          <w:color w:val="auto"/>
          <w:kern w:val="0"/>
          <w:sz w:val="24"/>
          <w:highlight w:val="none"/>
          <w:lang w:val="zh-CN"/>
        </w:rPr>
        <w:t>政府采购投标的一切事项，其法律后果由我方承担。</w:t>
      </w:r>
    </w:p>
    <w:p w14:paraId="25BA10EE">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委托期限</w:t>
      </w:r>
      <w:r>
        <w:rPr>
          <w:rFonts w:hint="eastAsia" w:ascii="仿宋" w:hAnsi="仿宋" w:eastAsia="仿宋" w:cs="仿宋_GB2312"/>
          <w:color w:val="auto"/>
          <w:kern w:val="0"/>
          <w:sz w:val="24"/>
          <w:highlight w:val="none"/>
        </w:rPr>
        <w:t>：</w:t>
      </w:r>
      <w:r>
        <w:rPr>
          <w:rFonts w:hint="eastAsia" w:ascii="仿宋" w:hAnsi="仿宋" w:eastAsia="仿宋" w:cs="仿宋_GB2312"/>
          <w:color w:val="auto"/>
          <w:kern w:val="0"/>
          <w:sz w:val="24"/>
          <w:highlight w:val="none"/>
          <w:lang w:val="zh-CN"/>
        </w:rPr>
        <w:t>自年月日起至年月日止。</w:t>
      </w:r>
    </w:p>
    <w:p w14:paraId="5F267520">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lang w:val="zh-CN"/>
        </w:rPr>
        <w:t>特此告知。</w:t>
      </w:r>
    </w:p>
    <w:p w14:paraId="7EC0AE6E">
      <w:pPr>
        <w:rPr>
          <w:rFonts w:ascii="仿宋" w:hAnsi="仿宋" w:eastAsia="仿宋"/>
          <w:color w:val="auto"/>
          <w:highlight w:val="none"/>
        </w:rPr>
      </w:pPr>
    </w:p>
    <w:p w14:paraId="2AD91BB2">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14:paraId="63AB3056">
      <w:pPr>
        <w:snapToGrid w:val="0"/>
        <w:spacing w:line="360" w:lineRule="auto"/>
        <w:ind w:firstLine="5040" w:firstLineChars="21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联合体成员名称</w:t>
      </w:r>
      <w:r>
        <w:rPr>
          <w:rFonts w:ascii="仿宋" w:hAnsi="仿宋" w:eastAsia="仿宋" w:cs="仿宋_GB2312"/>
          <w:color w:val="auto"/>
          <w:kern w:val="0"/>
          <w:sz w:val="24"/>
          <w:highlight w:val="none"/>
          <w:lang w:val="zh-CN"/>
        </w:rPr>
        <w:t>(电子签名/公章)：</w:t>
      </w:r>
    </w:p>
    <w:p w14:paraId="4B6F488C">
      <w:pPr>
        <w:snapToGrid w:val="0"/>
        <w:spacing w:line="360" w:lineRule="auto"/>
        <w:ind w:firstLine="5760" w:firstLineChars="2400"/>
        <w:rPr>
          <w:rFonts w:ascii="仿宋" w:hAnsi="仿宋" w:eastAsia="仿宋"/>
          <w:color w:val="auto"/>
          <w:highlight w:val="none"/>
        </w:rPr>
      </w:pPr>
      <w:r>
        <w:rPr>
          <w:rFonts w:hint="eastAsia" w:ascii="仿宋" w:hAnsi="仿宋" w:eastAsia="仿宋" w:cs="仿宋_GB2312"/>
          <w:color w:val="auto"/>
          <w:kern w:val="0"/>
          <w:sz w:val="24"/>
          <w:highlight w:val="none"/>
          <w:lang w:val="zh-CN"/>
        </w:rPr>
        <w:t>……</w:t>
      </w:r>
    </w:p>
    <w:p w14:paraId="294CBC75">
      <w:pPr>
        <w:snapToGrid w:val="0"/>
        <w:spacing w:line="360" w:lineRule="auto"/>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20F03E52">
      <w:pPr>
        <w:autoSpaceDE w:val="0"/>
        <w:autoSpaceDN w:val="0"/>
        <w:spacing w:line="360" w:lineRule="auto"/>
        <w:jc w:val="center"/>
        <w:rPr>
          <w:rFonts w:ascii="仿宋" w:hAnsi="仿宋" w:eastAsia="仿宋" w:cs="仿宋_GB2312"/>
          <w:b/>
          <w:color w:val="auto"/>
          <w:sz w:val="24"/>
          <w:highlight w:val="none"/>
        </w:rPr>
      </w:pPr>
      <w:r>
        <w:rPr>
          <w:rFonts w:hint="eastAsia" w:ascii="仿宋" w:hAnsi="仿宋" w:eastAsia="仿宋" w:cs="仿宋_GB2312"/>
          <w:b/>
          <w:color w:val="auto"/>
          <w:kern w:val="0"/>
          <w:sz w:val="32"/>
          <w:szCs w:val="32"/>
          <w:highlight w:val="none"/>
          <w:lang w:val="zh-CN"/>
        </w:rPr>
        <w:t>法定代表人、单位负责人或自然人本人</w:t>
      </w:r>
      <w:r>
        <w:rPr>
          <w:rFonts w:hint="eastAsia" w:ascii="仿宋" w:hAnsi="仿宋" w:eastAsia="仿宋" w:cs="仿宋_GB2312"/>
          <w:b/>
          <w:color w:val="auto"/>
          <w:sz w:val="30"/>
          <w:szCs w:val="30"/>
          <w:highlight w:val="none"/>
        </w:rPr>
        <w:t>的身份证明（适用于法定代表人、单位负责人或者自然人本人代表供应商参加投标）</w:t>
      </w:r>
    </w:p>
    <w:p w14:paraId="5ED1D9DC">
      <w:pPr>
        <w:pStyle w:val="724"/>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身份证件扫描件：</w:t>
      </w:r>
    </w:p>
    <w:tbl>
      <w:tblPr>
        <w:tblStyle w:val="49"/>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9603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02F579">
            <w:pPr>
              <w:pStyle w:val="724"/>
              <w:adjustRightInd w:val="0"/>
              <w:spacing w:line="360" w:lineRule="auto"/>
              <w:rPr>
                <w:rFonts w:ascii="仿宋" w:hAnsi="仿宋" w:eastAsia="仿宋"/>
                <w:bCs/>
                <w:color w:val="auto"/>
                <w:sz w:val="24"/>
                <w:highlight w:val="none"/>
              </w:rPr>
            </w:pPr>
            <w:r>
              <w:rPr>
                <w:rFonts w:hint="eastAsia" w:ascii="仿宋" w:hAnsi="仿宋" w:eastAsia="仿宋"/>
                <w:bCs/>
                <w:color w:val="auto"/>
                <w:sz w:val="24"/>
                <w:highlight w:val="none"/>
              </w:rPr>
              <w:t>正面：反面：</w:t>
            </w:r>
          </w:p>
          <w:p w14:paraId="546774DC">
            <w:pPr>
              <w:pStyle w:val="724"/>
              <w:adjustRightInd w:val="0"/>
              <w:spacing w:line="360" w:lineRule="auto"/>
              <w:rPr>
                <w:rFonts w:ascii="仿宋" w:hAnsi="仿宋" w:eastAsia="仿宋"/>
                <w:bCs/>
                <w:color w:val="auto"/>
                <w:sz w:val="24"/>
                <w:highlight w:val="none"/>
              </w:rPr>
            </w:pPr>
          </w:p>
        </w:tc>
      </w:tr>
    </w:tbl>
    <w:p w14:paraId="1E76F337">
      <w:pPr>
        <w:snapToGrid w:val="0"/>
        <w:spacing w:line="360" w:lineRule="auto"/>
        <w:ind w:firstLine="576"/>
        <w:jc w:val="center"/>
        <w:rPr>
          <w:rFonts w:ascii="仿宋" w:hAnsi="仿宋" w:eastAsia="仿宋" w:cs="仿宋_GB2312"/>
          <w:color w:val="auto"/>
          <w:kern w:val="0"/>
          <w:sz w:val="24"/>
          <w:highlight w:val="none"/>
          <w:lang w:val="zh-CN"/>
        </w:rPr>
      </w:pPr>
    </w:p>
    <w:p w14:paraId="4448488D">
      <w:pPr>
        <w:snapToGrid w:val="0"/>
        <w:spacing w:line="360" w:lineRule="auto"/>
        <w:ind w:firstLine="576"/>
        <w:jc w:val="center"/>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响应供应商</w:t>
      </w:r>
      <w:r>
        <w:rPr>
          <w:rFonts w:ascii="仿宋" w:hAnsi="仿宋" w:eastAsia="仿宋" w:cs="仿宋_GB2312"/>
          <w:color w:val="auto"/>
          <w:kern w:val="0"/>
          <w:sz w:val="24"/>
          <w:highlight w:val="none"/>
          <w:lang w:val="zh-CN"/>
        </w:rPr>
        <w:t xml:space="preserve">名称(电子签名)：                              </w:t>
      </w:r>
    </w:p>
    <w:p w14:paraId="45406CC3">
      <w:pPr>
        <w:spacing w:line="360" w:lineRule="auto"/>
        <w:jc w:val="center"/>
        <w:rPr>
          <w:rFonts w:ascii="仿宋" w:hAnsi="仿宋" w:eastAsia="仿宋" w:cs="仿宋_GB2312"/>
          <w:color w:val="auto"/>
          <w:kern w:val="0"/>
          <w:sz w:val="24"/>
          <w:highlight w:val="none"/>
          <w:lang w:val="zh-CN"/>
        </w:rPr>
      </w:pPr>
      <w:r>
        <w:rPr>
          <w:rFonts w:ascii="仿宋" w:hAnsi="仿宋" w:eastAsia="仿宋" w:cs="仿宋_GB2312"/>
          <w:color w:val="auto"/>
          <w:kern w:val="0"/>
          <w:sz w:val="24"/>
          <w:highlight w:val="none"/>
          <w:lang w:val="zh-CN"/>
        </w:rPr>
        <w:t xml:space="preserve">                   日期：  年  月  日</w:t>
      </w:r>
    </w:p>
    <w:p w14:paraId="249A2694">
      <w:pPr>
        <w:jc w:val="center"/>
        <w:rPr>
          <w:rFonts w:ascii="仿宋" w:hAnsi="仿宋" w:eastAsia="仿宋" w:cs="仿宋_GB2312"/>
          <w:b/>
          <w:color w:val="auto"/>
          <w:kern w:val="0"/>
          <w:sz w:val="32"/>
          <w:szCs w:val="32"/>
          <w:highlight w:val="none"/>
        </w:rPr>
      </w:pPr>
    </w:p>
    <w:p w14:paraId="10699C6D">
      <w:pPr>
        <w:jc w:val="center"/>
        <w:rPr>
          <w:rFonts w:ascii="仿宋" w:hAnsi="仿宋" w:eastAsia="仿宋" w:cs="仿宋_GB2312"/>
          <w:b/>
          <w:color w:val="auto"/>
          <w:kern w:val="0"/>
          <w:sz w:val="32"/>
          <w:szCs w:val="32"/>
          <w:highlight w:val="none"/>
        </w:rPr>
      </w:pPr>
    </w:p>
    <w:p w14:paraId="5F59D3CC">
      <w:pPr>
        <w:snapToGrid w:val="0"/>
        <w:spacing w:line="360" w:lineRule="auto"/>
        <w:ind w:firstLine="3534" w:firstLineChars="1100"/>
        <w:rPr>
          <w:rFonts w:ascii="仿宋" w:hAnsi="仿宋" w:eastAsia="仿宋" w:cs="宋体"/>
          <w:b/>
          <w:color w:val="auto"/>
          <w:kern w:val="0"/>
          <w:sz w:val="32"/>
          <w:szCs w:val="32"/>
          <w:highlight w:val="none"/>
        </w:rPr>
      </w:pPr>
      <w:r>
        <w:rPr>
          <w:rFonts w:hint="eastAsia" w:ascii="仿宋" w:hAnsi="仿宋" w:eastAsia="仿宋" w:cs="宋体"/>
          <w:b/>
          <w:color w:val="auto"/>
          <w:kern w:val="0"/>
          <w:sz w:val="32"/>
          <w:szCs w:val="32"/>
          <w:highlight w:val="none"/>
        </w:rPr>
        <w:t>三、分包意向协议</w:t>
      </w:r>
    </w:p>
    <w:p w14:paraId="715E4A4D">
      <w:pPr>
        <w:widowControl/>
        <w:spacing w:line="360" w:lineRule="auto"/>
        <w:ind w:firstLine="120" w:firstLineChars="50"/>
        <w:jc w:val="left"/>
        <w:rPr>
          <w:rFonts w:ascii="仿宋" w:hAnsi="仿宋" w:eastAsia="仿宋" w:cs="仿宋"/>
          <w:color w:val="auto"/>
          <w:sz w:val="24"/>
          <w:highlight w:val="none"/>
        </w:rPr>
      </w:pPr>
      <w:bookmarkStart w:id="416"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中标后以分包方式履行合同的，提供分包意向协议(附件5)；征集人不同意分包或者供应商中标后不以分包方式履行合同的，则不需要提供。</w:t>
      </w:r>
      <w:r>
        <w:rPr>
          <w:rFonts w:hint="eastAsia" w:ascii="仿宋" w:hAnsi="仿宋" w:eastAsia="仿宋" w:cs="仿宋"/>
          <w:color w:val="auto"/>
          <w:sz w:val="24"/>
          <w:highlight w:val="none"/>
        </w:rPr>
        <w:t>]</w:t>
      </w:r>
    </w:p>
    <w:bookmarkEnd w:id="416"/>
    <w:p w14:paraId="1F8CFDA4">
      <w:pPr>
        <w:widowControl/>
        <w:adjustRightInd/>
        <w:jc w:val="left"/>
        <w:rPr>
          <w:rFonts w:ascii="仿宋" w:hAnsi="仿宋" w:eastAsia="仿宋" w:cs="仿宋_GB2312"/>
          <w:b/>
          <w:color w:val="auto"/>
          <w:kern w:val="0"/>
          <w:sz w:val="32"/>
          <w:szCs w:val="32"/>
          <w:highlight w:val="none"/>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57AFD2BB">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四、符合性审查资料</w:t>
      </w:r>
    </w:p>
    <w:p w14:paraId="21F389C4">
      <w:pPr>
        <w:jc w:val="center"/>
        <w:rPr>
          <w:rFonts w:ascii="仿宋" w:hAnsi="仿宋" w:eastAsia="仿宋" w:cs="仿宋_GB2312"/>
          <w:b/>
          <w:color w:val="auto"/>
          <w:kern w:val="0"/>
          <w:sz w:val="32"/>
          <w:szCs w:val="32"/>
          <w:highlight w:val="none"/>
        </w:rPr>
      </w:pPr>
    </w:p>
    <w:tbl>
      <w:tblPr>
        <w:tblStyle w:val="49"/>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D56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3609F64">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序号</w:t>
            </w:r>
          </w:p>
        </w:tc>
        <w:tc>
          <w:tcPr>
            <w:tcW w:w="4991" w:type="dxa"/>
            <w:vAlign w:val="center"/>
          </w:tcPr>
          <w:p w14:paraId="1B9C046C">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实质性要求</w:t>
            </w:r>
          </w:p>
        </w:tc>
        <w:tc>
          <w:tcPr>
            <w:tcW w:w="2551" w:type="dxa"/>
            <w:vAlign w:val="center"/>
          </w:tcPr>
          <w:p w14:paraId="5C83B9D3">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需要提供的符合性审查资料</w:t>
            </w:r>
          </w:p>
        </w:tc>
        <w:tc>
          <w:tcPr>
            <w:tcW w:w="1418" w:type="dxa"/>
            <w:vAlign w:val="center"/>
          </w:tcPr>
          <w:p w14:paraId="6A5F2753">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响应文件中的</w:t>
            </w:r>
          </w:p>
          <w:p w14:paraId="7FB68B70">
            <w:pPr>
              <w:snapToGrid w:val="0"/>
              <w:spacing w:line="240" w:lineRule="atLeast"/>
              <w:jc w:val="center"/>
              <w:rPr>
                <w:rFonts w:ascii="仿宋" w:hAnsi="仿宋" w:eastAsia="仿宋"/>
                <w:b/>
                <w:color w:val="auto"/>
                <w:sz w:val="24"/>
                <w:highlight w:val="none"/>
              </w:rPr>
            </w:pPr>
            <w:r>
              <w:rPr>
                <w:rFonts w:hint="eastAsia" w:ascii="仿宋" w:hAnsi="仿宋" w:eastAsia="仿宋"/>
                <w:b/>
                <w:color w:val="auto"/>
                <w:sz w:val="24"/>
                <w:highlight w:val="none"/>
              </w:rPr>
              <w:t>页码位置</w:t>
            </w:r>
          </w:p>
        </w:tc>
      </w:tr>
      <w:tr w14:paraId="606F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0F9F87E">
            <w:pPr>
              <w:rPr>
                <w:rFonts w:ascii="仿宋" w:hAnsi="仿宋" w:eastAsia="仿宋"/>
                <w:color w:val="auto"/>
                <w:sz w:val="24"/>
                <w:highlight w:val="none"/>
              </w:rPr>
            </w:pPr>
            <w:r>
              <w:rPr>
                <w:rFonts w:ascii="仿宋" w:hAnsi="仿宋" w:eastAsia="仿宋"/>
                <w:color w:val="auto"/>
                <w:sz w:val="24"/>
                <w:highlight w:val="none"/>
              </w:rPr>
              <w:t>1</w:t>
            </w:r>
          </w:p>
        </w:tc>
        <w:tc>
          <w:tcPr>
            <w:tcW w:w="4991" w:type="dxa"/>
          </w:tcPr>
          <w:p w14:paraId="0B4BBAB0">
            <w:pPr>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响应文件按照征集文件要求签署、盖章。</w:t>
            </w:r>
          </w:p>
        </w:tc>
        <w:tc>
          <w:tcPr>
            <w:tcW w:w="2551" w:type="dxa"/>
            <w:vAlign w:val="center"/>
          </w:tcPr>
          <w:p w14:paraId="1087D5E8">
            <w:pPr>
              <w:rPr>
                <w:rFonts w:ascii="仿宋" w:hAnsi="仿宋" w:eastAsia="仿宋"/>
                <w:color w:val="auto"/>
                <w:sz w:val="24"/>
                <w:highlight w:val="none"/>
              </w:rPr>
            </w:pPr>
            <w:r>
              <w:rPr>
                <w:rFonts w:hint="eastAsia" w:ascii="仿宋" w:hAnsi="仿宋" w:eastAsia="仿宋"/>
                <w:color w:val="auto"/>
                <w:sz w:val="24"/>
                <w:highlight w:val="none"/>
              </w:rPr>
              <w:t>需要使用电子签名或者签字盖章的响应文件的组成部分</w:t>
            </w:r>
          </w:p>
        </w:tc>
        <w:tc>
          <w:tcPr>
            <w:tcW w:w="1418" w:type="dxa"/>
          </w:tcPr>
          <w:p w14:paraId="44379A3E">
            <w:pPr>
              <w:rPr>
                <w:rFonts w:ascii="仿宋" w:hAnsi="仿宋" w:eastAsia="仿宋" w:cs="仿宋_GB2312"/>
                <w:color w:val="auto"/>
                <w:sz w:val="24"/>
                <w:highlight w:val="none"/>
              </w:rPr>
            </w:pPr>
          </w:p>
          <w:p w14:paraId="5C5632BE">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见响应文件</w:t>
            </w:r>
          </w:p>
          <w:p w14:paraId="6BD478ED">
            <w:pPr>
              <w:rPr>
                <w:rFonts w:ascii="仿宋" w:hAnsi="仿宋" w:eastAsia="仿宋"/>
                <w:color w:val="auto"/>
                <w:highlight w:val="none"/>
              </w:rPr>
            </w:pPr>
            <w:r>
              <w:rPr>
                <w:rFonts w:hint="eastAsia" w:ascii="仿宋" w:hAnsi="仿宋" w:eastAsia="仿宋" w:cs="仿宋_GB2312"/>
                <w:color w:val="auto"/>
                <w:sz w:val="24"/>
                <w:highlight w:val="none"/>
              </w:rPr>
              <w:t>第页</w:t>
            </w:r>
          </w:p>
        </w:tc>
      </w:tr>
      <w:tr w14:paraId="44AD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D62E822">
            <w:pPr>
              <w:spacing w:line="360" w:lineRule="auto"/>
              <w:rPr>
                <w:rFonts w:ascii="仿宋" w:hAnsi="仿宋" w:eastAsia="仿宋"/>
                <w:color w:val="auto"/>
                <w:sz w:val="24"/>
                <w:highlight w:val="none"/>
              </w:rPr>
            </w:pPr>
            <w:r>
              <w:rPr>
                <w:rFonts w:ascii="仿宋" w:hAnsi="仿宋" w:eastAsia="仿宋"/>
                <w:color w:val="auto"/>
                <w:sz w:val="24"/>
                <w:highlight w:val="none"/>
              </w:rPr>
              <w:t>2</w:t>
            </w:r>
          </w:p>
        </w:tc>
        <w:tc>
          <w:tcPr>
            <w:tcW w:w="4991" w:type="dxa"/>
          </w:tcPr>
          <w:p w14:paraId="3B3E44E2">
            <w:pPr>
              <w:spacing w:line="360" w:lineRule="auto"/>
              <w:rPr>
                <w:rFonts w:ascii="仿宋" w:hAnsi="仿宋" w:eastAsia="仿宋"/>
                <w:color w:val="auto"/>
                <w:sz w:val="24"/>
                <w:highlight w:val="none"/>
              </w:rPr>
            </w:pPr>
            <w:r>
              <w:rPr>
                <w:rFonts w:hint="eastAsia" w:ascii="仿宋" w:hAnsi="仿宋" w:eastAsia="仿宋"/>
                <w:color w:val="auto"/>
                <w:sz w:val="24"/>
                <w:highlight w:val="none"/>
              </w:rPr>
              <w:t>征集人拟采购的产品属于政府强制采购的节能产品品目清单范围的，供应商按征集文件要求提供国家确定的认证机构出具的、处于有效期之内的节能产品认证证书。</w:t>
            </w:r>
          </w:p>
        </w:tc>
        <w:tc>
          <w:tcPr>
            <w:tcW w:w="2551" w:type="dxa"/>
            <w:vAlign w:val="center"/>
          </w:tcPr>
          <w:p w14:paraId="49F616A1">
            <w:pPr>
              <w:rPr>
                <w:rFonts w:ascii="仿宋" w:hAnsi="仿宋" w:eastAsia="仿宋"/>
                <w:color w:val="auto"/>
                <w:sz w:val="24"/>
                <w:highlight w:val="none"/>
              </w:rPr>
            </w:pPr>
            <w:r>
              <w:rPr>
                <w:rFonts w:hint="eastAsia" w:ascii="仿宋" w:hAnsi="仿宋" w:eastAsia="仿宋" w:cs="仿宋_GB2312"/>
                <w:color w:val="auto"/>
                <w:sz w:val="24"/>
                <w:highlight w:val="none"/>
              </w:rPr>
              <w:t>节能产品认证证书（本项目</w:t>
            </w:r>
            <w:r>
              <w:rPr>
                <w:rFonts w:hint="eastAsia" w:ascii="仿宋" w:hAnsi="仿宋" w:eastAsia="仿宋"/>
                <w:color w:val="auto"/>
                <w:sz w:val="24"/>
                <w:highlight w:val="none"/>
              </w:rPr>
              <w:t>拟采购的产品不属于政府强制采购的节能产品品目清单范围的</w:t>
            </w:r>
            <w:r>
              <w:rPr>
                <w:rFonts w:hint="eastAsia" w:ascii="仿宋" w:hAnsi="仿宋" w:eastAsia="仿宋" w:cs="仿宋_GB2312"/>
                <w:color w:val="auto"/>
                <w:sz w:val="24"/>
                <w:highlight w:val="none"/>
              </w:rPr>
              <w:t>，无需提供）</w:t>
            </w:r>
          </w:p>
        </w:tc>
        <w:tc>
          <w:tcPr>
            <w:tcW w:w="1418" w:type="dxa"/>
          </w:tcPr>
          <w:p w14:paraId="3B8DDFD3">
            <w:pPr>
              <w:rPr>
                <w:rFonts w:ascii="仿宋" w:hAnsi="仿宋" w:eastAsia="仿宋" w:cs="仿宋_GB2312"/>
                <w:color w:val="auto"/>
                <w:sz w:val="24"/>
                <w:highlight w:val="none"/>
              </w:rPr>
            </w:pPr>
          </w:p>
          <w:p w14:paraId="068DAC64">
            <w:pPr>
              <w:rPr>
                <w:rFonts w:ascii="仿宋" w:hAnsi="仿宋" w:eastAsia="仿宋" w:cs="仿宋_GB2312"/>
                <w:color w:val="auto"/>
                <w:sz w:val="24"/>
                <w:highlight w:val="none"/>
              </w:rPr>
            </w:pPr>
          </w:p>
          <w:p w14:paraId="76461B0F">
            <w:pPr>
              <w:rPr>
                <w:rFonts w:ascii="仿宋" w:hAnsi="仿宋" w:eastAsia="仿宋" w:cs="仿宋_GB2312"/>
                <w:color w:val="auto"/>
                <w:sz w:val="24"/>
                <w:highlight w:val="none"/>
              </w:rPr>
            </w:pPr>
            <w:r>
              <w:rPr>
                <w:rFonts w:hint="eastAsia" w:ascii="仿宋" w:hAnsi="仿宋" w:eastAsia="仿宋" w:cs="仿宋_GB2312"/>
                <w:color w:val="auto"/>
                <w:sz w:val="24"/>
                <w:highlight w:val="none"/>
              </w:rPr>
              <w:t>见响应文件</w:t>
            </w:r>
          </w:p>
          <w:p w14:paraId="797093E7">
            <w:pPr>
              <w:pStyle w:val="2"/>
              <w:rPr>
                <w:rFonts w:ascii="仿宋" w:eastAsia="仿宋"/>
                <w:color w:val="auto"/>
                <w:highlight w:val="none"/>
                <w:lang w:val="en-US"/>
              </w:rPr>
            </w:pPr>
            <w:r>
              <w:rPr>
                <w:rFonts w:hint="eastAsia" w:ascii="仿宋" w:eastAsia="仿宋" w:cs="仿宋_GB2312"/>
                <w:b w:val="0"/>
                <w:bCs w:val="0"/>
                <w:color w:val="auto"/>
                <w:sz w:val="24"/>
                <w:szCs w:val="24"/>
                <w:highlight w:val="none"/>
                <w:lang w:val="en-US"/>
              </w:rPr>
              <w:t>第页</w:t>
            </w:r>
          </w:p>
        </w:tc>
      </w:tr>
      <w:tr w14:paraId="43E8A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77F16F">
            <w:pPr>
              <w:rPr>
                <w:rFonts w:ascii="仿宋" w:hAnsi="仿宋" w:eastAsia="仿宋"/>
                <w:color w:val="auto"/>
                <w:sz w:val="24"/>
                <w:highlight w:val="none"/>
              </w:rPr>
            </w:pPr>
            <w:r>
              <w:rPr>
                <w:rFonts w:ascii="仿宋" w:hAnsi="仿宋" w:eastAsia="仿宋"/>
                <w:color w:val="auto"/>
                <w:sz w:val="24"/>
                <w:highlight w:val="none"/>
              </w:rPr>
              <w:t>3</w:t>
            </w:r>
          </w:p>
        </w:tc>
        <w:tc>
          <w:tcPr>
            <w:tcW w:w="4991" w:type="dxa"/>
          </w:tcPr>
          <w:p w14:paraId="13939404">
            <w:pPr>
              <w:spacing w:line="360" w:lineRule="auto"/>
              <w:rPr>
                <w:rFonts w:ascii="仿宋" w:hAnsi="仿宋" w:eastAsia="仿宋" w:cs="仿宋_GB2312"/>
                <w:color w:val="auto"/>
                <w:sz w:val="24"/>
                <w:highlight w:val="none"/>
              </w:rPr>
            </w:pPr>
            <w:r>
              <w:rPr>
                <w:rFonts w:hint="eastAsia" w:ascii="仿宋" w:hAnsi="仿宋" w:eastAsia="仿宋"/>
                <w:color w:val="auto"/>
                <w:sz w:val="24"/>
                <w:highlight w:val="none"/>
              </w:rPr>
              <w:t>响应文件中承诺的投标有效期不少于征集文件中载明的投标有效期。</w:t>
            </w:r>
          </w:p>
        </w:tc>
        <w:tc>
          <w:tcPr>
            <w:tcW w:w="2551" w:type="dxa"/>
            <w:vAlign w:val="center"/>
          </w:tcPr>
          <w:p w14:paraId="4B13C26C">
            <w:pPr>
              <w:rPr>
                <w:rFonts w:ascii="仿宋" w:hAnsi="仿宋" w:eastAsia="仿宋"/>
                <w:color w:val="auto"/>
                <w:sz w:val="24"/>
                <w:highlight w:val="none"/>
              </w:rPr>
            </w:pPr>
            <w:r>
              <w:rPr>
                <w:rFonts w:hint="eastAsia" w:ascii="仿宋" w:hAnsi="仿宋" w:eastAsia="仿宋"/>
                <w:color w:val="auto"/>
                <w:sz w:val="24"/>
                <w:highlight w:val="none"/>
              </w:rPr>
              <w:t>投标函</w:t>
            </w:r>
          </w:p>
        </w:tc>
        <w:tc>
          <w:tcPr>
            <w:tcW w:w="1418" w:type="dxa"/>
          </w:tcPr>
          <w:p w14:paraId="12832D3B">
            <w:pPr>
              <w:rPr>
                <w:rFonts w:ascii="仿宋" w:hAnsi="仿宋" w:eastAsia="仿宋"/>
                <w:color w:val="auto"/>
                <w:highlight w:val="none"/>
              </w:rPr>
            </w:pPr>
            <w:r>
              <w:rPr>
                <w:rFonts w:hint="eastAsia" w:ascii="仿宋" w:hAnsi="仿宋" w:eastAsia="仿宋" w:cs="仿宋_GB2312"/>
                <w:color w:val="auto"/>
                <w:sz w:val="24"/>
                <w:highlight w:val="none"/>
              </w:rPr>
              <w:t>见响应文件第页</w:t>
            </w:r>
          </w:p>
        </w:tc>
      </w:tr>
      <w:tr w14:paraId="7E6F9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2CFDF07">
            <w:pPr>
              <w:rPr>
                <w:rFonts w:ascii="仿宋" w:hAnsi="仿宋" w:eastAsia="仿宋"/>
                <w:color w:val="auto"/>
                <w:sz w:val="24"/>
                <w:highlight w:val="none"/>
              </w:rPr>
            </w:pPr>
            <w:r>
              <w:rPr>
                <w:rFonts w:ascii="仿宋" w:hAnsi="仿宋" w:eastAsia="仿宋"/>
                <w:color w:val="auto"/>
                <w:sz w:val="24"/>
                <w:highlight w:val="none"/>
              </w:rPr>
              <w:t>4</w:t>
            </w:r>
          </w:p>
        </w:tc>
        <w:tc>
          <w:tcPr>
            <w:tcW w:w="4991" w:type="dxa"/>
          </w:tcPr>
          <w:p w14:paraId="3452A452">
            <w:pPr>
              <w:spacing w:line="360" w:lineRule="auto"/>
              <w:rPr>
                <w:rFonts w:ascii="仿宋" w:hAnsi="仿宋" w:eastAsia="仿宋"/>
                <w:color w:val="auto"/>
                <w:sz w:val="24"/>
                <w:highlight w:val="none"/>
              </w:rPr>
            </w:pPr>
            <w:r>
              <w:rPr>
                <w:rFonts w:hint="eastAsia" w:ascii="仿宋" w:hAnsi="仿宋" w:eastAsia="仿宋"/>
                <w:color w:val="auto"/>
                <w:sz w:val="24"/>
                <w:highlight w:val="none"/>
              </w:rPr>
              <w:t>响应文件满足征集文件的其它实质性要求。</w:t>
            </w:r>
          </w:p>
        </w:tc>
        <w:tc>
          <w:tcPr>
            <w:tcW w:w="2551" w:type="dxa"/>
            <w:vAlign w:val="center"/>
          </w:tcPr>
          <w:p w14:paraId="2EF17857">
            <w:pPr>
              <w:rPr>
                <w:rFonts w:ascii="仿宋" w:hAnsi="仿宋" w:eastAsia="仿宋"/>
                <w:color w:val="auto"/>
                <w:sz w:val="24"/>
                <w:highlight w:val="none"/>
              </w:rPr>
            </w:pPr>
            <w:r>
              <w:rPr>
                <w:rFonts w:hint="eastAsia" w:ascii="仿宋" w:hAnsi="仿宋" w:eastAsia="仿宋" w:cs="仿宋_GB2312"/>
                <w:color w:val="auto"/>
                <w:kern w:val="0"/>
                <w:sz w:val="24"/>
                <w:highlight w:val="none"/>
              </w:rPr>
              <w:t>征集文件其它实质性要求相应的材料（“▲”系指实质性要求条款，征集文件无其它实质性要求的，无需提供）</w:t>
            </w:r>
          </w:p>
        </w:tc>
        <w:tc>
          <w:tcPr>
            <w:tcW w:w="1418" w:type="dxa"/>
          </w:tcPr>
          <w:p w14:paraId="7E29F2D8">
            <w:pPr>
              <w:rPr>
                <w:rFonts w:ascii="仿宋" w:hAnsi="仿宋" w:eastAsia="仿宋"/>
                <w:color w:val="auto"/>
                <w:highlight w:val="none"/>
              </w:rPr>
            </w:pPr>
            <w:r>
              <w:rPr>
                <w:rFonts w:hint="eastAsia" w:ascii="仿宋" w:hAnsi="仿宋" w:eastAsia="仿宋" w:cs="仿宋_GB2312"/>
                <w:color w:val="auto"/>
                <w:sz w:val="24"/>
                <w:highlight w:val="none"/>
              </w:rPr>
              <w:t>见响应文件第页</w:t>
            </w:r>
          </w:p>
        </w:tc>
      </w:tr>
    </w:tbl>
    <w:p w14:paraId="0ED7098D">
      <w:pPr>
        <w:rPr>
          <w:rFonts w:ascii="仿宋" w:hAnsi="仿宋" w:eastAsia="仿宋" w:cs="仿宋_GB2312"/>
          <w:b/>
          <w:color w:val="auto"/>
          <w:kern w:val="0"/>
          <w:sz w:val="32"/>
          <w:szCs w:val="32"/>
          <w:highlight w:val="none"/>
        </w:rPr>
      </w:pPr>
    </w:p>
    <w:p w14:paraId="46853EBD">
      <w:pPr>
        <w:jc w:val="center"/>
        <w:rPr>
          <w:rFonts w:ascii="仿宋" w:hAnsi="仿宋" w:eastAsia="仿宋"/>
          <w:color w:val="auto"/>
          <w:highlight w:val="none"/>
        </w:rPr>
      </w:pPr>
      <w:r>
        <w:rPr>
          <w:rFonts w:hint="eastAsia" w:ascii="仿宋" w:hAnsi="仿宋" w:eastAsia="仿宋" w:cs="仿宋_GB2312"/>
          <w:b/>
          <w:color w:val="auto"/>
          <w:kern w:val="0"/>
          <w:sz w:val="32"/>
          <w:szCs w:val="32"/>
          <w:highlight w:val="none"/>
        </w:rPr>
        <w:t>五、评标标准相应的商务技术资料</w:t>
      </w:r>
    </w:p>
    <w:p w14:paraId="2BA95F55">
      <w:pPr>
        <w:snapToGrid w:val="0"/>
        <w:spacing w:line="360" w:lineRule="auto"/>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（按征集文件第四部分评标办法前附表中“响应文件中评标标准相应的商务技术资料目录”提供资料）</w:t>
      </w:r>
    </w:p>
    <w:p w14:paraId="2F08FF7F">
      <w:pPr>
        <w:jc w:val="center"/>
        <w:rPr>
          <w:rFonts w:ascii="仿宋" w:hAnsi="仿宋" w:eastAsia="仿宋" w:cs="仿宋_GB2312"/>
          <w:b/>
          <w:color w:val="auto"/>
          <w:kern w:val="0"/>
          <w:sz w:val="32"/>
          <w:szCs w:val="32"/>
          <w:highlight w:val="none"/>
        </w:rPr>
      </w:pPr>
    </w:p>
    <w:p w14:paraId="6E184992">
      <w:pPr>
        <w:ind w:firstLine="2891" w:firstLineChars="900"/>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49"/>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EC0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07C633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3510C7">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D2F0492">
            <w:pPr>
              <w:spacing w:line="360" w:lineRule="auto"/>
              <w:jc w:val="center"/>
              <w:rPr>
                <w:rFonts w:ascii="仿宋" w:hAnsi="仿宋" w:eastAsia="仿宋" w:cs="仿宋"/>
                <w:b/>
                <w:color w:val="auto"/>
                <w:sz w:val="24"/>
                <w:highlight w:val="none"/>
              </w:rPr>
            </w:pPr>
          </w:p>
          <w:p w14:paraId="5B146E9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507B899B">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3CA5A0BA">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77E840F3">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6AB3D9C5">
            <w:pPr>
              <w:spacing w:line="360" w:lineRule="auto"/>
              <w:jc w:val="center"/>
              <w:rPr>
                <w:rFonts w:ascii="仿宋" w:hAnsi="仿宋" w:eastAsia="仿宋" w:cs="仿宋"/>
                <w:b/>
                <w:color w:val="auto"/>
                <w:sz w:val="24"/>
                <w:highlight w:val="none"/>
              </w:rPr>
            </w:pPr>
          </w:p>
          <w:p w14:paraId="116BB510">
            <w:pPr>
              <w:spacing w:line="360" w:lineRule="auto"/>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38FB5EC0">
            <w:pPr>
              <w:spacing w:line="360" w:lineRule="auto"/>
              <w:jc w:val="center"/>
              <w:rPr>
                <w:rFonts w:ascii="仿宋" w:hAnsi="仿宋" w:eastAsia="仿宋" w:cs="仿宋"/>
                <w:b/>
                <w:color w:val="auto"/>
                <w:sz w:val="24"/>
                <w:highlight w:val="none"/>
              </w:rPr>
            </w:pPr>
          </w:p>
        </w:tc>
      </w:tr>
      <w:tr w14:paraId="2B530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703BDF3">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1D6F6EF0">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E2134B2">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51ABB1A">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75E0114">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7B6E39F">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6A77B41C">
            <w:pPr>
              <w:spacing w:line="360" w:lineRule="auto"/>
              <w:jc w:val="center"/>
              <w:rPr>
                <w:rFonts w:ascii="仿宋" w:hAnsi="仿宋" w:eastAsia="仿宋" w:cs="仿宋"/>
                <w:color w:val="auto"/>
                <w:sz w:val="24"/>
                <w:highlight w:val="none"/>
              </w:rPr>
            </w:pPr>
          </w:p>
        </w:tc>
      </w:tr>
      <w:tr w14:paraId="221CA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C3F9540">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4349717D">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0B24427">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EA6C0DF">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413F046">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5EA9C2CC">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15E43E38">
            <w:pPr>
              <w:spacing w:line="360" w:lineRule="auto"/>
              <w:jc w:val="center"/>
              <w:rPr>
                <w:rFonts w:ascii="仿宋" w:hAnsi="仿宋" w:eastAsia="仿宋" w:cs="仿宋"/>
                <w:color w:val="auto"/>
                <w:sz w:val="24"/>
                <w:highlight w:val="none"/>
              </w:rPr>
            </w:pPr>
          </w:p>
        </w:tc>
      </w:tr>
      <w:tr w14:paraId="64856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82571FE">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C4CD749">
            <w:pPr>
              <w:snapToGrid w:val="0"/>
              <w:spacing w:line="360" w:lineRule="auto"/>
              <w:jc w:val="center"/>
              <w:rPr>
                <w:rFonts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CF417FC">
            <w:pPr>
              <w:snapToGrid w:val="0"/>
              <w:spacing w:line="360" w:lineRule="auto"/>
              <w:jc w:val="center"/>
              <w:rPr>
                <w:rFonts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2A6469DF">
            <w:pPr>
              <w:snapToGrid w:val="0"/>
              <w:spacing w:line="360" w:lineRule="auto"/>
              <w:jc w:val="center"/>
              <w:rPr>
                <w:rFonts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319B5AC3">
            <w:pPr>
              <w:spacing w:line="360" w:lineRule="auto"/>
              <w:jc w:val="center"/>
              <w:rPr>
                <w:rFonts w:ascii="仿宋" w:hAnsi="仿宋" w:eastAsia="仿宋" w:cs="仿宋"/>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1E13979E">
            <w:pPr>
              <w:spacing w:line="360" w:lineRule="auto"/>
              <w:jc w:val="center"/>
              <w:rPr>
                <w:rFonts w:ascii="仿宋" w:hAnsi="仿宋" w:eastAsia="仿宋" w:cs="仿宋"/>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14:paraId="4444DF96">
            <w:pPr>
              <w:spacing w:line="360" w:lineRule="auto"/>
              <w:jc w:val="center"/>
              <w:rPr>
                <w:rFonts w:ascii="仿宋" w:hAnsi="仿宋" w:eastAsia="仿宋" w:cs="仿宋"/>
                <w:color w:val="auto"/>
                <w:sz w:val="24"/>
                <w:highlight w:val="none"/>
              </w:rPr>
            </w:pPr>
          </w:p>
        </w:tc>
      </w:tr>
    </w:tbl>
    <w:p w14:paraId="3113976C">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5F94EBC">
      <w:pPr>
        <w:rPr>
          <w:rFonts w:ascii="仿宋" w:hAnsi="仿宋" w:eastAsia="仿宋" w:cs="仿宋_GB2312"/>
          <w:b/>
          <w:color w:val="auto"/>
          <w:kern w:val="0"/>
          <w:sz w:val="32"/>
          <w:szCs w:val="32"/>
          <w:highlight w:val="none"/>
        </w:rPr>
      </w:pPr>
    </w:p>
    <w:p w14:paraId="6AE70A87">
      <w:pPr>
        <w:jc w:val="center"/>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七、商务技术偏离表</w:t>
      </w:r>
    </w:p>
    <w:tbl>
      <w:tblPr>
        <w:tblStyle w:val="5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DE25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D2D530">
            <w:pPr>
              <w:jc w:val="center"/>
              <w:rPr>
                <w:rFonts w:ascii="仿宋" w:hAnsi="仿宋" w:eastAsia="仿宋"/>
                <w:b/>
                <w:bCs/>
                <w:color w:val="auto"/>
                <w:sz w:val="24"/>
                <w:highlight w:val="none"/>
              </w:rPr>
            </w:pPr>
            <w:r>
              <w:rPr>
                <w:rFonts w:hint="eastAsia" w:ascii="仿宋" w:hAnsi="仿宋" w:eastAsia="仿宋"/>
                <w:b/>
                <w:bCs/>
                <w:color w:val="auto"/>
                <w:sz w:val="24"/>
                <w:highlight w:val="none"/>
              </w:rPr>
              <w:t>序号</w:t>
            </w:r>
          </w:p>
        </w:tc>
        <w:tc>
          <w:tcPr>
            <w:tcW w:w="3683" w:type="dxa"/>
          </w:tcPr>
          <w:p w14:paraId="5161BB99">
            <w:pPr>
              <w:jc w:val="center"/>
              <w:rPr>
                <w:rFonts w:ascii="仿宋" w:hAnsi="仿宋" w:eastAsia="仿宋"/>
                <w:b/>
                <w:bCs/>
                <w:color w:val="auto"/>
                <w:sz w:val="24"/>
                <w:highlight w:val="none"/>
              </w:rPr>
            </w:pPr>
            <w:r>
              <w:rPr>
                <w:rFonts w:hint="eastAsia" w:ascii="仿宋" w:hAnsi="仿宋" w:eastAsia="仿宋"/>
                <w:b/>
                <w:bCs/>
                <w:color w:val="auto"/>
                <w:sz w:val="24"/>
                <w:highlight w:val="none"/>
              </w:rPr>
              <w:t>征集文件章节及具体内容</w:t>
            </w:r>
          </w:p>
        </w:tc>
        <w:tc>
          <w:tcPr>
            <w:tcW w:w="3546" w:type="dxa"/>
          </w:tcPr>
          <w:p w14:paraId="2ECDB01F">
            <w:pPr>
              <w:jc w:val="center"/>
              <w:rPr>
                <w:rFonts w:ascii="仿宋" w:hAnsi="仿宋" w:eastAsia="仿宋"/>
                <w:b/>
                <w:bCs/>
                <w:color w:val="auto"/>
                <w:sz w:val="24"/>
                <w:highlight w:val="none"/>
              </w:rPr>
            </w:pPr>
            <w:r>
              <w:rPr>
                <w:rFonts w:hint="eastAsia" w:ascii="仿宋" w:hAnsi="仿宋" w:eastAsia="仿宋"/>
                <w:b/>
                <w:bCs/>
                <w:color w:val="auto"/>
                <w:sz w:val="24"/>
                <w:highlight w:val="none"/>
              </w:rPr>
              <w:t>响应文件章节及具体内容</w:t>
            </w:r>
          </w:p>
        </w:tc>
        <w:tc>
          <w:tcPr>
            <w:tcW w:w="1276" w:type="dxa"/>
          </w:tcPr>
          <w:p w14:paraId="1BF8BE23">
            <w:pPr>
              <w:jc w:val="center"/>
              <w:rPr>
                <w:rFonts w:ascii="仿宋" w:hAnsi="仿宋" w:eastAsia="仿宋"/>
                <w:b/>
                <w:bCs/>
                <w:color w:val="auto"/>
                <w:sz w:val="24"/>
                <w:highlight w:val="none"/>
              </w:rPr>
            </w:pPr>
            <w:r>
              <w:rPr>
                <w:rFonts w:hint="eastAsia" w:ascii="仿宋" w:hAnsi="仿宋" w:eastAsia="仿宋"/>
                <w:b/>
                <w:bCs/>
                <w:color w:val="auto"/>
                <w:sz w:val="24"/>
                <w:highlight w:val="none"/>
              </w:rPr>
              <w:t>偏离说明</w:t>
            </w:r>
          </w:p>
        </w:tc>
      </w:tr>
      <w:tr w14:paraId="6CD4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04E35D8">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1</w:t>
            </w:r>
          </w:p>
        </w:tc>
        <w:tc>
          <w:tcPr>
            <w:tcW w:w="3683" w:type="dxa"/>
          </w:tcPr>
          <w:p w14:paraId="3350653B">
            <w:pPr>
              <w:jc w:val="center"/>
              <w:rPr>
                <w:rFonts w:ascii="仿宋" w:hAnsi="仿宋" w:eastAsia="仿宋" w:cs="仿宋_GB2312"/>
                <w:b/>
                <w:color w:val="auto"/>
                <w:kern w:val="0"/>
                <w:sz w:val="32"/>
                <w:szCs w:val="32"/>
                <w:highlight w:val="none"/>
              </w:rPr>
            </w:pPr>
          </w:p>
        </w:tc>
        <w:tc>
          <w:tcPr>
            <w:tcW w:w="3546" w:type="dxa"/>
          </w:tcPr>
          <w:p w14:paraId="3EBA379E">
            <w:pPr>
              <w:jc w:val="center"/>
              <w:rPr>
                <w:rFonts w:ascii="仿宋" w:hAnsi="仿宋" w:eastAsia="仿宋" w:cs="仿宋_GB2312"/>
                <w:b/>
                <w:color w:val="auto"/>
                <w:kern w:val="0"/>
                <w:sz w:val="32"/>
                <w:szCs w:val="32"/>
                <w:highlight w:val="none"/>
              </w:rPr>
            </w:pPr>
          </w:p>
        </w:tc>
        <w:tc>
          <w:tcPr>
            <w:tcW w:w="1276" w:type="dxa"/>
          </w:tcPr>
          <w:p w14:paraId="00A4D3B4">
            <w:pPr>
              <w:jc w:val="center"/>
              <w:rPr>
                <w:rFonts w:ascii="仿宋" w:hAnsi="仿宋" w:eastAsia="仿宋" w:cs="仿宋_GB2312"/>
                <w:b/>
                <w:color w:val="auto"/>
                <w:kern w:val="0"/>
                <w:sz w:val="32"/>
                <w:szCs w:val="32"/>
                <w:highlight w:val="none"/>
              </w:rPr>
            </w:pPr>
          </w:p>
        </w:tc>
      </w:tr>
      <w:tr w14:paraId="5E28F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542432F">
            <w:pPr>
              <w:jc w:val="center"/>
              <w:rPr>
                <w:rFonts w:ascii="仿宋" w:hAnsi="仿宋" w:eastAsia="仿宋" w:cs="仿宋_GB2312"/>
                <w:color w:val="auto"/>
                <w:kern w:val="0"/>
                <w:sz w:val="24"/>
                <w:highlight w:val="none"/>
              </w:rPr>
            </w:pPr>
            <w:r>
              <w:rPr>
                <w:rFonts w:ascii="仿宋" w:hAnsi="仿宋" w:eastAsia="仿宋" w:cs="仿宋_GB2312"/>
                <w:color w:val="auto"/>
                <w:kern w:val="0"/>
                <w:sz w:val="24"/>
                <w:highlight w:val="none"/>
              </w:rPr>
              <w:t>2</w:t>
            </w:r>
          </w:p>
        </w:tc>
        <w:tc>
          <w:tcPr>
            <w:tcW w:w="3683" w:type="dxa"/>
          </w:tcPr>
          <w:p w14:paraId="7AFC6D89">
            <w:pPr>
              <w:jc w:val="center"/>
              <w:rPr>
                <w:rFonts w:ascii="仿宋" w:hAnsi="仿宋" w:eastAsia="仿宋" w:cs="仿宋_GB2312"/>
                <w:b/>
                <w:color w:val="auto"/>
                <w:kern w:val="0"/>
                <w:sz w:val="32"/>
                <w:szCs w:val="32"/>
                <w:highlight w:val="none"/>
              </w:rPr>
            </w:pPr>
          </w:p>
        </w:tc>
        <w:tc>
          <w:tcPr>
            <w:tcW w:w="3546" w:type="dxa"/>
          </w:tcPr>
          <w:p w14:paraId="0AFEE727">
            <w:pPr>
              <w:jc w:val="center"/>
              <w:rPr>
                <w:rFonts w:ascii="仿宋" w:hAnsi="仿宋" w:eastAsia="仿宋" w:cs="仿宋_GB2312"/>
                <w:b/>
                <w:color w:val="auto"/>
                <w:kern w:val="0"/>
                <w:sz w:val="32"/>
                <w:szCs w:val="32"/>
                <w:highlight w:val="none"/>
              </w:rPr>
            </w:pPr>
          </w:p>
        </w:tc>
        <w:tc>
          <w:tcPr>
            <w:tcW w:w="1276" w:type="dxa"/>
          </w:tcPr>
          <w:p w14:paraId="22F4A7BB">
            <w:pPr>
              <w:jc w:val="center"/>
              <w:rPr>
                <w:rFonts w:ascii="仿宋" w:hAnsi="仿宋" w:eastAsia="仿宋" w:cs="仿宋_GB2312"/>
                <w:b/>
                <w:color w:val="auto"/>
                <w:kern w:val="0"/>
                <w:sz w:val="32"/>
                <w:szCs w:val="32"/>
                <w:highlight w:val="none"/>
              </w:rPr>
            </w:pPr>
          </w:p>
        </w:tc>
      </w:tr>
      <w:tr w14:paraId="790C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3BFD296">
            <w:pPr>
              <w:jc w:val="center"/>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w:t>
            </w:r>
          </w:p>
        </w:tc>
        <w:tc>
          <w:tcPr>
            <w:tcW w:w="3683" w:type="dxa"/>
          </w:tcPr>
          <w:p w14:paraId="5A201958">
            <w:pPr>
              <w:jc w:val="center"/>
              <w:rPr>
                <w:rFonts w:ascii="仿宋" w:hAnsi="仿宋" w:eastAsia="仿宋" w:cs="仿宋_GB2312"/>
                <w:b/>
                <w:color w:val="auto"/>
                <w:kern w:val="0"/>
                <w:sz w:val="32"/>
                <w:szCs w:val="32"/>
                <w:highlight w:val="none"/>
              </w:rPr>
            </w:pPr>
          </w:p>
        </w:tc>
        <w:tc>
          <w:tcPr>
            <w:tcW w:w="3546" w:type="dxa"/>
          </w:tcPr>
          <w:p w14:paraId="10374AA3">
            <w:pPr>
              <w:jc w:val="center"/>
              <w:rPr>
                <w:rFonts w:ascii="仿宋" w:hAnsi="仿宋" w:eastAsia="仿宋" w:cs="仿宋_GB2312"/>
                <w:b/>
                <w:color w:val="auto"/>
                <w:kern w:val="0"/>
                <w:sz w:val="32"/>
                <w:szCs w:val="32"/>
                <w:highlight w:val="none"/>
              </w:rPr>
            </w:pPr>
          </w:p>
        </w:tc>
        <w:tc>
          <w:tcPr>
            <w:tcW w:w="1276" w:type="dxa"/>
          </w:tcPr>
          <w:p w14:paraId="42C50E54">
            <w:pPr>
              <w:jc w:val="center"/>
              <w:rPr>
                <w:rFonts w:ascii="仿宋" w:hAnsi="仿宋" w:eastAsia="仿宋" w:cs="仿宋_GB2312"/>
                <w:b/>
                <w:color w:val="auto"/>
                <w:kern w:val="0"/>
                <w:sz w:val="32"/>
                <w:szCs w:val="32"/>
                <w:highlight w:val="none"/>
              </w:rPr>
            </w:pPr>
          </w:p>
        </w:tc>
      </w:tr>
    </w:tbl>
    <w:p w14:paraId="142982E7">
      <w:pPr>
        <w:jc w:val="left"/>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供应商保证：除商务技术偏离表列出的偏离外，供应商响应征集文件的全部要求</w:t>
      </w:r>
    </w:p>
    <w:p w14:paraId="1BB2751D">
      <w:pPr>
        <w:rPr>
          <w:rFonts w:ascii="仿宋" w:hAnsi="仿宋" w:eastAsia="仿宋" w:cs="仿宋_GB2312"/>
          <w:b/>
          <w:color w:val="auto"/>
          <w:kern w:val="0"/>
          <w:sz w:val="32"/>
          <w:szCs w:val="32"/>
          <w:highlight w:val="none"/>
        </w:rPr>
      </w:pPr>
    </w:p>
    <w:p w14:paraId="6268CFE4">
      <w:pPr>
        <w:ind w:firstLine="1911" w:firstLineChars="595"/>
        <w:rPr>
          <w:rFonts w:ascii="仿宋" w:hAnsi="仿宋" w:eastAsia="仿宋" w:cs="仿宋_GB2312"/>
          <w:b/>
          <w:color w:val="auto"/>
          <w:kern w:val="0"/>
          <w:sz w:val="32"/>
          <w:szCs w:val="32"/>
          <w:highlight w:val="none"/>
        </w:rPr>
      </w:pPr>
      <w:r>
        <w:rPr>
          <w:rFonts w:hint="eastAsia" w:ascii="仿宋" w:hAnsi="仿宋" w:eastAsia="仿宋" w:cs="仿宋_GB2312"/>
          <w:b/>
          <w:color w:val="auto"/>
          <w:kern w:val="0"/>
          <w:sz w:val="32"/>
          <w:szCs w:val="32"/>
          <w:highlight w:val="none"/>
        </w:rPr>
        <w:t>八、</w:t>
      </w:r>
      <w:r>
        <w:rPr>
          <w:rFonts w:hint="eastAsia" w:ascii="仿宋" w:hAnsi="仿宋" w:eastAsia="仿宋" w:cs="仿宋_GB2312"/>
          <w:b/>
          <w:color w:val="auto"/>
          <w:kern w:val="0"/>
          <w:sz w:val="32"/>
          <w:szCs w:val="32"/>
          <w:highlight w:val="none"/>
          <w:lang w:val="zh-CN"/>
        </w:rPr>
        <w:t>政府采购供应商廉洁自律承诺书</w:t>
      </w:r>
    </w:p>
    <w:p w14:paraId="2F8A8013">
      <w:pPr>
        <w:snapToGrid w:val="0"/>
        <w:spacing w:line="360" w:lineRule="auto"/>
        <w:rPr>
          <w:rFonts w:ascii="仿宋" w:hAnsi="仿宋" w:eastAsia="仿宋" w:cs="仿宋_GB2312"/>
          <w:color w:val="auto"/>
          <w:sz w:val="24"/>
          <w:highlight w:val="none"/>
        </w:rPr>
      </w:pPr>
    </w:p>
    <w:p w14:paraId="24BB90CD">
      <w:pPr>
        <w:snapToGrid w:val="0"/>
        <w:spacing w:line="360" w:lineRule="auto"/>
        <w:rPr>
          <w:rFonts w:ascii="仿宋" w:hAnsi="仿宋" w:eastAsia="仿宋" w:cs="仿宋_GB2312"/>
          <w:color w:val="auto"/>
          <w:kern w:val="0"/>
          <w:sz w:val="24"/>
          <w:highlight w:val="none"/>
        </w:rPr>
      </w:pPr>
      <w:r>
        <w:rPr>
          <w:rFonts w:hint="eastAsia" w:ascii="仿宋" w:hAnsi="仿宋" w:eastAsia="仿宋" w:cs="仿宋_GB2312"/>
          <w:color w:val="auto"/>
          <w:sz w:val="24"/>
          <w:highlight w:val="none"/>
        </w:rPr>
        <w:t>（征集人）、（采购代理机构）</w:t>
      </w:r>
      <w:r>
        <w:rPr>
          <w:rFonts w:hint="eastAsia" w:ascii="仿宋" w:hAnsi="仿宋" w:eastAsia="仿宋" w:cs="仿宋_GB2312"/>
          <w:color w:val="auto"/>
          <w:kern w:val="0"/>
          <w:sz w:val="24"/>
          <w:highlight w:val="none"/>
          <w:lang w:val="zh-CN"/>
        </w:rPr>
        <w:t>：</w:t>
      </w:r>
    </w:p>
    <w:p w14:paraId="70086CC5">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我单位响应你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项目征集要求参加投标。在这次投标过程中和中标后，我们将严格遵守国家法律法规要求，并郑重承诺：</w:t>
      </w:r>
    </w:p>
    <w:p w14:paraId="471EA986">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一、不向项目有关人员及部门赠送礼金礼物、有价证券、回扣以及中介费、介绍费、咨询费等好处费；</w:t>
      </w:r>
    </w:p>
    <w:p w14:paraId="06059FE8">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二、不为项目有关人员及部门报销应由你方单位或个人支付的费用；</w:t>
      </w:r>
    </w:p>
    <w:p w14:paraId="06B9BBAB">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三、不向项目有关人员及部门提供有可能影响公正的宴请和健身娱乐等活动；</w:t>
      </w:r>
    </w:p>
    <w:p w14:paraId="47942BBD">
      <w:pPr>
        <w:autoSpaceDE w:val="0"/>
        <w:autoSpaceDN w:val="0"/>
        <w:spacing w:line="360" w:lineRule="auto"/>
        <w:ind w:left="2" w:leftChars="1"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四、不为项目有关人员及部门出国（境）、旅游等提供方便；</w:t>
      </w:r>
    </w:p>
    <w:p w14:paraId="3D92091B">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五、不为项目有关人员个人装修住房、婚丧嫁娶、配偶子女工作安排等提供</w:t>
      </w:r>
    </w:p>
    <w:p w14:paraId="25759901">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好处；</w:t>
      </w:r>
    </w:p>
    <w:p w14:paraId="78A9D235">
      <w:pPr>
        <w:autoSpaceDE w:val="0"/>
        <w:autoSpaceDN w:val="0"/>
        <w:spacing w:line="360" w:lineRule="auto"/>
        <w:ind w:left="481" w:leftChars="229"/>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六、严格遵守《</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政府采购法》《</w:t>
      </w:r>
      <w:r>
        <w:rPr>
          <w:rFonts w:hint="eastAsia" w:ascii="仿宋" w:hAnsi="仿宋" w:eastAsia="仿宋"/>
          <w:color w:val="auto"/>
          <w:sz w:val="24"/>
          <w:highlight w:val="none"/>
          <w:lang w:val="zh-CN"/>
        </w:rPr>
        <w:t>中华人民共和国</w:t>
      </w:r>
      <w:r>
        <w:rPr>
          <w:rFonts w:hint="eastAsia" w:ascii="仿宋" w:hAnsi="仿宋" w:eastAsia="仿宋" w:cs="仿宋_GB2312"/>
          <w:color w:val="auto"/>
          <w:kern w:val="0"/>
          <w:sz w:val="24"/>
          <w:highlight w:val="none"/>
          <w:lang w:val="zh-CN"/>
        </w:rPr>
        <w:t>征集投标</w:t>
      </w:r>
    </w:p>
    <w:p w14:paraId="499C4455">
      <w:pPr>
        <w:autoSpaceDE w:val="0"/>
        <w:autoSpaceDN w:val="0"/>
        <w:spacing w:line="360" w:lineRule="auto"/>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法》</w:t>
      </w:r>
      <w:r>
        <w:rPr>
          <w:rFonts w:hint="eastAsia" w:ascii="仿宋" w:hAnsi="仿宋" w:eastAsia="仿宋"/>
          <w:color w:val="auto"/>
          <w:sz w:val="24"/>
          <w:highlight w:val="none"/>
          <w:lang w:val="zh-CN"/>
        </w:rPr>
        <w:t>《中华人民共和国民法典》</w:t>
      </w:r>
      <w:r>
        <w:rPr>
          <w:rFonts w:hint="eastAsia" w:ascii="仿宋" w:hAnsi="仿宋" w:eastAsia="仿宋" w:cs="仿宋_GB2312"/>
          <w:color w:val="auto"/>
          <w:kern w:val="0"/>
          <w:sz w:val="24"/>
          <w:highlight w:val="none"/>
          <w:lang w:val="zh-CN"/>
        </w:rPr>
        <w:t>等法律法规，诚实守信，合法经营，坚决抵制各种违法违纪行为。</w:t>
      </w:r>
    </w:p>
    <w:p w14:paraId="5649B629">
      <w:pPr>
        <w:autoSpaceDE w:val="0"/>
        <w:autoSpaceDN w:val="0"/>
        <w:spacing w:line="360" w:lineRule="auto"/>
        <w:ind w:firstLine="480" w:firstLineChars="2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如违反上述承诺，你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_GB2312"/>
          <w:color w:val="auto"/>
          <w:sz w:val="24"/>
          <w:highlight w:val="none"/>
        </w:rPr>
        <w:t>单位</w:t>
      </w:r>
      <w:r>
        <w:rPr>
          <w:rFonts w:hint="eastAsia" w:ascii="仿宋" w:hAnsi="仿宋" w:eastAsia="仿宋" w:cs="仿宋_GB2312"/>
          <w:color w:val="auto"/>
          <w:kern w:val="0"/>
          <w:sz w:val="24"/>
          <w:highlight w:val="none"/>
          <w:lang w:val="zh-CN"/>
        </w:rPr>
        <w:t>进行项目建设或其他经营活动，并通报区财政局。由此引起的相应损失均由我单位承担。</w:t>
      </w:r>
    </w:p>
    <w:p w14:paraId="00022147">
      <w:pPr>
        <w:autoSpaceDE w:val="0"/>
        <w:autoSpaceDN w:val="0"/>
        <w:spacing w:line="360" w:lineRule="auto"/>
        <w:ind w:left="2"/>
        <w:jc w:val="left"/>
        <w:rPr>
          <w:rFonts w:ascii="仿宋" w:hAnsi="仿宋" w:eastAsia="仿宋" w:cs="仿宋_GB2312"/>
          <w:color w:val="auto"/>
          <w:kern w:val="0"/>
          <w:sz w:val="24"/>
          <w:highlight w:val="none"/>
          <w:lang w:val="zh-CN"/>
        </w:rPr>
      </w:pPr>
    </w:p>
    <w:p w14:paraId="2AD24070">
      <w:pPr>
        <w:autoSpaceDE w:val="0"/>
        <w:autoSpaceDN w:val="0"/>
        <w:spacing w:line="360" w:lineRule="auto"/>
        <w:ind w:left="2" w:leftChars="1" w:right="1120" w:firstLine="4560" w:firstLineChars="1900"/>
        <w:jc w:val="left"/>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响应供应商名称（</w:t>
      </w:r>
      <w:r>
        <w:rPr>
          <w:rFonts w:hint="eastAsia" w:ascii="仿宋" w:hAnsi="仿宋" w:eastAsia="仿宋" w:cs="仿宋_GB2312"/>
          <w:color w:val="auto"/>
          <w:sz w:val="24"/>
          <w:highlight w:val="none"/>
        </w:rPr>
        <w:t>电子签名</w:t>
      </w:r>
      <w:r>
        <w:rPr>
          <w:rFonts w:hint="eastAsia" w:ascii="仿宋" w:hAnsi="仿宋" w:eastAsia="仿宋" w:cs="仿宋_GB2312"/>
          <w:color w:val="auto"/>
          <w:kern w:val="0"/>
          <w:sz w:val="24"/>
          <w:highlight w:val="none"/>
          <w:lang w:val="zh-CN"/>
        </w:rPr>
        <w:t>）：</w:t>
      </w:r>
    </w:p>
    <w:p w14:paraId="1BFE22CC">
      <w:pPr>
        <w:spacing w:line="360" w:lineRule="auto"/>
        <w:ind w:left="4620" w:leftChars="2200"/>
        <w:rPr>
          <w:rFonts w:ascii="仿宋" w:hAnsi="仿宋" w:eastAsia="仿宋"/>
          <w:color w:val="auto"/>
          <w:sz w:val="24"/>
          <w:highlight w:val="none"/>
        </w:rPr>
      </w:pPr>
      <w:r>
        <w:rPr>
          <w:rFonts w:hint="eastAsia" w:ascii="仿宋" w:hAnsi="仿宋" w:eastAsia="仿宋" w:cs="仿宋_GB2312"/>
          <w:color w:val="auto"/>
          <w:kern w:val="0"/>
          <w:sz w:val="24"/>
          <w:highlight w:val="none"/>
          <w:lang w:val="zh-CN"/>
        </w:rPr>
        <w:t>日期</w:t>
      </w:r>
      <w:r>
        <w:rPr>
          <w:rFonts w:hint="eastAsia" w:ascii="仿宋" w:hAnsi="仿宋" w:eastAsia="仿宋" w:cs="仿宋_GB2312"/>
          <w:color w:val="auto"/>
          <w:kern w:val="0"/>
          <w:sz w:val="24"/>
          <w:highlight w:val="none"/>
        </w:rPr>
        <w:t>：</w:t>
      </w:r>
      <w:r>
        <w:rPr>
          <w:rFonts w:ascii="仿宋" w:hAnsi="仿宋" w:eastAsia="仿宋" w:cs="仿宋_GB2312"/>
          <w:color w:val="auto"/>
          <w:kern w:val="0"/>
          <w:sz w:val="24"/>
          <w:highlight w:val="none"/>
          <w:lang w:val="zh-CN"/>
        </w:rPr>
        <w:t xml:space="preserve">   年   月   日</w:t>
      </w:r>
    </w:p>
    <w:p w14:paraId="094986E6">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2B7D2741">
      <w:pP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br w:type="page"/>
      </w:r>
    </w:p>
    <w:p w14:paraId="77B37627">
      <w:pPr>
        <w:snapToGrid w:val="0"/>
        <w:spacing w:line="360" w:lineRule="auto"/>
        <w:jc w:val="center"/>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报价文件部分</w:t>
      </w:r>
    </w:p>
    <w:p w14:paraId="2DB59849">
      <w:pPr>
        <w:spacing w:line="360" w:lineRule="auto"/>
        <w:jc w:val="center"/>
        <w:outlineLvl w:val="0"/>
        <w:rPr>
          <w:rFonts w:ascii="仿宋" w:hAnsi="仿宋" w:eastAsia="仿宋" w:cs="仿宋_GB2312"/>
          <w:b/>
          <w:color w:val="auto"/>
          <w:kern w:val="0"/>
          <w:sz w:val="24"/>
          <w:highlight w:val="none"/>
        </w:rPr>
      </w:pPr>
    </w:p>
    <w:p w14:paraId="60DEC642">
      <w:pPr>
        <w:spacing w:line="360" w:lineRule="auto"/>
        <w:jc w:val="center"/>
        <w:outlineLvl w:val="0"/>
        <w:rPr>
          <w:rFonts w:ascii="仿宋" w:hAnsi="仿宋" w:eastAsia="仿宋" w:cs="仿宋_GB2312"/>
          <w:b/>
          <w:color w:val="auto"/>
          <w:kern w:val="0"/>
          <w:sz w:val="36"/>
          <w:szCs w:val="36"/>
          <w:highlight w:val="none"/>
        </w:rPr>
      </w:pPr>
      <w:r>
        <w:rPr>
          <w:rFonts w:hint="eastAsia" w:ascii="仿宋" w:hAnsi="仿宋" w:eastAsia="仿宋" w:cs="仿宋_GB2312"/>
          <w:b/>
          <w:color w:val="auto"/>
          <w:kern w:val="0"/>
          <w:sz w:val="36"/>
          <w:szCs w:val="36"/>
          <w:highlight w:val="none"/>
        </w:rPr>
        <w:t>目录</w:t>
      </w:r>
    </w:p>
    <w:p w14:paraId="29960334">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（1）投标（开标）一览表…………………………………………（页码）</w:t>
      </w:r>
    </w:p>
    <w:p w14:paraId="3366902C">
      <w:pPr>
        <w:spacing w:line="360" w:lineRule="auto"/>
        <w:outlineLvl w:val="0"/>
        <w:rPr>
          <w:rFonts w:ascii="仿宋" w:hAnsi="仿宋" w:eastAsia="仿宋" w:cs="仿宋_GB2312"/>
          <w:color w:val="auto"/>
          <w:kern w:val="0"/>
          <w:sz w:val="24"/>
          <w:highlight w:val="none"/>
        </w:rPr>
      </w:pPr>
      <w:r>
        <w:rPr>
          <w:rFonts w:hint="eastAsia" w:ascii="仿宋" w:hAnsi="仿宋" w:eastAsia="仿宋" w:cs="仿宋_GB2312"/>
          <w:color w:val="auto"/>
          <w:kern w:val="0"/>
          <w:sz w:val="24"/>
          <w:highlight w:val="none"/>
        </w:rPr>
        <w:t>（2）中小企业声明函………………………………………………（页码）</w:t>
      </w:r>
    </w:p>
    <w:p w14:paraId="106F487B">
      <w:pPr>
        <w:spacing w:line="360" w:lineRule="auto"/>
        <w:ind w:left="2" w:firstLine="480" w:firstLineChars="200"/>
        <w:rPr>
          <w:rFonts w:ascii="仿宋" w:hAnsi="仿宋" w:eastAsia="仿宋" w:cs="仿宋_GB2312"/>
          <w:color w:val="auto"/>
          <w:sz w:val="24"/>
          <w:highlight w:val="none"/>
        </w:rPr>
      </w:pPr>
    </w:p>
    <w:p w14:paraId="31CEF6CC">
      <w:pPr>
        <w:spacing w:line="360" w:lineRule="auto"/>
        <w:ind w:left="2" w:firstLine="480" w:firstLineChars="200"/>
        <w:rPr>
          <w:rFonts w:ascii="仿宋" w:hAnsi="仿宋" w:eastAsia="仿宋" w:cs="仿宋_GB2312"/>
          <w:color w:val="auto"/>
          <w:sz w:val="24"/>
          <w:highlight w:val="none"/>
        </w:rPr>
      </w:pPr>
    </w:p>
    <w:p w14:paraId="0E8E9EC7">
      <w:pPr>
        <w:spacing w:line="360" w:lineRule="auto"/>
        <w:ind w:left="2" w:firstLine="480" w:firstLineChars="200"/>
        <w:rPr>
          <w:rFonts w:ascii="仿宋" w:hAnsi="仿宋" w:eastAsia="仿宋" w:cs="仿宋_GB2312"/>
          <w:color w:val="auto"/>
          <w:sz w:val="24"/>
          <w:highlight w:val="none"/>
        </w:rPr>
      </w:pPr>
    </w:p>
    <w:p w14:paraId="68F73731">
      <w:pPr>
        <w:spacing w:line="360" w:lineRule="auto"/>
        <w:ind w:left="2" w:firstLine="480" w:firstLineChars="200"/>
        <w:rPr>
          <w:rFonts w:ascii="仿宋" w:hAnsi="仿宋" w:eastAsia="仿宋" w:cs="仿宋_GB2312"/>
          <w:color w:val="auto"/>
          <w:sz w:val="24"/>
          <w:highlight w:val="none"/>
        </w:rPr>
      </w:pPr>
    </w:p>
    <w:p w14:paraId="591F1FFA">
      <w:pPr>
        <w:spacing w:line="360" w:lineRule="auto"/>
        <w:ind w:left="2" w:firstLine="480" w:firstLineChars="200"/>
        <w:rPr>
          <w:rFonts w:ascii="仿宋" w:hAnsi="仿宋" w:eastAsia="仿宋" w:cs="仿宋_GB2312"/>
          <w:color w:val="auto"/>
          <w:sz w:val="24"/>
          <w:highlight w:val="none"/>
        </w:rPr>
      </w:pPr>
    </w:p>
    <w:p w14:paraId="3976C459">
      <w:pPr>
        <w:snapToGrid w:val="0"/>
        <w:spacing w:line="360" w:lineRule="auto"/>
        <w:jc w:val="center"/>
        <w:outlineLvl w:val="0"/>
        <w:rPr>
          <w:rFonts w:ascii="仿宋" w:hAnsi="仿宋" w:eastAsia="仿宋" w:cs="仿宋_GB2312"/>
          <w:b/>
          <w:color w:val="auto"/>
          <w:kern w:val="0"/>
          <w:sz w:val="32"/>
          <w:szCs w:val="32"/>
          <w:highlight w:val="none"/>
        </w:rPr>
      </w:pPr>
    </w:p>
    <w:p w14:paraId="749A2E2A">
      <w:pPr>
        <w:snapToGrid w:val="0"/>
        <w:spacing w:line="360" w:lineRule="auto"/>
        <w:jc w:val="center"/>
        <w:outlineLvl w:val="0"/>
        <w:rPr>
          <w:rFonts w:ascii="仿宋" w:hAnsi="仿宋" w:eastAsia="仿宋" w:cs="仿宋_GB2312"/>
          <w:b/>
          <w:color w:val="auto"/>
          <w:kern w:val="0"/>
          <w:sz w:val="32"/>
          <w:szCs w:val="32"/>
          <w:highlight w:val="none"/>
        </w:rPr>
      </w:pPr>
    </w:p>
    <w:p w14:paraId="6DEA1C2A">
      <w:pPr>
        <w:snapToGrid w:val="0"/>
        <w:spacing w:line="360" w:lineRule="auto"/>
        <w:jc w:val="center"/>
        <w:outlineLvl w:val="0"/>
        <w:rPr>
          <w:rFonts w:ascii="仿宋" w:hAnsi="仿宋" w:eastAsia="仿宋" w:cs="仿宋_GB2312"/>
          <w:b/>
          <w:color w:val="auto"/>
          <w:kern w:val="0"/>
          <w:sz w:val="32"/>
          <w:szCs w:val="32"/>
          <w:highlight w:val="none"/>
        </w:rPr>
      </w:pPr>
    </w:p>
    <w:p w14:paraId="0E992629">
      <w:pPr>
        <w:snapToGrid w:val="0"/>
        <w:spacing w:line="360" w:lineRule="auto"/>
        <w:jc w:val="center"/>
        <w:outlineLvl w:val="0"/>
        <w:rPr>
          <w:rFonts w:ascii="仿宋" w:hAnsi="仿宋" w:eastAsia="仿宋" w:cs="仿宋_GB2312"/>
          <w:b/>
          <w:color w:val="auto"/>
          <w:kern w:val="0"/>
          <w:sz w:val="32"/>
          <w:szCs w:val="32"/>
          <w:highlight w:val="none"/>
        </w:rPr>
      </w:pPr>
    </w:p>
    <w:p w14:paraId="762D6793">
      <w:pPr>
        <w:snapToGrid w:val="0"/>
        <w:spacing w:line="360" w:lineRule="auto"/>
        <w:jc w:val="center"/>
        <w:outlineLvl w:val="0"/>
        <w:rPr>
          <w:rFonts w:ascii="仿宋" w:hAnsi="仿宋" w:eastAsia="仿宋" w:cs="仿宋_GB2312"/>
          <w:b/>
          <w:color w:val="auto"/>
          <w:kern w:val="0"/>
          <w:sz w:val="32"/>
          <w:szCs w:val="32"/>
          <w:highlight w:val="none"/>
        </w:rPr>
      </w:pPr>
    </w:p>
    <w:p w14:paraId="33D5F5C8">
      <w:pPr>
        <w:snapToGrid w:val="0"/>
        <w:spacing w:line="360" w:lineRule="auto"/>
        <w:jc w:val="center"/>
        <w:outlineLvl w:val="0"/>
        <w:rPr>
          <w:rFonts w:ascii="仿宋" w:hAnsi="仿宋" w:eastAsia="仿宋" w:cs="仿宋_GB2312"/>
          <w:b/>
          <w:color w:val="auto"/>
          <w:kern w:val="0"/>
          <w:sz w:val="32"/>
          <w:szCs w:val="32"/>
          <w:highlight w:val="none"/>
        </w:rPr>
      </w:pPr>
    </w:p>
    <w:p w14:paraId="61B780B9">
      <w:pPr>
        <w:snapToGrid w:val="0"/>
        <w:spacing w:line="360" w:lineRule="auto"/>
        <w:jc w:val="center"/>
        <w:outlineLvl w:val="0"/>
        <w:rPr>
          <w:rFonts w:ascii="仿宋" w:hAnsi="仿宋" w:eastAsia="仿宋" w:cs="仿宋_GB2312"/>
          <w:b/>
          <w:color w:val="auto"/>
          <w:kern w:val="0"/>
          <w:sz w:val="32"/>
          <w:szCs w:val="32"/>
          <w:highlight w:val="none"/>
        </w:rPr>
      </w:pPr>
    </w:p>
    <w:p w14:paraId="739B12A3">
      <w:pPr>
        <w:snapToGrid w:val="0"/>
        <w:spacing w:line="360" w:lineRule="auto"/>
        <w:jc w:val="center"/>
        <w:outlineLvl w:val="0"/>
        <w:rPr>
          <w:rFonts w:ascii="仿宋" w:hAnsi="仿宋" w:eastAsia="仿宋" w:cs="仿宋_GB2312"/>
          <w:b/>
          <w:color w:val="auto"/>
          <w:kern w:val="0"/>
          <w:sz w:val="32"/>
          <w:szCs w:val="32"/>
          <w:highlight w:val="none"/>
        </w:rPr>
      </w:pPr>
    </w:p>
    <w:p w14:paraId="41E73637">
      <w:pPr>
        <w:snapToGrid w:val="0"/>
        <w:spacing w:line="360" w:lineRule="auto"/>
        <w:jc w:val="center"/>
        <w:outlineLvl w:val="0"/>
        <w:rPr>
          <w:rFonts w:ascii="仿宋" w:hAnsi="仿宋" w:eastAsia="仿宋" w:cs="仿宋_GB2312"/>
          <w:b/>
          <w:color w:val="auto"/>
          <w:kern w:val="0"/>
          <w:sz w:val="32"/>
          <w:szCs w:val="32"/>
          <w:highlight w:val="none"/>
        </w:rPr>
      </w:pPr>
    </w:p>
    <w:p w14:paraId="34BE5334">
      <w:pPr>
        <w:snapToGrid w:val="0"/>
        <w:spacing w:line="360" w:lineRule="auto"/>
        <w:jc w:val="center"/>
        <w:outlineLvl w:val="0"/>
        <w:rPr>
          <w:rFonts w:ascii="仿宋" w:hAnsi="仿宋" w:eastAsia="仿宋" w:cs="仿宋_GB2312"/>
          <w:b/>
          <w:color w:val="auto"/>
          <w:kern w:val="0"/>
          <w:sz w:val="32"/>
          <w:szCs w:val="32"/>
          <w:highlight w:val="none"/>
        </w:rPr>
      </w:pPr>
    </w:p>
    <w:p w14:paraId="2872620B">
      <w:pPr>
        <w:snapToGrid w:val="0"/>
        <w:spacing w:line="360" w:lineRule="auto"/>
        <w:jc w:val="center"/>
        <w:outlineLvl w:val="0"/>
        <w:rPr>
          <w:rFonts w:ascii="仿宋" w:hAnsi="仿宋" w:eastAsia="仿宋" w:cs="仿宋_GB2312"/>
          <w:b/>
          <w:color w:val="auto"/>
          <w:kern w:val="0"/>
          <w:sz w:val="32"/>
          <w:szCs w:val="32"/>
          <w:highlight w:val="none"/>
        </w:rPr>
      </w:pPr>
    </w:p>
    <w:p w14:paraId="3C4F7009">
      <w:pPr>
        <w:snapToGrid w:val="0"/>
        <w:spacing w:line="360" w:lineRule="auto"/>
        <w:rPr>
          <w:rFonts w:ascii="仿宋" w:hAnsi="仿宋" w:eastAsia="仿宋"/>
          <w:color w:val="auto"/>
          <w:sz w:val="24"/>
          <w:highlight w:val="none"/>
        </w:rPr>
      </w:pPr>
    </w:p>
    <w:p w14:paraId="16486632">
      <w:pPr>
        <w:snapToGrid w:val="0"/>
        <w:spacing w:line="360" w:lineRule="auto"/>
        <w:jc w:val="center"/>
        <w:rPr>
          <w:rFonts w:ascii="仿宋" w:hAnsi="仿宋" w:eastAsia="仿宋"/>
          <w:color w:val="auto"/>
          <w:sz w:val="24"/>
          <w:highlight w:val="none"/>
        </w:rPr>
        <w:sectPr>
          <w:headerReference r:id="rId11" w:type="first"/>
          <w:pgSz w:w="11906" w:h="16838"/>
          <w:pgMar w:top="777"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14:paraId="2D09BBC8">
      <w:pPr>
        <w:pStyle w:val="675"/>
        <w:keepNext w:val="0"/>
        <w:pageBreakBefore w:val="0"/>
        <w:tabs>
          <w:tab w:val="clear" w:pos="720"/>
        </w:tabs>
        <w:snapToGrid w:val="0"/>
        <w:spacing w:before="120" w:after="120"/>
        <w:ind w:firstLine="640"/>
        <w:outlineLvl w:val="9"/>
        <w:rPr>
          <w:rFonts w:hint="eastAsia" w:ascii="仿宋" w:hAnsi="仿宋" w:eastAsia="仿宋" w:cs="仿宋_GB2312"/>
          <w:color w:val="auto"/>
          <w:kern w:val="2"/>
          <w:sz w:val="32"/>
          <w:szCs w:val="32"/>
          <w:highlight w:val="none"/>
          <w:lang w:eastAsia="zh-CN"/>
        </w:rPr>
      </w:pPr>
      <w:r>
        <w:rPr>
          <w:rFonts w:hint="eastAsia" w:ascii="仿宋" w:hAnsi="仿宋" w:eastAsia="仿宋" w:cs="仿宋_GB2312"/>
          <w:color w:val="auto"/>
          <w:kern w:val="2"/>
          <w:sz w:val="32"/>
          <w:szCs w:val="32"/>
          <w:highlight w:val="none"/>
        </w:rPr>
        <w:t>一、投标(开标)一览表</w:t>
      </w:r>
      <w:r>
        <w:rPr>
          <w:rFonts w:hint="eastAsia" w:ascii="仿宋" w:hAnsi="仿宋" w:eastAsia="仿宋" w:cs="仿宋_GB2312"/>
          <w:color w:val="auto"/>
          <w:kern w:val="2"/>
          <w:sz w:val="32"/>
          <w:szCs w:val="32"/>
          <w:highlight w:val="none"/>
          <w:lang w:eastAsia="zh-CN"/>
        </w:rPr>
        <w:t>（</w:t>
      </w:r>
      <w:r>
        <w:rPr>
          <w:rFonts w:hint="eastAsia" w:ascii="仿宋" w:hAnsi="仿宋" w:eastAsia="仿宋" w:cs="仿宋_GB2312"/>
          <w:color w:val="auto"/>
          <w:kern w:val="2"/>
          <w:sz w:val="32"/>
          <w:szCs w:val="32"/>
          <w:highlight w:val="none"/>
          <w:lang w:val="en-US" w:eastAsia="zh-CN"/>
        </w:rPr>
        <w:t>标项一</w:t>
      </w:r>
      <w:r>
        <w:rPr>
          <w:rFonts w:hint="eastAsia" w:ascii="仿宋" w:hAnsi="仿宋" w:eastAsia="仿宋" w:cs="仿宋_GB2312"/>
          <w:color w:val="auto"/>
          <w:kern w:val="2"/>
          <w:sz w:val="32"/>
          <w:szCs w:val="32"/>
          <w:highlight w:val="none"/>
          <w:lang w:eastAsia="zh-CN"/>
        </w:rPr>
        <w:t>）</w:t>
      </w:r>
    </w:p>
    <w:p w14:paraId="56779D85">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（征集人）、（采购代理机构）</w:t>
      </w:r>
      <w:r>
        <w:rPr>
          <w:rFonts w:hint="eastAsia" w:ascii="仿宋" w:hAnsi="仿宋" w:eastAsia="仿宋" w:cs="宋体"/>
          <w:color w:val="auto"/>
          <w:kern w:val="0"/>
          <w:sz w:val="24"/>
          <w:highlight w:val="none"/>
          <w:lang w:val="zh-CN"/>
        </w:rPr>
        <w:t>：</w:t>
      </w:r>
    </w:p>
    <w:p w14:paraId="0D76B3D2">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按你方征集文件要求，我们，本响应文件签字方，谨此向你方发出要约如下：如你方接受本投标，我方承诺按照如下开标一览表（报价表）的价格完成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【征集编号：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7818715D">
      <w:pPr>
        <w:spacing w:line="360" w:lineRule="auto"/>
        <w:jc w:val="center"/>
        <w:rPr>
          <w:rFonts w:hint="eastAsia"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49"/>
        <w:tblW w:w="15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981"/>
        <w:gridCol w:w="2952"/>
        <w:gridCol w:w="3200"/>
        <w:gridCol w:w="1976"/>
        <w:gridCol w:w="2027"/>
      </w:tblGrid>
      <w:tr w14:paraId="337C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082" w:type="dxa"/>
            <w:vAlign w:val="center"/>
          </w:tcPr>
          <w:p w14:paraId="5913FE04">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3981" w:type="dxa"/>
            <w:vAlign w:val="center"/>
          </w:tcPr>
          <w:p w14:paraId="7FD2CBF8">
            <w:pPr>
              <w:spacing w:line="360" w:lineRule="auto"/>
              <w:jc w:val="center"/>
              <w:rPr>
                <w:rFonts w:ascii="仿宋" w:hAnsi="仿宋" w:eastAsia="仿宋" w:cs="宋体"/>
                <w:b/>
                <w:color w:val="auto"/>
                <w:sz w:val="24"/>
                <w:highlight w:val="none"/>
              </w:rPr>
            </w:pPr>
            <w:r>
              <w:rPr>
                <w:rFonts w:hint="eastAsia" w:ascii="仿宋" w:hAnsi="仿宋" w:eastAsia="仿宋"/>
                <w:b/>
                <w:color w:val="auto"/>
                <w:sz w:val="24"/>
                <w:highlight w:val="none"/>
              </w:rPr>
              <w:t>名称</w:t>
            </w:r>
          </w:p>
        </w:tc>
        <w:tc>
          <w:tcPr>
            <w:tcW w:w="2952" w:type="dxa"/>
            <w:vAlign w:val="center"/>
          </w:tcPr>
          <w:p w14:paraId="618814FF">
            <w:pPr>
              <w:spacing w:line="360" w:lineRule="auto"/>
              <w:jc w:val="center"/>
              <w:rPr>
                <w:rFonts w:ascii="仿宋" w:hAnsi="仿宋" w:eastAsia="仿宋" w:cs="宋体"/>
                <w:b/>
                <w:color w:val="auto"/>
                <w:sz w:val="24"/>
                <w:highlight w:val="none"/>
              </w:rPr>
            </w:pPr>
            <w:r>
              <w:rPr>
                <w:rFonts w:hint="eastAsia" w:ascii="仿宋" w:hAnsi="仿宋" w:eastAsia="仿宋" w:cs="仿宋_GB2312"/>
                <w:b/>
                <w:color w:val="auto"/>
                <w:sz w:val="24"/>
                <w:highlight w:val="none"/>
              </w:rPr>
              <w:t>服务</w:t>
            </w:r>
            <w:r>
              <w:rPr>
                <w:rFonts w:hint="eastAsia" w:ascii="仿宋" w:hAnsi="仿宋" w:eastAsia="仿宋" w:cs="仿宋_GB2312"/>
                <w:b/>
                <w:color w:val="auto"/>
                <w:sz w:val="24"/>
                <w:highlight w:val="none"/>
                <w:lang w:val="en-US" w:eastAsia="zh-CN"/>
              </w:rPr>
              <w:t>内容</w:t>
            </w:r>
          </w:p>
        </w:tc>
        <w:tc>
          <w:tcPr>
            <w:tcW w:w="3200" w:type="dxa"/>
            <w:vAlign w:val="center"/>
          </w:tcPr>
          <w:p w14:paraId="6873F5B0">
            <w:pPr>
              <w:spacing w:line="360" w:lineRule="auto"/>
              <w:jc w:val="center"/>
              <w:rPr>
                <w:rFonts w:ascii="仿宋" w:hAnsi="仿宋" w:eastAsia="仿宋" w:cs="宋体"/>
                <w:b/>
                <w:color w:val="auto"/>
                <w:sz w:val="24"/>
                <w:highlight w:val="none"/>
              </w:rPr>
            </w:pPr>
            <w:r>
              <w:rPr>
                <w:rFonts w:hint="eastAsia" w:ascii="仿宋" w:hAnsi="仿宋" w:eastAsia="仿宋"/>
                <w:b/>
                <w:color w:val="auto"/>
                <w:sz w:val="24"/>
                <w:highlight w:val="none"/>
                <w:lang w:val="en-US" w:eastAsia="zh-CN"/>
              </w:rPr>
              <w:t>响应报价</w:t>
            </w:r>
          </w:p>
        </w:tc>
        <w:tc>
          <w:tcPr>
            <w:tcW w:w="1976" w:type="dxa"/>
            <w:vAlign w:val="center"/>
          </w:tcPr>
          <w:p w14:paraId="62FCF401">
            <w:pPr>
              <w:spacing w:line="360" w:lineRule="auto"/>
              <w:jc w:val="center"/>
              <w:rPr>
                <w:rFonts w:ascii="仿宋" w:hAnsi="仿宋" w:eastAsia="仿宋" w:cs="宋体"/>
                <w:b/>
                <w:color w:val="auto"/>
                <w:sz w:val="24"/>
                <w:highlight w:val="none"/>
              </w:rPr>
            </w:pPr>
            <w:r>
              <w:rPr>
                <w:rFonts w:hint="eastAsia" w:ascii="仿宋" w:hAnsi="仿宋" w:eastAsia="仿宋"/>
                <w:b/>
                <w:color w:val="auto"/>
                <w:sz w:val="24"/>
                <w:highlight w:val="none"/>
              </w:rPr>
              <w:t>服务标准</w:t>
            </w:r>
          </w:p>
        </w:tc>
        <w:tc>
          <w:tcPr>
            <w:tcW w:w="2027" w:type="dxa"/>
            <w:vAlign w:val="center"/>
          </w:tcPr>
          <w:p w14:paraId="73C00A55">
            <w:pPr>
              <w:spacing w:line="360" w:lineRule="auto"/>
              <w:jc w:val="center"/>
              <w:rPr>
                <w:rFonts w:ascii="仿宋" w:hAnsi="仿宋" w:eastAsia="仿宋"/>
                <w:b/>
                <w:color w:val="auto"/>
                <w:sz w:val="24"/>
                <w:highlight w:val="none"/>
              </w:rPr>
            </w:pPr>
          </w:p>
          <w:p w14:paraId="2A5DE492">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服务时间</w:t>
            </w:r>
          </w:p>
          <w:p w14:paraId="1867EBB0">
            <w:pPr>
              <w:spacing w:line="360" w:lineRule="auto"/>
              <w:jc w:val="center"/>
              <w:rPr>
                <w:rFonts w:ascii="仿宋" w:hAnsi="仿宋" w:eastAsia="仿宋" w:cs="宋体"/>
                <w:b/>
                <w:color w:val="auto"/>
                <w:sz w:val="24"/>
                <w:highlight w:val="none"/>
              </w:rPr>
            </w:pPr>
          </w:p>
        </w:tc>
      </w:tr>
      <w:tr w14:paraId="4AF8E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2" w:type="dxa"/>
            <w:vAlign w:val="center"/>
          </w:tcPr>
          <w:p w14:paraId="1B2972F4">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981" w:type="dxa"/>
            <w:vAlign w:val="center"/>
          </w:tcPr>
          <w:p w14:paraId="37B13EC7">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ascii="仿宋" w:hAnsi="仿宋" w:eastAsia="仿宋" w:cs="宋体"/>
                <w:color w:val="auto"/>
                <w:sz w:val="24"/>
                <w:highlight w:val="none"/>
              </w:rPr>
            </w:pPr>
            <w:r>
              <w:rPr>
                <w:rFonts w:hint="eastAsia" w:ascii="仿宋" w:hAnsi="仿宋" w:eastAsia="仿宋"/>
                <w:b w:val="0"/>
                <w:bCs/>
                <w:color w:val="auto"/>
                <w:sz w:val="24"/>
                <w:szCs w:val="24"/>
                <w:highlight w:val="none"/>
                <w:lang w:val="en-US" w:eastAsia="zh-CN"/>
              </w:rPr>
              <w:t>区域化居家养老服务</w:t>
            </w:r>
          </w:p>
        </w:tc>
        <w:tc>
          <w:tcPr>
            <w:tcW w:w="2952" w:type="dxa"/>
            <w:vAlign w:val="center"/>
          </w:tcPr>
          <w:p w14:paraId="2A5ADB9F">
            <w:pPr>
              <w:snapToGrid w:val="0"/>
              <w:spacing w:line="360" w:lineRule="auto"/>
              <w:jc w:val="center"/>
              <w:rPr>
                <w:rFonts w:ascii="仿宋" w:hAnsi="仿宋" w:eastAsia="仿宋" w:cs="宋体"/>
                <w:color w:val="auto"/>
                <w:sz w:val="24"/>
                <w:highlight w:val="none"/>
              </w:rPr>
            </w:pPr>
          </w:p>
        </w:tc>
        <w:tc>
          <w:tcPr>
            <w:tcW w:w="3200" w:type="dxa"/>
            <w:vAlign w:val="center"/>
          </w:tcPr>
          <w:p w14:paraId="271980C2">
            <w:pPr>
              <w:snapToGrid w:val="0"/>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lang w:val="en-US" w:eastAsia="zh-CN"/>
              </w:rPr>
              <w:t>35元/小时</w:t>
            </w:r>
          </w:p>
        </w:tc>
        <w:tc>
          <w:tcPr>
            <w:tcW w:w="1976" w:type="dxa"/>
            <w:vAlign w:val="center"/>
          </w:tcPr>
          <w:p w14:paraId="6AC5812E">
            <w:pPr>
              <w:snapToGrid w:val="0"/>
              <w:spacing w:line="360" w:lineRule="auto"/>
              <w:jc w:val="center"/>
              <w:rPr>
                <w:rFonts w:ascii="仿宋" w:hAnsi="仿宋" w:eastAsia="仿宋" w:cs="宋体"/>
                <w:color w:val="auto"/>
                <w:sz w:val="24"/>
                <w:highlight w:val="none"/>
              </w:rPr>
            </w:pPr>
          </w:p>
        </w:tc>
        <w:tc>
          <w:tcPr>
            <w:tcW w:w="2027" w:type="dxa"/>
            <w:vAlign w:val="center"/>
          </w:tcPr>
          <w:p w14:paraId="5E814C29">
            <w:pPr>
              <w:spacing w:line="360" w:lineRule="auto"/>
              <w:jc w:val="center"/>
              <w:rPr>
                <w:rFonts w:ascii="仿宋" w:hAnsi="仿宋" w:eastAsia="仿宋" w:cs="宋体"/>
                <w:color w:val="auto"/>
                <w:sz w:val="24"/>
                <w:highlight w:val="none"/>
              </w:rPr>
            </w:pPr>
          </w:p>
        </w:tc>
      </w:tr>
    </w:tbl>
    <w:p w14:paraId="7DE0E66F">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1CBBE163">
      <w:pPr>
        <w:spacing w:line="360" w:lineRule="auto"/>
        <w:ind w:left="-2" w:leftChars="-1"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1、供应商需按本表格式填写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响应文件含有征集人不能接受的附加条件，投标无效</w:t>
      </w:r>
      <w:r>
        <w:rPr>
          <w:rFonts w:hint="eastAsia" w:ascii="仿宋" w:hAnsi="仿宋" w:eastAsia="仿宋" w:cs="宋体"/>
          <w:b/>
          <w:color w:val="auto"/>
          <w:kern w:val="0"/>
          <w:sz w:val="24"/>
          <w:highlight w:val="none"/>
          <w:lang w:val="zh-CN"/>
        </w:rPr>
        <w:t>；</w:t>
      </w:r>
    </w:p>
    <w:p w14:paraId="581E4E6E">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征集人将以合同形式有偿取得货物或服务，不接受供应商给予的赠品、回扣或者与采购无关的其他商品、服务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响应文件含有征集人不能接受的附加条件，投标无效</w:t>
      </w:r>
      <w:r>
        <w:rPr>
          <w:rFonts w:hint="eastAsia" w:ascii="仿宋" w:hAnsi="仿宋" w:eastAsia="仿宋" w:cs="宋体"/>
          <w:b/>
          <w:color w:val="auto"/>
          <w:kern w:val="0"/>
          <w:sz w:val="24"/>
          <w:highlight w:val="none"/>
          <w:lang w:val="zh-CN"/>
        </w:rPr>
        <w:t>；采购内容未包含在《开标一览表（报价表）》名称栏中，供应商不能作出合理解释的，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响应文件含有征集人不能接受的附加条件的，投标无效。</w:t>
      </w:r>
    </w:p>
    <w:p w14:paraId="621319CF">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844E6FE">
      <w:pPr>
        <w:snapToGrid w:val="0"/>
        <w:spacing w:line="360" w:lineRule="auto"/>
        <w:ind w:firstLine="480" w:firstLineChars="200"/>
        <w:jc w:val="left"/>
        <w:rPr>
          <w:rFonts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征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3BDA9670">
      <w:pPr>
        <w:pStyle w:val="675"/>
        <w:keepNext w:val="0"/>
        <w:pageBreakBefore w:val="0"/>
        <w:tabs>
          <w:tab w:val="clear" w:pos="720"/>
        </w:tabs>
        <w:snapToGrid w:val="0"/>
        <w:spacing w:before="120" w:after="120"/>
        <w:ind w:firstLine="640"/>
        <w:outlineLvl w:val="9"/>
        <w:rPr>
          <w:rFonts w:hint="eastAsia" w:ascii="仿宋" w:hAnsi="仿宋" w:eastAsia="仿宋" w:cs="仿宋_GB2312"/>
          <w:color w:val="auto"/>
          <w:kern w:val="2"/>
          <w:sz w:val="32"/>
          <w:szCs w:val="32"/>
          <w:highlight w:val="none"/>
          <w:lang w:eastAsia="zh-CN"/>
        </w:rPr>
      </w:pPr>
      <w:r>
        <w:rPr>
          <w:rFonts w:hint="eastAsia" w:ascii="仿宋" w:hAnsi="仿宋" w:eastAsia="仿宋" w:cs="仿宋_GB2312"/>
          <w:color w:val="auto"/>
          <w:kern w:val="2"/>
          <w:sz w:val="32"/>
          <w:szCs w:val="32"/>
          <w:highlight w:val="none"/>
        </w:rPr>
        <w:t>一、投标(开标)一览表</w:t>
      </w:r>
      <w:r>
        <w:rPr>
          <w:rFonts w:hint="eastAsia" w:ascii="仿宋" w:hAnsi="仿宋" w:eastAsia="仿宋" w:cs="仿宋_GB2312"/>
          <w:color w:val="auto"/>
          <w:kern w:val="2"/>
          <w:sz w:val="32"/>
          <w:szCs w:val="32"/>
          <w:highlight w:val="none"/>
          <w:lang w:eastAsia="zh-CN"/>
        </w:rPr>
        <w:t>（</w:t>
      </w:r>
      <w:r>
        <w:rPr>
          <w:rFonts w:hint="eastAsia" w:ascii="仿宋" w:hAnsi="仿宋" w:eastAsia="仿宋" w:cs="仿宋_GB2312"/>
          <w:color w:val="auto"/>
          <w:kern w:val="2"/>
          <w:sz w:val="32"/>
          <w:szCs w:val="32"/>
          <w:highlight w:val="none"/>
          <w:lang w:val="en-US" w:eastAsia="zh-CN"/>
        </w:rPr>
        <w:t>标项二</w:t>
      </w:r>
      <w:r>
        <w:rPr>
          <w:rFonts w:hint="eastAsia" w:ascii="仿宋" w:hAnsi="仿宋" w:eastAsia="仿宋" w:cs="仿宋_GB2312"/>
          <w:color w:val="auto"/>
          <w:kern w:val="2"/>
          <w:sz w:val="32"/>
          <w:szCs w:val="32"/>
          <w:highlight w:val="none"/>
          <w:lang w:eastAsia="zh-CN"/>
        </w:rPr>
        <w:t>）</w:t>
      </w:r>
    </w:p>
    <w:p w14:paraId="7C327E6C">
      <w:pPr>
        <w:snapToGrid w:val="0"/>
        <w:spacing w:line="360" w:lineRule="auto"/>
        <w:rPr>
          <w:rFonts w:ascii="仿宋" w:hAnsi="仿宋" w:eastAsia="仿宋" w:cs="宋体"/>
          <w:color w:val="auto"/>
          <w:kern w:val="0"/>
          <w:sz w:val="24"/>
          <w:highlight w:val="none"/>
        </w:rPr>
      </w:pPr>
      <w:r>
        <w:rPr>
          <w:rFonts w:hint="eastAsia" w:ascii="仿宋" w:hAnsi="仿宋" w:eastAsia="仿宋" w:cs="宋体"/>
          <w:color w:val="auto"/>
          <w:sz w:val="24"/>
          <w:highlight w:val="none"/>
        </w:rPr>
        <w:t>（征集人）、（采购代理机构）</w:t>
      </w:r>
      <w:r>
        <w:rPr>
          <w:rFonts w:hint="eastAsia" w:ascii="仿宋" w:hAnsi="仿宋" w:eastAsia="仿宋" w:cs="宋体"/>
          <w:color w:val="auto"/>
          <w:kern w:val="0"/>
          <w:sz w:val="24"/>
          <w:highlight w:val="none"/>
          <w:lang w:val="zh-CN"/>
        </w:rPr>
        <w:t>：</w:t>
      </w:r>
    </w:p>
    <w:p w14:paraId="13A1C5FC">
      <w:pPr>
        <w:snapToGrid w:val="0"/>
        <w:spacing w:line="360" w:lineRule="auto"/>
        <w:ind w:firstLine="482"/>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按你方征集文件要求，我们，本响应文件签字方，谨此向你方发出要约如下：如你方接受本投标，我方承诺按照如下开标一览表（报价表）的价格完成</w:t>
      </w:r>
      <w:r>
        <w:rPr>
          <w:rFonts w:hint="eastAsia" w:ascii="仿宋" w:hAnsi="仿宋" w:eastAsia="仿宋" w:cs="宋体"/>
          <w:color w:val="auto"/>
          <w:sz w:val="24"/>
          <w:highlight w:val="none"/>
        </w:rPr>
        <w:t>（项目名称）</w:t>
      </w:r>
      <w:r>
        <w:rPr>
          <w:rFonts w:hint="eastAsia" w:ascii="仿宋" w:hAnsi="仿宋" w:eastAsia="仿宋" w:cs="宋体"/>
          <w:color w:val="auto"/>
          <w:kern w:val="0"/>
          <w:sz w:val="24"/>
          <w:highlight w:val="none"/>
          <w:lang w:val="zh-CN"/>
        </w:rPr>
        <w:t>【征集编号：</w:t>
      </w:r>
      <w:r>
        <w:rPr>
          <w:rFonts w:hint="eastAsia" w:ascii="仿宋" w:hAnsi="仿宋" w:eastAsia="仿宋" w:cs="宋体"/>
          <w:color w:val="auto"/>
          <w:sz w:val="24"/>
          <w:highlight w:val="none"/>
        </w:rPr>
        <w:t>（采购编号）】的实施</w:t>
      </w:r>
      <w:r>
        <w:rPr>
          <w:rFonts w:hint="eastAsia" w:ascii="仿宋" w:hAnsi="仿宋" w:eastAsia="仿宋" w:cs="宋体"/>
          <w:color w:val="auto"/>
          <w:kern w:val="0"/>
          <w:sz w:val="24"/>
          <w:highlight w:val="none"/>
          <w:lang w:val="zh-CN"/>
        </w:rPr>
        <w:t>。</w:t>
      </w:r>
    </w:p>
    <w:p w14:paraId="4D2849A3">
      <w:pPr>
        <w:spacing w:line="360" w:lineRule="auto"/>
        <w:jc w:val="center"/>
        <w:rPr>
          <w:rFonts w:hint="eastAsia"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开标一览表（报价表）(单位均为人民币元)</w:t>
      </w:r>
    </w:p>
    <w:tbl>
      <w:tblPr>
        <w:tblStyle w:val="49"/>
        <w:tblW w:w="152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2"/>
        <w:gridCol w:w="3981"/>
        <w:gridCol w:w="2952"/>
        <w:gridCol w:w="3200"/>
        <w:gridCol w:w="1976"/>
        <w:gridCol w:w="2027"/>
      </w:tblGrid>
      <w:tr w14:paraId="7F8B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1082" w:type="dxa"/>
            <w:vAlign w:val="center"/>
          </w:tcPr>
          <w:p w14:paraId="26CE94E1">
            <w:pPr>
              <w:spacing w:line="360" w:lineRule="auto"/>
              <w:jc w:val="center"/>
              <w:rPr>
                <w:rFonts w:ascii="仿宋" w:hAnsi="仿宋" w:eastAsia="仿宋" w:cs="宋体"/>
                <w:b/>
                <w:color w:val="auto"/>
                <w:sz w:val="24"/>
                <w:highlight w:val="none"/>
              </w:rPr>
            </w:pPr>
            <w:r>
              <w:rPr>
                <w:rFonts w:hint="eastAsia" w:ascii="仿宋" w:hAnsi="仿宋" w:eastAsia="仿宋" w:cs="宋体"/>
                <w:b/>
                <w:color w:val="auto"/>
                <w:sz w:val="24"/>
                <w:highlight w:val="none"/>
              </w:rPr>
              <w:t>序号</w:t>
            </w:r>
          </w:p>
        </w:tc>
        <w:tc>
          <w:tcPr>
            <w:tcW w:w="3981" w:type="dxa"/>
            <w:vAlign w:val="center"/>
          </w:tcPr>
          <w:p w14:paraId="1FB5CDDB">
            <w:pPr>
              <w:spacing w:line="360" w:lineRule="auto"/>
              <w:jc w:val="center"/>
              <w:rPr>
                <w:rFonts w:ascii="仿宋" w:hAnsi="仿宋" w:eastAsia="仿宋" w:cs="宋体"/>
                <w:b/>
                <w:color w:val="auto"/>
                <w:sz w:val="24"/>
                <w:highlight w:val="none"/>
              </w:rPr>
            </w:pPr>
            <w:r>
              <w:rPr>
                <w:rFonts w:hint="eastAsia" w:ascii="仿宋" w:hAnsi="仿宋" w:eastAsia="仿宋"/>
                <w:b/>
                <w:color w:val="auto"/>
                <w:sz w:val="24"/>
                <w:highlight w:val="none"/>
              </w:rPr>
              <w:t>名称</w:t>
            </w:r>
          </w:p>
        </w:tc>
        <w:tc>
          <w:tcPr>
            <w:tcW w:w="2952" w:type="dxa"/>
            <w:vAlign w:val="center"/>
          </w:tcPr>
          <w:p w14:paraId="33AEFF08">
            <w:pPr>
              <w:spacing w:line="360" w:lineRule="auto"/>
              <w:jc w:val="center"/>
              <w:rPr>
                <w:rFonts w:ascii="仿宋" w:hAnsi="仿宋" w:eastAsia="仿宋" w:cs="宋体"/>
                <w:b/>
                <w:color w:val="auto"/>
                <w:sz w:val="24"/>
                <w:highlight w:val="none"/>
              </w:rPr>
            </w:pPr>
            <w:r>
              <w:rPr>
                <w:rFonts w:hint="eastAsia" w:ascii="仿宋" w:hAnsi="仿宋" w:eastAsia="仿宋" w:cs="仿宋_GB2312"/>
                <w:b/>
                <w:color w:val="auto"/>
                <w:sz w:val="24"/>
                <w:highlight w:val="none"/>
              </w:rPr>
              <w:t>服务</w:t>
            </w:r>
            <w:r>
              <w:rPr>
                <w:rFonts w:hint="eastAsia" w:ascii="仿宋" w:hAnsi="仿宋" w:eastAsia="仿宋" w:cs="仿宋_GB2312"/>
                <w:b/>
                <w:color w:val="auto"/>
                <w:sz w:val="24"/>
                <w:highlight w:val="none"/>
                <w:lang w:val="en-US" w:eastAsia="zh-CN"/>
              </w:rPr>
              <w:t>内容</w:t>
            </w:r>
          </w:p>
        </w:tc>
        <w:tc>
          <w:tcPr>
            <w:tcW w:w="3200" w:type="dxa"/>
            <w:vAlign w:val="center"/>
          </w:tcPr>
          <w:p w14:paraId="6F03D38A">
            <w:pPr>
              <w:spacing w:line="360" w:lineRule="auto"/>
              <w:jc w:val="center"/>
              <w:rPr>
                <w:rFonts w:ascii="仿宋" w:hAnsi="仿宋" w:eastAsia="仿宋" w:cs="宋体"/>
                <w:b/>
                <w:color w:val="auto"/>
                <w:sz w:val="24"/>
                <w:highlight w:val="none"/>
              </w:rPr>
            </w:pPr>
            <w:r>
              <w:rPr>
                <w:rFonts w:hint="eastAsia" w:ascii="仿宋" w:hAnsi="仿宋" w:eastAsia="仿宋"/>
                <w:b/>
                <w:color w:val="auto"/>
                <w:sz w:val="24"/>
                <w:highlight w:val="none"/>
                <w:lang w:val="en-US" w:eastAsia="zh-CN"/>
              </w:rPr>
              <w:t>响应报价</w:t>
            </w:r>
          </w:p>
        </w:tc>
        <w:tc>
          <w:tcPr>
            <w:tcW w:w="1976" w:type="dxa"/>
            <w:vAlign w:val="center"/>
          </w:tcPr>
          <w:p w14:paraId="6D7BFA7A">
            <w:pPr>
              <w:spacing w:line="360" w:lineRule="auto"/>
              <w:jc w:val="center"/>
              <w:rPr>
                <w:rFonts w:ascii="仿宋" w:hAnsi="仿宋" w:eastAsia="仿宋" w:cs="宋体"/>
                <w:b/>
                <w:color w:val="auto"/>
                <w:sz w:val="24"/>
                <w:highlight w:val="none"/>
              </w:rPr>
            </w:pPr>
            <w:r>
              <w:rPr>
                <w:rFonts w:hint="eastAsia" w:ascii="仿宋" w:hAnsi="仿宋" w:eastAsia="仿宋"/>
                <w:b/>
                <w:color w:val="auto"/>
                <w:sz w:val="24"/>
                <w:highlight w:val="none"/>
              </w:rPr>
              <w:t>服务标准</w:t>
            </w:r>
          </w:p>
        </w:tc>
        <w:tc>
          <w:tcPr>
            <w:tcW w:w="2027" w:type="dxa"/>
            <w:vAlign w:val="center"/>
          </w:tcPr>
          <w:p w14:paraId="7B3C8856">
            <w:pPr>
              <w:spacing w:line="360" w:lineRule="auto"/>
              <w:jc w:val="center"/>
              <w:rPr>
                <w:rFonts w:ascii="仿宋" w:hAnsi="仿宋" w:eastAsia="仿宋"/>
                <w:b/>
                <w:color w:val="auto"/>
                <w:sz w:val="24"/>
                <w:highlight w:val="none"/>
              </w:rPr>
            </w:pPr>
          </w:p>
          <w:p w14:paraId="2D2254C6">
            <w:pPr>
              <w:spacing w:line="360" w:lineRule="auto"/>
              <w:jc w:val="center"/>
              <w:rPr>
                <w:rFonts w:ascii="仿宋" w:hAnsi="仿宋" w:eastAsia="仿宋" w:cs="仿宋_GB2312"/>
                <w:b/>
                <w:color w:val="auto"/>
                <w:sz w:val="24"/>
                <w:highlight w:val="none"/>
              </w:rPr>
            </w:pPr>
            <w:r>
              <w:rPr>
                <w:rFonts w:hint="eastAsia" w:ascii="仿宋" w:hAnsi="仿宋" w:eastAsia="仿宋"/>
                <w:b/>
                <w:color w:val="auto"/>
                <w:sz w:val="24"/>
                <w:highlight w:val="none"/>
              </w:rPr>
              <w:t>服务时间</w:t>
            </w:r>
          </w:p>
          <w:p w14:paraId="39D3E0FD">
            <w:pPr>
              <w:spacing w:line="360" w:lineRule="auto"/>
              <w:jc w:val="center"/>
              <w:rPr>
                <w:rFonts w:ascii="仿宋" w:hAnsi="仿宋" w:eastAsia="仿宋" w:cs="宋体"/>
                <w:b/>
                <w:color w:val="auto"/>
                <w:sz w:val="24"/>
                <w:highlight w:val="none"/>
              </w:rPr>
            </w:pPr>
          </w:p>
        </w:tc>
      </w:tr>
      <w:tr w14:paraId="2EEB2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82" w:type="dxa"/>
            <w:vAlign w:val="center"/>
          </w:tcPr>
          <w:p w14:paraId="1790EE85">
            <w:pPr>
              <w:spacing w:line="360" w:lineRule="auto"/>
              <w:jc w:val="center"/>
              <w:rPr>
                <w:rFonts w:ascii="仿宋" w:hAnsi="仿宋" w:eastAsia="仿宋" w:cs="宋体"/>
                <w:color w:val="auto"/>
                <w:sz w:val="24"/>
                <w:highlight w:val="none"/>
              </w:rPr>
            </w:pPr>
            <w:r>
              <w:rPr>
                <w:rFonts w:hint="eastAsia" w:ascii="仿宋" w:hAnsi="仿宋" w:eastAsia="仿宋" w:cs="宋体"/>
                <w:color w:val="auto"/>
                <w:sz w:val="24"/>
                <w:highlight w:val="none"/>
              </w:rPr>
              <w:t>1</w:t>
            </w:r>
          </w:p>
        </w:tc>
        <w:tc>
          <w:tcPr>
            <w:tcW w:w="3981" w:type="dxa"/>
            <w:vAlign w:val="center"/>
          </w:tcPr>
          <w:p w14:paraId="18DCEA77">
            <w:pPr>
              <w:pStyle w:val="28"/>
              <w:keepNext w:val="0"/>
              <w:keepLines w:val="0"/>
              <w:pageBreakBefore w:val="0"/>
              <w:kinsoku/>
              <w:wordWrap/>
              <w:overflowPunct/>
              <w:topLinePunct w:val="0"/>
              <w:autoSpaceDE/>
              <w:autoSpaceDN/>
              <w:bidi w:val="0"/>
              <w:adjustRightInd w:val="0"/>
              <w:snapToGrid/>
              <w:spacing w:line="360" w:lineRule="auto"/>
              <w:jc w:val="center"/>
              <w:textAlignment w:val="auto"/>
              <w:rPr>
                <w:rFonts w:ascii="仿宋" w:hAnsi="仿宋" w:eastAsia="仿宋" w:cs="宋体"/>
                <w:color w:val="auto"/>
                <w:sz w:val="24"/>
                <w:highlight w:val="none"/>
              </w:rPr>
            </w:pPr>
            <w:r>
              <w:rPr>
                <w:rFonts w:hint="eastAsia" w:ascii="仿宋" w:hAnsi="仿宋" w:eastAsia="仿宋"/>
                <w:b w:val="0"/>
                <w:bCs/>
                <w:color w:val="auto"/>
                <w:sz w:val="24"/>
                <w:szCs w:val="24"/>
                <w:highlight w:val="none"/>
                <w:lang w:val="en-US" w:eastAsia="zh-CN"/>
              </w:rPr>
              <w:t>居家养老上门服务</w:t>
            </w:r>
          </w:p>
        </w:tc>
        <w:tc>
          <w:tcPr>
            <w:tcW w:w="2952" w:type="dxa"/>
            <w:vAlign w:val="center"/>
          </w:tcPr>
          <w:p w14:paraId="0E686026">
            <w:pPr>
              <w:snapToGrid w:val="0"/>
              <w:spacing w:line="360" w:lineRule="auto"/>
              <w:jc w:val="center"/>
              <w:rPr>
                <w:rFonts w:ascii="仿宋" w:hAnsi="仿宋" w:eastAsia="仿宋" w:cs="宋体"/>
                <w:color w:val="auto"/>
                <w:sz w:val="24"/>
                <w:highlight w:val="none"/>
              </w:rPr>
            </w:pPr>
          </w:p>
        </w:tc>
        <w:tc>
          <w:tcPr>
            <w:tcW w:w="3200" w:type="dxa"/>
            <w:vAlign w:val="center"/>
          </w:tcPr>
          <w:p w14:paraId="68AFC944">
            <w:pPr>
              <w:snapToGrid w:val="0"/>
              <w:spacing w:line="360" w:lineRule="auto"/>
              <w:jc w:val="center"/>
              <w:rPr>
                <w:rFonts w:ascii="仿宋" w:hAnsi="仿宋" w:eastAsia="仿宋" w:cs="宋体"/>
                <w:color w:val="auto"/>
                <w:sz w:val="24"/>
                <w:highlight w:val="none"/>
              </w:rPr>
            </w:pPr>
            <w:r>
              <w:rPr>
                <w:rFonts w:hint="eastAsia" w:ascii="仿宋" w:hAnsi="仿宋" w:eastAsia="仿宋"/>
                <w:b w:val="0"/>
                <w:bCs/>
                <w:color w:val="auto"/>
                <w:sz w:val="24"/>
                <w:szCs w:val="24"/>
                <w:highlight w:val="none"/>
                <w:lang w:val="en-US" w:eastAsia="zh-CN"/>
              </w:rPr>
              <w:t>35元/小时</w:t>
            </w:r>
          </w:p>
        </w:tc>
        <w:tc>
          <w:tcPr>
            <w:tcW w:w="1976" w:type="dxa"/>
            <w:vAlign w:val="center"/>
          </w:tcPr>
          <w:p w14:paraId="270B3CFD">
            <w:pPr>
              <w:snapToGrid w:val="0"/>
              <w:spacing w:line="360" w:lineRule="auto"/>
              <w:jc w:val="center"/>
              <w:rPr>
                <w:rFonts w:ascii="仿宋" w:hAnsi="仿宋" w:eastAsia="仿宋" w:cs="宋体"/>
                <w:color w:val="auto"/>
                <w:sz w:val="24"/>
                <w:highlight w:val="none"/>
              </w:rPr>
            </w:pPr>
          </w:p>
        </w:tc>
        <w:tc>
          <w:tcPr>
            <w:tcW w:w="2027" w:type="dxa"/>
            <w:vAlign w:val="center"/>
          </w:tcPr>
          <w:p w14:paraId="0DA34299">
            <w:pPr>
              <w:spacing w:line="360" w:lineRule="auto"/>
              <w:jc w:val="center"/>
              <w:rPr>
                <w:rFonts w:ascii="仿宋" w:hAnsi="仿宋" w:eastAsia="仿宋" w:cs="宋体"/>
                <w:color w:val="auto"/>
                <w:sz w:val="24"/>
                <w:highlight w:val="none"/>
              </w:rPr>
            </w:pPr>
          </w:p>
        </w:tc>
      </w:tr>
    </w:tbl>
    <w:p w14:paraId="6BDD3956">
      <w:pPr>
        <w:snapToGrid w:val="0"/>
        <w:spacing w:line="360" w:lineRule="auto"/>
        <w:ind w:left="480"/>
        <w:rPr>
          <w:rFonts w:ascii="仿宋" w:hAnsi="仿宋" w:eastAsia="仿宋" w:cs="宋体"/>
          <w:b/>
          <w:color w:val="auto"/>
          <w:kern w:val="0"/>
          <w:sz w:val="24"/>
          <w:highlight w:val="none"/>
          <w:lang w:val="zh-CN"/>
        </w:rPr>
      </w:pPr>
      <w:r>
        <w:rPr>
          <w:rFonts w:hint="eastAsia" w:ascii="仿宋" w:hAnsi="仿宋" w:eastAsia="仿宋" w:cs="宋体"/>
          <w:b/>
          <w:color w:val="auto"/>
          <w:kern w:val="0"/>
          <w:sz w:val="24"/>
          <w:highlight w:val="none"/>
          <w:lang w:val="zh-CN"/>
        </w:rPr>
        <w:t>注：</w:t>
      </w:r>
    </w:p>
    <w:p w14:paraId="531DEF32">
      <w:pPr>
        <w:spacing w:line="360" w:lineRule="auto"/>
        <w:ind w:left="-2" w:leftChars="-1" w:firstLine="480" w:firstLineChars="2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1、供应商需按本表格式填写</w:t>
      </w:r>
      <w:r>
        <w:rPr>
          <w:rFonts w:hint="eastAsia" w:ascii="仿宋" w:hAnsi="仿宋" w:eastAsia="仿宋" w:cs="宋体"/>
          <w:b/>
          <w:color w:val="auto"/>
          <w:kern w:val="0"/>
          <w:sz w:val="24"/>
          <w:highlight w:val="none"/>
          <w:lang w:val="zh-CN"/>
        </w:rPr>
        <w:t>，</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响应文件含有征集人不能接受的附加条件，投标无效</w:t>
      </w:r>
      <w:r>
        <w:rPr>
          <w:rFonts w:hint="eastAsia" w:ascii="仿宋" w:hAnsi="仿宋" w:eastAsia="仿宋" w:cs="宋体"/>
          <w:b/>
          <w:color w:val="auto"/>
          <w:kern w:val="0"/>
          <w:sz w:val="24"/>
          <w:highlight w:val="none"/>
          <w:lang w:val="zh-CN"/>
        </w:rPr>
        <w:t>；</w:t>
      </w:r>
    </w:p>
    <w:p w14:paraId="5777C89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lang w:val="zh-CN"/>
        </w:rPr>
        <w:t>2、有关本项目实施所涉及的一切费用均计入报价。</w:t>
      </w:r>
      <w:r>
        <w:rPr>
          <w:rFonts w:hint="eastAsia" w:ascii="仿宋" w:hAnsi="仿宋" w:eastAsia="仿宋" w:cs="宋体"/>
          <w:b/>
          <w:color w:val="auto"/>
          <w:kern w:val="0"/>
          <w:sz w:val="24"/>
          <w:highlight w:val="none"/>
          <w:lang w:val="zh-CN"/>
        </w:rPr>
        <w:t>征集人将以合同形式有偿取得货物或服务，不接受供应商给予的赠品、回扣或者与采购无关的其他商品、服务</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不得出现“0元”“免费赠送”等形式的无偿报价，</w:t>
      </w:r>
      <w:r>
        <w:rPr>
          <w:rFonts w:hint="eastAsia" w:ascii="仿宋" w:hAnsi="仿宋" w:eastAsia="仿宋" w:cs="宋体"/>
          <w:b/>
          <w:color w:val="auto"/>
          <w:kern w:val="0"/>
          <w:sz w:val="24"/>
          <w:highlight w:val="none"/>
        </w:rPr>
        <w:t>否则视为</w:t>
      </w:r>
      <w:r>
        <w:rPr>
          <w:rFonts w:hint="eastAsia" w:ascii="仿宋" w:hAnsi="仿宋" w:eastAsia="仿宋" w:cs="宋体"/>
          <w:b/>
          <w:color w:val="auto"/>
          <w:sz w:val="24"/>
          <w:highlight w:val="none"/>
        </w:rPr>
        <w:t>响应文件含有征集人不能接受的附加条件，投标无效</w:t>
      </w:r>
      <w:r>
        <w:rPr>
          <w:rFonts w:hint="eastAsia" w:ascii="仿宋" w:hAnsi="仿宋" w:eastAsia="仿宋" w:cs="宋体"/>
          <w:b/>
          <w:color w:val="auto"/>
          <w:kern w:val="0"/>
          <w:sz w:val="24"/>
          <w:highlight w:val="none"/>
          <w:lang w:val="zh-CN"/>
        </w:rPr>
        <w:t>；采购内容未包含在《开标一览表（报价表）》名称栏中，供应商不能作出合理解释的，</w:t>
      </w:r>
      <w:r>
        <w:rPr>
          <w:rFonts w:hint="eastAsia" w:ascii="仿宋" w:hAnsi="仿宋" w:eastAsia="仿宋" w:cs="宋体"/>
          <w:b/>
          <w:color w:val="auto"/>
          <w:kern w:val="0"/>
          <w:sz w:val="24"/>
          <w:highlight w:val="none"/>
        </w:rPr>
        <w:t>视为</w:t>
      </w:r>
      <w:r>
        <w:rPr>
          <w:rFonts w:hint="eastAsia" w:ascii="仿宋" w:hAnsi="仿宋" w:eastAsia="仿宋" w:cs="宋体"/>
          <w:b/>
          <w:color w:val="auto"/>
          <w:sz w:val="24"/>
          <w:highlight w:val="none"/>
        </w:rPr>
        <w:t>响应文件含有征集人不能接受的附加条件的，投标无效。</w:t>
      </w:r>
    </w:p>
    <w:p w14:paraId="255EAA92">
      <w:pPr>
        <w:snapToGrid w:val="0"/>
        <w:spacing w:line="360" w:lineRule="auto"/>
        <w:ind w:firstLine="480" w:firstLineChars="200"/>
        <w:jc w:val="left"/>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6887726">
      <w:pPr>
        <w:snapToGrid w:val="0"/>
        <w:spacing w:line="360" w:lineRule="auto"/>
        <w:ind w:firstLine="480" w:firstLineChars="200"/>
        <w:jc w:val="left"/>
        <w:rPr>
          <w:rFonts w:ascii="仿宋" w:hAnsi="仿宋" w:eastAsia="仿宋" w:cs="宋体"/>
          <w:color w:val="auto"/>
          <w:kern w:val="0"/>
          <w:sz w:val="24"/>
          <w:highlight w:val="none"/>
          <w:lang w:val="zh-CN"/>
        </w:rPr>
      </w:pPr>
      <w:r>
        <w:rPr>
          <w:rFonts w:ascii="仿宋" w:hAnsi="仿宋" w:eastAsia="仿宋" w:cs="宋体"/>
          <w:color w:val="auto"/>
          <w:kern w:val="0"/>
          <w:sz w:val="24"/>
          <w:szCs w:val="22"/>
          <w:highlight w:val="none"/>
          <w:lang w:val="zh-CN"/>
        </w:rPr>
        <w:t>4</w:t>
      </w:r>
      <w:r>
        <w:rPr>
          <w:rFonts w:hint="eastAsia" w:ascii="仿宋" w:hAnsi="仿宋" w:eastAsia="仿宋" w:cs="宋体"/>
          <w:color w:val="auto"/>
          <w:kern w:val="0"/>
          <w:sz w:val="24"/>
          <w:szCs w:val="22"/>
          <w:highlight w:val="none"/>
          <w:lang w:val="zh-CN"/>
        </w:rPr>
        <w:t>、</w:t>
      </w:r>
      <w:r>
        <w:rPr>
          <w:rFonts w:hint="eastAsia" w:ascii="仿宋" w:hAnsi="仿宋" w:eastAsia="仿宋" w:cs="宋体"/>
          <w:color w:val="auto"/>
          <w:kern w:val="0"/>
          <w:sz w:val="24"/>
          <w:highlight w:val="none"/>
          <w:lang w:val="zh-CN"/>
        </w:rPr>
        <w:t>符合征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700745D1">
      <w:pPr>
        <w:pStyle w:val="675"/>
        <w:keepNext w:val="0"/>
        <w:pageBreakBefore w:val="0"/>
        <w:tabs>
          <w:tab w:val="clear" w:pos="720"/>
        </w:tabs>
        <w:snapToGrid w:val="0"/>
        <w:spacing w:before="120" w:after="120"/>
        <w:ind w:firstLine="643"/>
        <w:outlineLvl w:val="9"/>
        <w:rPr>
          <w:rFonts w:ascii="仿宋" w:hAnsi="仿宋" w:eastAsia="仿宋" w:cs="仿宋_GB2312"/>
          <w:color w:val="auto"/>
          <w:kern w:val="2"/>
          <w:sz w:val="32"/>
          <w:szCs w:val="32"/>
          <w:highlight w:val="none"/>
        </w:rPr>
        <w:sectPr>
          <w:pgSz w:w="16838" w:h="11906" w:orient="landscape"/>
          <w:pgMar w:top="1418" w:right="765" w:bottom="1418" w:left="471" w:header="851" w:footer="992" w:gutter="0"/>
          <w:pgBorders>
            <w:top w:val="none" w:sz="0" w:space="0"/>
            <w:left w:val="none" w:sz="0" w:space="0"/>
            <w:bottom w:val="none" w:sz="0" w:space="0"/>
            <w:right w:val="none" w:sz="0" w:space="0"/>
          </w:pgBorders>
          <w:cols w:space="720" w:num="1"/>
          <w:titlePg/>
          <w:docGrid w:linePitch="312" w:charSpace="0"/>
        </w:sectPr>
      </w:pPr>
    </w:p>
    <w:p w14:paraId="7796D2A1">
      <w:pPr>
        <w:pStyle w:val="675"/>
        <w:keepNext w:val="0"/>
        <w:pageBreakBefore w:val="0"/>
        <w:tabs>
          <w:tab w:val="clear" w:pos="720"/>
        </w:tabs>
        <w:snapToGrid w:val="0"/>
        <w:spacing w:before="120" w:after="120"/>
        <w:jc w:val="both"/>
        <w:outlineLvl w:val="9"/>
        <w:rPr>
          <w:rFonts w:ascii="仿宋" w:hAnsi="仿宋" w:eastAsia="仿宋" w:cs="仿宋_GB2312"/>
          <w:color w:val="auto"/>
          <w:kern w:val="2"/>
          <w:sz w:val="32"/>
          <w:szCs w:val="32"/>
          <w:highlight w:val="none"/>
        </w:rPr>
      </w:pPr>
    </w:p>
    <w:p w14:paraId="2B2C4C6B">
      <w:pPr>
        <w:pStyle w:val="675"/>
        <w:keepNext w:val="0"/>
        <w:pageBreakBefore w:val="0"/>
        <w:tabs>
          <w:tab w:val="clear" w:pos="720"/>
        </w:tabs>
        <w:snapToGrid w:val="0"/>
        <w:spacing w:before="120" w:after="120"/>
        <w:ind w:firstLine="643"/>
        <w:outlineLvl w:val="9"/>
        <w:rPr>
          <w:rFonts w:ascii="仿宋" w:hAnsi="仿宋" w:eastAsia="仿宋"/>
          <w:color w:val="auto"/>
          <w:sz w:val="32"/>
          <w:szCs w:val="32"/>
          <w:highlight w:val="none"/>
        </w:rPr>
      </w:pPr>
      <w:r>
        <w:rPr>
          <w:rFonts w:hint="eastAsia" w:ascii="仿宋" w:hAnsi="仿宋" w:eastAsia="仿宋" w:cs="仿宋_GB2312"/>
          <w:color w:val="auto"/>
          <w:kern w:val="2"/>
          <w:sz w:val="32"/>
          <w:szCs w:val="32"/>
          <w:highlight w:val="none"/>
        </w:rPr>
        <w:t>二、</w:t>
      </w:r>
      <w:r>
        <w:rPr>
          <w:rFonts w:hint="eastAsia" w:ascii="仿宋" w:hAnsi="仿宋" w:eastAsia="仿宋"/>
          <w:color w:val="auto"/>
          <w:sz w:val="32"/>
          <w:szCs w:val="32"/>
          <w:highlight w:val="none"/>
        </w:rPr>
        <w:t>中小企业声明函（如果有）</w:t>
      </w:r>
    </w:p>
    <w:p w14:paraId="4156C271">
      <w:pPr>
        <w:widowControl/>
        <w:spacing w:line="360" w:lineRule="auto"/>
        <w:ind w:firstLine="482" w:firstLineChars="200"/>
        <w:jc w:val="left"/>
        <w:rPr>
          <w:rFonts w:ascii="仿宋" w:hAnsi="仿宋" w:eastAsia="仿宋" w:cs="仿宋_GB2312"/>
          <w:b/>
          <w:color w:val="auto"/>
          <w:sz w:val="24"/>
          <w:highlight w:val="none"/>
        </w:rPr>
      </w:pPr>
      <w:r>
        <w:rPr>
          <w:rFonts w:hint="eastAsia" w:ascii="仿宋" w:hAnsi="仿宋" w:eastAsia="仿宋" w:cs="仿宋_GB2312"/>
          <w:b/>
          <w:color w:val="auto"/>
          <w:sz w:val="24"/>
          <w:highlight w:val="none"/>
        </w:rPr>
        <w:t>征集公告落实政府采购政策需满足的资格要求为“无”即本项目或标项未预留份额专门面向中小企业时，符合《政府采购促进中小企业发展管理办法》规定的小微企业拟享受价格扣除政策的，需提供中小企业声明函（附件6</w:t>
      </w:r>
      <w:r>
        <w:rPr>
          <w:rFonts w:ascii="仿宋" w:hAnsi="仿宋" w:eastAsia="仿宋" w:cs="仿宋_GB2312"/>
          <w:b/>
          <w:color w:val="auto"/>
          <w:sz w:val="24"/>
          <w:highlight w:val="none"/>
        </w:rPr>
        <w:t>）。</w:t>
      </w:r>
    </w:p>
    <w:p w14:paraId="44C409EA">
      <w:pPr>
        <w:spacing w:line="360" w:lineRule="auto"/>
        <w:jc w:val="center"/>
        <w:outlineLvl w:val="0"/>
        <w:rPr>
          <w:rFonts w:ascii="仿宋" w:hAnsi="仿宋" w:eastAsia="仿宋"/>
          <w:color w:val="auto"/>
          <w:sz w:val="24"/>
          <w:highlight w:val="none"/>
        </w:rPr>
      </w:pPr>
    </w:p>
    <w:p w14:paraId="7716F6D0">
      <w:pPr>
        <w:spacing w:line="360" w:lineRule="auto"/>
        <w:outlineLvl w:val="0"/>
        <w:rPr>
          <w:rFonts w:ascii="仿宋" w:hAnsi="仿宋" w:eastAsia="仿宋"/>
          <w:color w:val="auto"/>
          <w:sz w:val="24"/>
          <w:highlight w:val="none"/>
        </w:rPr>
      </w:pPr>
    </w:p>
    <w:p w14:paraId="4B29F70F">
      <w:pPr>
        <w:spacing w:line="360" w:lineRule="auto"/>
        <w:jc w:val="center"/>
        <w:rPr>
          <w:rFonts w:ascii="仿宋" w:hAnsi="仿宋" w:eastAsia="仿宋" w:cs="仿宋_GB2312"/>
          <w:b/>
          <w:bCs/>
          <w:color w:val="auto"/>
          <w:sz w:val="24"/>
          <w:highlight w:val="none"/>
        </w:rPr>
        <w:sectPr>
          <w:pgSz w:w="11906" w:h="16838"/>
          <w:pgMar w:top="765" w:right="1418" w:bottom="471" w:left="1418" w:header="851" w:footer="992" w:gutter="0"/>
          <w:pgBorders>
            <w:top w:val="none" w:sz="0" w:space="0"/>
            <w:left w:val="none" w:sz="0" w:space="0"/>
            <w:bottom w:val="none" w:sz="0" w:space="0"/>
            <w:right w:val="none" w:sz="0" w:space="0"/>
          </w:pgBorders>
          <w:cols w:space="720" w:num="1"/>
          <w:titlePg/>
          <w:docGrid w:linePitch="312" w:charSpace="0"/>
        </w:sectPr>
      </w:pPr>
    </w:p>
    <w:p w14:paraId="4DD3825A">
      <w:pPr>
        <w:pStyle w:val="3"/>
        <w:keepNext w:val="0"/>
        <w:keepLines w:val="0"/>
        <w:pageBreakBefore/>
        <w:widowControl/>
        <w:spacing w:before="100" w:beforeAutospacing="1" w:after="100" w:afterAutospacing="1" w:line="360" w:lineRule="auto"/>
        <w:jc w:val="center"/>
        <w:rPr>
          <w:rFonts w:ascii="仿宋" w:hAnsi="仿宋" w:eastAsia="仿宋"/>
          <w:color w:val="auto"/>
          <w:highlight w:val="none"/>
        </w:rPr>
      </w:pPr>
      <w:bookmarkStart w:id="417" w:name="_Toc465665161"/>
      <w:r>
        <w:rPr>
          <w:rFonts w:hint="eastAsia" w:ascii="仿宋" w:hAnsi="仿宋" w:eastAsia="仿宋"/>
          <w:color w:val="auto"/>
          <w:highlight w:val="none"/>
        </w:rPr>
        <w:t>附件</w:t>
      </w:r>
      <w:bookmarkEnd w:id="417"/>
    </w:p>
    <w:p w14:paraId="25F8AC3B">
      <w:pPr>
        <w:spacing w:line="360" w:lineRule="auto"/>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附件1：</w:t>
      </w:r>
    </w:p>
    <w:p w14:paraId="10B31797">
      <w:pPr>
        <w:spacing w:line="360" w:lineRule="auto"/>
        <w:jc w:val="center"/>
        <w:rPr>
          <w:rFonts w:ascii="仿宋" w:hAnsi="仿宋" w:eastAsia="仿宋"/>
          <w:b/>
          <w:color w:val="auto"/>
          <w:spacing w:val="6"/>
          <w:sz w:val="32"/>
          <w:szCs w:val="32"/>
          <w:highlight w:val="none"/>
        </w:rPr>
      </w:pPr>
      <w:bookmarkStart w:id="418" w:name="OLE_LINK14"/>
      <w:bookmarkStart w:id="419" w:name="OLE_LINK13"/>
      <w:r>
        <w:rPr>
          <w:rFonts w:hint="eastAsia" w:ascii="仿宋" w:hAnsi="仿宋" w:eastAsia="仿宋"/>
          <w:b/>
          <w:color w:val="auto"/>
          <w:spacing w:val="6"/>
          <w:sz w:val="32"/>
          <w:szCs w:val="32"/>
          <w:highlight w:val="none"/>
        </w:rPr>
        <w:t>残疾人福利性单位声明函</w:t>
      </w:r>
    </w:p>
    <w:bookmarkEnd w:id="418"/>
    <w:bookmarkEnd w:id="419"/>
    <w:p w14:paraId="6B72D9F7">
      <w:pPr>
        <w:spacing w:line="360" w:lineRule="auto"/>
        <w:rPr>
          <w:rFonts w:ascii="仿宋" w:hAnsi="仿宋" w:eastAsia="仿宋"/>
          <w:b/>
          <w:color w:val="auto"/>
          <w:spacing w:val="6"/>
          <w:sz w:val="30"/>
          <w:szCs w:val="30"/>
          <w:highlight w:val="none"/>
        </w:rPr>
      </w:pPr>
    </w:p>
    <w:p w14:paraId="3ADA6D0C">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94925E9">
      <w:pPr>
        <w:spacing w:line="360" w:lineRule="auto"/>
        <w:ind w:firstLine="480" w:firstLineChars="200"/>
        <w:rPr>
          <w:rFonts w:ascii="仿宋" w:hAnsi="仿宋" w:eastAsia="仿宋" w:cs="仿宋_GB2312"/>
          <w:color w:val="auto"/>
          <w:sz w:val="24"/>
          <w:highlight w:val="none"/>
        </w:rPr>
      </w:pPr>
      <w:r>
        <w:rPr>
          <w:rFonts w:hint="eastAsia" w:ascii="仿宋" w:hAnsi="仿宋" w:eastAsia="仿宋" w:cs="仿宋_GB2312"/>
          <w:color w:val="auto"/>
          <w:sz w:val="24"/>
          <w:highlight w:val="none"/>
        </w:rPr>
        <w:t>本单位对上述声明的真实性负责。如有虚假，将依法承担相应责任。</w:t>
      </w:r>
    </w:p>
    <w:p w14:paraId="4403BDFA">
      <w:pPr>
        <w:spacing w:line="360" w:lineRule="auto"/>
        <w:ind w:firstLine="480" w:firstLineChars="200"/>
        <w:rPr>
          <w:rFonts w:ascii="仿宋" w:hAnsi="仿宋" w:eastAsia="仿宋" w:cs="仿宋_GB2312"/>
          <w:color w:val="auto"/>
          <w:sz w:val="24"/>
          <w:highlight w:val="none"/>
        </w:rPr>
      </w:pPr>
    </w:p>
    <w:p w14:paraId="4700CE61">
      <w:pPr>
        <w:spacing w:line="360" w:lineRule="auto"/>
        <w:ind w:firstLine="480" w:firstLineChars="200"/>
        <w:rPr>
          <w:rFonts w:ascii="仿宋" w:hAnsi="仿宋" w:eastAsia="仿宋" w:cs="仿宋_GB2312"/>
          <w:color w:val="auto"/>
          <w:sz w:val="24"/>
          <w:highlight w:val="none"/>
        </w:rPr>
      </w:pPr>
    </w:p>
    <w:p w14:paraId="5E3C9CB3">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kern w:val="0"/>
          <w:sz w:val="24"/>
          <w:highlight w:val="none"/>
          <w:lang w:val="zh-CN"/>
        </w:rPr>
        <w:t>响应供应商名称（电子签名）</w:t>
      </w:r>
      <w:r>
        <w:rPr>
          <w:rFonts w:hint="eastAsia" w:ascii="仿宋" w:hAnsi="仿宋" w:eastAsia="仿宋" w:cs="仿宋_GB2312"/>
          <w:color w:val="auto"/>
          <w:sz w:val="24"/>
          <w:highlight w:val="none"/>
        </w:rPr>
        <w:t>：</w:t>
      </w:r>
    </w:p>
    <w:p w14:paraId="0B8BB993">
      <w:pPr>
        <w:tabs>
          <w:tab w:val="left" w:pos="4860"/>
        </w:tabs>
        <w:spacing w:line="360" w:lineRule="auto"/>
        <w:ind w:right="1560"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日期：</w:t>
      </w:r>
    </w:p>
    <w:p w14:paraId="6CF7DDD1">
      <w:pPr>
        <w:spacing w:line="360" w:lineRule="auto"/>
        <w:ind w:firstLine="480" w:firstLineChars="200"/>
        <w:rPr>
          <w:rFonts w:ascii="仿宋" w:hAnsi="仿宋" w:eastAsia="仿宋" w:cs="仿宋_GB2312"/>
          <w:color w:val="auto"/>
          <w:sz w:val="24"/>
          <w:highlight w:val="none"/>
        </w:rPr>
      </w:pPr>
    </w:p>
    <w:p w14:paraId="3AC95E5B">
      <w:pPr>
        <w:spacing w:line="360" w:lineRule="auto"/>
        <w:ind w:firstLine="420" w:firstLineChars="200"/>
        <w:rPr>
          <w:rFonts w:ascii="仿宋" w:hAnsi="仿宋" w:eastAsia="仿宋"/>
          <w:color w:val="auto"/>
          <w:highlight w:val="none"/>
        </w:rPr>
      </w:pPr>
    </w:p>
    <w:p w14:paraId="7E5BE9B2">
      <w:pPr>
        <w:spacing w:line="360" w:lineRule="auto"/>
        <w:ind w:firstLine="420" w:firstLineChars="200"/>
        <w:rPr>
          <w:rFonts w:ascii="仿宋" w:hAnsi="仿宋" w:eastAsia="仿宋"/>
          <w:color w:val="auto"/>
          <w:highlight w:val="none"/>
        </w:rPr>
      </w:pPr>
    </w:p>
    <w:p w14:paraId="2FC69279">
      <w:pPr>
        <w:spacing w:line="360" w:lineRule="auto"/>
        <w:ind w:firstLine="420" w:firstLineChars="200"/>
        <w:rPr>
          <w:rFonts w:ascii="仿宋" w:hAnsi="仿宋" w:eastAsia="仿宋"/>
          <w:color w:val="auto"/>
          <w:highlight w:val="none"/>
        </w:rPr>
      </w:pPr>
    </w:p>
    <w:p w14:paraId="0406B899">
      <w:pPr>
        <w:spacing w:line="360" w:lineRule="auto"/>
        <w:ind w:firstLine="420" w:firstLineChars="200"/>
        <w:rPr>
          <w:rFonts w:ascii="仿宋" w:hAnsi="仿宋" w:eastAsia="仿宋"/>
          <w:color w:val="auto"/>
          <w:highlight w:val="none"/>
        </w:rPr>
      </w:pPr>
    </w:p>
    <w:p w14:paraId="11015932">
      <w:pPr>
        <w:spacing w:line="360" w:lineRule="auto"/>
        <w:rPr>
          <w:rFonts w:ascii="仿宋" w:hAnsi="仿宋" w:eastAsia="仿宋" w:cs="仿宋_GB2312"/>
          <w:b/>
          <w:color w:val="auto"/>
          <w:sz w:val="24"/>
          <w:highlight w:val="none"/>
        </w:rPr>
      </w:pPr>
    </w:p>
    <w:p w14:paraId="5EB16B56">
      <w:pPr>
        <w:spacing w:line="360" w:lineRule="auto"/>
        <w:rPr>
          <w:rFonts w:ascii="仿宋" w:hAnsi="仿宋" w:eastAsia="仿宋" w:cs="仿宋_GB2312"/>
          <w:b/>
          <w:color w:val="auto"/>
          <w:sz w:val="24"/>
          <w:highlight w:val="none"/>
        </w:rPr>
      </w:pPr>
    </w:p>
    <w:p w14:paraId="718A5229">
      <w:pPr>
        <w:spacing w:line="360" w:lineRule="auto"/>
        <w:rPr>
          <w:rFonts w:ascii="仿宋" w:hAnsi="仿宋" w:eastAsia="仿宋" w:cs="仿宋_GB2312"/>
          <w:b/>
          <w:color w:val="auto"/>
          <w:sz w:val="24"/>
          <w:highlight w:val="none"/>
        </w:rPr>
      </w:pPr>
    </w:p>
    <w:p w14:paraId="2057185A">
      <w:pPr>
        <w:spacing w:line="360" w:lineRule="auto"/>
        <w:rPr>
          <w:rFonts w:ascii="仿宋" w:hAnsi="仿宋" w:eastAsia="仿宋" w:cs="仿宋_GB2312"/>
          <w:b/>
          <w:color w:val="auto"/>
          <w:sz w:val="24"/>
          <w:highlight w:val="none"/>
        </w:rPr>
      </w:pPr>
    </w:p>
    <w:p w14:paraId="2330C882">
      <w:pPr>
        <w:spacing w:line="360" w:lineRule="auto"/>
        <w:rPr>
          <w:rFonts w:ascii="仿宋" w:hAnsi="仿宋" w:eastAsia="仿宋" w:cs="仿宋_GB2312"/>
          <w:b/>
          <w:color w:val="auto"/>
          <w:sz w:val="24"/>
          <w:highlight w:val="none"/>
        </w:rPr>
      </w:pPr>
    </w:p>
    <w:p w14:paraId="71C41936">
      <w:pPr>
        <w:spacing w:line="360" w:lineRule="auto"/>
        <w:rPr>
          <w:rFonts w:ascii="仿宋" w:hAnsi="仿宋" w:eastAsia="仿宋" w:cs="仿宋_GB2312"/>
          <w:b/>
          <w:color w:val="auto"/>
          <w:sz w:val="24"/>
          <w:highlight w:val="none"/>
        </w:rPr>
      </w:pPr>
    </w:p>
    <w:p w14:paraId="3C3BD2FA">
      <w:pPr>
        <w:spacing w:line="360" w:lineRule="auto"/>
        <w:rPr>
          <w:rFonts w:ascii="仿宋" w:hAnsi="仿宋" w:eastAsia="仿宋" w:cs="仿宋_GB2312"/>
          <w:b/>
          <w:color w:val="auto"/>
          <w:sz w:val="24"/>
          <w:highlight w:val="none"/>
        </w:rPr>
      </w:pPr>
    </w:p>
    <w:p w14:paraId="3CB78CAB">
      <w:pPr>
        <w:spacing w:line="360" w:lineRule="auto"/>
        <w:rPr>
          <w:rFonts w:ascii="仿宋" w:hAnsi="仿宋" w:eastAsia="仿宋" w:cs="仿宋_GB2312"/>
          <w:b/>
          <w:color w:val="auto"/>
          <w:sz w:val="24"/>
          <w:highlight w:val="none"/>
        </w:rPr>
      </w:pPr>
    </w:p>
    <w:p w14:paraId="71CD8C9F">
      <w:pPr>
        <w:spacing w:line="360" w:lineRule="auto"/>
        <w:rPr>
          <w:rFonts w:ascii="仿宋" w:hAnsi="仿宋" w:eastAsia="仿宋" w:cs="仿宋_GB2312"/>
          <w:b/>
          <w:color w:val="auto"/>
          <w:sz w:val="24"/>
          <w:highlight w:val="none"/>
        </w:rPr>
      </w:pPr>
    </w:p>
    <w:p w14:paraId="5C30B9FC">
      <w:pPr>
        <w:spacing w:line="360" w:lineRule="auto"/>
        <w:rPr>
          <w:rFonts w:ascii="仿宋" w:hAnsi="仿宋" w:eastAsia="仿宋" w:cs="仿宋_GB2312"/>
          <w:b/>
          <w:color w:val="auto"/>
          <w:sz w:val="24"/>
          <w:highlight w:val="none"/>
        </w:rPr>
      </w:pPr>
    </w:p>
    <w:p w14:paraId="5B7DA6FA">
      <w:pPr>
        <w:spacing w:line="360" w:lineRule="auto"/>
        <w:jc w:val="left"/>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附件2：质疑函范本及制作说明</w:t>
      </w:r>
    </w:p>
    <w:p w14:paraId="47D22A36">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质疑函范本</w:t>
      </w:r>
    </w:p>
    <w:p w14:paraId="35B815A9">
      <w:pPr>
        <w:snapToGrid w:val="0"/>
        <w:spacing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6E7484B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14:paraId="618F29BC">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15BF0A40">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14:paraId="24FC5A6E">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14:paraId="372481E6">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14:paraId="58E4291E">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14:paraId="748C6C58">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5D979D54">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14:paraId="7DF4DA79">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14:paraId="4D7B9F83">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征集人名称：</w:t>
      </w:r>
    </w:p>
    <w:p w14:paraId="130C4EB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征集文件获取日期：</w:t>
      </w:r>
    </w:p>
    <w:p w14:paraId="35C0AFB1">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2CF599BB">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14:paraId="2A73EA6C">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14:paraId="2B770EFC">
      <w:pPr>
        <w:snapToGrid w:val="0"/>
        <w:spacing w:line="360" w:lineRule="auto"/>
        <w:rPr>
          <w:rFonts w:ascii="仿宋" w:hAnsi="仿宋" w:eastAsia="仿宋" w:cs="仿宋"/>
          <w:color w:val="auto"/>
          <w:sz w:val="24"/>
          <w:highlight w:val="none"/>
        </w:rPr>
      </w:pPr>
    </w:p>
    <w:p w14:paraId="25BE77CD">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14:paraId="74360F86">
      <w:pPr>
        <w:snapToGrid w:val="0"/>
        <w:spacing w:line="360" w:lineRule="auto"/>
        <w:rPr>
          <w:rFonts w:ascii="仿宋" w:hAnsi="仿宋" w:eastAsia="仿宋" w:cs="仿宋"/>
          <w:color w:val="auto"/>
          <w:sz w:val="24"/>
          <w:highlight w:val="none"/>
          <w:u w:val="dotted"/>
        </w:rPr>
      </w:pPr>
    </w:p>
    <w:p w14:paraId="4054E321">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48C6478D">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14:paraId="288A6CC7">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6A47D9B0">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14:paraId="15946022">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签字(签章)：公章：</w:t>
      </w:r>
    </w:p>
    <w:p w14:paraId="375B4B0D">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1C5E92AB">
      <w:pPr>
        <w:spacing w:line="360" w:lineRule="auto"/>
        <w:jc w:val="center"/>
        <w:rPr>
          <w:rFonts w:ascii="仿宋" w:hAnsi="仿宋" w:eastAsia="仿宋" w:cs="仿宋"/>
          <w:b/>
          <w:bCs/>
          <w:color w:val="auto"/>
          <w:sz w:val="24"/>
          <w:highlight w:val="none"/>
        </w:rPr>
      </w:pPr>
    </w:p>
    <w:p w14:paraId="0087F48B">
      <w:pPr>
        <w:spacing w:line="360" w:lineRule="auto"/>
        <w:rPr>
          <w:rFonts w:ascii="仿宋" w:hAnsi="仿宋" w:eastAsia="仿宋"/>
          <w:b/>
          <w:color w:val="auto"/>
          <w:sz w:val="24"/>
          <w:highlight w:val="none"/>
        </w:rPr>
      </w:pPr>
    </w:p>
    <w:p w14:paraId="39A0806A">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质疑函制作说明：</w:t>
      </w:r>
    </w:p>
    <w:p w14:paraId="5E7243C2">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1.供应商提出质疑时，应提交质疑函和必要的证明材料。</w:t>
      </w:r>
    </w:p>
    <w:p w14:paraId="1C269309">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2.质疑供应商若委托代理人进行质疑的，质疑函应按要求列明“授权代表”的有关内容，并在附件中提交由质疑</w:t>
      </w:r>
      <w:r>
        <w:rPr>
          <w:rFonts w:hint="eastAsia" w:ascii="仿宋" w:hAnsi="仿宋" w:eastAsia="仿宋" w:cs="宋体"/>
          <w:color w:val="auto"/>
          <w:kern w:val="0"/>
          <w:sz w:val="24"/>
          <w:highlight w:val="none"/>
        </w:rPr>
        <w:t>供应商签署的授权委托书。授权委托书应载明代理人的姓名或者名称、代理事项、具体权限、期限和相关事项。</w:t>
      </w:r>
    </w:p>
    <w:p w14:paraId="13B4D741">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3.质疑供应商若对项目的某一分包进行质疑，质疑函中应列明具体分包号。</w:t>
      </w:r>
    </w:p>
    <w:p w14:paraId="56EB89FD">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4.质疑函的质疑事项应具体、明确，并有必要的事实依据和法律依据。</w:t>
      </w:r>
    </w:p>
    <w:p w14:paraId="638C7D5F">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5.质疑函的质疑请求应与质疑事项相关。</w:t>
      </w:r>
    </w:p>
    <w:p w14:paraId="33F5B844">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10EA1676">
      <w:pPr>
        <w:widowControl/>
        <w:spacing w:line="360" w:lineRule="auto"/>
        <w:ind w:firstLine="600" w:firstLineChars="200"/>
        <w:jc w:val="left"/>
        <w:rPr>
          <w:rFonts w:ascii="仿宋" w:hAnsi="仿宋" w:eastAsia="仿宋"/>
          <w:color w:val="auto"/>
          <w:sz w:val="30"/>
          <w:szCs w:val="30"/>
          <w:highlight w:val="none"/>
        </w:rPr>
      </w:pPr>
    </w:p>
    <w:p w14:paraId="330A00FD">
      <w:pPr>
        <w:spacing w:line="360" w:lineRule="auto"/>
        <w:jc w:val="center"/>
        <w:rPr>
          <w:rFonts w:ascii="仿宋" w:hAnsi="仿宋" w:eastAsia="仿宋"/>
          <w:b/>
          <w:color w:val="auto"/>
          <w:spacing w:val="6"/>
          <w:sz w:val="32"/>
          <w:szCs w:val="32"/>
          <w:highlight w:val="none"/>
        </w:rPr>
      </w:pPr>
    </w:p>
    <w:p w14:paraId="1E5641FF">
      <w:pPr>
        <w:spacing w:line="360" w:lineRule="auto"/>
        <w:jc w:val="center"/>
        <w:rPr>
          <w:rFonts w:ascii="仿宋" w:hAnsi="仿宋" w:eastAsia="仿宋"/>
          <w:b/>
          <w:color w:val="auto"/>
          <w:spacing w:val="6"/>
          <w:sz w:val="32"/>
          <w:szCs w:val="32"/>
          <w:highlight w:val="none"/>
        </w:rPr>
      </w:pPr>
    </w:p>
    <w:p w14:paraId="72563835">
      <w:pPr>
        <w:spacing w:line="360" w:lineRule="auto"/>
        <w:jc w:val="center"/>
        <w:rPr>
          <w:rFonts w:ascii="仿宋" w:hAnsi="仿宋" w:eastAsia="仿宋"/>
          <w:b/>
          <w:color w:val="auto"/>
          <w:spacing w:val="6"/>
          <w:sz w:val="32"/>
          <w:szCs w:val="32"/>
          <w:highlight w:val="none"/>
        </w:rPr>
      </w:pPr>
    </w:p>
    <w:p w14:paraId="0E347A5C">
      <w:pPr>
        <w:spacing w:line="360" w:lineRule="auto"/>
        <w:jc w:val="left"/>
        <w:rPr>
          <w:rFonts w:ascii="仿宋" w:hAnsi="仿宋" w:eastAsia="仿宋"/>
          <w:b/>
          <w:color w:val="auto"/>
          <w:spacing w:val="6"/>
          <w:sz w:val="32"/>
          <w:szCs w:val="32"/>
          <w:highlight w:val="none"/>
        </w:rPr>
      </w:pPr>
    </w:p>
    <w:p w14:paraId="0A31BCE6">
      <w:pPr>
        <w:spacing w:line="360" w:lineRule="auto"/>
        <w:jc w:val="left"/>
        <w:rPr>
          <w:rFonts w:ascii="仿宋" w:hAnsi="仿宋" w:eastAsia="仿宋"/>
          <w:b/>
          <w:color w:val="auto"/>
          <w:spacing w:val="6"/>
          <w:sz w:val="32"/>
          <w:szCs w:val="32"/>
          <w:highlight w:val="none"/>
        </w:rPr>
      </w:pPr>
      <w:r>
        <w:rPr>
          <w:rFonts w:ascii="仿宋" w:hAnsi="仿宋" w:eastAsia="仿宋"/>
          <w:b/>
          <w:color w:val="auto"/>
          <w:spacing w:val="6"/>
          <w:sz w:val="32"/>
          <w:szCs w:val="32"/>
          <w:highlight w:val="none"/>
        </w:rPr>
        <w:br w:type="page"/>
      </w:r>
      <w:r>
        <w:rPr>
          <w:rFonts w:hint="eastAsia" w:ascii="仿宋" w:hAnsi="仿宋" w:eastAsia="仿宋"/>
          <w:b/>
          <w:color w:val="auto"/>
          <w:spacing w:val="6"/>
          <w:sz w:val="32"/>
          <w:szCs w:val="32"/>
          <w:highlight w:val="none"/>
        </w:rPr>
        <w:t>附件3：投诉书范本及制作说明</w:t>
      </w:r>
    </w:p>
    <w:p w14:paraId="308D1A25">
      <w:pPr>
        <w:spacing w:line="360" w:lineRule="auto"/>
        <w:jc w:val="center"/>
        <w:rPr>
          <w:rFonts w:ascii="仿宋" w:hAnsi="仿宋" w:eastAsia="仿宋"/>
          <w:b/>
          <w:color w:val="auto"/>
          <w:sz w:val="24"/>
          <w:highlight w:val="none"/>
        </w:rPr>
      </w:pPr>
    </w:p>
    <w:p w14:paraId="20EE2234">
      <w:pPr>
        <w:spacing w:line="360" w:lineRule="auto"/>
        <w:jc w:val="cente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t>投诉书范本</w:t>
      </w:r>
    </w:p>
    <w:p w14:paraId="53846894">
      <w:pPr>
        <w:spacing w:line="360" w:lineRule="auto"/>
        <w:rPr>
          <w:rFonts w:ascii="仿宋" w:hAnsi="仿宋" w:eastAsia="仿宋"/>
          <w:color w:val="auto"/>
          <w:sz w:val="24"/>
          <w:highlight w:val="none"/>
        </w:rPr>
      </w:pPr>
      <w:r>
        <w:rPr>
          <w:rFonts w:hint="eastAsia" w:ascii="仿宋" w:hAnsi="仿宋" w:eastAsia="仿宋"/>
          <w:color w:val="auto"/>
          <w:sz w:val="24"/>
          <w:highlight w:val="none"/>
        </w:rPr>
        <w:t>一、投诉相关主体基本情况</w:t>
      </w:r>
    </w:p>
    <w:p w14:paraId="0D5C0DC3">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投诉人：</w:t>
      </w:r>
    </w:p>
    <w:p w14:paraId="15E2017F">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1F1ED6E4">
      <w:pPr>
        <w:tabs>
          <w:tab w:val="left" w:pos="6510"/>
        </w:tabs>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法定代表人/主要负责人：</w:t>
      </w:r>
    </w:p>
    <w:p w14:paraId="022C12BF">
      <w:pPr>
        <w:tabs>
          <w:tab w:val="left" w:pos="6510"/>
        </w:tabs>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联系电话：</w:t>
      </w:r>
    </w:p>
    <w:p w14:paraId="3E2323FB">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授权代表：联系电话</w:t>
      </w:r>
      <w:r>
        <w:rPr>
          <w:rFonts w:hint="eastAsia" w:ascii="仿宋" w:hAnsi="仿宋" w:eastAsia="仿宋"/>
          <w:color w:val="auto"/>
          <w:sz w:val="24"/>
          <w:highlight w:val="none"/>
          <w:u w:val="dotted"/>
        </w:rPr>
        <w:t>：</w:t>
      </w:r>
    </w:p>
    <w:p w14:paraId="49F8FF29">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地址：邮编：</w:t>
      </w:r>
    </w:p>
    <w:p w14:paraId="171E87F3">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被投诉人1：</w:t>
      </w:r>
    </w:p>
    <w:p w14:paraId="6407B37C">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32C02679">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23B2C570">
      <w:pPr>
        <w:spacing w:line="360" w:lineRule="auto"/>
        <w:rPr>
          <w:rFonts w:ascii="仿宋" w:hAnsi="仿宋" w:eastAsia="仿宋"/>
          <w:color w:val="auto"/>
          <w:sz w:val="24"/>
          <w:highlight w:val="none"/>
        </w:rPr>
      </w:pPr>
      <w:r>
        <w:rPr>
          <w:rFonts w:hint="eastAsia" w:ascii="仿宋" w:hAnsi="仿宋" w:eastAsia="仿宋"/>
          <w:color w:val="auto"/>
          <w:sz w:val="24"/>
          <w:highlight w:val="none"/>
        </w:rPr>
        <w:t>被投诉人2</w:t>
      </w:r>
    </w:p>
    <w:p w14:paraId="52759F36">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53C230D5">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相关供应商：</w:t>
      </w:r>
    </w:p>
    <w:p w14:paraId="212FBECF">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地址：邮编：</w:t>
      </w:r>
    </w:p>
    <w:p w14:paraId="03063F97">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联系人：联系电话：</w:t>
      </w:r>
    </w:p>
    <w:p w14:paraId="4971ED41">
      <w:pPr>
        <w:spacing w:line="360" w:lineRule="auto"/>
        <w:rPr>
          <w:rFonts w:ascii="仿宋" w:hAnsi="仿宋" w:eastAsia="仿宋"/>
          <w:color w:val="auto"/>
          <w:sz w:val="24"/>
          <w:highlight w:val="none"/>
        </w:rPr>
      </w:pPr>
      <w:r>
        <w:rPr>
          <w:rFonts w:hint="eastAsia" w:ascii="仿宋" w:hAnsi="仿宋" w:eastAsia="仿宋"/>
          <w:color w:val="auto"/>
          <w:sz w:val="24"/>
          <w:highlight w:val="none"/>
        </w:rPr>
        <w:t>二、投诉项目基本情况</w:t>
      </w:r>
    </w:p>
    <w:p w14:paraId="26FBC683">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采购项目名称：</w:t>
      </w:r>
    </w:p>
    <w:p w14:paraId="4EB65548">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采购项目编号：包号：</w:t>
      </w:r>
    </w:p>
    <w:p w14:paraId="74013591">
      <w:pPr>
        <w:spacing w:line="360" w:lineRule="auto"/>
        <w:rPr>
          <w:rFonts w:ascii="仿宋" w:hAnsi="仿宋" w:eastAsia="仿宋"/>
          <w:color w:val="auto"/>
          <w:sz w:val="24"/>
          <w:highlight w:val="none"/>
        </w:rPr>
      </w:pPr>
      <w:r>
        <w:rPr>
          <w:rFonts w:hint="eastAsia" w:ascii="仿宋" w:hAnsi="仿宋" w:eastAsia="仿宋"/>
          <w:color w:val="auto"/>
          <w:sz w:val="24"/>
          <w:highlight w:val="none"/>
        </w:rPr>
        <w:t>征集人名称：</w:t>
      </w:r>
    </w:p>
    <w:p w14:paraId="779F47FD">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代理机构名称：</w:t>
      </w:r>
    </w:p>
    <w:p w14:paraId="2FAD8DBA">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征集文件公告:</w:t>
      </w:r>
      <w:r>
        <w:rPr>
          <w:rFonts w:hint="eastAsia" w:ascii="仿宋" w:hAnsi="仿宋" w:eastAsia="仿宋"/>
          <w:color w:val="auto"/>
          <w:sz w:val="24"/>
          <w:highlight w:val="none"/>
          <w:u w:val="dotted"/>
        </w:rPr>
        <w:t>是/否</w:t>
      </w:r>
      <w:r>
        <w:rPr>
          <w:rFonts w:hint="eastAsia" w:ascii="仿宋" w:hAnsi="仿宋" w:eastAsia="仿宋"/>
          <w:color w:val="auto"/>
          <w:sz w:val="24"/>
          <w:highlight w:val="none"/>
        </w:rPr>
        <w:t>公告期限：</w:t>
      </w:r>
    </w:p>
    <w:p w14:paraId="4D748C80">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采购结果公告:</w:t>
      </w:r>
      <w:r>
        <w:rPr>
          <w:rFonts w:hint="eastAsia" w:ascii="仿宋" w:hAnsi="仿宋" w:eastAsia="仿宋"/>
          <w:color w:val="auto"/>
          <w:sz w:val="24"/>
          <w:highlight w:val="none"/>
          <w:u w:val="dotted"/>
        </w:rPr>
        <w:t>是/否</w:t>
      </w:r>
      <w:r>
        <w:rPr>
          <w:rFonts w:hint="eastAsia" w:ascii="仿宋" w:hAnsi="仿宋" w:eastAsia="仿宋"/>
          <w:color w:val="auto"/>
          <w:sz w:val="24"/>
          <w:highlight w:val="none"/>
        </w:rPr>
        <w:t>公告期限：</w:t>
      </w:r>
    </w:p>
    <w:p w14:paraId="6EE91ACB">
      <w:pPr>
        <w:spacing w:line="360" w:lineRule="auto"/>
        <w:rPr>
          <w:rFonts w:ascii="仿宋" w:hAnsi="仿宋" w:eastAsia="仿宋"/>
          <w:color w:val="auto"/>
          <w:sz w:val="24"/>
          <w:highlight w:val="none"/>
        </w:rPr>
      </w:pPr>
      <w:r>
        <w:rPr>
          <w:rFonts w:hint="eastAsia" w:ascii="仿宋" w:hAnsi="仿宋" w:eastAsia="仿宋"/>
          <w:color w:val="auto"/>
          <w:sz w:val="24"/>
          <w:highlight w:val="none"/>
        </w:rPr>
        <w:t>三、质疑基本情况</w:t>
      </w:r>
    </w:p>
    <w:p w14:paraId="6644B5DD">
      <w:pPr>
        <w:spacing w:line="360" w:lineRule="auto"/>
        <w:ind w:firstLine="480" w:firstLineChars="200"/>
        <w:rPr>
          <w:rFonts w:ascii="仿宋" w:hAnsi="仿宋" w:eastAsia="仿宋"/>
          <w:color w:val="auto"/>
          <w:sz w:val="24"/>
          <w:highlight w:val="none"/>
          <w:u w:val="dotted"/>
        </w:rPr>
      </w:pPr>
      <w:r>
        <w:rPr>
          <w:rFonts w:hint="eastAsia" w:ascii="仿宋" w:hAnsi="仿宋" w:eastAsia="仿宋"/>
          <w:color w:val="auto"/>
          <w:sz w:val="24"/>
          <w:highlight w:val="none"/>
        </w:rPr>
        <w:t>投诉人于年月日,向提出质疑，质疑事项为：</w:t>
      </w:r>
    </w:p>
    <w:p w14:paraId="72AC7447">
      <w:pPr>
        <w:spacing w:line="360" w:lineRule="auto"/>
        <w:rPr>
          <w:rFonts w:ascii="仿宋" w:hAnsi="仿宋" w:eastAsia="仿宋"/>
          <w:color w:val="auto"/>
          <w:sz w:val="24"/>
          <w:highlight w:val="none"/>
          <w:u w:val="dotted"/>
        </w:rPr>
      </w:pPr>
    </w:p>
    <w:p w14:paraId="5AA808B8">
      <w:pPr>
        <w:spacing w:line="360" w:lineRule="auto"/>
        <w:ind w:firstLine="360" w:firstLineChars="150"/>
        <w:rPr>
          <w:rFonts w:ascii="仿宋" w:hAnsi="仿宋" w:eastAsia="仿宋"/>
          <w:color w:val="auto"/>
          <w:sz w:val="24"/>
          <w:highlight w:val="none"/>
        </w:rPr>
      </w:pPr>
      <w:r>
        <w:rPr>
          <w:rFonts w:hint="eastAsia" w:ascii="仿宋" w:hAnsi="仿宋" w:eastAsia="仿宋"/>
          <w:color w:val="auto"/>
          <w:sz w:val="24"/>
          <w:highlight w:val="none"/>
          <w:u w:val="dotted"/>
        </w:rPr>
        <w:t>征集人/代理机构</w:t>
      </w:r>
      <w:r>
        <w:rPr>
          <w:rFonts w:hint="eastAsia" w:ascii="仿宋" w:hAnsi="仿宋" w:eastAsia="仿宋"/>
          <w:color w:val="auto"/>
          <w:sz w:val="24"/>
          <w:highlight w:val="none"/>
        </w:rPr>
        <w:t>于年月日,就质疑事项作出了答复/没有在法定期限内作出答复。</w:t>
      </w:r>
    </w:p>
    <w:p w14:paraId="13554FBD">
      <w:pPr>
        <w:spacing w:line="360" w:lineRule="auto"/>
        <w:rPr>
          <w:rFonts w:ascii="仿宋" w:hAnsi="仿宋" w:eastAsia="仿宋"/>
          <w:color w:val="auto"/>
          <w:sz w:val="24"/>
          <w:highlight w:val="none"/>
        </w:rPr>
      </w:pPr>
      <w:r>
        <w:rPr>
          <w:rFonts w:hint="eastAsia" w:ascii="仿宋" w:hAnsi="仿宋" w:eastAsia="仿宋"/>
          <w:color w:val="auto"/>
          <w:sz w:val="24"/>
          <w:highlight w:val="none"/>
        </w:rPr>
        <w:t>四、投诉事项具体内容</w:t>
      </w:r>
    </w:p>
    <w:p w14:paraId="3608C6C8">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投诉事项 1：</w:t>
      </w:r>
    </w:p>
    <w:p w14:paraId="0FD7C0EC">
      <w:pPr>
        <w:spacing w:line="360" w:lineRule="auto"/>
        <w:rPr>
          <w:rFonts w:ascii="仿宋" w:hAnsi="仿宋" w:eastAsia="仿宋"/>
          <w:color w:val="auto"/>
          <w:sz w:val="24"/>
          <w:highlight w:val="none"/>
        </w:rPr>
      </w:pPr>
      <w:r>
        <w:rPr>
          <w:rFonts w:hint="eastAsia" w:ascii="仿宋" w:hAnsi="仿宋" w:eastAsia="仿宋"/>
          <w:color w:val="auto"/>
          <w:sz w:val="24"/>
          <w:highlight w:val="none"/>
        </w:rPr>
        <w:t>事实依据：</w:t>
      </w:r>
    </w:p>
    <w:p w14:paraId="21601C1E">
      <w:pPr>
        <w:spacing w:line="360" w:lineRule="auto"/>
        <w:rPr>
          <w:rFonts w:ascii="仿宋" w:hAnsi="仿宋" w:eastAsia="仿宋"/>
          <w:color w:val="auto"/>
          <w:sz w:val="24"/>
          <w:highlight w:val="none"/>
          <w:u w:val="dotted"/>
        </w:rPr>
      </w:pPr>
    </w:p>
    <w:p w14:paraId="72553EF8">
      <w:pPr>
        <w:spacing w:line="360" w:lineRule="auto"/>
        <w:rPr>
          <w:rFonts w:ascii="仿宋" w:hAnsi="仿宋" w:eastAsia="仿宋"/>
          <w:color w:val="auto"/>
          <w:sz w:val="24"/>
          <w:highlight w:val="none"/>
          <w:u w:val="single"/>
        </w:rPr>
      </w:pPr>
      <w:r>
        <w:rPr>
          <w:rFonts w:hint="eastAsia" w:ascii="仿宋" w:hAnsi="仿宋" w:eastAsia="仿宋"/>
          <w:color w:val="auto"/>
          <w:sz w:val="24"/>
          <w:highlight w:val="none"/>
        </w:rPr>
        <w:t>法律依据：</w:t>
      </w:r>
    </w:p>
    <w:p w14:paraId="67EAE76F">
      <w:pPr>
        <w:spacing w:line="360" w:lineRule="auto"/>
        <w:rPr>
          <w:rFonts w:ascii="仿宋" w:hAnsi="仿宋" w:eastAsia="仿宋"/>
          <w:color w:val="auto"/>
          <w:sz w:val="24"/>
          <w:highlight w:val="none"/>
          <w:u w:val="dotted"/>
        </w:rPr>
      </w:pPr>
    </w:p>
    <w:p w14:paraId="6CF3BF1A">
      <w:pPr>
        <w:spacing w:line="360" w:lineRule="auto"/>
        <w:rPr>
          <w:rFonts w:ascii="仿宋" w:hAnsi="仿宋" w:eastAsia="仿宋"/>
          <w:color w:val="auto"/>
          <w:sz w:val="24"/>
          <w:highlight w:val="none"/>
        </w:rPr>
      </w:pPr>
      <w:r>
        <w:rPr>
          <w:rFonts w:hint="eastAsia" w:ascii="仿宋" w:hAnsi="仿宋" w:eastAsia="仿宋"/>
          <w:color w:val="auto"/>
          <w:sz w:val="24"/>
          <w:highlight w:val="none"/>
        </w:rPr>
        <w:t>投诉事项2</w:t>
      </w:r>
    </w:p>
    <w:p w14:paraId="7FAFA7F5">
      <w:pPr>
        <w:spacing w:line="360" w:lineRule="auto"/>
        <w:rPr>
          <w:rFonts w:ascii="仿宋" w:hAnsi="仿宋" w:eastAsia="仿宋"/>
          <w:color w:val="auto"/>
          <w:sz w:val="24"/>
          <w:highlight w:val="none"/>
          <w:u w:val="dotted"/>
        </w:rPr>
      </w:pPr>
      <w:r>
        <w:rPr>
          <w:rFonts w:hint="eastAsia" w:ascii="仿宋" w:hAnsi="仿宋" w:eastAsia="仿宋"/>
          <w:color w:val="auto"/>
          <w:sz w:val="24"/>
          <w:highlight w:val="none"/>
        </w:rPr>
        <w:t>……</w:t>
      </w:r>
    </w:p>
    <w:p w14:paraId="6430BD32">
      <w:pPr>
        <w:spacing w:line="360" w:lineRule="auto"/>
        <w:rPr>
          <w:rFonts w:ascii="仿宋" w:hAnsi="仿宋" w:eastAsia="仿宋"/>
          <w:color w:val="auto"/>
          <w:sz w:val="24"/>
          <w:highlight w:val="none"/>
        </w:rPr>
      </w:pPr>
      <w:r>
        <w:rPr>
          <w:rFonts w:hint="eastAsia" w:ascii="仿宋" w:hAnsi="仿宋" w:eastAsia="仿宋"/>
          <w:color w:val="auto"/>
          <w:sz w:val="24"/>
          <w:highlight w:val="none"/>
        </w:rPr>
        <w:t>五、与投诉事项相关的投诉请求</w:t>
      </w:r>
    </w:p>
    <w:p w14:paraId="222DBF24">
      <w:pPr>
        <w:spacing w:line="360" w:lineRule="auto"/>
        <w:rPr>
          <w:rFonts w:ascii="仿宋" w:hAnsi="仿宋" w:eastAsia="仿宋"/>
          <w:color w:val="auto"/>
          <w:sz w:val="24"/>
          <w:highlight w:val="none"/>
        </w:rPr>
      </w:pPr>
      <w:r>
        <w:rPr>
          <w:rFonts w:hint="eastAsia" w:ascii="仿宋" w:hAnsi="仿宋" w:eastAsia="仿宋"/>
          <w:color w:val="auto"/>
          <w:sz w:val="24"/>
          <w:highlight w:val="none"/>
        </w:rPr>
        <w:t>请求：</w:t>
      </w:r>
    </w:p>
    <w:p w14:paraId="52D302B5">
      <w:pPr>
        <w:spacing w:line="360" w:lineRule="auto"/>
        <w:rPr>
          <w:rFonts w:ascii="仿宋" w:hAnsi="仿宋" w:eastAsia="仿宋"/>
          <w:color w:val="auto"/>
          <w:sz w:val="24"/>
          <w:highlight w:val="none"/>
          <w:u w:val="single"/>
        </w:rPr>
      </w:pPr>
    </w:p>
    <w:p w14:paraId="6C800A75">
      <w:pPr>
        <w:spacing w:line="360" w:lineRule="auto"/>
        <w:rPr>
          <w:rFonts w:ascii="仿宋" w:hAnsi="仿宋" w:eastAsia="仿宋"/>
          <w:color w:val="auto"/>
          <w:sz w:val="24"/>
          <w:highlight w:val="none"/>
        </w:rPr>
      </w:pPr>
      <w:r>
        <w:rPr>
          <w:rFonts w:hint="eastAsia" w:ascii="仿宋" w:hAnsi="仿宋" w:eastAsia="仿宋"/>
          <w:color w:val="auto"/>
          <w:sz w:val="24"/>
          <w:highlight w:val="none"/>
        </w:rPr>
        <w:t>签字(签章)：公章：</w:t>
      </w:r>
    </w:p>
    <w:p w14:paraId="533A830D">
      <w:pPr>
        <w:spacing w:line="360" w:lineRule="auto"/>
        <w:rPr>
          <w:rFonts w:ascii="仿宋" w:hAnsi="仿宋" w:eastAsia="仿宋"/>
          <w:color w:val="auto"/>
          <w:sz w:val="24"/>
          <w:highlight w:val="none"/>
        </w:rPr>
      </w:pPr>
      <w:r>
        <w:rPr>
          <w:rFonts w:hint="eastAsia" w:ascii="仿宋" w:hAnsi="仿宋" w:eastAsia="仿宋"/>
          <w:color w:val="auto"/>
          <w:sz w:val="24"/>
          <w:highlight w:val="none"/>
        </w:rPr>
        <w:t>日期：</w:t>
      </w:r>
    </w:p>
    <w:p w14:paraId="39C5B6AE">
      <w:pPr>
        <w:spacing w:line="360" w:lineRule="auto"/>
        <w:rPr>
          <w:rFonts w:ascii="仿宋" w:hAnsi="仿宋" w:eastAsia="仿宋"/>
          <w:b/>
          <w:color w:val="auto"/>
          <w:sz w:val="24"/>
          <w:highlight w:val="none"/>
        </w:rPr>
      </w:pPr>
    </w:p>
    <w:p w14:paraId="612C251B">
      <w:pPr>
        <w:spacing w:line="360" w:lineRule="auto"/>
        <w:rPr>
          <w:rFonts w:ascii="仿宋" w:hAnsi="仿宋" w:eastAsia="仿宋"/>
          <w:b/>
          <w:color w:val="auto"/>
          <w:sz w:val="24"/>
          <w:highlight w:val="none"/>
        </w:rPr>
      </w:pPr>
    </w:p>
    <w:p w14:paraId="77D475F1">
      <w:pPr>
        <w:spacing w:line="360" w:lineRule="auto"/>
        <w:rPr>
          <w:rFonts w:ascii="仿宋" w:hAnsi="仿宋" w:eastAsia="仿宋"/>
          <w:b/>
          <w:color w:val="auto"/>
          <w:sz w:val="24"/>
          <w:highlight w:val="none"/>
        </w:rPr>
      </w:pPr>
      <w:r>
        <w:rPr>
          <w:rFonts w:hint="eastAsia" w:ascii="仿宋" w:hAnsi="仿宋" w:eastAsia="仿宋"/>
          <w:b/>
          <w:color w:val="auto"/>
          <w:sz w:val="24"/>
          <w:highlight w:val="none"/>
        </w:rPr>
        <w:t>投诉书制作说明：</w:t>
      </w:r>
    </w:p>
    <w:p w14:paraId="6764F328">
      <w:pPr>
        <w:widowControl/>
        <w:spacing w:line="360" w:lineRule="auto"/>
        <w:ind w:firstLine="480" w:firstLineChars="200"/>
        <w:rPr>
          <w:rFonts w:ascii="仿宋" w:hAnsi="仿宋" w:eastAsia="仿宋" w:cs="宋体"/>
          <w:color w:val="auto"/>
          <w:kern w:val="0"/>
          <w:sz w:val="24"/>
          <w:highlight w:val="none"/>
        </w:rPr>
      </w:pPr>
      <w:r>
        <w:rPr>
          <w:rFonts w:hint="eastAsia" w:ascii="仿宋" w:hAnsi="仿宋" w:eastAsia="仿宋"/>
          <w:color w:val="auto"/>
          <w:sz w:val="24"/>
          <w:highlight w:val="none"/>
        </w:rPr>
        <w:t>1.投诉人提起投诉时，应当提交投诉书和必要的证明材料，并按照被投诉人和与投诉事项有关的供应商数量提供投诉书副本。</w:t>
      </w:r>
    </w:p>
    <w:p w14:paraId="1D67A85D">
      <w:pPr>
        <w:widowControl/>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olor w:val="auto"/>
          <w:sz w:val="24"/>
          <w:highlight w:val="none"/>
        </w:rPr>
        <w:t>2.投诉人若委托代理人进行投诉的，投诉书应按照要求列明“授权代表”的有关内容，并在附件中提交由</w:t>
      </w:r>
      <w:r>
        <w:rPr>
          <w:rFonts w:hint="eastAsia" w:ascii="仿宋" w:hAnsi="仿宋" w:eastAsia="仿宋" w:cs="宋体"/>
          <w:color w:val="auto"/>
          <w:kern w:val="0"/>
          <w:sz w:val="24"/>
          <w:highlight w:val="none"/>
        </w:rPr>
        <w:t>投诉人签署的授权委托书。授权委托书应当载明代理人的姓名或者名称、代理事项、具体权限、期限和相关事项。</w:t>
      </w:r>
    </w:p>
    <w:p w14:paraId="42314C04">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3.投诉人若对项目的某一分包进行投诉，投诉书应列明具体分包号。</w:t>
      </w:r>
    </w:p>
    <w:p w14:paraId="2FCF11DB">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4.投诉书应简要列明质疑事项，质疑函、质疑答复等作为附件材料提供。</w:t>
      </w:r>
    </w:p>
    <w:p w14:paraId="6FF7BDB9">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5.投诉书的投诉事项应具体、明确，并有必要的事实依据和法律依据。</w:t>
      </w:r>
    </w:p>
    <w:p w14:paraId="3C07FF86">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6.投诉书的投诉请求应与投诉事项相关。</w:t>
      </w:r>
    </w:p>
    <w:p w14:paraId="03955B2A">
      <w:pPr>
        <w:widowControl/>
        <w:spacing w:line="360" w:lineRule="auto"/>
        <w:ind w:firstLine="480" w:firstLineChars="200"/>
        <w:jc w:val="left"/>
        <w:rPr>
          <w:rFonts w:ascii="仿宋" w:hAnsi="仿宋" w:eastAsia="仿宋"/>
          <w:color w:val="auto"/>
          <w:sz w:val="24"/>
          <w:highlight w:val="none"/>
        </w:rPr>
      </w:pPr>
      <w:r>
        <w:rPr>
          <w:rFonts w:hint="eastAsia" w:ascii="仿宋" w:hAnsi="仿宋" w:eastAsia="仿宋"/>
          <w:color w:val="auto"/>
          <w:sz w:val="24"/>
          <w:highlight w:val="none"/>
        </w:rPr>
        <w:t>7.投诉人为自然人的，投诉书应当由本人签字；投诉人为法人或者其他组织的，投诉书应当由法定代表人、主要负责人，或者其授权代表签字或者盖章，并加盖公章。</w:t>
      </w:r>
    </w:p>
    <w:p w14:paraId="783262F4">
      <w:pPr>
        <w:widowControl/>
        <w:adjustRightInd/>
        <w:jc w:val="left"/>
        <w:rPr>
          <w:rFonts w:ascii="仿宋" w:hAnsi="仿宋" w:eastAsia="仿宋"/>
          <w:color w:val="auto"/>
          <w:sz w:val="24"/>
          <w:highlight w:val="none"/>
        </w:rPr>
      </w:pPr>
      <w:r>
        <w:rPr>
          <w:rFonts w:ascii="仿宋" w:hAnsi="仿宋" w:eastAsia="仿宋"/>
          <w:color w:val="auto"/>
          <w:sz w:val="24"/>
          <w:highlight w:val="none"/>
        </w:rPr>
        <w:br w:type="page"/>
      </w:r>
    </w:p>
    <w:p w14:paraId="25E4810C">
      <w:pPr>
        <w:autoSpaceDE w:val="0"/>
        <w:autoSpaceDN w:val="0"/>
        <w:jc w:val="center"/>
        <w:rPr>
          <w:rFonts w:ascii="仿宋" w:hAnsi="仿宋" w:eastAsia="仿宋" w:cs="宋体"/>
          <w:b/>
          <w:color w:val="auto"/>
          <w:kern w:val="0"/>
          <w:sz w:val="32"/>
          <w:szCs w:val="32"/>
          <w:highlight w:val="none"/>
          <w:lang w:val="zh-CN"/>
        </w:rPr>
      </w:pPr>
      <w:r>
        <w:rPr>
          <w:rFonts w:hint="eastAsia" w:ascii="仿宋" w:hAnsi="仿宋" w:eastAsia="仿宋" w:cs="宋体"/>
          <w:b/>
          <w:color w:val="auto"/>
          <w:spacing w:val="6"/>
          <w:sz w:val="32"/>
          <w:szCs w:val="32"/>
          <w:highlight w:val="none"/>
        </w:rPr>
        <w:t>附件4：</w:t>
      </w:r>
      <w:r>
        <w:rPr>
          <w:rFonts w:hint="eastAsia" w:ascii="仿宋" w:hAnsi="仿宋" w:eastAsia="仿宋" w:cs="宋体"/>
          <w:b/>
          <w:color w:val="auto"/>
          <w:kern w:val="0"/>
          <w:sz w:val="32"/>
          <w:szCs w:val="32"/>
          <w:highlight w:val="none"/>
          <w:lang w:val="zh-CN"/>
        </w:rPr>
        <w:t>联合协议</w:t>
      </w:r>
    </w:p>
    <w:p w14:paraId="75BF7EA9">
      <w:pPr>
        <w:widowControl/>
        <w:spacing w:line="360" w:lineRule="auto"/>
        <w:ind w:firstLine="482" w:firstLineChars="200"/>
        <w:jc w:val="left"/>
        <w:rPr>
          <w:rFonts w:ascii="仿宋" w:hAnsi="仿宋" w:eastAsia="仿宋" w:cs="宋体"/>
          <w:b/>
          <w:color w:val="auto"/>
          <w:sz w:val="24"/>
          <w:highlight w:val="none"/>
        </w:rPr>
      </w:pPr>
      <w:r>
        <w:rPr>
          <w:rFonts w:hint="eastAsia" w:ascii="仿宋" w:hAnsi="仿宋" w:eastAsia="仿宋" w:cs="宋体"/>
          <w:b/>
          <w:color w:val="auto"/>
          <w:sz w:val="24"/>
          <w:highlight w:val="none"/>
        </w:rPr>
        <w:t>（以联合体形式投标的，提供联合协议；本项目不接受联合体投标或者供应商不以联合体形式投标的，则不需要提供）</w:t>
      </w:r>
    </w:p>
    <w:p w14:paraId="2275020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（联合体所有成员名称）</w:t>
      </w:r>
      <w:r>
        <w:rPr>
          <w:rFonts w:hint="eastAsia" w:ascii="仿宋" w:hAnsi="仿宋" w:eastAsia="仿宋" w:cs="宋体"/>
          <w:color w:val="auto"/>
          <w:kern w:val="0"/>
          <w:sz w:val="24"/>
          <w:highlight w:val="none"/>
        </w:rPr>
        <w:t>自愿</w:t>
      </w:r>
      <w:r>
        <w:rPr>
          <w:rFonts w:hint="eastAsia" w:ascii="仿宋" w:hAnsi="仿宋" w:eastAsia="仿宋" w:cs="宋体"/>
          <w:color w:val="auto"/>
          <w:kern w:val="0"/>
          <w:sz w:val="24"/>
          <w:highlight w:val="none"/>
          <w:lang w:val="zh-CN"/>
        </w:rPr>
        <w:t>组成一个联合体，以一个供应商的身份</w:t>
      </w:r>
      <w:r>
        <w:rPr>
          <w:rFonts w:hint="eastAsia" w:ascii="仿宋" w:hAnsi="仿宋" w:eastAsia="仿宋" w:cs="宋体"/>
          <w:color w:val="auto"/>
          <w:kern w:val="0"/>
          <w:sz w:val="24"/>
          <w:highlight w:val="none"/>
        </w:rPr>
        <w:t>参加</w:t>
      </w:r>
      <w:r>
        <w:rPr>
          <w:rFonts w:hint="eastAsia" w:ascii="仿宋" w:hAnsi="仿宋" w:eastAsia="仿宋" w:cs="宋体"/>
          <w:color w:val="auto"/>
          <w:sz w:val="24"/>
          <w:highlight w:val="none"/>
        </w:rPr>
        <w:t>（项目名称）【征集编号：（采购编号）】</w:t>
      </w:r>
      <w:r>
        <w:rPr>
          <w:rFonts w:hint="eastAsia" w:ascii="仿宋" w:hAnsi="仿宋" w:eastAsia="仿宋" w:cs="宋体"/>
          <w:color w:val="auto"/>
          <w:kern w:val="0"/>
          <w:sz w:val="24"/>
          <w:highlight w:val="none"/>
          <w:lang w:val="zh-CN"/>
        </w:rPr>
        <w:t xml:space="preserve">投标。 </w:t>
      </w:r>
    </w:p>
    <w:p w14:paraId="2178C9F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一、各方一致决定，</w:t>
      </w:r>
      <w:r>
        <w:rPr>
          <w:rFonts w:hint="eastAsia" w:ascii="仿宋" w:hAnsi="仿宋" w:eastAsia="仿宋" w:cs="宋体"/>
          <w:color w:val="auto"/>
          <w:kern w:val="0"/>
          <w:sz w:val="24"/>
          <w:highlight w:val="none"/>
          <w:u w:val="single"/>
        </w:rPr>
        <w:t>（某联合体成员名称）</w:t>
      </w:r>
      <w:r>
        <w:rPr>
          <w:rFonts w:hint="eastAsia" w:ascii="仿宋" w:hAnsi="仿宋" w:eastAsia="仿宋" w:cs="宋体"/>
          <w:color w:val="auto"/>
          <w:kern w:val="0"/>
          <w:sz w:val="24"/>
          <w:highlight w:val="none"/>
        </w:rPr>
        <w:t>为联合体</w:t>
      </w:r>
      <w:r>
        <w:rPr>
          <w:rFonts w:hint="eastAsia" w:ascii="仿宋" w:hAnsi="仿宋" w:eastAsia="仿宋" w:cs="宋体"/>
          <w:color w:val="auto"/>
          <w:kern w:val="0"/>
          <w:sz w:val="24"/>
          <w:highlight w:val="none"/>
          <w:lang w:val="zh-CN"/>
        </w:rPr>
        <w:t>牵头人</w:t>
      </w:r>
      <w:r>
        <w:rPr>
          <w:rFonts w:hint="eastAsia" w:ascii="仿宋" w:hAnsi="仿宋" w:eastAsia="仿宋" w:cs="宋体"/>
          <w:color w:val="auto"/>
          <w:sz w:val="24"/>
          <w:highlight w:val="none"/>
        </w:rPr>
        <w:t>，代表所有联合体成员负责投标和合同实施阶段的主办、协调工作</w:t>
      </w:r>
      <w:r>
        <w:rPr>
          <w:rFonts w:hint="eastAsia" w:ascii="仿宋" w:hAnsi="仿宋" w:eastAsia="仿宋" w:cs="宋体"/>
          <w:color w:val="auto"/>
          <w:kern w:val="0"/>
          <w:sz w:val="24"/>
          <w:highlight w:val="none"/>
          <w:lang w:val="zh-CN"/>
        </w:rPr>
        <w:t>。</w:t>
      </w:r>
    </w:p>
    <w:p w14:paraId="1B8397F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w:t>
      </w:r>
      <w:r>
        <w:rPr>
          <w:rFonts w:hint="eastAsia" w:ascii="仿宋" w:hAnsi="仿宋" w:eastAsia="仿宋" w:cs="宋体"/>
          <w:color w:val="auto"/>
          <w:sz w:val="24"/>
          <w:highlight w:val="none"/>
        </w:rPr>
        <w:t>所有联合体成员各方签署授权书，授权书载明的</w:t>
      </w:r>
      <w:r>
        <w:rPr>
          <w:rFonts w:hint="eastAsia" w:ascii="仿宋" w:hAnsi="仿宋" w:eastAsia="仿宋" w:cs="宋体"/>
          <w:color w:val="auto"/>
          <w:kern w:val="0"/>
          <w:sz w:val="24"/>
          <w:highlight w:val="none"/>
          <w:lang w:val="zh-CN"/>
        </w:rPr>
        <w:t>授权代表根据征集文件规定及投标内容而对征集人、采购代理机构所作的任何合法承诺，包括书面澄清及相应等均对联合投标各方产生约束力。</w:t>
      </w:r>
    </w:p>
    <w:p w14:paraId="39998FF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三、本次联合投标中，分工如下：</w:t>
      </w:r>
    </w:p>
    <w:p w14:paraId="627CA857">
      <w:pPr>
        <w:snapToGrid w:val="0"/>
        <w:spacing w:line="360" w:lineRule="auto"/>
        <w:ind w:firstLine="576"/>
        <w:rPr>
          <w:rFonts w:ascii="仿宋" w:hAnsi="仿宋" w:eastAsia="仿宋" w:cs="宋体"/>
          <w:color w:val="auto"/>
          <w:kern w:val="0"/>
          <w:sz w:val="24"/>
          <w:highlight w:val="none"/>
          <w:lang w:val="zh-CN"/>
        </w:rPr>
      </w:pPr>
      <w:bookmarkStart w:id="420" w:name="_Hlk101134295"/>
      <w:r>
        <w:rPr>
          <w:rFonts w:hint="eastAsia" w:ascii="仿宋" w:hAnsi="仿宋" w:eastAsia="仿宋" w:cs="宋体"/>
          <w:color w:val="auto"/>
          <w:kern w:val="0"/>
          <w:sz w:val="24"/>
          <w:highlight w:val="none"/>
          <w:u w:val="single"/>
        </w:rPr>
        <w:t>（联合体成员1）</w:t>
      </w:r>
      <w:r>
        <w:rPr>
          <w:rFonts w:hint="eastAsia" w:ascii="仿宋" w:hAnsi="仿宋" w:eastAsia="仿宋" w:cs="宋体"/>
          <w:color w:val="auto"/>
          <w:kern w:val="0"/>
          <w:sz w:val="24"/>
          <w:highlight w:val="none"/>
          <w:lang w:val="zh-CN"/>
        </w:rPr>
        <w:t>承担的工作和义务为：；</w:t>
      </w:r>
    </w:p>
    <w:p w14:paraId="50A04FA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2</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lang w:val="zh-CN"/>
        </w:rPr>
        <w:t>承担的工作和义务为：；</w:t>
      </w:r>
    </w:p>
    <w:p w14:paraId="5B98E85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w:t>
      </w:r>
    </w:p>
    <w:bookmarkEnd w:id="420"/>
    <w:p w14:paraId="3C1D05B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四、联合体成员中小企业合同份额。</w:t>
      </w:r>
    </w:p>
    <w:p w14:paraId="1D3708C9">
      <w:pPr>
        <w:snapToGrid w:val="0"/>
        <w:spacing w:line="360" w:lineRule="auto"/>
        <w:ind w:firstLine="576"/>
        <w:rPr>
          <w:rFonts w:ascii="仿宋" w:hAnsi="仿宋" w:eastAsia="仿宋" w:cs="宋体"/>
          <w:b/>
          <w:color w:val="auto"/>
          <w:kern w:val="0"/>
          <w:sz w:val="24"/>
          <w:highlight w:val="none"/>
          <w:lang w:val="zh-CN"/>
        </w:rPr>
      </w:pPr>
      <w:r>
        <w:rPr>
          <w:rFonts w:hint="eastAsia" w:ascii="仿宋" w:hAnsi="仿宋" w:eastAsia="仿宋" w:cs="宋体"/>
          <w:color w:val="auto"/>
          <w:kern w:val="0"/>
          <w:sz w:val="24"/>
          <w:highlight w:val="none"/>
          <w:lang w:val="zh-CN"/>
        </w:rPr>
        <w:t>1、</w:t>
      </w:r>
      <w:r>
        <w:rPr>
          <w:rFonts w:hint="eastAsia" w:ascii="仿宋" w:hAnsi="仿宋" w:eastAsia="仿宋" w:cs="宋体"/>
          <w:color w:val="auto"/>
          <w:kern w:val="0"/>
          <w:sz w:val="24"/>
          <w:highlight w:val="none"/>
          <w:u w:val="single"/>
        </w:rPr>
        <w:t>（联合体成员</w:t>
      </w:r>
      <w:r>
        <w:rPr>
          <w:rFonts w:ascii="仿宋" w:hAnsi="仿宋" w:eastAsia="仿宋" w:cs="宋体"/>
          <w:color w:val="auto"/>
          <w:kern w:val="0"/>
          <w:sz w:val="24"/>
          <w:highlight w:val="none"/>
          <w:u w:val="single"/>
        </w:rPr>
        <w:t>X,</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提供的全部</w:t>
      </w:r>
      <w:r>
        <w:rPr>
          <w:rFonts w:hint="eastAsia" w:ascii="仿宋" w:hAnsi="仿宋" w:eastAsia="仿宋" w:cs="宋体"/>
          <w:color w:val="auto"/>
          <w:kern w:val="0"/>
          <w:sz w:val="24"/>
          <w:highlight w:val="none"/>
          <w:lang w:val="en-US" w:eastAsia="zh-CN"/>
        </w:rPr>
        <w:t>服务</w:t>
      </w:r>
      <w:r>
        <w:rPr>
          <w:rFonts w:hint="eastAsia" w:ascii="仿宋" w:hAnsi="仿宋" w:eastAsia="仿宋" w:cs="宋体"/>
          <w:color w:val="auto"/>
          <w:kern w:val="0"/>
          <w:sz w:val="24"/>
          <w:highlight w:val="none"/>
        </w:rPr>
        <w:t>由小微企业</w:t>
      </w:r>
      <w:r>
        <w:rPr>
          <w:rFonts w:hint="eastAsia" w:ascii="仿宋" w:hAnsi="仿宋" w:eastAsia="仿宋" w:cs="宋体"/>
          <w:color w:val="auto"/>
          <w:kern w:val="0"/>
          <w:sz w:val="24"/>
          <w:highlight w:val="none"/>
          <w:lang w:val="en-US" w:eastAsia="zh-CN"/>
        </w:rPr>
        <w:t>承接</w:t>
      </w:r>
      <w:r>
        <w:rPr>
          <w:rFonts w:hint="eastAsia" w:ascii="仿宋" w:hAnsi="仿宋" w:eastAsia="仿宋" w:cs="宋体"/>
          <w:color w:val="auto"/>
          <w:kern w:val="0"/>
          <w:sz w:val="24"/>
          <w:highlight w:val="none"/>
        </w:rPr>
        <w:t>，其合同份额占到合同总金额%以上；</w:t>
      </w:r>
      <w:r>
        <w:rPr>
          <w:rFonts w:hint="eastAsia" w:ascii="仿宋" w:hAnsi="仿宋" w:eastAsia="仿宋" w:cs="宋体"/>
          <w:color w:val="auto"/>
          <w:kern w:val="0"/>
          <w:sz w:val="24"/>
          <w:highlight w:val="none"/>
          <w:lang w:val="zh-CN"/>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（未预留份额专门面向中小企业采购的的采购项目，以及预留份额中的非预留部分采购包，接受联合体投标的，联合协议约定小微企业的合同份额占到合同总金额30%以上的，对联合体报价给予</w:t>
      </w:r>
      <w:r>
        <w:rPr>
          <w:rFonts w:ascii="仿宋" w:hAnsi="仿宋" w:eastAsia="仿宋" w:cs="宋体"/>
          <w:b/>
          <w:color w:val="auto"/>
          <w:kern w:val="0"/>
          <w:sz w:val="24"/>
          <w:highlight w:val="none"/>
          <w:lang w:val="zh-CN"/>
        </w:rPr>
        <w:t>6</w:t>
      </w:r>
      <w:r>
        <w:rPr>
          <w:rFonts w:hint="eastAsia" w:ascii="仿宋" w:hAnsi="仿宋" w:eastAsia="仿宋" w:cs="宋体"/>
          <w:b/>
          <w:color w:val="auto"/>
          <w:kern w:val="0"/>
          <w:sz w:val="24"/>
          <w:highlight w:val="none"/>
          <w:lang w:val="zh-CN"/>
        </w:rPr>
        <w:t>%的扣除。供应商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13C41451">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sz w:val="24"/>
          <w:highlight w:val="none"/>
        </w:rPr>
        <w:t>2、中小企业合同金额达到%，小微企业合同金额达到%</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要求以联合体形式参加的项目或采购包，供应商按征集文件第一部分征集公告申请人的资格要求中规定的联合协议中中小企业、小微企业合同金额应当达到的比例要求填写。</w:t>
      </w:r>
      <w:r>
        <w:rPr>
          <w:rFonts w:hint="eastAsia" w:ascii="仿宋" w:hAnsi="仿宋" w:eastAsia="仿宋" w:cs="宋体"/>
          <w:b/>
          <w:bCs/>
          <w:color w:val="auto"/>
          <w:kern w:val="0"/>
          <w:sz w:val="24"/>
          <w:highlight w:val="none"/>
          <w:lang w:val="zh-CN"/>
        </w:rPr>
        <w:t>）</w:t>
      </w:r>
    </w:p>
    <w:p w14:paraId="3DF68E1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五、如果中标，</w:t>
      </w:r>
      <w:r>
        <w:rPr>
          <w:rFonts w:hint="eastAsia" w:ascii="仿宋" w:hAnsi="仿宋" w:eastAsia="仿宋" w:cs="宋体"/>
          <w:color w:val="auto"/>
          <w:sz w:val="24"/>
          <w:highlight w:val="none"/>
        </w:rPr>
        <w:t>联合体各成员方共同与征集人签订合同，并就采购合同约定的事项对征集人承担连带责任。</w:t>
      </w:r>
    </w:p>
    <w:p w14:paraId="4B83B25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六、有关本次联合投标的其他事宜：</w:t>
      </w:r>
    </w:p>
    <w:p w14:paraId="435E5913">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1、联合体各方不再单独参加或者与其他供应商另外组成联合体参加同一合同项下的政府采购活动。</w:t>
      </w:r>
    </w:p>
    <w:p w14:paraId="2624E029">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2、联合体中有同类资质的各方按照联合体分工承担相同工作的，按照资质等级较低的供应商确定资质等级。</w:t>
      </w:r>
    </w:p>
    <w:p w14:paraId="05323D7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3、本协议提交征集人、采购代理机构后，联合体各方不得以任何形式对上述内容进行修改或撤销。</w:t>
      </w:r>
    </w:p>
    <w:p w14:paraId="4560BC5D">
      <w:pPr>
        <w:snapToGrid w:val="0"/>
        <w:spacing w:line="360" w:lineRule="auto"/>
        <w:ind w:firstLine="5040" w:firstLineChars="210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联合体成员名称(电子签名/公章)：</w:t>
      </w:r>
    </w:p>
    <w:p w14:paraId="08C443AB">
      <w:pPr>
        <w:snapToGrid w:val="0"/>
        <w:spacing w:line="360" w:lineRule="auto"/>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9156507">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注：按本格式和要求提供。</w:t>
      </w:r>
    </w:p>
    <w:p w14:paraId="4DFF6A53">
      <w:pPr>
        <w:autoSpaceDE w:val="0"/>
        <w:autoSpaceDN w:val="0"/>
        <w:jc w:val="center"/>
        <w:rPr>
          <w:rFonts w:ascii="仿宋" w:hAnsi="仿宋" w:eastAsia="仿宋" w:cs="宋体"/>
          <w:b/>
          <w:color w:val="auto"/>
          <w:spacing w:val="6"/>
          <w:sz w:val="32"/>
          <w:szCs w:val="32"/>
          <w:highlight w:val="none"/>
        </w:rPr>
      </w:pPr>
    </w:p>
    <w:p w14:paraId="6C27F16F">
      <w:pPr>
        <w:autoSpaceDE w:val="0"/>
        <w:autoSpaceDN w:val="0"/>
        <w:jc w:val="center"/>
        <w:rPr>
          <w:rFonts w:ascii="仿宋" w:hAnsi="仿宋" w:eastAsia="仿宋" w:cs="宋体"/>
          <w:b/>
          <w:color w:val="auto"/>
          <w:spacing w:val="6"/>
          <w:sz w:val="32"/>
          <w:szCs w:val="32"/>
          <w:highlight w:val="none"/>
        </w:rPr>
      </w:pPr>
    </w:p>
    <w:p w14:paraId="7DCF5FE4">
      <w:pPr>
        <w:autoSpaceDE w:val="0"/>
        <w:autoSpaceDN w:val="0"/>
        <w:jc w:val="center"/>
        <w:rPr>
          <w:rFonts w:ascii="仿宋" w:hAnsi="仿宋" w:eastAsia="仿宋" w:cs="宋体"/>
          <w:b/>
          <w:color w:val="auto"/>
          <w:spacing w:val="6"/>
          <w:sz w:val="32"/>
          <w:szCs w:val="32"/>
          <w:highlight w:val="none"/>
        </w:rPr>
      </w:pPr>
    </w:p>
    <w:p w14:paraId="23E67901">
      <w:pPr>
        <w:autoSpaceDE w:val="0"/>
        <w:autoSpaceDN w:val="0"/>
        <w:jc w:val="center"/>
        <w:rPr>
          <w:rFonts w:ascii="仿宋" w:hAnsi="仿宋" w:eastAsia="仿宋" w:cs="宋体"/>
          <w:b/>
          <w:color w:val="auto"/>
          <w:spacing w:val="6"/>
          <w:sz w:val="32"/>
          <w:szCs w:val="32"/>
          <w:highlight w:val="none"/>
        </w:rPr>
      </w:pPr>
    </w:p>
    <w:p w14:paraId="4A4CAC99">
      <w:pPr>
        <w:snapToGrid w:val="0"/>
        <w:spacing w:line="360" w:lineRule="auto"/>
        <w:jc w:val="center"/>
        <w:rPr>
          <w:rFonts w:ascii="仿宋" w:hAnsi="仿宋" w:eastAsia="仿宋" w:cs="宋体"/>
          <w:b/>
          <w:color w:val="auto"/>
          <w:kern w:val="0"/>
          <w:sz w:val="32"/>
          <w:szCs w:val="32"/>
          <w:highlight w:val="none"/>
        </w:rPr>
      </w:pPr>
      <w:r>
        <w:rPr>
          <w:rFonts w:hint="eastAsia" w:ascii="仿宋" w:hAnsi="仿宋" w:eastAsia="仿宋" w:cs="宋体"/>
          <w:b/>
          <w:color w:val="auto"/>
          <w:spacing w:val="6"/>
          <w:sz w:val="32"/>
          <w:szCs w:val="32"/>
          <w:highlight w:val="none"/>
        </w:rPr>
        <w:t>附件5：</w:t>
      </w:r>
      <w:r>
        <w:rPr>
          <w:rFonts w:hint="eastAsia" w:ascii="仿宋" w:hAnsi="仿宋" w:eastAsia="仿宋" w:cs="宋体"/>
          <w:b/>
          <w:color w:val="auto"/>
          <w:kern w:val="0"/>
          <w:sz w:val="32"/>
          <w:szCs w:val="32"/>
          <w:highlight w:val="none"/>
        </w:rPr>
        <w:t>分包意向协议</w:t>
      </w:r>
    </w:p>
    <w:p w14:paraId="19D19939">
      <w:pPr>
        <w:widowControl/>
        <w:spacing w:line="360" w:lineRule="auto"/>
        <w:ind w:firstLine="120" w:firstLineChars="5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r>
        <w:rPr>
          <w:rFonts w:hint="eastAsia" w:ascii="仿宋" w:hAnsi="仿宋" w:eastAsia="仿宋" w:cs="宋体"/>
          <w:b/>
          <w:color w:val="auto"/>
          <w:sz w:val="24"/>
          <w:highlight w:val="none"/>
        </w:rPr>
        <w:t>中标后以分包方式履行合同的，提供分包意向协议；征集人不同意分包或者供应商中标后不以分包方式履行合同的，则不需要提供。</w:t>
      </w:r>
      <w:r>
        <w:rPr>
          <w:rFonts w:hint="eastAsia" w:ascii="仿宋" w:hAnsi="仿宋" w:eastAsia="仿宋" w:cs="宋体"/>
          <w:color w:val="auto"/>
          <w:sz w:val="24"/>
          <w:highlight w:val="none"/>
        </w:rPr>
        <w:t>）</w:t>
      </w:r>
    </w:p>
    <w:p w14:paraId="369C29E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（供应商名称）</w:t>
      </w:r>
      <w:r>
        <w:rPr>
          <w:rFonts w:hint="eastAsia" w:ascii="仿宋" w:hAnsi="仿宋" w:eastAsia="仿宋" w:cs="宋体"/>
          <w:color w:val="auto"/>
          <w:kern w:val="0"/>
          <w:sz w:val="24"/>
          <w:highlight w:val="none"/>
          <w:lang w:val="zh-CN"/>
        </w:rPr>
        <w:t>若成为</w:t>
      </w:r>
      <w:r>
        <w:rPr>
          <w:rFonts w:hint="eastAsia" w:ascii="仿宋" w:hAnsi="仿宋" w:eastAsia="仿宋" w:cs="宋体"/>
          <w:color w:val="auto"/>
          <w:sz w:val="24"/>
          <w:highlight w:val="none"/>
        </w:rPr>
        <w:t>（项目名称）【征集编号：（采购编号）】</w:t>
      </w:r>
      <w:r>
        <w:rPr>
          <w:rFonts w:hint="eastAsia" w:ascii="仿宋" w:hAnsi="仿宋" w:eastAsia="仿宋" w:cs="宋体"/>
          <w:color w:val="auto"/>
          <w:kern w:val="0"/>
          <w:sz w:val="24"/>
          <w:highlight w:val="none"/>
          <w:lang w:val="zh-CN"/>
        </w:rPr>
        <w:t>的中标供应商，将依法采取分包方式履行合同。</w:t>
      </w:r>
      <w:r>
        <w:rPr>
          <w:rFonts w:hint="eastAsia" w:ascii="仿宋" w:hAnsi="仿宋" w:eastAsia="仿宋" w:cs="宋体"/>
          <w:color w:val="auto"/>
          <w:kern w:val="0"/>
          <w:sz w:val="24"/>
          <w:highlight w:val="none"/>
          <w:u w:val="single"/>
        </w:rPr>
        <w:t>（供应商名称）</w:t>
      </w:r>
      <w:r>
        <w:rPr>
          <w:rFonts w:hint="eastAsia" w:ascii="仿宋" w:hAnsi="仿宋" w:eastAsia="仿宋" w:cs="宋体"/>
          <w:color w:val="auto"/>
          <w:kern w:val="0"/>
          <w:sz w:val="24"/>
          <w:highlight w:val="none"/>
        </w:rPr>
        <w:t>与</w:t>
      </w:r>
      <w:r>
        <w:rPr>
          <w:rFonts w:hint="eastAsia" w:ascii="仿宋" w:hAnsi="仿宋" w:eastAsia="仿宋" w:cs="宋体"/>
          <w:color w:val="auto"/>
          <w:kern w:val="0"/>
          <w:sz w:val="24"/>
          <w:highlight w:val="none"/>
          <w:u w:val="single"/>
        </w:rPr>
        <w:t>（所有分包供应商名称）</w:t>
      </w:r>
      <w:r>
        <w:rPr>
          <w:rFonts w:hint="eastAsia" w:ascii="仿宋" w:hAnsi="仿宋" w:eastAsia="仿宋" w:cs="宋体"/>
          <w:color w:val="auto"/>
          <w:kern w:val="0"/>
          <w:sz w:val="24"/>
          <w:highlight w:val="none"/>
        </w:rPr>
        <w:t>达成分包意向协议</w:t>
      </w:r>
      <w:r>
        <w:rPr>
          <w:rFonts w:hint="eastAsia" w:ascii="仿宋" w:hAnsi="仿宋" w:eastAsia="仿宋" w:cs="宋体"/>
          <w:color w:val="auto"/>
          <w:kern w:val="0"/>
          <w:sz w:val="24"/>
          <w:highlight w:val="none"/>
          <w:lang w:val="zh-CN"/>
        </w:rPr>
        <w:t xml:space="preserve">。 </w:t>
      </w:r>
    </w:p>
    <w:p w14:paraId="5B8BA29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一、分包标的及数量</w:t>
      </w:r>
    </w:p>
    <w:p w14:paraId="0736E666">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u w:val="single"/>
        </w:rPr>
        <w:t>（供应商名称）</w:t>
      </w:r>
      <w:r>
        <w:rPr>
          <w:rFonts w:hint="eastAsia" w:ascii="仿宋" w:hAnsi="仿宋" w:eastAsia="仿宋" w:cs="宋体"/>
          <w:color w:val="auto"/>
          <w:kern w:val="0"/>
          <w:sz w:val="24"/>
          <w:highlight w:val="none"/>
          <w:lang w:val="zh-CN"/>
        </w:rPr>
        <w:t>将</w:t>
      </w:r>
      <w:r>
        <w:rPr>
          <w:rFonts w:ascii="仿宋" w:hAnsi="仿宋" w:eastAsia="仿宋" w:cs="宋体"/>
          <w:color w:val="auto"/>
          <w:kern w:val="0"/>
          <w:sz w:val="24"/>
          <w:highlight w:val="none"/>
          <w:u w:val="single"/>
        </w:rPr>
        <w:t xml:space="preserve">  XX工作内容   </w:t>
      </w:r>
      <w:r>
        <w:rPr>
          <w:rFonts w:hint="eastAsia" w:ascii="仿宋" w:hAnsi="仿宋" w:eastAsia="仿宋" w:cs="宋体"/>
          <w:color w:val="auto"/>
          <w:sz w:val="24"/>
          <w:highlight w:val="none"/>
        </w:rPr>
        <w:t>分包给</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w:t>
      </w:r>
      <w:r>
        <w:rPr>
          <w:rFonts w:hint="eastAsia" w:ascii="仿宋" w:hAnsi="仿宋" w:eastAsia="仿宋" w:cs="宋体"/>
          <w:color w:val="auto"/>
          <w:kern w:val="0"/>
          <w:sz w:val="24"/>
          <w:highlight w:val="none"/>
          <w:u w:val="single"/>
        </w:rPr>
        <w:t>（分包供应商1名称），</w:t>
      </w:r>
      <w:r>
        <w:rPr>
          <w:rFonts w:hint="eastAsia" w:ascii="仿宋" w:hAnsi="仿宋" w:eastAsia="仿宋" w:cs="宋体"/>
          <w:color w:val="auto"/>
          <w:kern w:val="0"/>
          <w:sz w:val="24"/>
          <w:highlight w:val="none"/>
          <w:lang w:val="zh-CN"/>
        </w:rPr>
        <w:t>具备承</w:t>
      </w:r>
      <w:r>
        <w:rPr>
          <w:rFonts w:hint="eastAsia" w:ascii="仿宋" w:hAnsi="仿宋" w:eastAsia="仿宋" w:cs="宋体"/>
          <w:color w:val="auto"/>
          <w:kern w:val="0"/>
          <w:sz w:val="24"/>
          <w:highlight w:val="none"/>
        </w:rPr>
        <w:t>担</w:t>
      </w:r>
      <w:r>
        <w:rPr>
          <w:rFonts w:hint="eastAsia" w:ascii="仿宋" w:hAnsi="仿宋" w:eastAsia="仿宋" w:cs="宋体"/>
          <w:color w:val="auto"/>
          <w:kern w:val="0"/>
          <w:sz w:val="24"/>
          <w:highlight w:val="none"/>
          <w:u w:val="single"/>
          <w:lang w:val="zh-CN"/>
        </w:rPr>
        <w:t>XX工作内容</w:t>
      </w:r>
      <w:r>
        <w:rPr>
          <w:rFonts w:hint="eastAsia" w:ascii="仿宋" w:hAnsi="仿宋" w:eastAsia="仿宋" w:cs="宋体"/>
          <w:color w:val="auto"/>
          <w:kern w:val="0"/>
          <w:sz w:val="24"/>
          <w:highlight w:val="none"/>
          <w:lang w:val="zh-CN"/>
        </w:rPr>
        <w:t>相应资质条件且不得再次分包；</w:t>
      </w:r>
    </w:p>
    <w:p w14:paraId="7F94FB58">
      <w:pPr>
        <w:pStyle w:val="2"/>
        <w:ind w:left="664" w:leftChars="316" w:firstLine="229" w:firstLineChars="95"/>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w:t>
      </w:r>
    </w:p>
    <w:p w14:paraId="4A014392">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二、分包供应商中小企业合同份额</w:t>
      </w:r>
    </w:p>
    <w:p w14:paraId="2939664B">
      <w:pPr>
        <w:snapToGrid w:val="0"/>
        <w:spacing w:line="360" w:lineRule="auto"/>
        <w:ind w:firstLine="576"/>
        <w:rPr>
          <w:rFonts w:ascii="仿宋" w:hAnsi="仿宋" w:eastAsia="仿宋" w:cs="宋体"/>
          <w:b/>
          <w:color w:val="auto"/>
          <w:kern w:val="0"/>
          <w:sz w:val="24"/>
          <w:highlight w:val="none"/>
          <w:lang w:val="zh-CN"/>
        </w:rPr>
      </w:pPr>
      <w:r>
        <w:rPr>
          <w:rFonts w:ascii="仿宋" w:hAnsi="仿宋" w:eastAsia="仿宋" w:cs="宋体"/>
          <w:color w:val="auto"/>
          <w:kern w:val="0"/>
          <w:sz w:val="24"/>
          <w:highlight w:val="none"/>
        </w:rPr>
        <w:t>1、</w:t>
      </w:r>
      <w:r>
        <w:rPr>
          <w:rFonts w:hint="eastAsia" w:ascii="仿宋" w:hAnsi="仿宋" w:eastAsia="仿宋" w:cs="宋体"/>
          <w:color w:val="auto"/>
          <w:kern w:val="0"/>
          <w:sz w:val="24"/>
          <w:highlight w:val="none"/>
          <w:u w:val="single"/>
        </w:rPr>
        <w:t>（分包供应商X</w:t>
      </w:r>
      <w:r>
        <w:rPr>
          <w:rFonts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u w:val="single"/>
        </w:rPr>
        <w:t>……）提供的</w:t>
      </w:r>
      <w:r>
        <w:rPr>
          <w:rFonts w:hint="eastAsia" w:ascii="仿宋" w:hAnsi="仿宋" w:eastAsia="仿宋" w:cs="宋体"/>
          <w:color w:val="auto"/>
          <w:kern w:val="0"/>
          <w:sz w:val="24"/>
          <w:highlight w:val="none"/>
          <w:u w:val="single"/>
          <w:lang w:val="en-US" w:eastAsia="zh-CN"/>
        </w:rPr>
        <w:t>服务</w:t>
      </w:r>
      <w:r>
        <w:rPr>
          <w:rFonts w:hint="eastAsia" w:ascii="仿宋" w:hAnsi="仿宋" w:eastAsia="仿宋" w:cs="宋体"/>
          <w:color w:val="auto"/>
          <w:kern w:val="0"/>
          <w:sz w:val="24"/>
          <w:highlight w:val="none"/>
          <w:u w:val="single"/>
        </w:rPr>
        <w:t>全部由小微企业</w:t>
      </w:r>
      <w:r>
        <w:rPr>
          <w:rFonts w:hint="eastAsia" w:ascii="仿宋" w:hAnsi="仿宋" w:eastAsia="仿宋" w:cs="宋体"/>
          <w:color w:val="auto"/>
          <w:kern w:val="0"/>
          <w:sz w:val="24"/>
          <w:highlight w:val="none"/>
          <w:u w:val="single"/>
          <w:lang w:val="en-US" w:eastAsia="zh-CN"/>
        </w:rPr>
        <w:t>承接</w:t>
      </w:r>
      <w:r>
        <w:rPr>
          <w:rFonts w:hint="eastAsia" w:ascii="仿宋" w:hAnsi="仿宋" w:eastAsia="仿宋" w:cs="宋体"/>
          <w:color w:val="auto"/>
          <w:kern w:val="0"/>
          <w:sz w:val="24"/>
          <w:highlight w:val="none"/>
          <w:u w:val="single"/>
        </w:rPr>
        <w:t>，</w:t>
      </w:r>
      <w:r>
        <w:rPr>
          <w:rFonts w:hint="eastAsia" w:ascii="仿宋" w:hAnsi="仿宋" w:eastAsia="仿宋" w:cs="宋体"/>
          <w:color w:val="auto"/>
          <w:kern w:val="0"/>
          <w:sz w:val="24"/>
          <w:highlight w:val="none"/>
        </w:rPr>
        <w:t>其合同份额占到合同总金额%以上</w:t>
      </w:r>
      <w:r>
        <w:rPr>
          <w:rFonts w:hint="eastAsia" w:ascii="仿宋" w:hAnsi="仿宋" w:eastAsia="仿宋" w:cs="宋体"/>
          <w:color w:val="auto"/>
          <w:highlight w:val="none"/>
        </w:rPr>
        <w:t>。</w:t>
      </w:r>
      <w:r>
        <w:rPr>
          <w:rFonts w:hint="eastAsia" w:ascii="仿宋" w:hAnsi="仿宋" w:eastAsia="仿宋"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ascii="仿宋" w:hAnsi="仿宋" w:eastAsia="仿宋" w:cs="宋体"/>
          <w:b/>
          <w:color w:val="auto"/>
          <w:kern w:val="0"/>
          <w:sz w:val="24"/>
          <w:highlight w:val="none"/>
          <w:lang w:val="zh-CN"/>
        </w:rPr>
        <w:t>6</w:t>
      </w:r>
      <w:r>
        <w:rPr>
          <w:rFonts w:hint="eastAsia" w:ascii="仿宋" w:hAnsi="仿宋" w:eastAsia="仿宋" w:cs="宋体"/>
          <w:b/>
          <w:color w:val="auto"/>
          <w:kern w:val="0"/>
          <w:sz w:val="24"/>
          <w:highlight w:val="none"/>
          <w:lang w:val="zh-CN"/>
        </w:rPr>
        <w:t>%的扣除。供应商</w:t>
      </w:r>
      <w:r>
        <w:rPr>
          <w:rFonts w:hint="eastAsia" w:ascii="仿宋" w:hAnsi="仿宋" w:eastAsia="仿宋" w:cs="宋体"/>
          <w:b/>
          <w:color w:val="auto"/>
          <w:sz w:val="24"/>
          <w:highlight w:val="none"/>
        </w:rPr>
        <w:t>拟享受以上价格扣除政策的，填写有关内容。</w:t>
      </w:r>
      <w:r>
        <w:rPr>
          <w:rFonts w:hint="eastAsia" w:ascii="仿宋" w:hAnsi="仿宋" w:eastAsia="仿宋" w:cs="宋体"/>
          <w:b/>
          <w:color w:val="auto"/>
          <w:kern w:val="0"/>
          <w:sz w:val="24"/>
          <w:highlight w:val="none"/>
          <w:lang w:val="zh-CN"/>
        </w:rPr>
        <w:t>）</w:t>
      </w:r>
    </w:p>
    <w:p w14:paraId="603A34D4">
      <w:pPr>
        <w:spacing w:line="360" w:lineRule="auto"/>
        <w:ind w:firstLine="480" w:firstLineChars="200"/>
        <w:rPr>
          <w:rFonts w:ascii="仿宋" w:hAnsi="仿宋" w:eastAsia="仿宋" w:cs="宋体"/>
          <w:b/>
          <w:bCs/>
          <w:color w:val="auto"/>
          <w:kern w:val="0"/>
          <w:sz w:val="24"/>
          <w:highlight w:val="none"/>
          <w:lang w:val="zh-CN"/>
        </w:rPr>
      </w:pPr>
      <w:r>
        <w:rPr>
          <w:rFonts w:hint="eastAsia" w:ascii="仿宋" w:hAnsi="仿宋" w:eastAsia="仿宋" w:cs="宋体"/>
          <w:color w:val="auto"/>
          <w:sz w:val="24"/>
          <w:highlight w:val="none"/>
        </w:rPr>
        <w:t>2、</w:t>
      </w:r>
      <w:bookmarkStart w:id="421" w:name="_Hlk101133173"/>
      <w:r>
        <w:rPr>
          <w:rFonts w:hint="eastAsia" w:ascii="仿宋" w:hAnsi="仿宋" w:eastAsia="仿宋" w:cs="宋体"/>
          <w:color w:val="auto"/>
          <w:sz w:val="24"/>
          <w:highlight w:val="none"/>
        </w:rPr>
        <w:t>中小企业合同金额达到%，小微企业合同金额达到%</w:t>
      </w:r>
      <w:r>
        <w:rPr>
          <w:rFonts w:hint="eastAsia" w:ascii="仿宋" w:hAnsi="仿宋" w:eastAsia="仿宋" w:cs="宋体"/>
          <w:color w:val="auto"/>
          <w:kern w:val="0"/>
          <w:sz w:val="24"/>
          <w:highlight w:val="none"/>
          <w:lang w:val="zh-CN"/>
        </w:rPr>
        <w:t>。</w:t>
      </w:r>
      <w:r>
        <w:rPr>
          <w:rFonts w:hint="eastAsia" w:ascii="仿宋" w:hAnsi="仿宋" w:eastAsia="仿宋" w:cs="宋体"/>
          <w:b/>
          <w:bCs/>
          <w:color w:val="auto"/>
          <w:kern w:val="0"/>
          <w:sz w:val="24"/>
          <w:highlight w:val="none"/>
          <w:lang w:val="zh-CN"/>
        </w:rPr>
        <w:t>（</w:t>
      </w:r>
      <w:r>
        <w:rPr>
          <w:rFonts w:hint="eastAsia" w:ascii="仿宋" w:hAnsi="仿宋" w:eastAsia="仿宋" w:cs="宋体"/>
          <w:b/>
          <w:bCs/>
          <w:color w:val="auto"/>
          <w:sz w:val="24"/>
          <w:highlight w:val="none"/>
        </w:rPr>
        <w:t>要求合同分包形式参加的项目或采购包，供应商按征集文件第一部分征集公告申请人的资格要求中规定的</w:t>
      </w:r>
      <w:r>
        <w:rPr>
          <w:rFonts w:hint="eastAsia" w:ascii="仿宋" w:hAnsi="仿宋" w:eastAsia="仿宋" w:cs="宋体"/>
          <w:b/>
          <w:color w:val="auto"/>
          <w:kern w:val="0"/>
          <w:sz w:val="24"/>
          <w:highlight w:val="none"/>
          <w:lang w:val="zh-CN"/>
        </w:rPr>
        <w:t>分包意向协议</w:t>
      </w:r>
      <w:r>
        <w:rPr>
          <w:rFonts w:hint="eastAsia" w:ascii="仿宋" w:hAnsi="仿宋" w:eastAsia="仿宋" w:cs="宋体"/>
          <w:b/>
          <w:bCs/>
          <w:color w:val="auto"/>
          <w:sz w:val="24"/>
          <w:highlight w:val="none"/>
        </w:rPr>
        <w:t>中中小企业、小微企业合同金额应当达到的比例要求填写。</w:t>
      </w:r>
      <w:r>
        <w:rPr>
          <w:rFonts w:hint="eastAsia" w:ascii="仿宋" w:hAnsi="仿宋" w:eastAsia="仿宋" w:cs="宋体"/>
          <w:b/>
          <w:bCs/>
          <w:color w:val="auto"/>
          <w:kern w:val="0"/>
          <w:sz w:val="24"/>
          <w:highlight w:val="none"/>
          <w:lang w:val="zh-CN"/>
        </w:rPr>
        <w:t>）</w:t>
      </w:r>
      <w:bookmarkEnd w:id="421"/>
    </w:p>
    <w:p w14:paraId="7CCABD9E">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三、分包工作履行期限、地点、方式</w:t>
      </w:r>
    </w:p>
    <w:p w14:paraId="5B062257">
      <w:pPr>
        <w:snapToGrid w:val="0"/>
        <w:spacing w:line="360" w:lineRule="auto"/>
        <w:ind w:firstLine="576"/>
        <w:rPr>
          <w:rFonts w:ascii="仿宋" w:hAnsi="仿宋" w:eastAsia="仿宋" w:cs="宋体"/>
          <w:color w:val="auto"/>
          <w:highlight w:val="none"/>
          <w:u w:val="single"/>
        </w:rPr>
      </w:pPr>
    </w:p>
    <w:p w14:paraId="04FB9584">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四、质量</w:t>
      </w:r>
    </w:p>
    <w:p w14:paraId="53F7C732">
      <w:pPr>
        <w:snapToGrid w:val="0"/>
        <w:spacing w:line="360" w:lineRule="auto"/>
        <w:ind w:firstLine="576"/>
        <w:rPr>
          <w:rFonts w:ascii="仿宋" w:hAnsi="仿宋" w:eastAsia="仿宋" w:cs="宋体"/>
          <w:color w:val="auto"/>
          <w:kern w:val="0"/>
          <w:sz w:val="24"/>
          <w:highlight w:val="none"/>
          <w:lang w:val="zh-CN"/>
        </w:rPr>
      </w:pPr>
    </w:p>
    <w:p w14:paraId="7379C6FF">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五、价款或者报酬</w:t>
      </w:r>
    </w:p>
    <w:p w14:paraId="02B5794B">
      <w:pPr>
        <w:snapToGrid w:val="0"/>
        <w:spacing w:line="360" w:lineRule="auto"/>
        <w:ind w:left="573" w:leftChars="273"/>
        <w:rPr>
          <w:rFonts w:ascii="仿宋" w:hAnsi="仿宋" w:eastAsia="仿宋" w:cs="宋体"/>
          <w:color w:val="auto"/>
          <w:kern w:val="0"/>
          <w:sz w:val="24"/>
          <w:highlight w:val="none"/>
          <w:lang w:val="zh-CN"/>
        </w:rPr>
      </w:pPr>
    </w:p>
    <w:p w14:paraId="36D8C4EA">
      <w:pPr>
        <w:snapToGrid w:val="0"/>
        <w:spacing w:line="360" w:lineRule="auto"/>
        <w:ind w:left="573" w:leftChars="273"/>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六、违约责任</w:t>
      </w:r>
    </w:p>
    <w:p w14:paraId="00128D1B">
      <w:pPr>
        <w:snapToGrid w:val="0"/>
        <w:spacing w:line="360" w:lineRule="auto"/>
        <w:ind w:firstLine="576"/>
        <w:rPr>
          <w:rFonts w:ascii="仿宋" w:hAnsi="仿宋" w:eastAsia="仿宋" w:cs="宋体"/>
          <w:color w:val="auto"/>
          <w:kern w:val="0"/>
          <w:sz w:val="24"/>
          <w:highlight w:val="none"/>
          <w:lang w:val="zh-CN"/>
        </w:rPr>
      </w:pPr>
    </w:p>
    <w:p w14:paraId="7C61F357">
      <w:pPr>
        <w:snapToGrid w:val="0"/>
        <w:spacing w:line="360" w:lineRule="auto"/>
        <w:ind w:firstLine="576"/>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七、争议解决的办法</w:t>
      </w:r>
    </w:p>
    <w:p w14:paraId="49B06A8D">
      <w:pPr>
        <w:snapToGrid w:val="0"/>
        <w:spacing w:line="360" w:lineRule="auto"/>
        <w:ind w:firstLine="576"/>
        <w:rPr>
          <w:rFonts w:ascii="仿宋" w:hAnsi="仿宋" w:eastAsia="仿宋" w:cs="宋体"/>
          <w:color w:val="auto"/>
          <w:kern w:val="0"/>
          <w:sz w:val="24"/>
          <w:highlight w:val="none"/>
          <w:lang w:val="zh-CN"/>
        </w:rPr>
      </w:pPr>
    </w:p>
    <w:p w14:paraId="5ECED598">
      <w:pPr>
        <w:snapToGrid w:val="0"/>
        <w:spacing w:line="360" w:lineRule="auto"/>
        <w:ind w:left="5758" w:leftChars="342" w:hanging="5040" w:hangingChars="2100"/>
        <w:rPr>
          <w:rFonts w:ascii="仿宋" w:hAnsi="仿宋" w:eastAsia="仿宋" w:cs="宋体"/>
          <w:color w:val="auto"/>
          <w:kern w:val="0"/>
          <w:sz w:val="24"/>
          <w:highlight w:val="none"/>
          <w:lang w:val="zh-CN"/>
        </w:rPr>
      </w:pPr>
      <w:r>
        <w:rPr>
          <w:rFonts w:hint="eastAsia" w:ascii="仿宋" w:hAnsi="仿宋" w:eastAsia="仿宋" w:cs="仿宋_GB2312"/>
          <w:color w:val="auto"/>
          <w:kern w:val="0"/>
          <w:sz w:val="24"/>
          <w:highlight w:val="none"/>
          <w:lang w:val="zh-CN"/>
        </w:rPr>
        <w:t>响应供应商</w:t>
      </w:r>
      <w:r>
        <w:rPr>
          <w:rFonts w:hint="eastAsia" w:ascii="仿宋" w:hAnsi="仿宋" w:eastAsia="仿宋" w:cs="宋体"/>
          <w:color w:val="auto"/>
          <w:kern w:val="0"/>
          <w:sz w:val="24"/>
          <w:highlight w:val="none"/>
          <w:lang w:val="zh-CN"/>
        </w:rPr>
        <w:t>名称(电子签名)：</w:t>
      </w:r>
    </w:p>
    <w:p w14:paraId="5A86765C">
      <w:pPr>
        <w:snapToGrid w:val="0"/>
        <w:spacing w:line="360" w:lineRule="auto"/>
        <w:ind w:firstLine="5640" w:firstLineChars="2350"/>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分包供应商名称：</w:t>
      </w:r>
    </w:p>
    <w:p w14:paraId="03EE1ED8">
      <w:pPr>
        <w:snapToGrid w:val="0"/>
        <w:spacing w:line="360" w:lineRule="auto"/>
        <w:ind w:firstLine="5760" w:firstLineChars="2400"/>
        <w:rPr>
          <w:rFonts w:ascii="仿宋" w:hAnsi="仿宋" w:eastAsia="仿宋" w:cs="宋体"/>
          <w:color w:val="auto"/>
          <w:highlight w:val="none"/>
        </w:rPr>
      </w:pPr>
      <w:r>
        <w:rPr>
          <w:rFonts w:hint="eastAsia" w:ascii="仿宋" w:hAnsi="仿宋" w:eastAsia="仿宋" w:cs="宋体"/>
          <w:color w:val="auto"/>
          <w:kern w:val="0"/>
          <w:sz w:val="24"/>
          <w:highlight w:val="none"/>
          <w:lang w:val="zh-CN"/>
        </w:rPr>
        <w:t>……</w:t>
      </w:r>
    </w:p>
    <w:p w14:paraId="636DC271">
      <w:pPr>
        <w:spacing w:line="360" w:lineRule="auto"/>
        <w:jc w:val="center"/>
        <w:rPr>
          <w:rFonts w:ascii="仿宋" w:hAnsi="仿宋" w:eastAsia="仿宋" w:cs="宋体"/>
          <w:color w:val="auto"/>
          <w:kern w:val="0"/>
          <w:sz w:val="24"/>
          <w:highlight w:val="none"/>
          <w:lang w:val="zh-CN"/>
        </w:rPr>
      </w:pPr>
      <w:r>
        <w:rPr>
          <w:rFonts w:hint="eastAsia" w:ascii="仿宋" w:hAnsi="仿宋" w:eastAsia="仿宋" w:cs="宋体"/>
          <w:color w:val="auto"/>
          <w:kern w:val="0"/>
          <w:sz w:val="24"/>
          <w:highlight w:val="none"/>
          <w:lang w:val="zh-CN"/>
        </w:rPr>
        <w:t xml:space="preserve">                                        日期：  年  月   日</w:t>
      </w:r>
    </w:p>
    <w:p w14:paraId="23A83740">
      <w:pPr>
        <w:autoSpaceDE w:val="0"/>
        <w:autoSpaceDN w:val="0"/>
        <w:rPr>
          <w:rFonts w:ascii="仿宋" w:hAnsi="仿宋" w:eastAsia="仿宋"/>
          <w:b/>
          <w:color w:val="auto"/>
          <w:spacing w:val="6"/>
          <w:sz w:val="32"/>
          <w:szCs w:val="32"/>
          <w:highlight w:val="none"/>
        </w:rPr>
      </w:pPr>
    </w:p>
    <w:p w14:paraId="166D0A3A">
      <w:pPr>
        <w:autoSpaceDE w:val="0"/>
        <w:autoSpaceDN w:val="0"/>
        <w:rPr>
          <w:rFonts w:ascii="仿宋" w:hAnsi="仿宋" w:eastAsia="仿宋"/>
          <w:b/>
          <w:color w:val="auto"/>
          <w:spacing w:val="6"/>
          <w:sz w:val="32"/>
          <w:szCs w:val="32"/>
          <w:highlight w:val="none"/>
        </w:rPr>
      </w:pPr>
    </w:p>
    <w:p w14:paraId="22B91EF8">
      <w:pPr>
        <w:rPr>
          <w:rFonts w:ascii="仿宋" w:hAnsi="仿宋" w:eastAsia="仿宋"/>
          <w:b/>
          <w:color w:val="auto"/>
          <w:spacing w:val="6"/>
          <w:sz w:val="32"/>
          <w:szCs w:val="32"/>
          <w:highlight w:val="none"/>
        </w:rPr>
      </w:pPr>
      <w:r>
        <w:rPr>
          <w:rFonts w:hint="eastAsia" w:ascii="仿宋" w:hAnsi="仿宋" w:eastAsia="仿宋"/>
          <w:b/>
          <w:color w:val="auto"/>
          <w:spacing w:val="6"/>
          <w:sz w:val="32"/>
          <w:szCs w:val="32"/>
          <w:highlight w:val="none"/>
        </w:rPr>
        <w:br w:type="page"/>
      </w:r>
    </w:p>
    <w:p w14:paraId="54BE9FA7">
      <w:pPr>
        <w:autoSpaceDE w:val="0"/>
        <w:autoSpaceDN w:val="0"/>
        <w:rPr>
          <w:rFonts w:ascii="仿宋" w:hAnsi="仿宋" w:eastAsia="仿宋"/>
          <w:b/>
          <w:bCs/>
          <w:color w:val="auto"/>
          <w:sz w:val="32"/>
          <w:szCs w:val="32"/>
          <w:highlight w:val="none"/>
        </w:rPr>
      </w:pPr>
      <w:r>
        <w:rPr>
          <w:rFonts w:hint="eastAsia" w:ascii="仿宋" w:hAnsi="仿宋" w:eastAsia="仿宋"/>
          <w:b/>
          <w:color w:val="auto"/>
          <w:spacing w:val="6"/>
          <w:sz w:val="32"/>
          <w:szCs w:val="32"/>
          <w:highlight w:val="none"/>
        </w:rPr>
        <w:t>附件6：</w:t>
      </w:r>
      <w:r>
        <w:rPr>
          <w:rFonts w:hint="eastAsia" w:ascii="仿宋" w:hAnsi="仿宋" w:eastAsia="仿宋"/>
          <w:b/>
          <w:color w:val="auto"/>
          <w:sz w:val="32"/>
          <w:szCs w:val="32"/>
          <w:highlight w:val="none"/>
        </w:rPr>
        <w:t>中小企业声明函</w:t>
      </w:r>
    </w:p>
    <w:p w14:paraId="20A1264E">
      <w:pPr>
        <w:spacing w:line="360" w:lineRule="auto"/>
        <w:jc w:val="center"/>
        <w:rPr>
          <w:rFonts w:ascii="仿宋" w:hAnsi="仿宋" w:eastAsia="仿宋" w:cs="仿宋_GB2312"/>
          <w:color w:val="auto"/>
          <w:sz w:val="24"/>
          <w:highlight w:val="none"/>
          <w:u w:val="single"/>
        </w:rPr>
      </w:pPr>
    </w:p>
    <w:p w14:paraId="0A995B2D">
      <w:pPr>
        <w:spacing w:line="360" w:lineRule="auto"/>
        <w:jc w:val="center"/>
        <w:rPr>
          <w:rFonts w:ascii="仿宋" w:hAnsi="仿宋" w:eastAsia="仿宋" w:cs="宋体"/>
          <w:b/>
          <w:color w:val="auto"/>
          <w:sz w:val="32"/>
          <w:szCs w:val="32"/>
          <w:highlight w:val="none"/>
        </w:rPr>
      </w:pPr>
      <w:r>
        <w:rPr>
          <w:rFonts w:hint="eastAsia" w:ascii="仿宋" w:hAnsi="仿宋" w:eastAsia="仿宋" w:cs="宋体"/>
          <w:b/>
          <w:color w:val="auto"/>
          <w:sz w:val="32"/>
          <w:szCs w:val="32"/>
          <w:highlight w:val="none"/>
        </w:rPr>
        <w:t>中小企业声明函（服务）</w:t>
      </w:r>
    </w:p>
    <w:p w14:paraId="2BCE0444">
      <w:pPr>
        <w:spacing w:line="360" w:lineRule="auto"/>
        <w:ind w:firstLine="360" w:firstLineChars="150"/>
        <w:jc w:val="left"/>
        <w:rPr>
          <w:rFonts w:ascii="仿宋" w:hAnsi="仿宋" w:eastAsia="仿宋" w:cs="宋体"/>
          <w:color w:val="auto"/>
          <w:sz w:val="24"/>
          <w:highlight w:val="none"/>
        </w:rPr>
      </w:pPr>
      <w:r>
        <w:rPr>
          <w:rFonts w:hint="eastAsia" w:ascii="仿宋" w:hAnsi="仿宋" w:eastAsia="仿宋" w:cs="宋体"/>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宋体"/>
          <w:color w:val="auto"/>
          <w:sz w:val="24"/>
          <w:highlight w:val="none"/>
          <w:u w:val="single"/>
        </w:rPr>
        <w:t xml:space="preserve">（征集人） </w:t>
      </w:r>
      <w:r>
        <w:rPr>
          <w:rFonts w:hint="eastAsia" w:ascii="仿宋" w:hAnsi="仿宋" w:eastAsia="仿宋" w:cs="宋体"/>
          <w:color w:val="auto"/>
          <w:sz w:val="24"/>
          <w:highlight w:val="none"/>
        </w:rPr>
        <w:t>的</w:t>
      </w:r>
      <w:r>
        <w:rPr>
          <w:rFonts w:hint="eastAsia" w:ascii="仿宋" w:hAnsi="仿宋" w:eastAsia="仿宋" w:cs="宋体"/>
          <w:color w:val="auto"/>
          <w:sz w:val="24"/>
          <w:highlight w:val="none"/>
          <w:u w:val="single"/>
        </w:rPr>
        <w:t xml:space="preserve"> （项目名称） </w:t>
      </w:r>
      <w:r>
        <w:rPr>
          <w:rFonts w:hint="eastAsia" w:ascii="仿宋" w:hAnsi="仿宋" w:eastAsia="仿宋"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0A14F9C1">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1.</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（征集文件中明确的所属行业）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423362E1">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2.</w:t>
      </w:r>
      <w:r>
        <w:rPr>
          <w:rFonts w:hint="eastAsia" w:ascii="仿宋" w:hAnsi="仿宋" w:eastAsia="仿宋" w:cs="宋体"/>
          <w:color w:val="auto"/>
          <w:sz w:val="24"/>
          <w:highlight w:val="none"/>
          <w:u w:val="single"/>
        </w:rPr>
        <w:t>（标的名称）</w:t>
      </w:r>
      <w:r>
        <w:rPr>
          <w:rFonts w:hint="eastAsia" w:ascii="仿宋" w:hAnsi="仿宋" w:eastAsia="仿宋" w:cs="宋体"/>
          <w:color w:val="auto"/>
          <w:sz w:val="24"/>
          <w:highlight w:val="none"/>
        </w:rPr>
        <w:t xml:space="preserve">，属于 </w:t>
      </w:r>
      <w:r>
        <w:rPr>
          <w:rFonts w:hint="eastAsia" w:ascii="仿宋" w:hAnsi="仿宋" w:eastAsia="仿宋" w:cs="宋体"/>
          <w:color w:val="auto"/>
          <w:sz w:val="24"/>
          <w:highlight w:val="none"/>
          <w:u w:val="single"/>
        </w:rPr>
        <w:t>（征集文件中明确的所属行业）</w:t>
      </w:r>
      <w:r>
        <w:rPr>
          <w:rFonts w:hint="eastAsia" w:ascii="仿宋" w:hAnsi="仿宋" w:eastAsia="仿宋" w:cs="宋体"/>
          <w:color w:val="auto"/>
          <w:sz w:val="24"/>
          <w:highlight w:val="none"/>
        </w:rPr>
        <w:t xml:space="preserve"> ；承建（承接）企业为 </w:t>
      </w:r>
      <w:r>
        <w:rPr>
          <w:rFonts w:hint="eastAsia" w:ascii="仿宋" w:hAnsi="仿宋" w:eastAsia="仿宋" w:cs="宋体"/>
          <w:color w:val="auto"/>
          <w:sz w:val="24"/>
          <w:highlight w:val="none"/>
          <w:u w:val="single"/>
        </w:rPr>
        <w:t>（企业名称）</w:t>
      </w:r>
      <w:r>
        <w:rPr>
          <w:rFonts w:hint="eastAsia" w:ascii="仿宋" w:hAnsi="仿宋" w:eastAsia="仿宋" w:cs="宋体"/>
          <w:color w:val="auto"/>
          <w:sz w:val="24"/>
          <w:highlight w:val="none"/>
        </w:rPr>
        <w:t xml:space="preserve"> ，从业人员人，营业收入为万元，资产总额为万元属于</w:t>
      </w:r>
      <w:r>
        <w:rPr>
          <w:rFonts w:hint="eastAsia" w:ascii="仿宋" w:hAnsi="仿宋" w:eastAsia="仿宋" w:cs="宋体"/>
          <w:color w:val="auto"/>
          <w:sz w:val="24"/>
          <w:highlight w:val="none"/>
          <w:u w:val="single"/>
        </w:rPr>
        <w:t xml:space="preserve"> （中型企业、小型企业、微型企业） </w:t>
      </w:r>
      <w:r>
        <w:rPr>
          <w:rFonts w:hint="eastAsia" w:ascii="仿宋" w:hAnsi="仿宋" w:eastAsia="仿宋" w:cs="宋体"/>
          <w:color w:val="auto"/>
          <w:sz w:val="24"/>
          <w:highlight w:val="none"/>
        </w:rPr>
        <w:t>；</w:t>
      </w:r>
    </w:p>
    <w:p w14:paraId="299411D9">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w:t>
      </w:r>
    </w:p>
    <w:p w14:paraId="7B94BFEF">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以上企业，不属于大企业的分支机构，不存在控股股东为大企业的情形，也不存在与大企业的负责人为同一人的情形。</w:t>
      </w:r>
    </w:p>
    <w:p w14:paraId="205C8303">
      <w:pPr>
        <w:spacing w:line="360" w:lineRule="auto"/>
        <w:ind w:firstLine="480" w:firstLineChars="200"/>
        <w:jc w:val="left"/>
        <w:rPr>
          <w:rFonts w:ascii="仿宋" w:hAnsi="仿宋" w:eastAsia="仿宋" w:cs="宋体"/>
          <w:color w:val="auto"/>
          <w:sz w:val="24"/>
          <w:highlight w:val="none"/>
        </w:rPr>
      </w:pPr>
      <w:r>
        <w:rPr>
          <w:rFonts w:hint="eastAsia" w:ascii="仿宋" w:hAnsi="仿宋" w:eastAsia="仿宋" w:cs="宋体"/>
          <w:color w:val="auto"/>
          <w:sz w:val="24"/>
          <w:highlight w:val="none"/>
        </w:rPr>
        <w:t>本企业对上述声明内容的真实性负责。如有虚假，将依法承担相应责任。</w:t>
      </w:r>
    </w:p>
    <w:p w14:paraId="3AFFA720">
      <w:pPr>
        <w:spacing w:line="360" w:lineRule="auto"/>
        <w:ind w:right="1760"/>
        <w:jc w:val="right"/>
        <w:rPr>
          <w:rFonts w:ascii="仿宋" w:hAnsi="仿宋" w:eastAsia="仿宋" w:cs="宋体"/>
          <w:color w:val="auto"/>
          <w:sz w:val="24"/>
          <w:highlight w:val="none"/>
        </w:rPr>
      </w:pPr>
      <w:r>
        <w:rPr>
          <w:rFonts w:hint="eastAsia" w:ascii="仿宋" w:hAnsi="仿宋" w:eastAsia="仿宋" w:cs="仿宋_GB2312"/>
          <w:color w:val="auto"/>
          <w:kern w:val="0"/>
          <w:sz w:val="24"/>
          <w:highlight w:val="none"/>
          <w:lang w:val="zh-CN"/>
        </w:rPr>
        <w:t>响应供应商</w:t>
      </w:r>
      <w:r>
        <w:rPr>
          <w:rFonts w:hint="eastAsia" w:ascii="仿宋" w:hAnsi="仿宋" w:eastAsia="仿宋" w:cs="宋体"/>
          <w:color w:val="auto"/>
          <w:sz w:val="24"/>
          <w:highlight w:val="none"/>
        </w:rPr>
        <w:t>名称（电子签名）：</w:t>
      </w:r>
    </w:p>
    <w:p w14:paraId="5ABC3A68">
      <w:pPr>
        <w:spacing w:line="360" w:lineRule="auto"/>
        <w:ind w:right="1120" w:firstLine="4680" w:firstLineChars="1950"/>
        <w:rPr>
          <w:rFonts w:ascii="仿宋" w:hAnsi="仿宋" w:eastAsia="仿宋" w:cs="宋体"/>
          <w:color w:val="auto"/>
          <w:sz w:val="24"/>
          <w:highlight w:val="none"/>
        </w:rPr>
      </w:pPr>
      <w:r>
        <w:rPr>
          <w:rFonts w:hint="eastAsia" w:ascii="仿宋" w:hAnsi="仿宋" w:eastAsia="仿宋" w:cs="宋体"/>
          <w:color w:val="auto"/>
          <w:sz w:val="24"/>
          <w:highlight w:val="none"/>
        </w:rPr>
        <w:t>日 期：</w:t>
      </w:r>
    </w:p>
    <w:p w14:paraId="1F1F383D">
      <w:pPr>
        <w:spacing w:line="360" w:lineRule="auto"/>
        <w:ind w:firstLine="310" w:firstLineChars="147"/>
        <w:jc w:val="left"/>
        <w:rPr>
          <w:rFonts w:ascii="仿宋" w:hAnsi="仿宋" w:eastAsia="仿宋" w:cs="宋体"/>
          <w:b/>
          <w:color w:val="auto"/>
          <w:szCs w:val="21"/>
          <w:highlight w:val="none"/>
        </w:rPr>
      </w:pPr>
      <w:r>
        <w:rPr>
          <w:rFonts w:hint="eastAsia" w:ascii="仿宋" w:hAnsi="仿宋" w:eastAsia="仿宋" w:cs="宋体"/>
          <w:b/>
          <w:color w:val="auto"/>
          <w:szCs w:val="21"/>
          <w:highlight w:val="none"/>
        </w:rPr>
        <w:t>从业人员、营业收入、资产总额填报上一年度数据，无上一年度数据的新成立企业可不填报。</w:t>
      </w:r>
    </w:p>
    <w:p w14:paraId="0A28E262">
      <w:pPr>
        <w:spacing w:line="360" w:lineRule="auto"/>
        <w:ind w:right="420"/>
        <w:rPr>
          <w:rFonts w:ascii="仿宋" w:hAnsi="仿宋" w:eastAsia="仿宋" w:cs="宋体"/>
          <w:color w:val="auto"/>
          <w:sz w:val="24"/>
          <w:highlight w:val="none"/>
        </w:rPr>
      </w:pPr>
    </w:p>
    <w:p w14:paraId="715E31DA">
      <w:pPr>
        <w:spacing w:line="360" w:lineRule="auto"/>
        <w:ind w:right="420"/>
        <w:rPr>
          <w:rFonts w:ascii="仿宋" w:hAnsi="仿宋" w:eastAsia="仿宋" w:cs="宋体"/>
          <w:color w:val="auto"/>
          <w:sz w:val="24"/>
          <w:highlight w:val="none"/>
        </w:rPr>
      </w:pPr>
      <w:r>
        <w:rPr>
          <w:rFonts w:hint="eastAsia" w:ascii="仿宋" w:hAnsi="仿宋" w:eastAsia="仿宋" w:cs="宋体"/>
          <w:color w:val="auto"/>
          <w:sz w:val="24"/>
          <w:highlight w:val="none"/>
        </w:rPr>
        <w:t xml:space="preserve">   注：</w:t>
      </w:r>
    </w:p>
    <w:p w14:paraId="504980E4">
      <w:pPr>
        <w:spacing w:line="360" w:lineRule="auto"/>
        <w:ind w:right="420" w:firstLine="480" w:firstLineChars="200"/>
        <w:rPr>
          <w:rFonts w:ascii="仿宋" w:hAnsi="仿宋" w:eastAsia="仿宋" w:cs="宋体"/>
          <w:color w:val="auto"/>
          <w:sz w:val="24"/>
          <w:highlight w:val="none"/>
        </w:rPr>
      </w:pPr>
      <w:r>
        <w:rPr>
          <w:rFonts w:hint="eastAsia" w:ascii="仿宋" w:hAnsi="仿宋" w:eastAsia="仿宋" w:cs="宋体"/>
          <w:color w:val="auto"/>
          <w:sz w:val="24"/>
          <w:highlight w:val="none"/>
        </w:rPr>
        <w:t>1、填写要求：①“标的名称”、“征集文件中明确的所属行业”依据征集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C5E91D4">
      <w:pPr>
        <w:spacing w:line="360" w:lineRule="auto"/>
        <w:ind w:right="420" w:firstLine="720" w:firstLineChars="300"/>
        <w:rPr>
          <w:rFonts w:ascii="仿宋" w:hAnsi="仿宋" w:eastAsia="仿宋" w:cs="宋体"/>
          <w:color w:val="auto"/>
          <w:sz w:val="24"/>
          <w:highlight w:val="none"/>
        </w:rPr>
      </w:pPr>
      <w:r>
        <w:rPr>
          <w:rFonts w:hint="eastAsia" w:ascii="仿宋" w:hAnsi="仿宋" w:eastAsia="仿宋" w:cs="宋体"/>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sectPr>
      <w:headerReference r:id="rId13" w:type="first"/>
      <w:footerReference r:id="rId15" w:type="first"/>
      <w:headerReference r:id="rId12" w:type="default"/>
      <w:footerReference r:id="rId14" w:type="default"/>
      <w:pgSz w:w="11906" w:h="16838"/>
      <w:pgMar w:top="1247" w:right="1418" w:bottom="1276" w:left="1418" w:header="851" w:footer="567"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ˎ̥">
    <w:altName w:val="华文仿宋"/>
    <w:panose1 w:val="00000000000000000000"/>
    <w:charset w:val="00"/>
    <w:family w:val="decorative"/>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0000000000000000000"/>
    <w:charset w:val="00"/>
    <w:family w:val="moder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Arial Unicode MS">
    <w:altName w:val="Times New Roman"/>
    <w:panose1 w:val="020B0604020202020204"/>
    <w:charset w:val="00"/>
    <w:family w:val="roman"/>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Futura Bk">
    <w:altName w:val="Segoe Print"/>
    <w:panose1 w:val="00000000000000000000"/>
    <w:charset w:val="00"/>
    <w:family w:val="modern"/>
    <w:pitch w:val="default"/>
    <w:sig w:usb0="00000000" w:usb1="00000000" w:usb2="00000000" w:usb3="00000000" w:csb0="00000011" w:csb1="00000000"/>
  </w:font>
  <w:font w:name="Arial Narrow">
    <w:panose1 w:val="020B0606020202030204"/>
    <w:charset w:val="00"/>
    <w:family w:val="swiss"/>
    <w:pitch w:val="default"/>
    <w:sig w:usb0="00000287" w:usb1="00000800" w:usb2="00000000" w:usb3="00000000" w:csb0="2000009F" w:csb1="DFD70000"/>
  </w:font>
  <w:font w:name="Aldine401 BT">
    <w:altName w:val="Segoe Print"/>
    <w:panose1 w:val="00000000000000000000"/>
    <w:charset w:val="00"/>
    <w:family w:val="decorative"/>
    <w:pitch w:val="default"/>
    <w:sig w:usb0="00000000" w:usb1="00000000" w:usb2="00000000" w:usb3="00000000" w:csb0="00000011" w:csb1="00000000"/>
  </w:font>
  <w:font w:name="Century Gothic">
    <w:panose1 w:val="020B0502020202020204"/>
    <w:charset w:val="00"/>
    <w:family w:val="swiss"/>
    <w:pitch w:val="default"/>
    <w:sig w:usb0="00000287" w:usb1="00000000" w:usb2="00000000" w:usb3="00000000" w:csb0="2000009F" w:csb1="DFD70000"/>
  </w:font>
  <w:font w:name="幼圆">
    <w:panose1 w:val="02010509060101010101"/>
    <w:charset w:val="86"/>
    <w:family w:val="modern"/>
    <w:pitch w:val="default"/>
    <w:sig w:usb0="00000001" w:usb1="080E0000" w:usb2="00000000" w:usb3="00000000" w:csb0="00040000" w:csb1="00000000"/>
  </w:font>
  <w:font w:name="Cumberland">
    <w:altName w:val="华文仿宋"/>
    <w:panose1 w:val="00000000000000000000"/>
    <w:charset w:val="00"/>
    <w:family w:val="roma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W1)">
    <w:altName w:val="Times New Roman"/>
    <w:panose1 w:val="00000000000000000000"/>
    <w:charset w:val="00"/>
    <w:family w:val="modern"/>
    <w:pitch w:val="default"/>
    <w:sig w:usb0="00000000" w:usb1="00000000" w:usb2="00000008" w:usb3="00000000" w:csb0="000001FF" w:csb1="00000000"/>
  </w:font>
  <w:font w:name="Futura Hv">
    <w:altName w:val="Segoe Print"/>
    <w:panose1 w:val="00000000000000000000"/>
    <w:charset w:val="00"/>
    <w:family w:val="modern"/>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HLHE E+ Futura Bk">
    <w:altName w:val="仿宋_GB2312"/>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Helvetica Neue">
    <w:altName w:val="Times New Roman"/>
    <w:panose1 w:val="00000000000000000000"/>
    <w:charset w:val="00"/>
    <w:family w:val="decorative"/>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ACAE7">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C21CDD">
                          <w:pPr>
                            <w:pStyle w:val="3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xZIm8sBAACcAwAADgAAAGRycy9lMm9Eb2MueG1srVPNjtMwEL4j8Q6W&#10;79RpJ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cNfU2J4xYHfvn+7fLj1+XnV7Ks&#10;Vi9z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CsWSJvLAQAAnAMAAA4AAAAAAAAAAQAgAAAAHgEAAGRycy9lMm9E&#10;b2MueG1sUEsFBgAAAAAGAAYAWQEAAFsFAAAAAA==&#10;">
              <v:fill on="f" focussize="0,0"/>
              <v:stroke on="f"/>
              <v:imagedata o:title=""/>
              <o:lock v:ext="edit" aspectratio="f"/>
              <v:textbox inset="0mm,0mm,0mm,0mm" style="mso-fit-shape-to-text:t;">
                <w:txbxContent>
                  <w:p w14:paraId="4BC21CDD">
                    <w:pPr>
                      <w:pStyle w:val="33"/>
                    </w:pPr>
                    <w:r>
                      <w:t xml:space="preserve">第 </w:t>
                    </w:r>
                    <w:r>
                      <w:fldChar w:fldCharType="begin"/>
                    </w:r>
                    <w:r>
                      <w:instrText xml:space="preserve"> PAGE  \* MERGEFORMAT </w:instrText>
                    </w:r>
                    <w:r>
                      <w:fldChar w:fldCharType="separate"/>
                    </w:r>
                    <w:r>
                      <w:t>7</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8DA0">
    <w:pPr>
      <w:pStyle w:val="33"/>
      <w:framePr w:wrap="around" w:vAnchor="text" w:hAnchor="margin" w:xAlign="right" w:y="1"/>
      <w:rPr>
        <w:rStyle w:val="53"/>
      </w:rPr>
    </w:pPr>
    <w:r>
      <w:fldChar w:fldCharType="begin"/>
    </w:r>
    <w:r>
      <w:rPr>
        <w:rStyle w:val="53"/>
      </w:rPr>
      <w:instrText xml:space="preserve">PAGE  </w:instrText>
    </w:r>
    <w:r>
      <w:fldChar w:fldCharType="end"/>
    </w:r>
  </w:p>
  <w:p w14:paraId="4B397C09">
    <w:pPr>
      <w:pStyle w:val="3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5891F">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7E57CB">
                          <w:pPr>
                            <w:pStyle w:val="3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z+ETTLAQAAnQMAAA4AAAAAAAAAAQAgAAAAHgEAAGRycy9lMm9E&#10;b2MueG1sUEsFBgAAAAAGAAYAWQEAAFsFAAAAAA==&#10;">
              <v:fill on="f" focussize="0,0"/>
              <v:stroke on="f"/>
              <v:imagedata o:title=""/>
              <o:lock v:ext="edit" aspectratio="f"/>
              <v:textbox inset="0mm,0mm,0mm,0mm" style="mso-fit-shape-to-text:t;">
                <w:txbxContent>
                  <w:p w14:paraId="4C7E57CB">
                    <w:pPr>
                      <w:pStyle w:val="33"/>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58</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666DF">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2E7818">
                          <w:pPr>
                            <w:pStyle w:val="3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AFh1UbLAQAAnQMAAA4AAAAAAAAAAQAgAAAAHgEAAGRycy9lMm9E&#10;b2MueG1sUEsFBgAAAAAGAAYAWQEAAFsFAAAAAA==&#10;">
              <v:fill on="f" focussize="0,0"/>
              <v:stroke on="f"/>
              <v:imagedata o:title=""/>
              <o:lock v:ext="edit" aspectratio="f"/>
              <v:textbox inset="0mm,0mm,0mm,0mm" style="mso-fit-shape-to-text:t;">
                <w:txbxContent>
                  <w:p w14:paraId="3B2E7818">
                    <w:pPr>
                      <w:pStyle w:val="33"/>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1F8A9">
    <w:pPr>
      <w:pStyle w:val="33"/>
      <w:rPr>
        <w:rFonts w:ascii="仿宋" w:hAnsi="仿宋" w:eastAsia="仿宋" w:cs="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59310F">
                          <w:pPr>
                            <w:pStyle w:val="3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6LKOvzAEAAJ0DAAAOAAAAAAAAAAEAIAAAAB4BAABkcnMvZTJv&#10;RG9jLnhtbFBLBQYAAAAABgAGAFkBAABcBQAAAAA=&#10;">
              <v:fill on="f" focussize="0,0"/>
              <v:stroke on="f"/>
              <v:imagedata o:title=""/>
              <o:lock v:ext="edit" aspectratio="f"/>
              <v:textbox inset="0mm,0mm,0mm,0mm" style="mso-fit-shape-to-text:t;">
                <w:txbxContent>
                  <w:p w14:paraId="1C59310F">
                    <w:pPr>
                      <w:pStyle w:val="33"/>
                    </w:pPr>
                    <w:r>
                      <w:t xml:space="preserve">第 </w:t>
                    </w:r>
                    <w:r>
                      <w:fldChar w:fldCharType="begin"/>
                    </w:r>
                    <w:r>
                      <w:instrText xml:space="preserve"> PAGE  \* MERGEFORMAT </w:instrText>
                    </w:r>
                    <w:r>
                      <w:fldChar w:fldCharType="separate"/>
                    </w:r>
                    <w:r>
                      <w:t>69</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3A65D">
    <w:pPr>
      <w:pStyle w:val="33"/>
      <w:jc w:val="center"/>
      <w:rPr>
        <w:rFonts w:ascii="仿宋_GB2312" w:hAnsi="仿宋_GB2312" w:eastAsia="仿宋_GB2312" w:cs="仿宋_GB2312"/>
      </w:rPr>
    </w:pPr>
    <w:r>
      <w:rPr>
        <w:rFonts w:ascii="仿宋_GB2312" w:hAnsi="仿宋_GB2312" w:eastAsia="仿宋_GB2312" w:cs="仿宋_GB2312"/>
        <w:kern w:val="0"/>
      </w:rPr>
      <w:t>第</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PAGE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42</w:t>
    </w:r>
    <w:r>
      <w:rPr>
        <w:rFonts w:ascii="仿宋_GB2312" w:hAnsi="仿宋_GB2312" w:eastAsia="仿宋_GB2312" w:cs="仿宋_GB2312"/>
        <w:kern w:val="0"/>
      </w:rPr>
      <w:fldChar w:fldCharType="end"/>
    </w:r>
    <w:r>
      <w:rPr>
        <w:rFonts w:ascii="仿宋_GB2312" w:hAnsi="仿宋_GB2312" w:eastAsia="仿宋_GB2312" w:cs="仿宋_GB2312"/>
        <w:kern w:val="0"/>
      </w:rPr>
      <w:t>页共</w:t>
    </w:r>
    <w:r>
      <w:rPr>
        <w:rFonts w:ascii="仿宋_GB2312" w:hAnsi="仿宋_GB2312" w:eastAsia="仿宋_GB2312" w:cs="仿宋_GB2312"/>
        <w:kern w:val="0"/>
      </w:rPr>
      <w:fldChar w:fldCharType="begin"/>
    </w:r>
    <w:r>
      <w:rPr>
        <w:rFonts w:ascii="仿宋_GB2312" w:hAnsi="仿宋_GB2312" w:eastAsia="仿宋_GB2312" w:cs="仿宋_GB2312"/>
        <w:kern w:val="0"/>
      </w:rPr>
      <w:instrText xml:space="preserve"> NUMPAGES \* Arabic </w:instrText>
    </w:r>
    <w:r>
      <w:rPr>
        <w:rFonts w:ascii="仿宋_GB2312" w:hAnsi="仿宋_GB2312" w:eastAsia="仿宋_GB2312" w:cs="仿宋_GB2312"/>
        <w:kern w:val="0"/>
      </w:rPr>
      <w:fldChar w:fldCharType="separate"/>
    </w:r>
    <w:r>
      <w:rPr>
        <w:rFonts w:ascii="仿宋_GB2312" w:hAnsi="仿宋_GB2312" w:eastAsia="仿宋_GB2312" w:cs="仿宋_GB2312"/>
        <w:kern w:val="0"/>
      </w:rPr>
      <w:t>71</w:t>
    </w:r>
    <w:r>
      <w:rPr>
        <w:rFonts w:ascii="仿宋_GB2312" w:hAnsi="仿宋_GB2312" w:eastAsia="仿宋_GB2312" w:cs="仿宋_GB2312"/>
        <w:kern w:val="0"/>
      </w:rPr>
      <w:fldChar w:fldCharType="end"/>
    </w:r>
    <w:r>
      <w:rPr>
        <w:rFonts w:ascii="仿宋_GB2312" w:hAnsi="仿宋_GB2312" w:eastAsia="仿宋_GB2312" w:cs="仿宋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EFF82">
    <w:pPr>
      <w:pStyle w:val="47"/>
      <w:ind w:firstLine="210" w:firstLineChars="100"/>
      <w:jc w:val="right"/>
      <w:rPr>
        <w:rFonts w:ascii="仿宋" w:hAnsi="仿宋" w:eastAsia="仿宋"/>
        <w:b w:val="0"/>
        <w:i/>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9A24B">
    <w:pPr>
      <w:pStyle w:val="34"/>
      <w:rPr>
        <w:rFonts w:ascii="Arial" w:hAnsi="Arial" w:eastAsia="黑体"/>
      </w:rPr>
    </w:pPr>
    <w:r>
      <w:rPr>
        <w:rFonts w:hint="eastAsia"/>
      </w:rPr>
      <w:t>杭州高新区（滨江）政府采购公开招标文件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F37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09040">
    <w:pPr>
      <w:pStyle w:val="778"/>
    </w:pPr>
    <w:r>
      <w:rPr>
        <w:lang w:val="zh-CN"/>
      </w:rPr>
      <w:t></w:t>
    </w:r>
    <w:r>
      <w:tab/>
    </w:r>
    <w:r>
      <w:rPr>
        <w:lang w:val="zh-CN"/>
      </w:rPr>
      <w:t></w:t>
    </w: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2CE4E">
    <w:pPr>
      <w:pBdr>
        <w:bottom w:val="none" w:color="auto" w:sz="0" w:space="0"/>
      </w:pBdr>
    </w:pPr>
  </w:p>
  <w:p w14:paraId="229F61E0">
    <w:pPr>
      <w:pStyle w:val="776"/>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78D00">
    <w:pPr>
      <w:pStyle w:val="34"/>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BAD50">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F0E303"/>
    <w:multiLevelType w:val="singleLevel"/>
    <w:tmpl w:val="8AF0E303"/>
    <w:lvl w:ilvl="0" w:tentative="0">
      <w:start w:val="8"/>
      <w:numFmt w:val="chineseCounting"/>
      <w:suff w:val="nothing"/>
      <w:lvlText w:val="%1、"/>
      <w:lvlJc w:val="left"/>
      <w:pPr>
        <w:ind w:left="-3357"/>
      </w:pPr>
      <w:rPr>
        <w:rFonts w:hint="eastAsia"/>
      </w:rPr>
    </w:lvl>
  </w:abstractNum>
  <w:abstractNum w:abstractNumId="1">
    <w:nsid w:val="AD23E7A7"/>
    <w:multiLevelType w:val="singleLevel"/>
    <w:tmpl w:val="AD23E7A7"/>
    <w:lvl w:ilvl="0" w:tentative="0">
      <w:start w:val="31"/>
      <w:numFmt w:val="decimal"/>
      <w:suff w:val="space"/>
      <w:lvlText w:val="%1."/>
      <w:lvlJc w:val="left"/>
    </w:lvl>
  </w:abstractNum>
  <w:abstractNum w:abstractNumId="2">
    <w:nsid w:val="00000001"/>
    <w:multiLevelType w:val="multilevel"/>
    <w:tmpl w:val="00000001"/>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0E5CB78B"/>
    <w:multiLevelType w:val="singleLevel"/>
    <w:tmpl w:val="0E5CB78B"/>
    <w:lvl w:ilvl="0" w:tentative="0">
      <w:start w:val="4"/>
      <w:numFmt w:val="chineseCounting"/>
      <w:suff w:val="space"/>
      <w:lvlText w:val="第%1条"/>
      <w:lvlJc w:val="left"/>
      <w:rPr>
        <w:rFonts w:hint="eastAsia"/>
      </w:rPr>
    </w:lvl>
  </w:abstractNum>
  <w:abstractNum w:abstractNumId="4">
    <w:nsid w:val="30DB63A4"/>
    <w:multiLevelType w:val="singleLevel"/>
    <w:tmpl w:val="30DB63A4"/>
    <w:lvl w:ilvl="0" w:tentative="0">
      <w:start w:val="3"/>
      <w:numFmt w:val="chineseCounting"/>
      <w:suff w:val="nothing"/>
      <w:lvlText w:val="%1、"/>
      <w:lvlJc w:val="left"/>
      <w:rPr>
        <w:rFonts w:hint="eastAsia"/>
      </w:rPr>
    </w:lvl>
  </w:abstractNum>
  <w:abstractNum w:abstractNumId="5">
    <w:nsid w:val="47DC0923"/>
    <w:multiLevelType w:val="multilevel"/>
    <w:tmpl w:val="47DC0923"/>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5ZjllMWVlZmVhYWU2NGY4ZGJhN2JlMzE1MWMyOTUifQ=="/>
    <w:docVar w:name="KSO_WPS_MARK_KEY" w:val="b4efbbef-7589-4146-96ed-476d982524f4"/>
  </w:docVars>
  <w:rsids>
    <w:rsidRoot w:val="00E1616D"/>
    <w:rsid w:val="0000035B"/>
    <w:rsid w:val="00000759"/>
    <w:rsid w:val="00001A22"/>
    <w:rsid w:val="000047AF"/>
    <w:rsid w:val="00007234"/>
    <w:rsid w:val="00011EDE"/>
    <w:rsid w:val="0002280B"/>
    <w:rsid w:val="00024E1B"/>
    <w:rsid w:val="000253AB"/>
    <w:rsid w:val="000263FD"/>
    <w:rsid w:val="00030D4F"/>
    <w:rsid w:val="000351FB"/>
    <w:rsid w:val="00036306"/>
    <w:rsid w:val="00040B07"/>
    <w:rsid w:val="00040E53"/>
    <w:rsid w:val="0004425F"/>
    <w:rsid w:val="00046747"/>
    <w:rsid w:val="000475A5"/>
    <w:rsid w:val="000600EB"/>
    <w:rsid w:val="00063D28"/>
    <w:rsid w:val="00064A6E"/>
    <w:rsid w:val="00065783"/>
    <w:rsid w:val="000703F3"/>
    <w:rsid w:val="00076120"/>
    <w:rsid w:val="00076357"/>
    <w:rsid w:val="000948E5"/>
    <w:rsid w:val="000A5D6A"/>
    <w:rsid w:val="000B1252"/>
    <w:rsid w:val="000B6BE9"/>
    <w:rsid w:val="000C1EC7"/>
    <w:rsid w:val="000C68FA"/>
    <w:rsid w:val="000D0EDB"/>
    <w:rsid w:val="000D373A"/>
    <w:rsid w:val="000D37FF"/>
    <w:rsid w:val="000D52AD"/>
    <w:rsid w:val="000D68FB"/>
    <w:rsid w:val="000D705C"/>
    <w:rsid w:val="000E2573"/>
    <w:rsid w:val="000E2FED"/>
    <w:rsid w:val="000E58C7"/>
    <w:rsid w:val="000F548B"/>
    <w:rsid w:val="000F7EFF"/>
    <w:rsid w:val="001003E2"/>
    <w:rsid w:val="00101507"/>
    <w:rsid w:val="00104316"/>
    <w:rsid w:val="00111211"/>
    <w:rsid w:val="00112DB9"/>
    <w:rsid w:val="001130C5"/>
    <w:rsid w:val="0011665B"/>
    <w:rsid w:val="00124100"/>
    <w:rsid w:val="0012472C"/>
    <w:rsid w:val="00125396"/>
    <w:rsid w:val="00125E20"/>
    <w:rsid w:val="00126CC7"/>
    <w:rsid w:val="00131617"/>
    <w:rsid w:val="00135E9F"/>
    <w:rsid w:val="00136CB6"/>
    <w:rsid w:val="00142C7C"/>
    <w:rsid w:val="0014681E"/>
    <w:rsid w:val="001510D0"/>
    <w:rsid w:val="001511EB"/>
    <w:rsid w:val="00151562"/>
    <w:rsid w:val="00153C12"/>
    <w:rsid w:val="00155AB9"/>
    <w:rsid w:val="00156CA5"/>
    <w:rsid w:val="001624C6"/>
    <w:rsid w:val="0016396E"/>
    <w:rsid w:val="00164F9E"/>
    <w:rsid w:val="00165AF2"/>
    <w:rsid w:val="00175C6F"/>
    <w:rsid w:val="00182976"/>
    <w:rsid w:val="00183043"/>
    <w:rsid w:val="00194C63"/>
    <w:rsid w:val="00195D3D"/>
    <w:rsid w:val="001C1850"/>
    <w:rsid w:val="001C2284"/>
    <w:rsid w:val="001C685D"/>
    <w:rsid w:val="001D253D"/>
    <w:rsid w:val="001D3DA3"/>
    <w:rsid w:val="001D51B5"/>
    <w:rsid w:val="001D5AB9"/>
    <w:rsid w:val="001E0643"/>
    <w:rsid w:val="001E299B"/>
    <w:rsid w:val="001E309F"/>
    <w:rsid w:val="001E618E"/>
    <w:rsid w:val="00205FA0"/>
    <w:rsid w:val="002114D6"/>
    <w:rsid w:val="00212AD8"/>
    <w:rsid w:val="00215E3A"/>
    <w:rsid w:val="00216D43"/>
    <w:rsid w:val="00222E84"/>
    <w:rsid w:val="00234D6F"/>
    <w:rsid w:val="00242A7E"/>
    <w:rsid w:val="00243805"/>
    <w:rsid w:val="00246545"/>
    <w:rsid w:val="00250B2A"/>
    <w:rsid w:val="00252322"/>
    <w:rsid w:val="00252CFE"/>
    <w:rsid w:val="0026525D"/>
    <w:rsid w:val="0026648D"/>
    <w:rsid w:val="002712BB"/>
    <w:rsid w:val="00277348"/>
    <w:rsid w:val="002854F0"/>
    <w:rsid w:val="00290FE3"/>
    <w:rsid w:val="002920CE"/>
    <w:rsid w:val="002B3BAA"/>
    <w:rsid w:val="002B54B7"/>
    <w:rsid w:val="002B5A6B"/>
    <w:rsid w:val="002B7244"/>
    <w:rsid w:val="002C0A55"/>
    <w:rsid w:val="002C3EC4"/>
    <w:rsid w:val="002C563E"/>
    <w:rsid w:val="002C77B0"/>
    <w:rsid w:val="002D2187"/>
    <w:rsid w:val="002D37CB"/>
    <w:rsid w:val="002D4132"/>
    <w:rsid w:val="002D4D26"/>
    <w:rsid w:val="002D51F4"/>
    <w:rsid w:val="002D7AFE"/>
    <w:rsid w:val="002E7EDB"/>
    <w:rsid w:val="002F12C3"/>
    <w:rsid w:val="002F4E51"/>
    <w:rsid w:val="002F7FF3"/>
    <w:rsid w:val="00300CE7"/>
    <w:rsid w:val="00303BE7"/>
    <w:rsid w:val="0030770D"/>
    <w:rsid w:val="00307959"/>
    <w:rsid w:val="00320180"/>
    <w:rsid w:val="003263B8"/>
    <w:rsid w:val="00333A2A"/>
    <w:rsid w:val="00335E22"/>
    <w:rsid w:val="00336E64"/>
    <w:rsid w:val="00337FA7"/>
    <w:rsid w:val="00342478"/>
    <w:rsid w:val="00347F7E"/>
    <w:rsid w:val="00351448"/>
    <w:rsid w:val="00361006"/>
    <w:rsid w:val="00361DB1"/>
    <w:rsid w:val="00362E89"/>
    <w:rsid w:val="00364EAB"/>
    <w:rsid w:val="0036578E"/>
    <w:rsid w:val="0037054E"/>
    <w:rsid w:val="00371340"/>
    <w:rsid w:val="003744F5"/>
    <w:rsid w:val="0038004C"/>
    <w:rsid w:val="003807FB"/>
    <w:rsid w:val="0038363E"/>
    <w:rsid w:val="003841E3"/>
    <w:rsid w:val="00385396"/>
    <w:rsid w:val="00393193"/>
    <w:rsid w:val="00394BBB"/>
    <w:rsid w:val="003A0A01"/>
    <w:rsid w:val="003A4370"/>
    <w:rsid w:val="003A4994"/>
    <w:rsid w:val="003A5D7C"/>
    <w:rsid w:val="003B0438"/>
    <w:rsid w:val="003B082E"/>
    <w:rsid w:val="003B48E2"/>
    <w:rsid w:val="003B6AA0"/>
    <w:rsid w:val="003C0881"/>
    <w:rsid w:val="003C164E"/>
    <w:rsid w:val="003C49BD"/>
    <w:rsid w:val="003C7C19"/>
    <w:rsid w:val="003D613E"/>
    <w:rsid w:val="003D71D0"/>
    <w:rsid w:val="003D75C6"/>
    <w:rsid w:val="003E056A"/>
    <w:rsid w:val="003E0EAB"/>
    <w:rsid w:val="003E66B5"/>
    <w:rsid w:val="003E73B0"/>
    <w:rsid w:val="003F0E6D"/>
    <w:rsid w:val="003F2D26"/>
    <w:rsid w:val="003F4517"/>
    <w:rsid w:val="004058AD"/>
    <w:rsid w:val="00411B8D"/>
    <w:rsid w:val="004161F7"/>
    <w:rsid w:val="00420B4D"/>
    <w:rsid w:val="00422113"/>
    <w:rsid w:val="00422BC2"/>
    <w:rsid w:val="00427D37"/>
    <w:rsid w:val="00435DC6"/>
    <w:rsid w:val="00441CAF"/>
    <w:rsid w:val="00442268"/>
    <w:rsid w:val="004424A3"/>
    <w:rsid w:val="00442AFB"/>
    <w:rsid w:val="00443816"/>
    <w:rsid w:val="00443ABF"/>
    <w:rsid w:val="00450E95"/>
    <w:rsid w:val="00451DB9"/>
    <w:rsid w:val="00452660"/>
    <w:rsid w:val="004541AB"/>
    <w:rsid w:val="0045790E"/>
    <w:rsid w:val="00461257"/>
    <w:rsid w:val="00466A65"/>
    <w:rsid w:val="00472BDF"/>
    <w:rsid w:val="00473316"/>
    <w:rsid w:val="00474CF4"/>
    <w:rsid w:val="004751F2"/>
    <w:rsid w:val="00476B83"/>
    <w:rsid w:val="0048320B"/>
    <w:rsid w:val="004879D9"/>
    <w:rsid w:val="00494665"/>
    <w:rsid w:val="004A0B7B"/>
    <w:rsid w:val="004A5577"/>
    <w:rsid w:val="004A7A02"/>
    <w:rsid w:val="004B0F07"/>
    <w:rsid w:val="004B11EE"/>
    <w:rsid w:val="004C0326"/>
    <w:rsid w:val="004C249E"/>
    <w:rsid w:val="004C2CE0"/>
    <w:rsid w:val="004C5E80"/>
    <w:rsid w:val="004D1759"/>
    <w:rsid w:val="004D187E"/>
    <w:rsid w:val="004D1AEB"/>
    <w:rsid w:val="004D5652"/>
    <w:rsid w:val="004E364C"/>
    <w:rsid w:val="004E426F"/>
    <w:rsid w:val="004E712C"/>
    <w:rsid w:val="004E740B"/>
    <w:rsid w:val="004F29EA"/>
    <w:rsid w:val="004F6D43"/>
    <w:rsid w:val="0050098C"/>
    <w:rsid w:val="00502663"/>
    <w:rsid w:val="005034ED"/>
    <w:rsid w:val="00503C62"/>
    <w:rsid w:val="00504E56"/>
    <w:rsid w:val="00506395"/>
    <w:rsid w:val="0051164A"/>
    <w:rsid w:val="00514D8A"/>
    <w:rsid w:val="0052005D"/>
    <w:rsid w:val="005227FF"/>
    <w:rsid w:val="00522DD7"/>
    <w:rsid w:val="00523BA9"/>
    <w:rsid w:val="00523E5E"/>
    <w:rsid w:val="00531763"/>
    <w:rsid w:val="0053578A"/>
    <w:rsid w:val="00536354"/>
    <w:rsid w:val="005375E1"/>
    <w:rsid w:val="00537ADA"/>
    <w:rsid w:val="005415BC"/>
    <w:rsid w:val="005546F0"/>
    <w:rsid w:val="00555116"/>
    <w:rsid w:val="0056017E"/>
    <w:rsid w:val="00560234"/>
    <w:rsid w:val="00560E04"/>
    <w:rsid w:val="00562271"/>
    <w:rsid w:val="005657A0"/>
    <w:rsid w:val="00565BBB"/>
    <w:rsid w:val="005663EC"/>
    <w:rsid w:val="00567750"/>
    <w:rsid w:val="00570683"/>
    <w:rsid w:val="00570F0B"/>
    <w:rsid w:val="00574C5F"/>
    <w:rsid w:val="00575386"/>
    <w:rsid w:val="00575DBA"/>
    <w:rsid w:val="00580E18"/>
    <w:rsid w:val="005817DC"/>
    <w:rsid w:val="00583939"/>
    <w:rsid w:val="005845E6"/>
    <w:rsid w:val="00584C44"/>
    <w:rsid w:val="00587E1C"/>
    <w:rsid w:val="00595308"/>
    <w:rsid w:val="00595FF5"/>
    <w:rsid w:val="00596395"/>
    <w:rsid w:val="00596576"/>
    <w:rsid w:val="0059738F"/>
    <w:rsid w:val="005974CC"/>
    <w:rsid w:val="005A073D"/>
    <w:rsid w:val="005A0A61"/>
    <w:rsid w:val="005A141C"/>
    <w:rsid w:val="005A1A6A"/>
    <w:rsid w:val="005A2CBD"/>
    <w:rsid w:val="005A552D"/>
    <w:rsid w:val="005A701D"/>
    <w:rsid w:val="005B0C20"/>
    <w:rsid w:val="005B1D35"/>
    <w:rsid w:val="005B3E72"/>
    <w:rsid w:val="005B5150"/>
    <w:rsid w:val="005B67F4"/>
    <w:rsid w:val="005B787D"/>
    <w:rsid w:val="005C0D58"/>
    <w:rsid w:val="005D0857"/>
    <w:rsid w:val="005D4EC0"/>
    <w:rsid w:val="005D5D7B"/>
    <w:rsid w:val="005D6DCF"/>
    <w:rsid w:val="005E063C"/>
    <w:rsid w:val="005E1D6A"/>
    <w:rsid w:val="005E2BC7"/>
    <w:rsid w:val="005E3BE7"/>
    <w:rsid w:val="005E6D07"/>
    <w:rsid w:val="00600B21"/>
    <w:rsid w:val="00601C2F"/>
    <w:rsid w:val="00603B32"/>
    <w:rsid w:val="00606FC2"/>
    <w:rsid w:val="00607CFB"/>
    <w:rsid w:val="0061048C"/>
    <w:rsid w:val="006117B5"/>
    <w:rsid w:val="00612EB1"/>
    <w:rsid w:val="00614D54"/>
    <w:rsid w:val="00615305"/>
    <w:rsid w:val="00616A30"/>
    <w:rsid w:val="00623D60"/>
    <w:rsid w:val="00627B73"/>
    <w:rsid w:val="00633154"/>
    <w:rsid w:val="00633F12"/>
    <w:rsid w:val="0063595A"/>
    <w:rsid w:val="00637D72"/>
    <w:rsid w:val="006405AC"/>
    <w:rsid w:val="00650464"/>
    <w:rsid w:val="00651180"/>
    <w:rsid w:val="006511DC"/>
    <w:rsid w:val="0066013C"/>
    <w:rsid w:val="00661D15"/>
    <w:rsid w:val="006627E0"/>
    <w:rsid w:val="00663843"/>
    <w:rsid w:val="006645D1"/>
    <w:rsid w:val="0067125B"/>
    <w:rsid w:val="006715C4"/>
    <w:rsid w:val="006731C2"/>
    <w:rsid w:val="00675855"/>
    <w:rsid w:val="00676663"/>
    <w:rsid w:val="00680864"/>
    <w:rsid w:val="006811A6"/>
    <w:rsid w:val="006851D6"/>
    <w:rsid w:val="00686064"/>
    <w:rsid w:val="006968A1"/>
    <w:rsid w:val="006B38E9"/>
    <w:rsid w:val="006B5686"/>
    <w:rsid w:val="006B7E53"/>
    <w:rsid w:val="006C5394"/>
    <w:rsid w:val="006C6D6C"/>
    <w:rsid w:val="006D5AAA"/>
    <w:rsid w:val="006E0E44"/>
    <w:rsid w:val="006E22FC"/>
    <w:rsid w:val="006E51F1"/>
    <w:rsid w:val="006E7AA3"/>
    <w:rsid w:val="006E7FB6"/>
    <w:rsid w:val="006F3D87"/>
    <w:rsid w:val="006F41F1"/>
    <w:rsid w:val="007032FC"/>
    <w:rsid w:val="00705080"/>
    <w:rsid w:val="0071341C"/>
    <w:rsid w:val="00724D10"/>
    <w:rsid w:val="007359F2"/>
    <w:rsid w:val="00736C2E"/>
    <w:rsid w:val="007459B1"/>
    <w:rsid w:val="00746411"/>
    <w:rsid w:val="00753986"/>
    <w:rsid w:val="007632BA"/>
    <w:rsid w:val="0076460E"/>
    <w:rsid w:val="00766E81"/>
    <w:rsid w:val="00767334"/>
    <w:rsid w:val="00773184"/>
    <w:rsid w:val="00773325"/>
    <w:rsid w:val="00775DB7"/>
    <w:rsid w:val="00782191"/>
    <w:rsid w:val="0078732E"/>
    <w:rsid w:val="00790BB0"/>
    <w:rsid w:val="0079223F"/>
    <w:rsid w:val="00795F45"/>
    <w:rsid w:val="007A6169"/>
    <w:rsid w:val="007A6BF2"/>
    <w:rsid w:val="007A7F88"/>
    <w:rsid w:val="007B061E"/>
    <w:rsid w:val="007B2495"/>
    <w:rsid w:val="007B29A8"/>
    <w:rsid w:val="007B39B2"/>
    <w:rsid w:val="007B4209"/>
    <w:rsid w:val="007B4213"/>
    <w:rsid w:val="007C20F3"/>
    <w:rsid w:val="007C3701"/>
    <w:rsid w:val="007C3FC6"/>
    <w:rsid w:val="007C4866"/>
    <w:rsid w:val="007D388C"/>
    <w:rsid w:val="007D6D51"/>
    <w:rsid w:val="007D7699"/>
    <w:rsid w:val="007E1B95"/>
    <w:rsid w:val="007E1FFE"/>
    <w:rsid w:val="00800459"/>
    <w:rsid w:val="0080236B"/>
    <w:rsid w:val="00805364"/>
    <w:rsid w:val="00806CDA"/>
    <w:rsid w:val="00811121"/>
    <w:rsid w:val="008124C5"/>
    <w:rsid w:val="008134B5"/>
    <w:rsid w:val="00813A5D"/>
    <w:rsid w:val="00814D41"/>
    <w:rsid w:val="00820A12"/>
    <w:rsid w:val="0082214D"/>
    <w:rsid w:val="00822B3D"/>
    <w:rsid w:val="00822FA9"/>
    <w:rsid w:val="00824CBD"/>
    <w:rsid w:val="00833795"/>
    <w:rsid w:val="008404DB"/>
    <w:rsid w:val="0085353C"/>
    <w:rsid w:val="00853ACE"/>
    <w:rsid w:val="00860E55"/>
    <w:rsid w:val="008623F6"/>
    <w:rsid w:val="00862643"/>
    <w:rsid w:val="00866FDC"/>
    <w:rsid w:val="008703F6"/>
    <w:rsid w:val="00885ADC"/>
    <w:rsid w:val="00895A87"/>
    <w:rsid w:val="00895AEE"/>
    <w:rsid w:val="00897C89"/>
    <w:rsid w:val="008B6087"/>
    <w:rsid w:val="008B6178"/>
    <w:rsid w:val="008B63A5"/>
    <w:rsid w:val="008C0D38"/>
    <w:rsid w:val="008C3B8C"/>
    <w:rsid w:val="008C6542"/>
    <w:rsid w:val="008D00C8"/>
    <w:rsid w:val="008D049B"/>
    <w:rsid w:val="008D04FB"/>
    <w:rsid w:val="008F7009"/>
    <w:rsid w:val="008F75E9"/>
    <w:rsid w:val="00914EC8"/>
    <w:rsid w:val="009160B3"/>
    <w:rsid w:val="009218EA"/>
    <w:rsid w:val="009263BF"/>
    <w:rsid w:val="00926970"/>
    <w:rsid w:val="00931ABA"/>
    <w:rsid w:val="0094235D"/>
    <w:rsid w:val="00946565"/>
    <w:rsid w:val="009537C0"/>
    <w:rsid w:val="0095606D"/>
    <w:rsid w:val="00960A61"/>
    <w:rsid w:val="00961D71"/>
    <w:rsid w:val="0096269F"/>
    <w:rsid w:val="00962B8B"/>
    <w:rsid w:val="00963CA7"/>
    <w:rsid w:val="00967775"/>
    <w:rsid w:val="009760E9"/>
    <w:rsid w:val="00977A38"/>
    <w:rsid w:val="00980FC1"/>
    <w:rsid w:val="009817E8"/>
    <w:rsid w:val="00982C44"/>
    <w:rsid w:val="00983401"/>
    <w:rsid w:val="00984BC8"/>
    <w:rsid w:val="0098569F"/>
    <w:rsid w:val="00986E66"/>
    <w:rsid w:val="0098775F"/>
    <w:rsid w:val="00990E12"/>
    <w:rsid w:val="00993137"/>
    <w:rsid w:val="00996DC3"/>
    <w:rsid w:val="009A0253"/>
    <w:rsid w:val="009A3225"/>
    <w:rsid w:val="009A4A1D"/>
    <w:rsid w:val="009A4ADA"/>
    <w:rsid w:val="009A71C8"/>
    <w:rsid w:val="009B07F6"/>
    <w:rsid w:val="009B7E95"/>
    <w:rsid w:val="009C177B"/>
    <w:rsid w:val="009C21D6"/>
    <w:rsid w:val="009C4A4C"/>
    <w:rsid w:val="009D158B"/>
    <w:rsid w:val="009D17DD"/>
    <w:rsid w:val="009D253B"/>
    <w:rsid w:val="009D395A"/>
    <w:rsid w:val="009D4ECA"/>
    <w:rsid w:val="009D55D1"/>
    <w:rsid w:val="009E61D3"/>
    <w:rsid w:val="009F04BF"/>
    <w:rsid w:val="009F14F6"/>
    <w:rsid w:val="009F439F"/>
    <w:rsid w:val="009F5DFD"/>
    <w:rsid w:val="00A01BB9"/>
    <w:rsid w:val="00A078F8"/>
    <w:rsid w:val="00A1481A"/>
    <w:rsid w:val="00A32D2B"/>
    <w:rsid w:val="00A40F00"/>
    <w:rsid w:val="00A458CA"/>
    <w:rsid w:val="00A5489E"/>
    <w:rsid w:val="00A55B46"/>
    <w:rsid w:val="00A573F6"/>
    <w:rsid w:val="00A62D9B"/>
    <w:rsid w:val="00A67757"/>
    <w:rsid w:val="00A70980"/>
    <w:rsid w:val="00A71448"/>
    <w:rsid w:val="00A73E11"/>
    <w:rsid w:val="00A750BA"/>
    <w:rsid w:val="00A817E3"/>
    <w:rsid w:val="00A87CE1"/>
    <w:rsid w:val="00A90869"/>
    <w:rsid w:val="00A91432"/>
    <w:rsid w:val="00A921CB"/>
    <w:rsid w:val="00A9431F"/>
    <w:rsid w:val="00A95895"/>
    <w:rsid w:val="00A95EE9"/>
    <w:rsid w:val="00AA1A5F"/>
    <w:rsid w:val="00AA31B8"/>
    <w:rsid w:val="00AA49E9"/>
    <w:rsid w:val="00AA7969"/>
    <w:rsid w:val="00AA7A0B"/>
    <w:rsid w:val="00AB0FE8"/>
    <w:rsid w:val="00AB1025"/>
    <w:rsid w:val="00AB454E"/>
    <w:rsid w:val="00AB68EB"/>
    <w:rsid w:val="00AB6D98"/>
    <w:rsid w:val="00AC3D46"/>
    <w:rsid w:val="00AC41D1"/>
    <w:rsid w:val="00AE4122"/>
    <w:rsid w:val="00AE6341"/>
    <w:rsid w:val="00AF09BB"/>
    <w:rsid w:val="00AF1428"/>
    <w:rsid w:val="00B019FA"/>
    <w:rsid w:val="00B03937"/>
    <w:rsid w:val="00B06C62"/>
    <w:rsid w:val="00B10F32"/>
    <w:rsid w:val="00B1269D"/>
    <w:rsid w:val="00B13A9D"/>
    <w:rsid w:val="00B156DB"/>
    <w:rsid w:val="00B16D24"/>
    <w:rsid w:val="00B27A9E"/>
    <w:rsid w:val="00B3501D"/>
    <w:rsid w:val="00B35E84"/>
    <w:rsid w:val="00B36F2A"/>
    <w:rsid w:val="00B3706C"/>
    <w:rsid w:val="00B37657"/>
    <w:rsid w:val="00B41E1F"/>
    <w:rsid w:val="00B432AA"/>
    <w:rsid w:val="00B507B6"/>
    <w:rsid w:val="00B51764"/>
    <w:rsid w:val="00B545D6"/>
    <w:rsid w:val="00B55927"/>
    <w:rsid w:val="00B567B1"/>
    <w:rsid w:val="00B609DD"/>
    <w:rsid w:val="00B638EC"/>
    <w:rsid w:val="00B645BD"/>
    <w:rsid w:val="00B64CBE"/>
    <w:rsid w:val="00B65D0F"/>
    <w:rsid w:val="00B70D08"/>
    <w:rsid w:val="00B71969"/>
    <w:rsid w:val="00B9167F"/>
    <w:rsid w:val="00B96BE5"/>
    <w:rsid w:val="00BA5723"/>
    <w:rsid w:val="00BA5923"/>
    <w:rsid w:val="00BB106F"/>
    <w:rsid w:val="00BB7216"/>
    <w:rsid w:val="00BB75F3"/>
    <w:rsid w:val="00BC1A1A"/>
    <w:rsid w:val="00BC699D"/>
    <w:rsid w:val="00BD19A4"/>
    <w:rsid w:val="00BD2765"/>
    <w:rsid w:val="00BD2940"/>
    <w:rsid w:val="00BD331A"/>
    <w:rsid w:val="00BD788C"/>
    <w:rsid w:val="00BD7913"/>
    <w:rsid w:val="00BD79F0"/>
    <w:rsid w:val="00BE140D"/>
    <w:rsid w:val="00BE1ABD"/>
    <w:rsid w:val="00BE53DD"/>
    <w:rsid w:val="00C04DB7"/>
    <w:rsid w:val="00C12949"/>
    <w:rsid w:val="00C157E9"/>
    <w:rsid w:val="00C23049"/>
    <w:rsid w:val="00C23A0B"/>
    <w:rsid w:val="00C24E8A"/>
    <w:rsid w:val="00C32E09"/>
    <w:rsid w:val="00C330EA"/>
    <w:rsid w:val="00C3678B"/>
    <w:rsid w:val="00C376D7"/>
    <w:rsid w:val="00C40B38"/>
    <w:rsid w:val="00C422D2"/>
    <w:rsid w:val="00C42482"/>
    <w:rsid w:val="00C429A2"/>
    <w:rsid w:val="00C42AF5"/>
    <w:rsid w:val="00C44857"/>
    <w:rsid w:val="00C45328"/>
    <w:rsid w:val="00C501FD"/>
    <w:rsid w:val="00C5223D"/>
    <w:rsid w:val="00C52497"/>
    <w:rsid w:val="00C55534"/>
    <w:rsid w:val="00C56663"/>
    <w:rsid w:val="00C56BFC"/>
    <w:rsid w:val="00C5749B"/>
    <w:rsid w:val="00C6277F"/>
    <w:rsid w:val="00C6473E"/>
    <w:rsid w:val="00C7410B"/>
    <w:rsid w:val="00C81AF6"/>
    <w:rsid w:val="00C81EA7"/>
    <w:rsid w:val="00C8217C"/>
    <w:rsid w:val="00C87B3A"/>
    <w:rsid w:val="00C87F71"/>
    <w:rsid w:val="00C91732"/>
    <w:rsid w:val="00C947CE"/>
    <w:rsid w:val="00C96169"/>
    <w:rsid w:val="00C965D2"/>
    <w:rsid w:val="00CA1D78"/>
    <w:rsid w:val="00CA2384"/>
    <w:rsid w:val="00CA33FF"/>
    <w:rsid w:val="00CA3754"/>
    <w:rsid w:val="00CA3C72"/>
    <w:rsid w:val="00CA7DC1"/>
    <w:rsid w:val="00CB6099"/>
    <w:rsid w:val="00CB7272"/>
    <w:rsid w:val="00CC504C"/>
    <w:rsid w:val="00CC7CB0"/>
    <w:rsid w:val="00CD0437"/>
    <w:rsid w:val="00CD46EC"/>
    <w:rsid w:val="00CD612B"/>
    <w:rsid w:val="00CD7143"/>
    <w:rsid w:val="00CE0842"/>
    <w:rsid w:val="00CE2C9C"/>
    <w:rsid w:val="00CE3A99"/>
    <w:rsid w:val="00CE46E3"/>
    <w:rsid w:val="00CF3B6F"/>
    <w:rsid w:val="00D01170"/>
    <w:rsid w:val="00D04EC6"/>
    <w:rsid w:val="00D10D75"/>
    <w:rsid w:val="00D14B45"/>
    <w:rsid w:val="00D27C16"/>
    <w:rsid w:val="00D4333B"/>
    <w:rsid w:val="00D446C8"/>
    <w:rsid w:val="00D56824"/>
    <w:rsid w:val="00D5761C"/>
    <w:rsid w:val="00D60825"/>
    <w:rsid w:val="00D65FD1"/>
    <w:rsid w:val="00D82D30"/>
    <w:rsid w:val="00D83812"/>
    <w:rsid w:val="00D875BC"/>
    <w:rsid w:val="00D921CE"/>
    <w:rsid w:val="00D92503"/>
    <w:rsid w:val="00D95F60"/>
    <w:rsid w:val="00D97F8B"/>
    <w:rsid w:val="00DA33AB"/>
    <w:rsid w:val="00DA68D9"/>
    <w:rsid w:val="00DB5A81"/>
    <w:rsid w:val="00DC1D8F"/>
    <w:rsid w:val="00DD675A"/>
    <w:rsid w:val="00DD7BF7"/>
    <w:rsid w:val="00DE057B"/>
    <w:rsid w:val="00DE3508"/>
    <w:rsid w:val="00DE3535"/>
    <w:rsid w:val="00DE5085"/>
    <w:rsid w:val="00DF016E"/>
    <w:rsid w:val="00DF0374"/>
    <w:rsid w:val="00DF170F"/>
    <w:rsid w:val="00DF664B"/>
    <w:rsid w:val="00DF6E0D"/>
    <w:rsid w:val="00DF6E8F"/>
    <w:rsid w:val="00DF78B3"/>
    <w:rsid w:val="00E017AA"/>
    <w:rsid w:val="00E02BE4"/>
    <w:rsid w:val="00E051EE"/>
    <w:rsid w:val="00E05B49"/>
    <w:rsid w:val="00E05C63"/>
    <w:rsid w:val="00E079D5"/>
    <w:rsid w:val="00E124FD"/>
    <w:rsid w:val="00E132BC"/>
    <w:rsid w:val="00E1616D"/>
    <w:rsid w:val="00E163AF"/>
    <w:rsid w:val="00E16F79"/>
    <w:rsid w:val="00E1711B"/>
    <w:rsid w:val="00E234CB"/>
    <w:rsid w:val="00E27688"/>
    <w:rsid w:val="00E30A1E"/>
    <w:rsid w:val="00E337FD"/>
    <w:rsid w:val="00E3531D"/>
    <w:rsid w:val="00E3741F"/>
    <w:rsid w:val="00E50368"/>
    <w:rsid w:val="00E515F9"/>
    <w:rsid w:val="00E52C72"/>
    <w:rsid w:val="00E533CB"/>
    <w:rsid w:val="00E538D0"/>
    <w:rsid w:val="00E63AEA"/>
    <w:rsid w:val="00E664B4"/>
    <w:rsid w:val="00E7155B"/>
    <w:rsid w:val="00E71E70"/>
    <w:rsid w:val="00E726E9"/>
    <w:rsid w:val="00E72E1E"/>
    <w:rsid w:val="00E72E5F"/>
    <w:rsid w:val="00E734E2"/>
    <w:rsid w:val="00E75E27"/>
    <w:rsid w:val="00E8221C"/>
    <w:rsid w:val="00E8457C"/>
    <w:rsid w:val="00E86D6C"/>
    <w:rsid w:val="00E9770D"/>
    <w:rsid w:val="00E97BBD"/>
    <w:rsid w:val="00EA2190"/>
    <w:rsid w:val="00EA5677"/>
    <w:rsid w:val="00EA581B"/>
    <w:rsid w:val="00EA75A3"/>
    <w:rsid w:val="00EB7CB7"/>
    <w:rsid w:val="00EC189D"/>
    <w:rsid w:val="00EC1FEA"/>
    <w:rsid w:val="00EC690D"/>
    <w:rsid w:val="00EC7414"/>
    <w:rsid w:val="00ED1FAA"/>
    <w:rsid w:val="00ED5543"/>
    <w:rsid w:val="00EE44FE"/>
    <w:rsid w:val="00EE475E"/>
    <w:rsid w:val="00EE4B24"/>
    <w:rsid w:val="00EE5377"/>
    <w:rsid w:val="00EE6A18"/>
    <w:rsid w:val="00EE74E9"/>
    <w:rsid w:val="00EF12CD"/>
    <w:rsid w:val="00EF6031"/>
    <w:rsid w:val="00F0236F"/>
    <w:rsid w:val="00F029A8"/>
    <w:rsid w:val="00F06920"/>
    <w:rsid w:val="00F07C24"/>
    <w:rsid w:val="00F11579"/>
    <w:rsid w:val="00F14042"/>
    <w:rsid w:val="00F22CF5"/>
    <w:rsid w:val="00F24F83"/>
    <w:rsid w:val="00F25B41"/>
    <w:rsid w:val="00F31024"/>
    <w:rsid w:val="00F31291"/>
    <w:rsid w:val="00F32BAD"/>
    <w:rsid w:val="00F376F3"/>
    <w:rsid w:val="00F47A4D"/>
    <w:rsid w:val="00F51DE3"/>
    <w:rsid w:val="00F60AA5"/>
    <w:rsid w:val="00F654CD"/>
    <w:rsid w:val="00F73E77"/>
    <w:rsid w:val="00F743A8"/>
    <w:rsid w:val="00F81E3E"/>
    <w:rsid w:val="00F82631"/>
    <w:rsid w:val="00F84EAB"/>
    <w:rsid w:val="00F85975"/>
    <w:rsid w:val="00F8600A"/>
    <w:rsid w:val="00F8795B"/>
    <w:rsid w:val="00F91A46"/>
    <w:rsid w:val="00FA07B7"/>
    <w:rsid w:val="00FA0DFA"/>
    <w:rsid w:val="00FA2B72"/>
    <w:rsid w:val="00FA5EFC"/>
    <w:rsid w:val="00FB0EE0"/>
    <w:rsid w:val="00FB12D0"/>
    <w:rsid w:val="00FB2B99"/>
    <w:rsid w:val="00FB6999"/>
    <w:rsid w:val="00FB7EFF"/>
    <w:rsid w:val="00FC0FB4"/>
    <w:rsid w:val="00FC38E5"/>
    <w:rsid w:val="00FC3BEC"/>
    <w:rsid w:val="00FD3C51"/>
    <w:rsid w:val="00FD6B77"/>
    <w:rsid w:val="00FE0A98"/>
    <w:rsid w:val="00FE2F6B"/>
    <w:rsid w:val="00FE329C"/>
    <w:rsid w:val="00FF0DEB"/>
    <w:rsid w:val="00FF1620"/>
    <w:rsid w:val="00FF17B6"/>
    <w:rsid w:val="00FF240C"/>
    <w:rsid w:val="00FF3E26"/>
    <w:rsid w:val="00FF7915"/>
    <w:rsid w:val="00FF7A18"/>
    <w:rsid w:val="01964270"/>
    <w:rsid w:val="02502671"/>
    <w:rsid w:val="03887BE8"/>
    <w:rsid w:val="03BB6210"/>
    <w:rsid w:val="03EA3A7E"/>
    <w:rsid w:val="03F8305C"/>
    <w:rsid w:val="04644481"/>
    <w:rsid w:val="05355B4E"/>
    <w:rsid w:val="05856AD5"/>
    <w:rsid w:val="05C642DE"/>
    <w:rsid w:val="05DF6188"/>
    <w:rsid w:val="060519C4"/>
    <w:rsid w:val="06352490"/>
    <w:rsid w:val="067601CC"/>
    <w:rsid w:val="072D11D3"/>
    <w:rsid w:val="073267E9"/>
    <w:rsid w:val="07C35693"/>
    <w:rsid w:val="081C6D4F"/>
    <w:rsid w:val="08797A5E"/>
    <w:rsid w:val="088968DD"/>
    <w:rsid w:val="089F7EAE"/>
    <w:rsid w:val="08EF7EA7"/>
    <w:rsid w:val="09184470"/>
    <w:rsid w:val="093A2BC1"/>
    <w:rsid w:val="093D3223"/>
    <w:rsid w:val="09572537"/>
    <w:rsid w:val="09BF626E"/>
    <w:rsid w:val="0A0F216C"/>
    <w:rsid w:val="0B4821A6"/>
    <w:rsid w:val="0BB377CC"/>
    <w:rsid w:val="0BE502CE"/>
    <w:rsid w:val="0C2B1A59"/>
    <w:rsid w:val="0C7005A3"/>
    <w:rsid w:val="0D5079C9"/>
    <w:rsid w:val="0DA93427"/>
    <w:rsid w:val="0E8F30D1"/>
    <w:rsid w:val="0EEC1973"/>
    <w:rsid w:val="0F34026C"/>
    <w:rsid w:val="0F38079F"/>
    <w:rsid w:val="0F425530"/>
    <w:rsid w:val="0F793CA8"/>
    <w:rsid w:val="0F8233CB"/>
    <w:rsid w:val="0F9E27B1"/>
    <w:rsid w:val="1097151B"/>
    <w:rsid w:val="10C36704"/>
    <w:rsid w:val="116F251B"/>
    <w:rsid w:val="1235426E"/>
    <w:rsid w:val="1302511E"/>
    <w:rsid w:val="13B00541"/>
    <w:rsid w:val="14975EDD"/>
    <w:rsid w:val="14ED26E7"/>
    <w:rsid w:val="151076E3"/>
    <w:rsid w:val="152B4D59"/>
    <w:rsid w:val="153674A4"/>
    <w:rsid w:val="168D7D37"/>
    <w:rsid w:val="16D03928"/>
    <w:rsid w:val="17FB2C27"/>
    <w:rsid w:val="182242EF"/>
    <w:rsid w:val="1895590B"/>
    <w:rsid w:val="18BC7DE6"/>
    <w:rsid w:val="18F67569"/>
    <w:rsid w:val="19C25F53"/>
    <w:rsid w:val="1A280C73"/>
    <w:rsid w:val="1A654388"/>
    <w:rsid w:val="1A750A6F"/>
    <w:rsid w:val="1AE56E79"/>
    <w:rsid w:val="1B0D0CA7"/>
    <w:rsid w:val="1B471160"/>
    <w:rsid w:val="1B7D7315"/>
    <w:rsid w:val="1DA358F3"/>
    <w:rsid w:val="1DE43E33"/>
    <w:rsid w:val="1DF75BEC"/>
    <w:rsid w:val="1E395D8D"/>
    <w:rsid w:val="1F3709E9"/>
    <w:rsid w:val="1F3C6817"/>
    <w:rsid w:val="1FD75435"/>
    <w:rsid w:val="202F61E2"/>
    <w:rsid w:val="204B2AF3"/>
    <w:rsid w:val="21423675"/>
    <w:rsid w:val="218617B3"/>
    <w:rsid w:val="222978D4"/>
    <w:rsid w:val="223F3321"/>
    <w:rsid w:val="22914623"/>
    <w:rsid w:val="2342795C"/>
    <w:rsid w:val="23D7A504"/>
    <w:rsid w:val="243518F0"/>
    <w:rsid w:val="243948BB"/>
    <w:rsid w:val="244A5295"/>
    <w:rsid w:val="244E1F2B"/>
    <w:rsid w:val="247E2C16"/>
    <w:rsid w:val="24854ADC"/>
    <w:rsid w:val="24C2273E"/>
    <w:rsid w:val="24F15F5D"/>
    <w:rsid w:val="252448AD"/>
    <w:rsid w:val="252C216A"/>
    <w:rsid w:val="25387269"/>
    <w:rsid w:val="25900E53"/>
    <w:rsid w:val="26064772"/>
    <w:rsid w:val="264F11BF"/>
    <w:rsid w:val="26863B51"/>
    <w:rsid w:val="276460F3"/>
    <w:rsid w:val="27876953"/>
    <w:rsid w:val="27952750"/>
    <w:rsid w:val="286640ED"/>
    <w:rsid w:val="288029BC"/>
    <w:rsid w:val="28C12115"/>
    <w:rsid w:val="29982084"/>
    <w:rsid w:val="29CA2459"/>
    <w:rsid w:val="2ACB3A76"/>
    <w:rsid w:val="2B2A1401"/>
    <w:rsid w:val="2B3D7387"/>
    <w:rsid w:val="2B7703BB"/>
    <w:rsid w:val="2BB60EE7"/>
    <w:rsid w:val="2C4464F3"/>
    <w:rsid w:val="2CB159A1"/>
    <w:rsid w:val="2CD37B28"/>
    <w:rsid w:val="2DBE22D5"/>
    <w:rsid w:val="2DCC49F2"/>
    <w:rsid w:val="2E982B26"/>
    <w:rsid w:val="2EBE74D1"/>
    <w:rsid w:val="2EFF3269"/>
    <w:rsid w:val="2F3E4EAB"/>
    <w:rsid w:val="2FC114AB"/>
    <w:rsid w:val="2FDC70E7"/>
    <w:rsid w:val="2FDFF92E"/>
    <w:rsid w:val="300852DE"/>
    <w:rsid w:val="300F0BC6"/>
    <w:rsid w:val="303E2AC2"/>
    <w:rsid w:val="30BA4FD6"/>
    <w:rsid w:val="31102E48"/>
    <w:rsid w:val="313C1E8F"/>
    <w:rsid w:val="31570A76"/>
    <w:rsid w:val="316B0241"/>
    <w:rsid w:val="31D43E75"/>
    <w:rsid w:val="33127A3B"/>
    <w:rsid w:val="335B6ED2"/>
    <w:rsid w:val="3488324A"/>
    <w:rsid w:val="34DA3E98"/>
    <w:rsid w:val="34EE16F2"/>
    <w:rsid w:val="35050905"/>
    <w:rsid w:val="35A10338"/>
    <w:rsid w:val="361B321B"/>
    <w:rsid w:val="3656754F"/>
    <w:rsid w:val="36941E25"/>
    <w:rsid w:val="36A35CDC"/>
    <w:rsid w:val="3709636F"/>
    <w:rsid w:val="373692BD"/>
    <w:rsid w:val="375C0B95"/>
    <w:rsid w:val="37B838F0"/>
    <w:rsid w:val="381A08EC"/>
    <w:rsid w:val="383B2EA0"/>
    <w:rsid w:val="391D07F7"/>
    <w:rsid w:val="393022D9"/>
    <w:rsid w:val="3A6A35F5"/>
    <w:rsid w:val="3B0E76B6"/>
    <w:rsid w:val="3B477222"/>
    <w:rsid w:val="3C1732DC"/>
    <w:rsid w:val="3C2146CA"/>
    <w:rsid w:val="3CAB6D4D"/>
    <w:rsid w:val="3CCF1E09"/>
    <w:rsid w:val="3E216694"/>
    <w:rsid w:val="3EE33365"/>
    <w:rsid w:val="3FBA5A8D"/>
    <w:rsid w:val="3FFFF789"/>
    <w:rsid w:val="404A2A87"/>
    <w:rsid w:val="4081166C"/>
    <w:rsid w:val="40CF0629"/>
    <w:rsid w:val="417D2B06"/>
    <w:rsid w:val="41886A2A"/>
    <w:rsid w:val="418F600A"/>
    <w:rsid w:val="41EC5318"/>
    <w:rsid w:val="42AC04F6"/>
    <w:rsid w:val="42FB573A"/>
    <w:rsid w:val="431C4995"/>
    <w:rsid w:val="43482915"/>
    <w:rsid w:val="4374370A"/>
    <w:rsid w:val="43A52BED"/>
    <w:rsid w:val="43BB30E7"/>
    <w:rsid w:val="43E4263E"/>
    <w:rsid w:val="44063FD2"/>
    <w:rsid w:val="441B288E"/>
    <w:rsid w:val="44314783"/>
    <w:rsid w:val="4467501D"/>
    <w:rsid w:val="452D52E6"/>
    <w:rsid w:val="455E0064"/>
    <w:rsid w:val="458D2BAE"/>
    <w:rsid w:val="45F36B68"/>
    <w:rsid w:val="46843C64"/>
    <w:rsid w:val="46A55988"/>
    <w:rsid w:val="476E221E"/>
    <w:rsid w:val="48104C5A"/>
    <w:rsid w:val="484F2050"/>
    <w:rsid w:val="4867383D"/>
    <w:rsid w:val="487F6972"/>
    <w:rsid w:val="489839F7"/>
    <w:rsid w:val="48E00EFA"/>
    <w:rsid w:val="48F33463"/>
    <w:rsid w:val="490311F9"/>
    <w:rsid w:val="490C1CEF"/>
    <w:rsid w:val="49425841"/>
    <w:rsid w:val="495E7E0F"/>
    <w:rsid w:val="499F55E5"/>
    <w:rsid w:val="49A14974"/>
    <w:rsid w:val="4A5E2A1E"/>
    <w:rsid w:val="4A6B0275"/>
    <w:rsid w:val="4A7021F9"/>
    <w:rsid w:val="4BAB23AA"/>
    <w:rsid w:val="4BBB4237"/>
    <w:rsid w:val="4BED4059"/>
    <w:rsid w:val="4BF2235F"/>
    <w:rsid w:val="4CBD7ED0"/>
    <w:rsid w:val="4CEB65A3"/>
    <w:rsid w:val="4CFA6A2E"/>
    <w:rsid w:val="4D9F7EA1"/>
    <w:rsid w:val="4E78284D"/>
    <w:rsid w:val="4EDD690D"/>
    <w:rsid w:val="4EDF237F"/>
    <w:rsid w:val="4F5DCF2E"/>
    <w:rsid w:val="4F6DDAC3"/>
    <w:rsid w:val="4F815C51"/>
    <w:rsid w:val="4FD32D75"/>
    <w:rsid w:val="500B0F52"/>
    <w:rsid w:val="50DB2551"/>
    <w:rsid w:val="51125306"/>
    <w:rsid w:val="51FD3793"/>
    <w:rsid w:val="520619D1"/>
    <w:rsid w:val="526D37FE"/>
    <w:rsid w:val="52742DDF"/>
    <w:rsid w:val="528172AA"/>
    <w:rsid w:val="52E321D1"/>
    <w:rsid w:val="534327B1"/>
    <w:rsid w:val="539F426B"/>
    <w:rsid w:val="53D60AE0"/>
    <w:rsid w:val="541A79B6"/>
    <w:rsid w:val="54353740"/>
    <w:rsid w:val="54947768"/>
    <w:rsid w:val="5579695E"/>
    <w:rsid w:val="559EDBAB"/>
    <w:rsid w:val="566A23DB"/>
    <w:rsid w:val="56B539C6"/>
    <w:rsid w:val="56D06A51"/>
    <w:rsid w:val="570A744B"/>
    <w:rsid w:val="579A440E"/>
    <w:rsid w:val="57C57C38"/>
    <w:rsid w:val="57EABBA6"/>
    <w:rsid w:val="5966544B"/>
    <w:rsid w:val="5A9F0C15"/>
    <w:rsid w:val="5AAC3332"/>
    <w:rsid w:val="5AB44C34"/>
    <w:rsid w:val="5B34012D"/>
    <w:rsid w:val="5B835E40"/>
    <w:rsid w:val="5BF16B95"/>
    <w:rsid w:val="5BF7DEF9"/>
    <w:rsid w:val="5BFE4FAD"/>
    <w:rsid w:val="5C0056E3"/>
    <w:rsid w:val="5C0735ED"/>
    <w:rsid w:val="5C3D4D95"/>
    <w:rsid w:val="5C3E7FB9"/>
    <w:rsid w:val="5C514191"/>
    <w:rsid w:val="5C67685F"/>
    <w:rsid w:val="5CE620CD"/>
    <w:rsid w:val="5CF410E7"/>
    <w:rsid w:val="5CFC234E"/>
    <w:rsid w:val="5D374438"/>
    <w:rsid w:val="5D675118"/>
    <w:rsid w:val="5D7F77C7"/>
    <w:rsid w:val="5D9A4254"/>
    <w:rsid w:val="5DA6050C"/>
    <w:rsid w:val="5DF5D9E4"/>
    <w:rsid w:val="5DFF344B"/>
    <w:rsid w:val="5E056FE1"/>
    <w:rsid w:val="5E573A96"/>
    <w:rsid w:val="5E7F7BD4"/>
    <w:rsid w:val="5E8C1F43"/>
    <w:rsid w:val="5F334021"/>
    <w:rsid w:val="5FAA769A"/>
    <w:rsid w:val="5FBA3DFB"/>
    <w:rsid w:val="5FC627A0"/>
    <w:rsid w:val="5FD319E8"/>
    <w:rsid w:val="5FDB7E4E"/>
    <w:rsid w:val="60600303"/>
    <w:rsid w:val="60750633"/>
    <w:rsid w:val="608A4471"/>
    <w:rsid w:val="60A517DE"/>
    <w:rsid w:val="610E4B69"/>
    <w:rsid w:val="61193193"/>
    <w:rsid w:val="615C33BC"/>
    <w:rsid w:val="61691F7C"/>
    <w:rsid w:val="61C15914"/>
    <w:rsid w:val="61F21F72"/>
    <w:rsid w:val="624531DA"/>
    <w:rsid w:val="635307EE"/>
    <w:rsid w:val="639D6C34"/>
    <w:rsid w:val="63B53257"/>
    <w:rsid w:val="63B76FCF"/>
    <w:rsid w:val="63D538F9"/>
    <w:rsid w:val="641E0DFC"/>
    <w:rsid w:val="64CE2822"/>
    <w:rsid w:val="64D114A0"/>
    <w:rsid w:val="65033C7C"/>
    <w:rsid w:val="655D5954"/>
    <w:rsid w:val="659375C8"/>
    <w:rsid w:val="660B3602"/>
    <w:rsid w:val="66430121"/>
    <w:rsid w:val="666351EC"/>
    <w:rsid w:val="66926769"/>
    <w:rsid w:val="66A4259C"/>
    <w:rsid w:val="6703252B"/>
    <w:rsid w:val="67D30150"/>
    <w:rsid w:val="67FF0F45"/>
    <w:rsid w:val="68293CE6"/>
    <w:rsid w:val="68C11E75"/>
    <w:rsid w:val="69270753"/>
    <w:rsid w:val="69342E70"/>
    <w:rsid w:val="6A1A02B8"/>
    <w:rsid w:val="6A2B6021"/>
    <w:rsid w:val="6A3D789D"/>
    <w:rsid w:val="6A6C0D78"/>
    <w:rsid w:val="6AB029CA"/>
    <w:rsid w:val="6ABCBB87"/>
    <w:rsid w:val="6ABF50F6"/>
    <w:rsid w:val="6AF37155"/>
    <w:rsid w:val="6B39672C"/>
    <w:rsid w:val="6B7ED678"/>
    <w:rsid w:val="6BA9307D"/>
    <w:rsid w:val="6BC2108F"/>
    <w:rsid w:val="6BD9169B"/>
    <w:rsid w:val="6BF76122"/>
    <w:rsid w:val="6BFB53E8"/>
    <w:rsid w:val="6C2B0F00"/>
    <w:rsid w:val="6D7B84BD"/>
    <w:rsid w:val="6E63613F"/>
    <w:rsid w:val="6E9142D2"/>
    <w:rsid w:val="6F112763"/>
    <w:rsid w:val="6F2571F3"/>
    <w:rsid w:val="6F4831D1"/>
    <w:rsid w:val="701D28B0"/>
    <w:rsid w:val="710B4A4C"/>
    <w:rsid w:val="71132E71"/>
    <w:rsid w:val="72350B1C"/>
    <w:rsid w:val="724B45BB"/>
    <w:rsid w:val="72533C5C"/>
    <w:rsid w:val="72FD23C0"/>
    <w:rsid w:val="73505A66"/>
    <w:rsid w:val="737422BC"/>
    <w:rsid w:val="738ED7A4"/>
    <w:rsid w:val="73CB696A"/>
    <w:rsid w:val="73EF53EC"/>
    <w:rsid w:val="74AA28A5"/>
    <w:rsid w:val="74DF6386"/>
    <w:rsid w:val="74E230E6"/>
    <w:rsid w:val="7525141B"/>
    <w:rsid w:val="7550373B"/>
    <w:rsid w:val="75952EE8"/>
    <w:rsid w:val="75D31A67"/>
    <w:rsid w:val="75F573FC"/>
    <w:rsid w:val="76CD220E"/>
    <w:rsid w:val="76FB44E0"/>
    <w:rsid w:val="77314B8B"/>
    <w:rsid w:val="776A5D31"/>
    <w:rsid w:val="77A25D75"/>
    <w:rsid w:val="77A73069"/>
    <w:rsid w:val="77DF2778"/>
    <w:rsid w:val="77E5466A"/>
    <w:rsid w:val="77E97F7D"/>
    <w:rsid w:val="782B4284"/>
    <w:rsid w:val="784A1D68"/>
    <w:rsid w:val="785B70C0"/>
    <w:rsid w:val="79000CCA"/>
    <w:rsid w:val="794E016C"/>
    <w:rsid w:val="79907C4E"/>
    <w:rsid w:val="799395D7"/>
    <w:rsid w:val="7A2103A5"/>
    <w:rsid w:val="7AFF8001"/>
    <w:rsid w:val="7B500DD3"/>
    <w:rsid w:val="7B9A6B62"/>
    <w:rsid w:val="7B9D1842"/>
    <w:rsid w:val="7BB8146F"/>
    <w:rsid w:val="7BC13C07"/>
    <w:rsid w:val="7BFA68D5"/>
    <w:rsid w:val="7BFBFAE3"/>
    <w:rsid w:val="7BFE0816"/>
    <w:rsid w:val="7BFE2842"/>
    <w:rsid w:val="7BFFBC46"/>
    <w:rsid w:val="7C1A7CA3"/>
    <w:rsid w:val="7CC71774"/>
    <w:rsid w:val="7DA60F03"/>
    <w:rsid w:val="7DBD483E"/>
    <w:rsid w:val="7DFE4CD7"/>
    <w:rsid w:val="7E1E7F1F"/>
    <w:rsid w:val="7E617E0B"/>
    <w:rsid w:val="7E6A21D9"/>
    <w:rsid w:val="7E745001"/>
    <w:rsid w:val="7ED60F26"/>
    <w:rsid w:val="7F58120E"/>
    <w:rsid w:val="7F6F0306"/>
    <w:rsid w:val="7FAA12CF"/>
    <w:rsid w:val="7FB61B21"/>
    <w:rsid w:val="7FCF35C1"/>
    <w:rsid w:val="7FDB4D8C"/>
    <w:rsid w:val="87DF8037"/>
    <w:rsid w:val="97BF7931"/>
    <w:rsid w:val="9B66D5FA"/>
    <w:rsid w:val="9BDE8504"/>
    <w:rsid w:val="9DD6A4F4"/>
    <w:rsid w:val="AFBE23F4"/>
    <w:rsid w:val="AFDFD8E4"/>
    <w:rsid w:val="B77EFB20"/>
    <w:rsid w:val="BE9F7F36"/>
    <w:rsid w:val="BEEF53E0"/>
    <w:rsid w:val="BEF95CF8"/>
    <w:rsid w:val="BEFCAAD5"/>
    <w:rsid w:val="CE9EA866"/>
    <w:rsid w:val="D3FEBF7C"/>
    <w:rsid w:val="D7ACB5E7"/>
    <w:rsid w:val="DCEFAAC1"/>
    <w:rsid w:val="DDDEF4AB"/>
    <w:rsid w:val="DFF7B5AF"/>
    <w:rsid w:val="DFFF4C6A"/>
    <w:rsid w:val="EA7F06EC"/>
    <w:rsid w:val="EFAF2FC5"/>
    <w:rsid w:val="EFBB1F70"/>
    <w:rsid w:val="EFEF0243"/>
    <w:rsid w:val="EFFF478C"/>
    <w:rsid w:val="F11F0BCE"/>
    <w:rsid w:val="F3FB26FC"/>
    <w:rsid w:val="F4FFC58E"/>
    <w:rsid w:val="F5634258"/>
    <w:rsid w:val="F62B604B"/>
    <w:rsid w:val="F9BF7126"/>
    <w:rsid w:val="FAFCA1AB"/>
    <w:rsid w:val="FB7B6F63"/>
    <w:rsid w:val="FBFFBD6B"/>
    <w:rsid w:val="FE1FAC09"/>
    <w:rsid w:val="FF7BDE62"/>
    <w:rsid w:val="FF7E4620"/>
    <w:rsid w:val="FFBFD9E7"/>
    <w:rsid w:val="FFE70A19"/>
    <w:rsid w:val="FFEB23F3"/>
    <w:rsid w:val="FFEC9493"/>
    <w:rsid w:val="FFFF43B7"/>
    <w:rsid w:val="FFFFE98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uiPriority="99" w:name="List Bullet 3"/>
    <w:lsdException w:uiPriority="99"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6"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qFormat="1" w:unhideWhenUsed="0" w:uiPriority="0" w:semiHidden="0" w:name="HTML Address"/>
    <w:lsdException w:uiPriority="99" w:name="HTML Cite"/>
    <w:lsdException w:qFormat="1" w:unhideWhenUsed="0" w:uiPriority="0" w:semiHidden="0"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unhideWhenUsed/>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147"/>
    <w:unhideWhenUsed/>
    <w:qFormat/>
    <w:uiPriority w:val="9"/>
    <w:pPr>
      <w:keepNext/>
      <w:keepLines/>
      <w:numPr>
        <w:ilvl w:val="2"/>
        <w:numId w:val="1"/>
      </w:numPr>
      <w:spacing w:before="260" w:after="260" w:line="416" w:lineRule="auto"/>
      <w:outlineLvl w:val="2"/>
    </w:pPr>
    <w:rPr>
      <w:b/>
      <w:bCs/>
      <w:sz w:val="32"/>
      <w:szCs w:val="32"/>
    </w:rPr>
  </w:style>
  <w:style w:type="paragraph" w:styleId="5">
    <w:name w:val="heading 4"/>
    <w:basedOn w:val="1"/>
    <w:next w:val="1"/>
    <w:link w:val="115"/>
    <w:unhideWhenUsed/>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191"/>
    <w:unhideWhenUsed/>
    <w:qFormat/>
    <w:uiPriority w:val="9"/>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78"/>
    <w:unhideWhenUsed/>
    <w:qFormat/>
    <w:uiPriority w:val="9"/>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77"/>
    <w:qFormat/>
    <w:uiPriority w:val="9"/>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196"/>
    <w:qFormat/>
    <w:uiPriority w:val="9"/>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16"/>
    <w:qFormat/>
    <w:uiPriority w:val="9"/>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51">
    <w:name w:val="Default Paragraph Font"/>
    <w:semiHidden/>
    <w:unhideWhenUsed/>
    <w:qFormat/>
    <w:uiPriority w:val="1"/>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11">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2">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3">
    <w:name w:val="Normal Indent"/>
    <w:basedOn w:val="1"/>
    <w:next w:val="1"/>
    <w:link w:val="111"/>
    <w:qFormat/>
    <w:uiPriority w:val="0"/>
    <w:pPr>
      <w:widowControl/>
      <w:snapToGrid w:val="0"/>
      <w:spacing w:line="480" w:lineRule="exact"/>
      <w:ind w:firstLine="567"/>
    </w:pPr>
    <w:rPr>
      <w:rFonts w:ascii="宋体"/>
      <w:snapToGrid w:val="0"/>
      <w:color w:val="000000"/>
      <w:kern w:val="28"/>
      <w:sz w:val="28"/>
      <w:szCs w:val="20"/>
    </w:rPr>
  </w:style>
  <w:style w:type="paragraph" w:styleId="14">
    <w:name w:val="caption"/>
    <w:basedOn w:val="1"/>
    <w:next w:val="1"/>
    <w:link w:val="340"/>
    <w:qFormat/>
    <w:uiPriority w:val="0"/>
    <w:rPr>
      <w:b/>
      <w:sz w:val="28"/>
      <w:szCs w:val="20"/>
    </w:rPr>
  </w:style>
  <w:style w:type="paragraph" w:styleId="15">
    <w:name w:val="index 5"/>
    <w:basedOn w:val="1"/>
    <w:next w:val="1"/>
    <w:qFormat/>
    <w:uiPriority w:val="0"/>
    <w:pPr>
      <w:adjustRightInd/>
      <w:ind w:left="800" w:leftChars="800" w:firstLine="200" w:firstLineChars="200"/>
    </w:pPr>
  </w:style>
  <w:style w:type="paragraph" w:styleId="16">
    <w:name w:val="Document Map"/>
    <w:basedOn w:val="1"/>
    <w:link w:val="127"/>
    <w:qFormat/>
    <w:uiPriority w:val="6"/>
    <w:pPr>
      <w:shd w:val="clear" w:color="auto" w:fill="000080"/>
    </w:pPr>
    <w:rPr>
      <w:rFonts w:ascii="Arial" w:hAnsi="Arial" w:eastAsia="黑体"/>
      <w:snapToGrid w:val="0"/>
    </w:rPr>
  </w:style>
  <w:style w:type="paragraph" w:styleId="17">
    <w:name w:val="annotation text"/>
    <w:basedOn w:val="1"/>
    <w:link w:val="288"/>
    <w:qFormat/>
    <w:uiPriority w:val="99"/>
    <w:pPr>
      <w:jc w:val="left"/>
    </w:pPr>
  </w:style>
  <w:style w:type="paragraph" w:styleId="18">
    <w:name w:val="Salutation"/>
    <w:basedOn w:val="1"/>
    <w:next w:val="1"/>
    <w:link w:val="276"/>
    <w:qFormat/>
    <w:uiPriority w:val="0"/>
    <w:rPr>
      <w:rFonts w:ascii="仿宋_GB2312" w:eastAsia="仿宋_GB2312"/>
      <w:sz w:val="28"/>
      <w:szCs w:val="20"/>
    </w:rPr>
  </w:style>
  <w:style w:type="paragraph" w:styleId="19">
    <w:name w:val="Body Text 3"/>
    <w:basedOn w:val="1"/>
    <w:link w:val="270"/>
    <w:qFormat/>
    <w:uiPriority w:val="0"/>
    <w:pPr>
      <w:jc w:val="center"/>
    </w:pPr>
    <w:rPr>
      <w:szCs w:val="20"/>
    </w:rPr>
  </w:style>
  <w:style w:type="paragraph" w:styleId="20">
    <w:name w:val="Body Text"/>
    <w:basedOn w:val="1"/>
    <w:link w:val="83"/>
    <w:qFormat/>
    <w:uiPriority w:val="0"/>
    <w:pPr>
      <w:autoSpaceDE w:val="0"/>
      <w:autoSpaceDN w:val="0"/>
      <w:spacing w:line="360" w:lineRule="auto"/>
    </w:pPr>
    <w:rPr>
      <w:rFonts w:ascii="宋体" w:hAnsi="Arial" w:eastAsia="黑体"/>
      <w:snapToGrid w:val="0"/>
      <w:sz w:val="24"/>
      <w:szCs w:val="21"/>
      <w:lang w:val="zh-CN"/>
    </w:rPr>
  </w:style>
  <w:style w:type="paragraph" w:styleId="21">
    <w:name w:val="Body Text Indent"/>
    <w:basedOn w:val="1"/>
    <w:next w:val="22"/>
    <w:link w:val="208"/>
    <w:qFormat/>
    <w:uiPriority w:val="0"/>
    <w:pPr>
      <w:spacing w:line="480" w:lineRule="exact"/>
      <w:ind w:firstLine="480" w:firstLineChars="200"/>
    </w:pPr>
    <w:rPr>
      <w:rFonts w:ascii="宋体" w:hAnsi="宋体"/>
      <w:sz w:val="24"/>
    </w:rPr>
  </w:style>
  <w:style w:type="paragraph" w:styleId="22">
    <w:name w:val="envelope return"/>
    <w:basedOn w:val="1"/>
    <w:qFormat/>
    <w:uiPriority w:val="0"/>
    <w:pPr>
      <w:snapToGrid w:val="0"/>
    </w:pPr>
    <w:rPr>
      <w:rFonts w:ascii="Arial" w:hAnsi="Arial"/>
    </w:rPr>
  </w:style>
  <w:style w:type="paragraph" w:styleId="23">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4">
    <w:name w:val="List 2"/>
    <w:basedOn w:val="1"/>
    <w:qFormat/>
    <w:uiPriority w:val="0"/>
    <w:pPr>
      <w:adjustRightInd/>
      <w:spacing w:line="360" w:lineRule="auto"/>
      <w:ind w:left="100" w:leftChars="200" w:hanging="200" w:hangingChars="200"/>
    </w:pPr>
    <w:rPr>
      <w:rFonts w:eastAsia="微软雅黑"/>
    </w:rPr>
  </w:style>
  <w:style w:type="paragraph" w:styleId="25">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6">
    <w:name w:val="List Bullet 2"/>
    <w:basedOn w:val="1"/>
    <w:qFormat/>
    <w:uiPriority w:val="0"/>
    <w:pPr>
      <w:autoSpaceDE w:val="0"/>
      <w:autoSpaceDN w:val="0"/>
      <w:ind w:left="420"/>
      <w:jc w:val="left"/>
    </w:pPr>
    <w:rPr>
      <w:rFonts w:ascii="宋体" w:hAnsi="宋体"/>
      <w:color w:val="000000"/>
      <w:kern w:val="0"/>
      <w:sz w:val="24"/>
      <w:szCs w:val="20"/>
    </w:rPr>
  </w:style>
  <w:style w:type="paragraph" w:styleId="27">
    <w:name w:val="HTML Address"/>
    <w:basedOn w:val="1"/>
    <w:link w:val="86"/>
    <w:qFormat/>
    <w:uiPriority w:val="0"/>
    <w:pPr>
      <w:widowControl/>
      <w:adjustRightInd/>
      <w:ind w:firstLine="200" w:firstLineChars="200"/>
      <w:jc w:val="left"/>
    </w:pPr>
    <w:rPr>
      <w:rFonts w:ascii="宋体" w:hAnsi="宋体"/>
      <w:i/>
      <w:iCs/>
      <w:kern w:val="0"/>
      <w:sz w:val="24"/>
    </w:rPr>
  </w:style>
  <w:style w:type="paragraph" w:styleId="28">
    <w:name w:val="Plain Text"/>
    <w:basedOn w:val="1"/>
    <w:next w:val="13"/>
    <w:link w:val="152"/>
    <w:qFormat/>
    <w:uiPriority w:val="0"/>
    <w:rPr>
      <w:rFonts w:ascii="宋体" w:hAnsi="Courier New" w:eastAsia="黑体"/>
      <w:snapToGrid w:val="0"/>
      <w:szCs w:val="21"/>
    </w:rPr>
  </w:style>
  <w:style w:type="paragraph" w:styleId="29">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0">
    <w:name w:val="Date"/>
    <w:basedOn w:val="1"/>
    <w:next w:val="1"/>
    <w:link w:val="112"/>
    <w:qFormat/>
    <w:uiPriority w:val="0"/>
    <w:pPr>
      <w:ind w:left="100" w:leftChars="2500"/>
    </w:pPr>
    <w:rPr>
      <w:rFonts w:ascii="宋体"/>
      <w:sz w:val="24"/>
      <w:szCs w:val="21"/>
      <w:lang w:val="zh-CN"/>
    </w:rPr>
  </w:style>
  <w:style w:type="paragraph" w:styleId="31">
    <w:name w:val="Body Text Indent 2"/>
    <w:basedOn w:val="1"/>
    <w:link w:val="227"/>
    <w:qFormat/>
    <w:uiPriority w:val="0"/>
    <w:pPr>
      <w:spacing w:line="360" w:lineRule="auto"/>
      <w:ind w:firstLine="601"/>
      <w:textAlignment w:val="baseline"/>
    </w:pPr>
    <w:rPr>
      <w:rFonts w:ascii="宋体"/>
      <w:kern w:val="0"/>
      <w:sz w:val="28"/>
      <w:szCs w:val="20"/>
    </w:rPr>
  </w:style>
  <w:style w:type="paragraph" w:styleId="32">
    <w:name w:val="Balloon Text"/>
    <w:basedOn w:val="1"/>
    <w:link w:val="105"/>
    <w:qFormat/>
    <w:uiPriority w:val="99"/>
    <w:rPr>
      <w:sz w:val="18"/>
      <w:szCs w:val="18"/>
    </w:rPr>
  </w:style>
  <w:style w:type="paragraph" w:styleId="33">
    <w:name w:val="footer"/>
    <w:basedOn w:val="1"/>
    <w:link w:val="125"/>
    <w:qFormat/>
    <w:uiPriority w:val="99"/>
    <w:pPr>
      <w:tabs>
        <w:tab w:val="center" w:pos="4153"/>
        <w:tab w:val="right" w:pos="8306"/>
      </w:tabs>
      <w:snapToGrid w:val="0"/>
      <w:jc w:val="left"/>
    </w:pPr>
    <w:rPr>
      <w:sz w:val="18"/>
      <w:szCs w:val="18"/>
    </w:rPr>
  </w:style>
  <w:style w:type="paragraph" w:styleId="34">
    <w:name w:val="header"/>
    <w:basedOn w:val="1"/>
    <w:link w:val="165"/>
    <w:qFormat/>
    <w:uiPriority w:val="99"/>
    <w:pPr>
      <w:pBdr>
        <w:bottom w:val="single" w:color="auto" w:sz="6" w:space="1"/>
      </w:pBdr>
      <w:tabs>
        <w:tab w:val="center" w:pos="4153"/>
        <w:tab w:val="right" w:pos="8306"/>
      </w:tabs>
      <w:snapToGrid w:val="0"/>
      <w:jc w:val="right"/>
    </w:pPr>
    <w:rPr>
      <w:rFonts w:ascii="仿宋" w:hAnsi="仿宋" w:eastAsia="仿宋"/>
      <w:i/>
      <w:snapToGrid w:val="0"/>
      <w:sz w:val="18"/>
      <w:szCs w:val="18"/>
      <w:u w:val="single"/>
      <w:lang w:val="en-GB"/>
    </w:rPr>
  </w:style>
  <w:style w:type="paragraph" w:styleId="35">
    <w:name w:val="Signature"/>
    <w:basedOn w:val="1"/>
    <w:link w:val="284"/>
    <w:qFormat/>
    <w:uiPriority w:val="0"/>
    <w:pPr>
      <w:spacing w:after="600" w:line="312" w:lineRule="atLeast"/>
      <w:jc w:val="center"/>
      <w:textAlignment w:val="baseline"/>
    </w:pPr>
    <w:rPr>
      <w:rFonts w:eastAsia="仿宋_GB2312"/>
      <w:kern w:val="0"/>
      <w:sz w:val="24"/>
      <w:szCs w:val="20"/>
    </w:rPr>
  </w:style>
  <w:style w:type="paragraph" w:styleId="36">
    <w:name w:val="index heading"/>
    <w:basedOn w:val="1"/>
    <w:next w:val="37"/>
    <w:qFormat/>
    <w:uiPriority w:val="0"/>
    <w:pPr>
      <w:adjustRightInd/>
      <w:ind w:firstLine="200" w:firstLineChars="200"/>
    </w:pPr>
  </w:style>
  <w:style w:type="paragraph" w:styleId="37">
    <w:name w:val="index 1"/>
    <w:basedOn w:val="1"/>
    <w:next w:val="1"/>
    <w:qFormat/>
    <w:uiPriority w:val="0"/>
    <w:pPr>
      <w:adjustRightInd/>
      <w:spacing w:line="360" w:lineRule="auto"/>
      <w:ind w:firstLine="200" w:firstLineChars="200"/>
      <w:jc w:val="center"/>
    </w:pPr>
    <w:rPr>
      <w:sz w:val="24"/>
      <w:szCs w:val="20"/>
    </w:rPr>
  </w:style>
  <w:style w:type="paragraph" w:styleId="38">
    <w:name w:val="Subtitle"/>
    <w:link w:val="91"/>
    <w:qFormat/>
    <w:uiPriority w:val="11"/>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39">
    <w:name w:val="List Number 5"/>
    <w:basedOn w:val="1"/>
    <w:qFormat/>
    <w:uiPriority w:val="0"/>
    <w:pPr>
      <w:tabs>
        <w:tab w:val="left" w:pos="902"/>
      </w:tabs>
      <w:adjustRightInd/>
      <w:spacing w:line="400" w:lineRule="exact"/>
      <w:ind w:left="902" w:hanging="420"/>
    </w:pPr>
    <w:rPr>
      <w:sz w:val="24"/>
      <w:szCs w:val="20"/>
    </w:rPr>
  </w:style>
  <w:style w:type="paragraph" w:styleId="40">
    <w:name w:val="List"/>
    <w:basedOn w:val="1"/>
    <w:qFormat/>
    <w:uiPriority w:val="0"/>
    <w:pPr>
      <w:ind w:left="200" w:hanging="200" w:hangingChars="200"/>
    </w:pPr>
  </w:style>
  <w:style w:type="paragraph" w:styleId="41">
    <w:name w:val="footnote text"/>
    <w:basedOn w:val="13"/>
    <w:link w:val="71"/>
    <w:qFormat/>
    <w:uiPriority w:val="0"/>
    <w:pPr>
      <w:adjustRightInd/>
      <w:snapToGrid/>
      <w:spacing w:before="60" w:after="60" w:line="300" w:lineRule="exact"/>
      <w:ind w:firstLine="0"/>
    </w:pPr>
    <w:rPr>
      <w:rFonts w:ascii="Times New Roman"/>
      <w:snapToGrid/>
      <w:color w:val="0000FF"/>
      <w:kern w:val="0"/>
      <w:sz w:val="21"/>
    </w:rPr>
  </w:style>
  <w:style w:type="paragraph" w:styleId="42">
    <w:name w:val="List 5"/>
    <w:basedOn w:val="1"/>
    <w:qFormat/>
    <w:uiPriority w:val="0"/>
    <w:pPr>
      <w:adjustRightInd/>
      <w:ind w:left="100" w:leftChars="800" w:hanging="200" w:hangingChars="200"/>
    </w:pPr>
  </w:style>
  <w:style w:type="paragraph" w:styleId="43">
    <w:name w:val="Body Text Indent 3"/>
    <w:basedOn w:val="1"/>
    <w:link w:val="134"/>
    <w:qFormat/>
    <w:uiPriority w:val="0"/>
    <w:pPr>
      <w:spacing w:line="360" w:lineRule="auto"/>
      <w:ind w:firstLine="420"/>
    </w:pPr>
    <w:rPr>
      <w:sz w:val="24"/>
      <w:szCs w:val="20"/>
    </w:rPr>
  </w:style>
  <w:style w:type="paragraph" w:styleId="44">
    <w:name w:val="Body Text 2"/>
    <w:basedOn w:val="1"/>
    <w:link w:val="240"/>
    <w:qFormat/>
    <w:uiPriority w:val="6"/>
    <w:pPr>
      <w:spacing w:after="120" w:line="480" w:lineRule="auto"/>
    </w:pPr>
    <w:rPr>
      <w:rFonts w:ascii="Arial" w:hAnsi="Arial" w:eastAsia="黑体"/>
      <w:snapToGrid w:val="0"/>
    </w:rPr>
  </w:style>
  <w:style w:type="paragraph" w:styleId="45">
    <w:name w:val="HTML Preformatted"/>
    <w:basedOn w:val="1"/>
    <w:link w:val="2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46">
    <w:name w:val="Normal (Web)"/>
    <w:basedOn w:val="1"/>
    <w:qFormat/>
    <w:uiPriority w:val="0"/>
    <w:pPr>
      <w:widowControl/>
      <w:spacing w:before="100" w:beforeAutospacing="1" w:after="100" w:afterAutospacing="1"/>
      <w:jc w:val="left"/>
    </w:pPr>
    <w:rPr>
      <w:rFonts w:ascii="宋体" w:hAnsi="宋体"/>
      <w:kern w:val="0"/>
      <w:sz w:val="24"/>
    </w:rPr>
  </w:style>
  <w:style w:type="paragraph" w:styleId="47">
    <w:name w:val="Title"/>
    <w:basedOn w:val="1"/>
    <w:link w:val="69"/>
    <w:qFormat/>
    <w:uiPriority w:val="10"/>
    <w:pPr>
      <w:widowControl/>
      <w:overflowPunct w:val="0"/>
      <w:autoSpaceDE w:val="0"/>
      <w:autoSpaceDN w:val="0"/>
      <w:jc w:val="center"/>
      <w:textAlignment w:val="baseline"/>
    </w:pPr>
    <w:rPr>
      <w:rFonts w:ascii="Arial" w:hAnsi="Arial" w:eastAsia="黑体"/>
      <w:b/>
      <w:snapToGrid w:val="0"/>
      <w:kern w:val="0"/>
      <w:sz w:val="24"/>
      <w:szCs w:val="21"/>
      <w:lang w:val="en-GB"/>
    </w:rPr>
  </w:style>
  <w:style w:type="paragraph" w:styleId="48">
    <w:name w:val="annotation subject"/>
    <w:basedOn w:val="17"/>
    <w:next w:val="17"/>
    <w:link w:val="221"/>
    <w:qFormat/>
    <w:uiPriority w:val="99"/>
    <w:rPr>
      <w:b/>
      <w:bCs/>
      <w:snapToGrid w:val="0"/>
    </w:rPr>
  </w:style>
  <w:style w:type="table" w:styleId="50">
    <w:name w:val="Table Grid"/>
    <w:basedOn w:val="4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2">
    <w:name w:val="Strong"/>
    <w:qFormat/>
    <w:uiPriority w:val="22"/>
    <w:rPr>
      <w:b/>
      <w:bCs/>
    </w:rPr>
  </w:style>
  <w:style w:type="character" w:styleId="53">
    <w:name w:val="page number"/>
    <w:basedOn w:val="51"/>
    <w:qFormat/>
    <w:uiPriority w:val="0"/>
  </w:style>
  <w:style w:type="character" w:styleId="54">
    <w:name w:val="FollowedHyperlink"/>
    <w:basedOn w:val="51"/>
    <w:qFormat/>
    <w:uiPriority w:val="99"/>
    <w:rPr>
      <w:color w:val="800080"/>
      <w:u w:val="single"/>
    </w:rPr>
  </w:style>
  <w:style w:type="character" w:styleId="55">
    <w:name w:val="Emphasis"/>
    <w:qFormat/>
    <w:uiPriority w:val="0"/>
    <w:rPr>
      <w:color w:val="CC0033"/>
    </w:rPr>
  </w:style>
  <w:style w:type="character" w:styleId="56">
    <w:name w:val="line number"/>
    <w:basedOn w:val="51"/>
    <w:qFormat/>
    <w:uiPriority w:val="0"/>
  </w:style>
  <w:style w:type="character" w:styleId="57">
    <w:name w:val="Hyperlink"/>
    <w:qFormat/>
    <w:uiPriority w:val="99"/>
    <w:rPr>
      <w:color w:val="0000FF"/>
      <w:u w:val="single"/>
    </w:rPr>
  </w:style>
  <w:style w:type="character" w:styleId="58">
    <w:name w:val="HTML Code"/>
    <w:qFormat/>
    <w:uiPriority w:val="0"/>
    <w:rPr>
      <w:rFonts w:ascii="黑体" w:hAnsi="Courier New" w:eastAsia="黑体" w:cs="楷体_GB2312"/>
      <w:sz w:val="20"/>
      <w:szCs w:val="20"/>
    </w:rPr>
  </w:style>
  <w:style w:type="character" w:styleId="59">
    <w:name w:val="annotation reference"/>
    <w:qFormat/>
    <w:uiPriority w:val="99"/>
    <w:rPr>
      <w:sz w:val="21"/>
      <w:szCs w:val="21"/>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1">
    <w:name w:val="标题 1 Char"/>
    <w:qFormat/>
    <w:uiPriority w:val="9"/>
    <w:rPr>
      <w:b/>
      <w:bCs/>
      <w:kern w:val="44"/>
      <w:sz w:val="44"/>
      <w:szCs w:val="44"/>
    </w:rPr>
  </w:style>
  <w:style w:type="character" w:customStyle="1" w:styleId="62">
    <w:name w:val="文档结构图 Char"/>
    <w:link w:val="63"/>
    <w:qFormat/>
    <w:uiPriority w:val="0"/>
    <w:rPr>
      <w:rFonts w:eastAsia="宋体"/>
      <w:kern w:val="2"/>
      <w:sz w:val="21"/>
      <w:szCs w:val="24"/>
      <w:lang w:val="en-US" w:eastAsia="zh-CN" w:bidi="ar-SA"/>
    </w:rPr>
  </w:style>
  <w:style w:type="paragraph" w:customStyle="1" w:styleId="63">
    <w:name w:val="文档结构图1"/>
    <w:basedOn w:val="1"/>
    <w:link w:val="62"/>
    <w:qFormat/>
    <w:uiPriority w:val="0"/>
    <w:pPr>
      <w:shd w:val="clear" w:color="auto" w:fill="000080"/>
      <w:adjustRightInd/>
    </w:pPr>
  </w:style>
  <w:style w:type="character" w:customStyle="1" w:styleId="64">
    <w:name w:val="访问过的超链接1"/>
    <w:qFormat/>
    <w:uiPriority w:val="99"/>
    <w:rPr>
      <w:color w:val="800080"/>
      <w:u w:val="single"/>
    </w:rPr>
  </w:style>
  <w:style w:type="character" w:customStyle="1" w:styleId="65">
    <w:name w:val="dectext1"/>
    <w:qFormat/>
    <w:uiPriority w:val="0"/>
    <w:rPr>
      <w:rFonts w:ascii="宋体" w:hAnsi="宋体" w:eastAsia="宋体"/>
      <w:color w:val="333333"/>
      <w:sz w:val="21"/>
      <w:szCs w:val="21"/>
      <w:u w:val="none"/>
    </w:rPr>
  </w:style>
  <w:style w:type="character" w:customStyle="1" w:styleId="66">
    <w:name w:val="FA正文 Char Char"/>
    <w:qFormat/>
    <w:uiPriority w:val="0"/>
    <w:rPr>
      <w:rFonts w:hAnsi="宋体"/>
      <w:kern w:val="2"/>
      <w:sz w:val="24"/>
      <w:lang w:bidi="ar-SA"/>
    </w:rPr>
  </w:style>
  <w:style w:type="character" w:customStyle="1" w:styleId="67">
    <w:name w:val="样式 宋体"/>
    <w:qFormat/>
    <w:uiPriority w:val="0"/>
    <w:rPr>
      <w:rFonts w:ascii="宋体" w:hAnsi="宋体"/>
      <w:sz w:val="24"/>
    </w:rPr>
  </w:style>
  <w:style w:type="character" w:customStyle="1" w:styleId="68">
    <w:name w:val="zbggmain style9"/>
    <w:qFormat/>
    <w:uiPriority w:val="0"/>
  </w:style>
  <w:style w:type="character" w:customStyle="1" w:styleId="69">
    <w:name w:val="标题 Char1"/>
    <w:link w:val="47"/>
    <w:qFormat/>
    <w:uiPriority w:val="0"/>
    <w:rPr>
      <w:rFonts w:ascii="Arial" w:hAnsi="Arial" w:eastAsia="黑体" w:cs="Arial"/>
      <w:b/>
      <w:snapToGrid w:val="0"/>
      <w:kern w:val="0"/>
      <w:sz w:val="24"/>
      <w:szCs w:val="21"/>
      <w:lang w:val="en-GB"/>
    </w:rPr>
  </w:style>
  <w:style w:type="character" w:customStyle="1" w:styleId="70">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71">
    <w:name w:val="脚注文本 Char"/>
    <w:link w:val="41"/>
    <w:qFormat/>
    <w:uiPriority w:val="0"/>
    <w:rPr>
      <w:color w:val="0000FF"/>
      <w:sz w:val="21"/>
    </w:rPr>
  </w:style>
  <w:style w:type="character" w:customStyle="1" w:styleId="72">
    <w:name w:val="批注引用1"/>
    <w:qFormat/>
    <w:uiPriority w:val="0"/>
    <w:rPr>
      <w:sz w:val="21"/>
    </w:rPr>
  </w:style>
  <w:style w:type="character" w:customStyle="1" w:styleId="73">
    <w:name w:val="插图说明 Char"/>
    <w:qFormat/>
    <w:uiPriority w:val="0"/>
    <w:rPr>
      <w:rFonts w:eastAsia="黑体"/>
      <w:sz w:val="24"/>
      <w:lang w:val="en-US" w:eastAsia="zh-CN"/>
    </w:rPr>
  </w:style>
  <w:style w:type="character" w:customStyle="1" w:styleId="74">
    <w:name w:val="font21"/>
    <w:qFormat/>
    <w:uiPriority w:val="0"/>
    <w:rPr>
      <w:rFonts w:hint="eastAsia" w:ascii="宋体" w:hAnsi="宋体" w:eastAsia="宋体"/>
      <w:kern w:val="2"/>
      <w:sz w:val="28"/>
      <w:szCs w:val="28"/>
      <w:lang w:val="en-US" w:eastAsia="zh-CN" w:bidi="ar-SA"/>
    </w:rPr>
  </w:style>
  <w:style w:type="character" w:customStyle="1" w:styleId="75">
    <w:name w:val="Char Char Char Char Char"/>
    <w:link w:val="76"/>
    <w:qFormat/>
    <w:uiPriority w:val="0"/>
    <w:rPr>
      <w:rFonts w:ascii="仿宋_GB2312" w:eastAsia="仿宋_GB2312"/>
      <w:b/>
      <w:kern w:val="2"/>
      <w:sz w:val="32"/>
      <w:szCs w:val="32"/>
    </w:rPr>
  </w:style>
  <w:style w:type="paragraph" w:customStyle="1" w:styleId="76">
    <w:name w:val="Char"/>
    <w:basedOn w:val="1"/>
    <w:link w:val="75"/>
    <w:qFormat/>
    <w:uiPriority w:val="0"/>
    <w:rPr>
      <w:rFonts w:ascii="仿宋_GB2312" w:eastAsia="仿宋_GB2312"/>
      <w:b/>
      <w:sz w:val="32"/>
      <w:szCs w:val="32"/>
    </w:rPr>
  </w:style>
  <w:style w:type="character" w:customStyle="1" w:styleId="77">
    <w:name w:val="标题 7 Char"/>
    <w:link w:val="8"/>
    <w:qFormat/>
    <w:uiPriority w:val="9"/>
    <w:rPr>
      <w:b/>
      <w:bCs/>
      <w:kern w:val="2"/>
      <w:sz w:val="24"/>
      <w:szCs w:val="24"/>
    </w:rPr>
  </w:style>
  <w:style w:type="character" w:customStyle="1" w:styleId="78">
    <w:name w:val="样式3 Char"/>
    <w:basedOn w:val="79"/>
    <w:qFormat/>
    <w:uiPriority w:val="0"/>
    <w:rPr>
      <w:rFonts w:ascii="仿宋_GB2312" w:hAnsi="仿宋" w:eastAsia="仿宋_GB2312" w:cs="仿宋_GB2312"/>
      <w:sz w:val="32"/>
      <w:szCs w:val="30"/>
      <w:lang w:val="zh-CN"/>
    </w:rPr>
  </w:style>
  <w:style w:type="character" w:customStyle="1" w:styleId="79">
    <w:name w:val="样式2 Char"/>
    <w:qFormat/>
    <w:uiPriority w:val="0"/>
    <w:rPr>
      <w:rFonts w:ascii="仿宋_GB2312" w:hAnsi="仿宋" w:eastAsia="仿宋_GB2312" w:cs="仿宋_GB2312"/>
      <w:b/>
      <w:bCs/>
      <w:sz w:val="32"/>
      <w:szCs w:val="30"/>
      <w:lang w:val="zh-CN"/>
    </w:rPr>
  </w:style>
  <w:style w:type="character" w:customStyle="1" w:styleId="80">
    <w:name w:val="样式 样式 标题 4h4H4Fab-4T5Ref Heading 1rh1Heading sqlsect 1.2.3.... +... Char"/>
    <w:link w:val="81"/>
    <w:qFormat/>
    <w:uiPriority w:val="0"/>
    <w:rPr>
      <w:rFonts w:ascii="微软雅黑" w:hAnsi="微软雅黑" w:eastAsia="微软雅黑"/>
      <w:b/>
      <w:bCs/>
      <w:kern w:val="2"/>
      <w:sz w:val="24"/>
      <w:szCs w:val="28"/>
    </w:rPr>
  </w:style>
  <w:style w:type="paragraph" w:customStyle="1" w:styleId="81">
    <w:name w:val="样式 样式 标题 4h4H4Fab-4T5Ref Heading 1rh1Heading sqlsect 1.2.3.... +..."/>
    <w:basedOn w:val="82"/>
    <w:link w:val="80"/>
    <w:qFormat/>
    <w:uiPriority w:val="0"/>
    <w:pPr>
      <w:tabs>
        <w:tab w:val="left" w:pos="864"/>
        <w:tab w:val="left" w:pos="2356"/>
      </w:tabs>
    </w:pPr>
  </w:style>
  <w:style w:type="paragraph" w:customStyle="1" w:styleId="82">
    <w:name w:val="样式 标题 4h4H4Fab-4T5Ref Heading 1rh1Heading sqlsect 1.2.3...."/>
    <w:basedOn w:val="5"/>
    <w:link w:val="144"/>
    <w:qFormat/>
    <w:uiPriority w:val="0"/>
    <w:pPr>
      <w:tabs>
        <w:tab w:val="left" w:pos="2356"/>
      </w:tabs>
      <w:adjustRightInd/>
      <w:spacing w:line="360" w:lineRule="auto"/>
      <w:ind w:left="1984" w:leftChars="75" w:hanging="708" w:firstLineChars="200"/>
    </w:pPr>
    <w:rPr>
      <w:rFonts w:ascii="微软雅黑" w:hAnsi="微软雅黑" w:eastAsia="微软雅黑"/>
      <w:sz w:val="24"/>
    </w:rPr>
  </w:style>
  <w:style w:type="character" w:customStyle="1" w:styleId="83">
    <w:name w:val="正文文本 Char1"/>
    <w:link w:val="20"/>
    <w:qFormat/>
    <w:uiPriority w:val="6"/>
    <w:rPr>
      <w:rFonts w:ascii="宋体" w:hAnsi="Arial" w:eastAsia="黑体" w:cs="Arial"/>
      <w:snapToGrid w:val="0"/>
      <w:kern w:val="2"/>
      <w:sz w:val="24"/>
      <w:szCs w:val="21"/>
      <w:lang w:val="zh-CN"/>
    </w:rPr>
  </w:style>
  <w:style w:type="character" w:customStyle="1" w:styleId="84">
    <w:name w:val="表正文 Char"/>
    <w:qFormat/>
    <w:uiPriority w:val="0"/>
    <w:rPr>
      <w:rFonts w:ascii="宋体" w:eastAsia="宋体"/>
      <w:snapToGrid w:val="0"/>
      <w:color w:val="000000"/>
      <w:kern w:val="28"/>
      <w:sz w:val="28"/>
      <w:lang w:val="en-US" w:eastAsia="zh-CN" w:bidi="ar-SA"/>
    </w:rPr>
  </w:style>
  <w:style w:type="character" w:customStyle="1" w:styleId="85">
    <w:name w:val="列出段落 Char"/>
    <w:qFormat/>
    <w:uiPriority w:val="34"/>
    <w:rPr>
      <w:rFonts w:eastAsia="楷体_GB2312" w:cs="Lucida Sans"/>
      <w:kern w:val="2"/>
      <w:sz w:val="24"/>
      <w:szCs w:val="24"/>
      <w:lang w:val="en-US" w:eastAsia="zh-CN" w:bidi="ar-SA"/>
    </w:rPr>
  </w:style>
  <w:style w:type="character" w:customStyle="1" w:styleId="86">
    <w:name w:val="HTML 地址 Char"/>
    <w:link w:val="27"/>
    <w:qFormat/>
    <w:uiPriority w:val="0"/>
    <w:rPr>
      <w:rFonts w:ascii="宋体" w:hAnsi="宋体"/>
      <w:i/>
      <w:iCs/>
      <w:sz w:val="24"/>
      <w:szCs w:val="24"/>
    </w:rPr>
  </w:style>
  <w:style w:type="character" w:customStyle="1" w:styleId="87">
    <w:name w:val="Normal Indent Char Char"/>
    <w:qFormat/>
    <w:uiPriority w:val="0"/>
    <w:rPr>
      <w:rFonts w:eastAsia="宋体"/>
      <w:kern w:val="2"/>
      <w:sz w:val="21"/>
      <w:lang w:val="en-US" w:eastAsia="zh-CN" w:bidi="ar-SA"/>
    </w:rPr>
  </w:style>
  <w:style w:type="character" w:customStyle="1" w:styleId="88">
    <w:name w:val="Char Char12"/>
    <w:qFormat/>
    <w:uiPriority w:val="0"/>
    <w:rPr>
      <w:rFonts w:ascii="仿宋_GB2312" w:eastAsia="仿宋_GB2312"/>
      <w:b/>
      <w:bCs/>
      <w:kern w:val="2"/>
      <w:sz w:val="24"/>
      <w:szCs w:val="24"/>
      <w:lang w:val="zh-CN"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Char Char41"/>
    <w:qFormat/>
    <w:uiPriority w:val="0"/>
    <w:rPr>
      <w:rFonts w:eastAsia="宋体"/>
      <w:b/>
      <w:sz w:val="24"/>
      <w:lang w:val="en-GB" w:eastAsia="zh-CN" w:bidi="ar-SA"/>
    </w:rPr>
  </w:style>
  <w:style w:type="character" w:customStyle="1" w:styleId="91">
    <w:name w:val="副标题 Char"/>
    <w:link w:val="38"/>
    <w:qFormat/>
    <w:uiPriority w:val="11"/>
    <w:rPr>
      <w:rFonts w:ascii="Arial" w:hAnsi="Arial" w:eastAsia="隶书"/>
      <w:b/>
      <w:bCs/>
      <w:kern w:val="28"/>
      <w:sz w:val="44"/>
      <w:szCs w:val="32"/>
      <w:lang w:val="en-US" w:eastAsia="zh-CN" w:bidi="ar-SA"/>
    </w:rPr>
  </w:style>
  <w:style w:type="character" w:customStyle="1" w:styleId="92">
    <w:name w:val="二级标题 Char Char"/>
    <w:qFormat/>
    <w:uiPriority w:val="0"/>
    <w:rPr>
      <w:rFonts w:ascii="宋体" w:hAnsi="宋体" w:eastAsia="宋体"/>
      <w:b/>
      <w:snapToGrid w:val="0"/>
      <w:kern w:val="2"/>
      <w:sz w:val="24"/>
      <w:szCs w:val="24"/>
      <w:lang w:val="en-US" w:eastAsia="zh-CN" w:bidi="ar-SA"/>
    </w:rPr>
  </w:style>
  <w:style w:type="character" w:customStyle="1" w:styleId="93">
    <w:name w:val="Document Map Char"/>
    <w:qFormat/>
    <w:uiPriority w:val="0"/>
    <w:rPr>
      <w:rFonts w:eastAsia="宋体"/>
      <w:kern w:val="2"/>
      <w:sz w:val="21"/>
      <w:szCs w:val="24"/>
      <w:lang w:val="en-US" w:eastAsia="zh-CN" w:bidi="ar-SA"/>
    </w:rPr>
  </w:style>
  <w:style w:type="character" w:customStyle="1" w:styleId="94">
    <w:name w:val="正文首行缩进两字 Char"/>
    <w:qFormat/>
    <w:uiPriority w:val="0"/>
    <w:rPr>
      <w:sz w:val="24"/>
      <w:szCs w:val="24"/>
      <w:lang w:val="en-US" w:eastAsia="zh-CN" w:bidi="ar-SA"/>
    </w:rPr>
  </w:style>
  <w:style w:type="character" w:customStyle="1" w:styleId="95">
    <w:name w:val="HTML 地址 Char1"/>
    <w:qFormat/>
    <w:uiPriority w:val="99"/>
    <w:rPr>
      <w:rFonts w:ascii="Times New Roman" w:hAnsi="Times New Roman" w:eastAsia="宋体" w:cs="Times New Roman"/>
      <w:i/>
      <w:iCs/>
      <w:szCs w:val="24"/>
    </w:rPr>
  </w:style>
  <w:style w:type="character" w:customStyle="1" w:styleId="96">
    <w:name w:val="正文2 Char Char"/>
    <w:link w:val="97"/>
    <w:qFormat/>
    <w:uiPriority w:val="0"/>
    <w:rPr>
      <w:rFonts w:eastAsia="宋体"/>
      <w:kern w:val="2"/>
      <w:sz w:val="24"/>
      <w:lang w:val="en-US" w:eastAsia="zh-CN" w:bidi="ar-SA"/>
    </w:rPr>
  </w:style>
  <w:style w:type="paragraph" w:customStyle="1" w:styleId="97">
    <w:name w:val="正文2"/>
    <w:basedOn w:val="1"/>
    <w:link w:val="96"/>
    <w:qFormat/>
    <w:uiPriority w:val="0"/>
    <w:pPr>
      <w:spacing w:before="156" w:line="360" w:lineRule="auto"/>
      <w:ind w:firstLine="510" w:firstLineChars="200"/>
    </w:pPr>
    <w:rPr>
      <w:sz w:val="24"/>
      <w:szCs w:val="20"/>
    </w:rPr>
  </w:style>
  <w:style w:type="character" w:customStyle="1" w:styleId="98">
    <w:name w:val="日期 Char1"/>
    <w:qFormat/>
    <w:uiPriority w:val="0"/>
    <w:rPr>
      <w:rFonts w:ascii="Times New Roman" w:hAnsi="Times New Roman" w:eastAsia="宋体" w:cs="Times New Roman"/>
      <w:szCs w:val="24"/>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HTML 预设格式 Char1"/>
    <w:qFormat/>
    <w:uiPriority w:val="0"/>
    <w:rPr>
      <w:rFonts w:ascii="Courier New" w:hAnsi="Courier New" w:eastAsia="宋体" w:cs="Courier New"/>
      <w:sz w:val="20"/>
      <w:szCs w:val="20"/>
    </w:rPr>
  </w:style>
  <w:style w:type="character" w:customStyle="1" w:styleId="102">
    <w:name w:val="tw4winJump"/>
    <w:qFormat/>
    <w:uiPriority w:val="0"/>
    <w:rPr>
      <w:rFonts w:ascii="Courier New" w:hAnsi="Courier New" w:cs="Courier New"/>
      <w:color w:val="008080"/>
      <w:lang w:val="en-US" w:eastAsia="zh-CN"/>
    </w:rPr>
  </w:style>
  <w:style w:type="character" w:customStyle="1" w:styleId="103">
    <w:name w:val="称呼 Char1"/>
    <w:qFormat/>
    <w:uiPriority w:val="99"/>
    <w:rPr>
      <w:rFonts w:ascii="Times New Roman" w:hAnsi="Times New Roman" w:eastAsia="宋体" w:cs="Times New Roman"/>
      <w:szCs w:val="24"/>
    </w:rPr>
  </w:style>
  <w:style w:type="character" w:customStyle="1" w:styleId="104">
    <w:name w:val="Char Char26"/>
    <w:qFormat/>
    <w:uiPriority w:val="6"/>
    <w:rPr>
      <w:kern w:val="1"/>
      <w:sz w:val="21"/>
      <w:szCs w:val="24"/>
    </w:rPr>
  </w:style>
  <w:style w:type="character" w:customStyle="1" w:styleId="105">
    <w:name w:val="批注框文本 Char"/>
    <w:link w:val="32"/>
    <w:qFormat/>
    <w:uiPriority w:val="99"/>
    <w:rPr>
      <w:kern w:val="2"/>
      <w:sz w:val="18"/>
      <w:szCs w:val="18"/>
    </w:rPr>
  </w:style>
  <w:style w:type="character" w:customStyle="1" w:styleId="106">
    <w:name w:val="正文段 Char"/>
    <w:link w:val="107"/>
    <w:qFormat/>
    <w:uiPriority w:val="0"/>
    <w:rPr>
      <w:sz w:val="24"/>
    </w:rPr>
  </w:style>
  <w:style w:type="paragraph" w:customStyle="1" w:styleId="107">
    <w:name w:val="正文段"/>
    <w:basedOn w:val="1"/>
    <w:link w:val="106"/>
    <w:qFormat/>
    <w:uiPriority w:val="0"/>
    <w:pPr>
      <w:widowControl/>
      <w:snapToGrid w:val="0"/>
      <w:spacing w:afterLines="50"/>
      <w:ind w:firstLine="200" w:firstLineChars="200"/>
    </w:pPr>
    <w:rPr>
      <w:kern w:val="0"/>
      <w:sz w:val="24"/>
      <w:szCs w:val="20"/>
    </w:rPr>
  </w:style>
  <w:style w:type="character" w:customStyle="1" w:styleId="108">
    <w:name w:val="仿宋正文 Char"/>
    <w:link w:val="109"/>
    <w:qFormat/>
    <w:uiPriority w:val="0"/>
    <w:rPr>
      <w:rFonts w:ascii="仿宋_GB2312" w:eastAsia="仿宋_GB2312"/>
      <w:kern w:val="2"/>
      <w:sz w:val="24"/>
      <w:lang w:val="en-US" w:eastAsia="zh-CN" w:bidi="ar-SA"/>
    </w:rPr>
  </w:style>
  <w:style w:type="paragraph" w:customStyle="1" w:styleId="109">
    <w:name w:val="仿宋正文"/>
    <w:basedOn w:val="1"/>
    <w:link w:val="108"/>
    <w:qFormat/>
    <w:uiPriority w:val="0"/>
    <w:pPr>
      <w:adjustRightInd/>
      <w:spacing w:line="360" w:lineRule="auto"/>
      <w:ind w:firstLine="480" w:firstLineChars="200"/>
    </w:pPr>
    <w:rPr>
      <w:rFonts w:ascii="仿宋_GB2312" w:eastAsia="仿宋_GB2312"/>
      <w:sz w:val="24"/>
      <w:szCs w:val="20"/>
    </w:rPr>
  </w:style>
  <w:style w:type="character" w:customStyle="1" w:styleId="110">
    <w:name w:val="Char Char14"/>
    <w:qFormat/>
    <w:uiPriority w:val="6"/>
    <w:rPr>
      <w:rFonts w:ascii="黑体" w:hAnsi="黑体" w:eastAsia="黑体"/>
    </w:rPr>
  </w:style>
  <w:style w:type="character" w:customStyle="1" w:styleId="111">
    <w:name w:val="正文缩进 Char3"/>
    <w:link w:val="13"/>
    <w:qFormat/>
    <w:uiPriority w:val="0"/>
    <w:rPr>
      <w:rFonts w:ascii="宋体" w:eastAsia="宋体"/>
      <w:snapToGrid w:val="0"/>
      <w:color w:val="000000"/>
      <w:kern w:val="28"/>
      <w:sz w:val="28"/>
      <w:lang w:val="en-US" w:eastAsia="zh-CN" w:bidi="ar-SA"/>
    </w:rPr>
  </w:style>
  <w:style w:type="character" w:customStyle="1" w:styleId="112">
    <w:name w:val="日期 Char"/>
    <w:link w:val="30"/>
    <w:qFormat/>
    <w:uiPriority w:val="0"/>
    <w:rPr>
      <w:rFonts w:ascii="宋体"/>
      <w:kern w:val="2"/>
      <w:sz w:val="24"/>
      <w:szCs w:val="21"/>
      <w:lang w:val="zh-CN"/>
    </w:rPr>
  </w:style>
  <w:style w:type="character" w:customStyle="1" w:styleId="113">
    <w:name w:val="Char Char30"/>
    <w:qFormat/>
    <w:uiPriority w:val="6"/>
    <w:rPr>
      <w:rFonts w:ascii="Arial" w:hAnsi="Arial" w:eastAsia="黑体"/>
      <w:kern w:val="1"/>
      <w:sz w:val="21"/>
      <w:szCs w:val="21"/>
    </w:rPr>
  </w:style>
  <w:style w:type="character" w:customStyle="1" w:styleId="114">
    <w:name w:val="正文文本 2 Char"/>
    <w:qFormat/>
    <w:uiPriority w:val="0"/>
    <w:rPr>
      <w:rFonts w:eastAsia="宋体"/>
      <w:kern w:val="2"/>
      <w:sz w:val="21"/>
      <w:szCs w:val="24"/>
      <w:lang w:val="en-US" w:eastAsia="zh-CN" w:bidi="ar-SA"/>
    </w:rPr>
  </w:style>
  <w:style w:type="character" w:customStyle="1" w:styleId="115">
    <w:name w:val="标题 4 Char"/>
    <w:link w:val="5"/>
    <w:qFormat/>
    <w:uiPriority w:val="9"/>
    <w:rPr>
      <w:rFonts w:ascii="Arial" w:hAnsi="Arial" w:eastAsia="黑体"/>
      <w:b/>
      <w:bCs/>
      <w:kern w:val="2"/>
      <w:sz w:val="28"/>
      <w:szCs w:val="28"/>
      <w:lang w:val="zh-CN"/>
    </w:rPr>
  </w:style>
  <w:style w:type="character" w:customStyle="1" w:styleId="116">
    <w:name w:val="标题 9 Char"/>
    <w:link w:val="10"/>
    <w:qFormat/>
    <w:uiPriority w:val="9"/>
    <w:rPr>
      <w:rFonts w:ascii="Arial" w:hAnsi="Arial" w:eastAsia="黑体"/>
      <w:kern w:val="2"/>
      <w:sz w:val="21"/>
      <w:szCs w:val="21"/>
    </w:rPr>
  </w:style>
  <w:style w:type="character" w:customStyle="1" w:styleId="117">
    <w:name w:val="普通文字 Char1"/>
    <w:qFormat/>
    <w:uiPriority w:val="0"/>
    <w:rPr>
      <w:rFonts w:ascii="宋体" w:hAnsi="Courier New" w:eastAsia="宋体"/>
      <w:kern w:val="2"/>
      <w:sz w:val="21"/>
      <w:lang w:val="en-US" w:eastAsia="zh-CN"/>
    </w:rPr>
  </w:style>
  <w:style w:type="character" w:customStyle="1" w:styleId="118">
    <w:name w:val="px14"/>
    <w:qFormat/>
    <w:uiPriority w:val="0"/>
    <w:rPr>
      <w:rFonts w:ascii="仿宋_GB2312" w:eastAsia="微软雅黑" w:cs="Times New Roman"/>
      <w:b/>
      <w:kern w:val="2"/>
      <w:sz w:val="32"/>
      <w:szCs w:val="32"/>
      <w:lang w:val="en-US" w:eastAsia="zh-CN" w:bidi="ar-SA"/>
    </w:rPr>
  </w:style>
  <w:style w:type="character" w:customStyle="1" w:styleId="119">
    <w:name w:val="myp1111"/>
    <w:qFormat/>
    <w:uiPriority w:val="0"/>
    <w:rPr>
      <w:rFonts w:hint="default" w:ascii="ˎ̥" w:hAnsi="ˎ̥"/>
      <w:color w:val="000000"/>
      <w:sz w:val="20"/>
      <w:szCs w:val="20"/>
      <w:u w:val="none"/>
    </w:rPr>
  </w:style>
  <w:style w:type="character" w:customStyle="1" w:styleId="120">
    <w:name w:val="正文首行缩进 Char Char Char Char Char Char"/>
    <w:qFormat/>
    <w:uiPriority w:val="0"/>
    <w:rPr>
      <w:rFonts w:ascii="宋体" w:eastAsia="宋体"/>
      <w:kern w:val="2"/>
      <w:sz w:val="24"/>
      <w:lang w:val="zh-CN" w:bidi="ar-SA"/>
    </w:rPr>
  </w:style>
  <w:style w:type="character" w:customStyle="1" w:styleId="121">
    <w:name w:val="tw4winMark"/>
    <w:qFormat/>
    <w:uiPriority w:val="0"/>
    <w:rPr>
      <w:rFonts w:ascii="Courier New" w:hAnsi="Courier New" w:cs="Courier New"/>
      <w:vanish/>
      <w:color w:val="800080"/>
      <w:sz w:val="24"/>
      <w:szCs w:val="24"/>
      <w:vertAlign w:val="subscript"/>
    </w:rPr>
  </w:style>
  <w:style w:type="character" w:customStyle="1" w:styleId="122">
    <w:name w:val="正文文本首行缩进 2 字符"/>
    <w:link w:val="123"/>
    <w:qFormat/>
    <w:uiPriority w:val="0"/>
    <w:rPr>
      <w:rFonts w:ascii="宋体" w:hAnsi="宋体"/>
      <w:kern w:val="2"/>
      <w:sz w:val="21"/>
      <w:szCs w:val="24"/>
    </w:rPr>
  </w:style>
  <w:style w:type="paragraph" w:customStyle="1" w:styleId="123">
    <w:name w:val="正文文本首行缩进 21"/>
    <w:basedOn w:val="21"/>
    <w:link w:val="122"/>
    <w:qFormat/>
    <w:uiPriority w:val="0"/>
    <w:pPr>
      <w:adjustRightInd/>
      <w:spacing w:after="120" w:line="240" w:lineRule="auto"/>
      <w:ind w:left="420" w:leftChars="200" w:firstLine="210"/>
    </w:pPr>
    <w:rPr>
      <w:sz w:val="21"/>
    </w:rPr>
  </w:style>
  <w:style w:type="character" w:customStyle="1" w:styleId="124">
    <w:name w:val="Char Char51"/>
    <w:qFormat/>
    <w:uiPriority w:val="0"/>
    <w:rPr>
      <w:rFonts w:ascii="宋体" w:hAnsi="Courier New" w:eastAsia="宋体"/>
      <w:kern w:val="2"/>
      <w:sz w:val="21"/>
      <w:lang w:val="en-US" w:eastAsia="zh-CN"/>
    </w:rPr>
  </w:style>
  <w:style w:type="character" w:customStyle="1" w:styleId="125">
    <w:name w:val="页脚 Char3"/>
    <w:link w:val="33"/>
    <w:qFormat/>
    <w:uiPriority w:val="99"/>
    <w:rPr>
      <w:rFonts w:eastAsia="宋体"/>
      <w:kern w:val="2"/>
      <w:sz w:val="18"/>
      <w:szCs w:val="18"/>
      <w:lang w:val="en-US" w:eastAsia="zh-CN" w:bidi="ar-SA"/>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文档结构图 Char1"/>
    <w:link w:val="16"/>
    <w:qFormat/>
    <w:uiPriority w:val="6"/>
    <w:rPr>
      <w:rFonts w:ascii="Arial" w:hAnsi="Arial" w:eastAsia="黑体" w:cs="Arial"/>
      <w:snapToGrid w:val="0"/>
      <w:kern w:val="2"/>
      <w:sz w:val="21"/>
      <w:szCs w:val="24"/>
      <w:shd w:val="clear" w:color="auto" w:fill="000080"/>
    </w:rPr>
  </w:style>
  <w:style w:type="character" w:customStyle="1" w:styleId="128">
    <w:name w:val="b11_01b Char"/>
    <w:link w:val="129"/>
    <w:qFormat/>
    <w:uiPriority w:val="0"/>
    <w:rPr>
      <w:rFonts w:ascii="Verdana" w:hAnsi="Verdana"/>
      <w:b/>
      <w:bCs/>
      <w:color w:val="4A82CA"/>
      <w:sz w:val="17"/>
      <w:szCs w:val="17"/>
    </w:rPr>
  </w:style>
  <w:style w:type="paragraph" w:customStyle="1" w:styleId="129">
    <w:name w:val="b11_01b"/>
    <w:basedOn w:val="1"/>
    <w:next w:val="1"/>
    <w:link w:val="12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130">
    <w:name w:val="t21"/>
    <w:qFormat/>
    <w:uiPriority w:val="0"/>
    <w:rPr>
      <w:rFonts w:ascii="仿宋_GB2312" w:eastAsia="微软雅黑"/>
      <w:b/>
      <w:kern w:val="2"/>
      <w:sz w:val="23"/>
      <w:szCs w:val="23"/>
      <w:lang w:val="en-US" w:eastAsia="zh-CN" w:bidi="ar-SA"/>
    </w:rPr>
  </w:style>
  <w:style w:type="character" w:customStyle="1" w:styleId="131">
    <w:name w:val="正文缩进 Char1"/>
    <w:qFormat/>
    <w:uiPriority w:val="0"/>
    <w:rPr>
      <w:rFonts w:ascii="宋体" w:eastAsia="宋体"/>
      <w:snapToGrid w:val="0"/>
      <w:color w:val="000000"/>
      <w:kern w:val="28"/>
      <w:sz w:val="28"/>
      <w:lang w:val="en-US" w:eastAsia="zh-CN" w:bidi="ar-SA"/>
    </w:rPr>
  </w:style>
  <w:style w:type="character" w:customStyle="1" w:styleId="132">
    <w:name w:val="正文文本首行缩进 字符"/>
    <w:link w:val="133"/>
    <w:qFormat/>
    <w:uiPriority w:val="0"/>
    <w:rPr>
      <w:rFonts w:ascii="宋体"/>
      <w:kern w:val="2"/>
      <w:sz w:val="24"/>
      <w:lang w:val="zh-CN"/>
    </w:rPr>
  </w:style>
  <w:style w:type="paragraph" w:customStyle="1" w:styleId="133">
    <w:name w:val="正文文本首行缩进1"/>
    <w:basedOn w:val="20"/>
    <w:link w:val="132"/>
    <w:qFormat/>
    <w:uiPriority w:val="0"/>
    <w:pPr>
      <w:ind w:firstLine="420"/>
    </w:pPr>
    <w:rPr>
      <w:rFonts w:hAnsi="Times New Roman" w:eastAsia="宋体"/>
      <w:snapToGrid/>
      <w:szCs w:val="20"/>
    </w:rPr>
  </w:style>
  <w:style w:type="character" w:customStyle="1" w:styleId="134">
    <w:name w:val="正文文本缩进 3 Char"/>
    <w:link w:val="43"/>
    <w:qFormat/>
    <w:uiPriority w:val="0"/>
    <w:rPr>
      <w:kern w:val="2"/>
      <w:sz w:val="24"/>
    </w:rPr>
  </w:style>
  <w:style w:type="character" w:customStyle="1" w:styleId="135">
    <w:name w:val="Char Char311"/>
    <w:qFormat/>
    <w:uiPriority w:val="0"/>
    <w:rPr>
      <w:rFonts w:eastAsia="宋体"/>
      <w:kern w:val="2"/>
      <w:sz w:val="21"/>
      <w:szCs w:val="24"/>
      <w:lang w:val="en-US" w:eastAsia="zh-CN" w:bidi="ar-SA"/>
    </w:rPr>
  </w:style>
  <w:style w:type="character" w:customStyle="1" w:styleId="136">
    <w:name w:val="Used by Word for text of Help footnotes Char Char"/>
    <w:qFormat/>
    <w:uiPriority w:val="0"/>
    <w:rPr>
      <w:rFonts w:ascii="Times New Roman" w:hAnsi="Times New Roman" w:eastAsia="宋体" w:cs="Times New Roman"/>
      <w:sz w:val="20"/>
      <w:szCs w:val="20"/>
    </w:rPr>
  </w:style>
  <w:style w:type="character" w:customStyle="1" w:styleId="137">
    <w:name w:val="普通文字 Char1 Char"/>
    <w:qFormat/>
    <w:uiPriority w:val="0"/>
    <w:rPr>
      <w:rFonts w:ascii="宋体" w:hAnsi="Courier New" w:eastAsia="宋体"/>
      <w:kern w:val="2"/>
      <w:sz w:val="21"/>
      <w:szCs w:val="24"/>
      <w:lang w:val="en-US" w:eastAsia="zh-CN" w:bidi="ar-SA"/>
    </w:rPr>
  </w:style>
  <w:style w:type="character" w:customStyle="1" w:styleId="138">
    <w:name w:val="Char Char33"/>
    <w:qFormat/>
    <w:uiPriority w:val="6"/>
    <w:rPr>
      <w:rFonts w:ascii="Arial" w:hAnsi="Arial" w:eastAsia="黑体"/>
      <w:b/>
      <w:kern w:val="1"/>
      <w:sz w:val="24"/>
      <w:szCs w:val="24"/>
    </w:rPr>
  </w:style>
  <w:style w:type="character" w:customStyle="1" w:styleId="139">
    <w:name w:val="Bold"/>
    <w:qFormat/>
    <w:uiPriority w:val="0"/>
    <w:rPr>
      <w:rFonts w:ascii="Arial" w:hAnsi="Arial" w:eastAsia="黑体" w:cs="Times New Roman"/>
      <w:b/>
      <w:kern w:val="2"/>
      <w:sz w:val="32"/>
      <w:szCs w:val="32"/>
      <w:lang w:val="en-US" w:eastAsia="zh-CN" w:bidi="ar-SA"/>
    </w:rPr>
  </w:style>
  <w:style w:type="character" w:customStyle="1" w:styleId="140">
    <w:name w:val="批注文字 Char1"/>
    <w:qFormat/>
    <w:uiPriority w:val="99"/>
    <w:rPr>
      <w:rFonts w:ascii="Times New Roman" w:hAnsi="Times New Roman" w:eastAsia="宋体" w:cs="Times New Roman"/>
      <w:snapToGrid w:val="0"/>
      <w:kern w:val="0"/>
      <w:szCs w:val="24"/>
    </w:rPr>
  </w:style>
  <w:style w:type="character" w:customStyle="1" w:styleId="141">
    <w:name w:val="Ò³Ã¼ Char Char1"/>
    <w:qFormat/>
    <w:uiPriority w:val="0"/>
    <w:rPr>
      <w:rFonts w:eastAsia="宋体"/>
      <w:kern w:val="2"/>
      <w:sz w:val="18"/>
      <w:szCs w:val="18"/>
      <w:lang w:val="en-US" w:eastAsia="zh-CN" w:bidi="ar-SA"/>
    </w:rPr>
  </w:style>
  <w:style w:type="character" w:customStyle="1" w:styleId="142">
    <w:name w:val="md"/>
    <w:basedOn w:val="51"/>
    <w:qFormat/>
    <w:uiPriority w:val="0"/>
  </w:style>
  <w:style w:type="character" w:customStyle="1" w:styleId="143">
    <w:name w:val="Char Char37"/>
    <w:qFormat/>
    <w:uiPriority w:val="6"/>
    <w:rPr>
      <w:b/>
      <w:kern w:val="1"/>
      <w:sz w:val="44"/>
      <w:szCs w:val="44"/>
    </w:rPr>
  </w:style>
  <w:style w:type="character" w:customStyle="1" w:styleId="144">
    <w:name w:val="样式 标题 4h4H4Fab-4T5Ref Heading 1rh1Heading sqlsect 1.2.3.... Char"/>
    <w:link w:val="82"/>
    <w:qFormat/>
    <w:uiPriority w:val="0"/>
    <w:rPr>
      <w:rFonts w:ascii="微软雅黑" w:hAnsi="微软雅黑" w:eastAsia="微软雅黑"/>
      <w:b/>
      <w:bCs/>
      <w:kern w:val="2"/>
      <w:sz w:val="24"/>
      <w:szCs w:val="28"/>
    </w:rPr>
  </w:style>
  <w:style w:type="character" w:customStyle="1" w:styleId="145">
    <w:name w:val="样式6 Char"/>
    <w:qFormat/>
    <w:uiPriority w:val="0"/>
    <w:rPr>
      <w:rFonts w:ascii="仿宋_GB2312" w:hAnsi="宋体" w:eastAsia="仿宋_GB2312"/>
      <w:b/>
      <w:bCs/>
      <w:kern w:val="2"/>
      <w:sz w:val="24"/>
      <w:szCs w:val="24"/>
      <w:lang w:val="en-US" w:eastAsia="zh-CN" w:bidi="ar-SA"/>
    </w:rPr>
  </w:style>
  <w:style w:type="character" w:customStyle="1" w:styleId="146">
    <w:name w:val="样式8 Char"/>
    <w:qFormat/>
    <w:uiPriority w:val="0"/>
    <w:rPr>
      <w:rFonts w:ascii="仿宋_GB2312" w:hAnsi="宋体" w:eastAsia="仿宋_GB2312"/>
      <w:b/>
      <w:bCs/>
      <w:kern w:val="2"/>
      <w:sz w:val="24"/>
      <w:szCs w:val="24"/>
    </w:rPr>
  </w:style>
  <w:style w:type="character" w:customStyle="1" w:styleId="147">
    <w:name w:val="标题 3 Char"/>
    <w:link w:val="4"/>
    <w:qFormat/>
    <w:uiPriority w:val="9"/>
    <w:rPr>
      <w:b/>
      <w:bCs/>
      <w:kern w:val="2"/>
      <w:sz w:val="32"/>
      <w:szCs w:val="32"/>
    </w:rPr>
  </w:style>
  <w:style w:type="character" w:customStyle="1" w:styleId="148">
    <w:name w:val="c7 style3"/>
    <w:qFormat/>
    <w:uiPriority w:val="0"/>
  </w:style>
  <w:style w:type="character" w:customStyle="1" w:styleId="149">
    <w:name w:val="Char Char5"/>
    <w:qFormat/>
    <w:uiPriority w:val="0"/>
    <w:rPr>
      <w:rFonts w:ascii="宋体" w:hAnsi="Courier New" w:eastAsia="宋体"/>
      <w:kern w:val="2"/>
      <w:sz w:val="21"/>
      <w:lang w:val="en-US" w:eastAsia="zh-CN"/>
    </w:rPr>
  </w:style>
  <w:style w:type="character" w:customStyle="1" w:styleId="150">
    <w:name w:val="Font Style82"/>
    <w:qFormat/>
    <w:uiPriority w:val="99"/>
    <w:rPr>
      <w:rFonts w:ascii="宋体" w:eastAsia="宋体" w:cs="宋体"/>
      <w:color w:val="000000"/>
      <w:sz w:val="14"/>
      <w:szCs w:val="14"/>
    </w:rPr>
  </w:style>
  <w:style w:type="character" w:customStyle="1" w:styleId="151">
    <w:name w:val="tw4winInternal"/>
    <w:qFormat/>
    <w:uiPriority w:val="0"/>
    <w:rPr>
      <w:rFonts w:ascii="Courier New" w:hAnsi="Courier New" w:cs="Courier New"/>
      <w:color w:val="FF0000"/>
      <w:lang w:val="en-US" w:eastAsia="zh-CN"/>
    </w:rPr>
  </w:style>
  <w:style w:type="character" w:customStyle="1" w:styleId="152">
    <w:name w:val="纯文本 Char3"/>
    <w:link w:val="28"/>
    <w:qFormat/>
    <w:uiPriority w:val="0"/>
    <w:rPr>
      <w:rFonts w:ascii="宋体" w:hAnsi="Courier New" w:eastAsia="黑体" w:cs="Arial"/>
      <w:snapToGrid w:val="0"/>
      <w:kern w:val="2"/>
      <w:sz w:val="21"/>
      <w:szCs w:val="21"/>
    </w:rPr>
  </w:style>
  <w:style w:type="character" w:customStyle="1" w:styleId="153">
    <w:name w:val="正文1 Char"/>
    <w:qFormat/>
    <w:uiPriority w:val="0"/>
    <w:rPr>
      <w:rFonts w:ascii="宋体" w:eastAsia="宋体"/>
      <w:snapToGrid w:val="0"/>
      <w:color w:val="000000"/>
      <w:kern w:val="28"/>
      <w:sz w:val="28"/>
      <w:lang w:val="en-US" w:eastAsia="zh-CN" w:bidi="ar-SA"/>
    </w:rPr>
  </w:style>
  <w:style w:type="character" w:customStyle="1" w:styleId="154">
    <w:name w:val="shadow11"/>
    <w:qFormat/>
    <w:uiPriority w:val="0"/>
    <w:rPr>
      <w:color w:val="000000"/>
      <w:sz w:val="21"/>
    </w:rPr>
  </w:style>
  <w:style w:type="character" w:customStyle="1" w:styleId="155">
    <w:name w:val="Char Char71"/>
    <w:qFormat/>
    <w:uiPriority w:val="0"/>
    <w:rPr>
      <w:rFonts w:eastAsia="宋体"/>
      <w:kern w:val="2"/>
      <w:sz w:val="21"/>
      <w:szCs w:val="24"/>
      <w:lang w:val="en-US" w:eastAsia="zh-CN" w:bidi="ar-SA"/>
    </w:rPr>
  </w:style>
  <w:style w:type="character" w:customStyle="1" w:styleId="156">
    <w:name w:val="tw4winError"/>
    <w:qFormat/>
    <w:uiPriority w:val="0"/>
    <w:rPr>
      <w:rFonts w:ascii="Courier New" w:hAnsi="Courier New" w:cs="Courier New"/>
      <w:color w:val="00FF00"/>
      <w:sz w:val="40"/>
      <w:szCs w:val="40"/>
    </w:rPr>
  </w:style>
  <w:style w:type="character" w:customStyle="1" w:styleId="157">
    <w:name w:val="标书1 Char"/>
    <w:qFormat/>
    <w:uiPriority w:val="0"/>
    <w:rPr>
      <w:rFonts w:eastAsia="宋体"/>
      <w:b/>
      <w:bCs/>
      <w:kern w:val="44"/>
      <w:sz w:val="44"/>
      <w:szCs w:val="44"/>
      <w:lang w:val="en-US" w:eastAsia="zh-CN" w:bidi="ar-SA"/>
    </w:rPr>
  </w:style>
  <w:style w:type="character" w:customStyle="1" w:styleId="158">
    <w:name w:val="Char Char19"/>
    <w:qFormat/>
    <w:uiPriority w:val="6"/>
    <w:rPr>
      <w:rFonts w:ascii="宋体" w:hAnsi="宋体"/>
      <w:i/>
      <w:sz w:val="24"/>
      <w:szCs w:val="24"/>
    </w:rPr>
  </w:style>
  <w:style w:type="character" w:customStyle="1" w:styleId="159">
    <w:name w:val="Char Char28"/>
    <w:qFormat/>
    <w:uiPriority w:val="6"/>
    <w:rPr>
      <w:rFonts w:ascii="仿宋_GB2312" w:hAnsi="仿宋_GB2312" w:eastAsia="仿宋_GB2312"/>
      <w:kern w:val="1"/>
      <w:sz w:val="28"/>
    </w:rPr>
  </w:style>
  <w:style w:type="character" w:customStyle="1" w:styleId="160">
    <w:name w:val="pt9"/>
    <w:qFormat/>
    <w:uiPriority w:val="0"/>
    <w:rPr>
      <w:rFonts w:ascii="仿宋_GB2312" w:eastAsia="微软雅黑"/>
      <w:b/>
      <w:kern w:val="2"/>
      <w:sz w:val="32"/>
      <w:szCs w:val="32"/>
      <w:lang w:val="en-US" w:eastAsia="zh-CN" w:bidi="ar-SA"/>
    </w:rPr>
  </w:style>
  <w:style w:type="character" w:customStyle="1" w:styleId="161">
    <w:name w:val="标题 1 Char1"/>
    <w:link w:val="3"/>
    <w:qFormat/>
    <w:uiPriority w:val="9"/>
    <w:rPr>
      <w:b/>
      <w:bCs/>
      <w:kern w:val="44"/>
      <w:sz w:val="44"/>
      <w:szCs w:val="44"/>
    </w:rPr>
  </w:style>
  <w:style w:type="character" w:customStyle="1" w:styleId="162">
    <w:name w:val="正文2 Char"/>
    <w:qFormat/>
    <w:uiPriority w:val="0"/>
    <w:rPr>
      <w:rFonts w:eastAsia="宋体"/>
      <w:kern w:val="2"/>
      <w:sz w:val="24"/>
      <w:lang w:val="en-US" w:eastAsia="zh-CN" w:bidi="ar-SA"/>
    </w:rPr>
  </w:style>
  <w:style w:type="character" w:customStyle="1" w:styleId="163">
    <w:name w:val="普通文字 Char3"/>
    <w:qFormat/>
    <w:uiPriority w:val="0"/>
    <w:rPr>
      <w:rFonts w:ascii="宋体" w:hAnsi="Courier New" w:eastAsia="宋体"/>
      <w:kern w:val="2"/>
      <w:sz w:val="21"/>
      <w:lang w:val="en-US" w:eastAsia="zh-CN" w:bidi="ar-SA"/>
    </w:rPr>
  </w:style>
  <w:style w:type="character" w:customStyle="1" w:styleId="164">
    <w:name w:val="h Char Char"/>
    <w:qFormat/>
    <w:uiPriority w:val="0"/>
    <w:rPr>
      <w:rFonts w:eastAsia="宋体"/>
      <w:kern w:val="2"/>
      <w:sz w:val="18"/>
      <w:lang w:val="en-US" w:eastAsia="zh-CN" w:bidi="ar-SA"/>
    </w:rPr>
  </w:style>
  <w:style w:type="character" w:customStyle="1" w:styleId="165">
    <w:name w:val="页眉 Char3"/>
    <w:link w:val="34"/>
    <w:qFormat/>
    <w:uiPriority w:val="99"/>
    <w:rPr>
      <w:rFonts w:ascii="仿宋" w:hAnsi="仿宋" w:eastAsia="仿宋"/>
      <w:i/>
      <w:snapToGrid w:val="0"/>
      <w:kern w:val="2"/>
      <w:sz w:val="18"/>
      <w:szCs w:val="18"/>
      <w:u w:val="single"/>
      <w:lang w:val="en-GB"/>
    </w:rPr>
  </w:style>
  <w:style w:type="character" w:customStyle="1" w:styleId="166">
    <w:name w:val="mdeck"/>
    <w:qFormat/>
    <w:uiPriority w:val="0"/>
    <w:rPr>
      <w:rFonts w:ascii="仿宋_GB2312" w:eastAsia="微软雅黑"/>
      <w:b/>
      <w:kern w:val="2"/>
      <w:sz w:val="32"/>
      <w:szCs w:val="32"/>
      <w:lang w:val="en-US" w:eastAsia="zh-CN" w:bidi="ar-SA"/>
    </w:rPr>
  </w:style>
  <w:style w:type="character" w:customStyle="1" w:styleId="167">
    <w:name w:val="标题4-dyf Char"/>
    <w:link w:val="168"/>
    <w:qFormat/>
    <w:uiPriority w:val="0"/>
    <w:rPr>
      <w:rFonts w:ascii="Cambria" w:hAnsi="Cambria"/>
      <w:b/>
      <w:bCs/>
      <w:color w:val="000000"/>
      <w:kern w:val="2"/>
      <w:sz w:val="21"/>
      <w:szCs w:val="21"/>
    </w:rPr>
  </w:style>
  <w:style w:type="paragraph" w:customStyle="1" w:styleId="168">
    <w:name w:val="标题4-dyf"/>
    <w:basedOn w:val="5"/>
    <w:link w:val="167"/>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169">
    <w:name w:val="style91"/>
    <w:qFormat/>
    <w:uiPriority w:val="0"/>
    <w:rPr>
      <w:color w:val="333333"/>
    </w:rPr>
  </w:style>
  <w:style w:type="character" w:customStyle="1" w:styleId="170">
    <w:name w:val="公文正文 Char"/>
    <w:qFormat/>
    <w:uiPriority w:val="0"/>
    <w:rPr>
      <w:rFonts w:ascii="仿宋_GB2312" w:eastAsia="仿宋_GB2312"/>
      <w:kern w:val="2"/>
      <w:sz w:val="24"/>
      <w:szCs w:val="24"/>
      <w:lang w:val="en-US" w:eastAsia="zh-CN" w:bidi="ar-SA"/>
    </w:rPr>
  </w:style>
  <w:style w:type="character" w:customStyle="1" w:styleId="171">
    <w:name w:val="正文 项目 Char"/>
    <w:qFormat/>
    <w:uiPriority w:val="0"/>
    <w:rPr>
      <w:rFonts w:ascii="仿宋_GB2312" w:hAnsi="仿宋_GB2312" w:eastAsia="仿宋_GB2312"/>
      <w:kern w:val="2"/>
      <w:sz w:val="24"/>
      <w:lang w:bidi="ar-SA"/>
    </w:rPr>
  </w:style>
  <w:style w:type="character" w:customStyle="1" w:styleId="172">
    <w:name w:val="f141"/>
    <w:qFormat/>
    <w:uiPriority w:val="0"/>
    <w:rPr>
      <w:rFonts w:ascii="Tahoma" w:hAnsi="Tahoma" w:eastAsia="宋体"/>
      <w:b/>
      <w:kern w:val="2"/>
      <w:sz w:val="21"/>
      <w:szCs w:val="21"/>
      <w:lang w:val="en-US" w:eastAsia="zh-CN" w:bidi="ar-SA"/>
    </w:rPr>
  </w:style>
  <w:style w:type="character" w:customStyle="1" w:styleId="173">
    <w:name w:val="No Spacing Char"/>
    <w:link w:val="174"/>
    <w:qFormat/>
    <w:uiPriority w:val="1"/>
    <w:rPr>
      <w:sz w:val="22"/>
      <w:szCs w:val="22"/>
      <w:lang w:val="en-US" w:eastAsia="zh-CN" w:bidi="ar-SA"/>
    </w:rPr>
  </w:style>
  <w:style w:type="paragraph" w:customStyle="1" w:styleId="174">
    <w:name w:val="无间隔1"/>
    <w:link w:val="173"/>
    <w:qFormat/>
    <w:uiPriority w:val="1"/>
    <w:rPr>
      <w:rFonts w:ascii="Times New Roman" w:hAnsi="Times New Roman" w:eastAsia="宋体" w:cs="Times New Roman"/>
      <w:sz w:val="22"/>
      <w:szCs w:val="22"/>
      <w:lang w:val="en-US" w:eastAsia="zh-CN" w:bidi="ar-SA"/>
    </w:rPr>
  </w:style>
  <w:style w:type="character" w:customStyle="1" w:styleId="175">
    <w:name w:val="Char Char17"/>
    <w:qFormat/>
    <w:uiPriority w:val="6"/>
    <w:rPr>
      <w:rFonts w:eastAsia="仿宋_GB2312"/>
      <w:sz w:val="24"/>
    </w:rPr>
  </w:style>
  <w:style w:type="character" w:customStyle="1" w:styleId="176">
    <w:name w:val="页眉 Char"/>
    <w:qFormat/>
    <w:uiPriority w:val="99"/>
    <w:rPr>
      <w:rFonts w:eastAsia="仿宋_GB2312"/>
      <w:kern w:val="2"/>
      <w:sz w:val="18"/>
      <w:lang w:val="en-US" w:eastAsia="zh-CN"/>
    </w:rPr>
  </w:style>
  <w:style w:type="character" w:customStyle="1" w:styleId="177">
    <w:name w:val="Header Char_d4b1c253-a30e-432c-adeb-63682d892f75"/>
    <w:qFormat/>
    <w:uiPriority w:val="0"/>
    <w:rPr>
      <w:rFonts w:eastAsia="宋体"/>
      <w:kern w:val="2"/>
      <w:sz w:val="18"/>
      <w:szCs w:val="18"/>
      <w:lang w:val="en-US" w:eastAsia="zh-CN" w:bidi="ar-SA"/>
    </w:rPr>
  </w:style>
  <w:style w:type="character" w:customStyle="1" w:styleId="178">
    <w:name w:val="标题 6 Char"/>
    <w:link w:val="7"/>
    <w:qFormat/>
    <w:uiPriority w:val="9"/>
    <w:rPr>
      <w:rFonts w:ascii="Arial" w:hAnsi="Arial" w:eastAsia="黑体"/>
      <w:b/>
      <w:bCs/>
      <w:kern w:val="2"/>
      <w:sz w:val="24"/>
      <w:szCs w:val="24"/>
    </w:rPr>
  </w:style>
  <w:style w:type="character" w:customStyle="1" w:styleId="179">
    <w:name w:val="Char Char18"/>
    <w:qFormat/>
    <w:uiPriority w:val="6"/>
    <w:rPr>
      <w:rFonts w:ascii="宋体" w:hAnsi="宋体"/>
      <w:sz w:val="28"/>
    </w:rPr>
  </w:style>
  <w:style w:type="character" w:customStyle="1" w:styleId="180">
    <w:name w:val="Char Char16"/>
    <w:qFormat/>
    <w:uiPriority w:val="6"/>
    <w:rPr>
      <w:kern w:val="1"/>
      <w:sz w:val="18"/>
      <w:szCs w:val="18"/>
    </w:rPr>
  </w:style>
  <w:style w:type="character" w:customStyle="1" w:styleId="181">
    <w:name w:val="标准正文格式 Char"/>
    <w:qFormat/>
    <w:uiPriority w:val="0"/>
    <w:rPr>
      <w:rFonts w:ascii="宋体" w:eastAsia="仿宋_GB2312" w:cs="宋体"/>
      <w:color w:val="000000"/>
      <w:sz w:val="24"/>
      <w:lang w:val="en-US" w:eastAsia="zh-CN" w:bidi="ar-SA"/>
    </w:rPr>
  </w:style>
  <w:style w:type="character" w:customStyle="1" w:styleId="182">
    <w:name w:val="标题 Char"/>
    <w:qFormat/>
    <w:uiPriority w:val="0"/>
    <w:rPr>
      <w:rFonts w:eastAsia="宋体"/>
      <w:b/>
      <w:sz w:val="24"/>
      <w:lang w:val="en-GB" w:eastAsia="zh-CN" w:bidi="ar-SA"/>
    </w:rPr>
  </w:style>
  <w:style w:type="character" w:customStyle="1" w:styleId="183">
    <w:name w:val="tw4winTerm"/>
    <w:qFormat/>
    <w:uiPriority w:val="0"/>
    <w:rPr>
      <w:color w:val="0000FF"/>
    </w:rPr>
  </w:style>
  <w:style w:type="character" w:customStyle="1" w:styleId="184">
    <w:name w:val="h3 Char"/>
    <w:qFormat/>
    <w:uiPriority w:val="0"/>
    <w:rPr>
      <w:rFonts w:eastAsia="宋体"/>
      <w:b/>
      <w:kern w:val="2"/>
      <w:sz w:val="32"/>
      <w:lang w:val="en-US" w:eastAsia="zh-CN" w:bidi="ar-SA"/>
    </w:rPr>
  </w:style>
  <w:style w:type="character" w:customStyle="1" w:styleId="185">
    <w:name w:val="Balloon Text Char"/>
    <w:qFormat/>
    <w:uiPriority w:val="0"/>
    <w:rPr>
      <w:rFonts w:eastAsia="宋体"/>
      <w:kern w:val="2"/>
      <w:sz w:val="18"/>
      <w:szCs w:val="18"/>
      <w:lang w:val="en-US" w:eastAsia="zh-CN" w:bidi="ar-SA"/>
    </w:rPr>
  </w:style>
  <w:style w:type="character" w:customStyle="1" w:styleId="186">
    <w:name w:val="unnamed11"/>
    <w:qFormat/>
    <w:uiPriority w:val="0"/>
    <w:rPr>
      <w:sz w:val="20"/>
      <w:szCs w:val="20"/>
    </w:rPr>
  </w:style>
  <w:style w:type="character" w:customStyle="1" w:styleId="187">
    <w:name w:val="样式 正文缩进 + 首行缩进:  2 字符 Char Char"/>
    <w:link w:val="188"/>
    <w:qFormat/>
    <w:uiPriority w:val="0"/>
    <w:rPr>
      <w:rFonts w:ascii="Arial" w:hAnsi="Arial" w:eastAsia="黑体" w:cs="宋体"/>
      <w:snapToGrid w:val="0"/>
      <w:kern w:val="2"/>
      <w:sz w:val="24"/>
      <w:szCs w:val="21"/>
    </w:rPr>
  </w:style>
  <w:style w:type="paragraph" w:customStyle="1" w:styleId="188">
    <w:name w:val="样式 正文缩进 + 首行缩进:  2 字符"/>
    <w:basedOn w:val="13"/>
    <w:link w:val="187"/>
    <w:qFormat/>
    <w:uiPriority w:val="0"/>
    <w:pPr>
      <w:widowControl w:val="0"/>
      <w:adjustRightInd/>
      <w:snapToGrid/>
      <w:spacing w:line="360" w:lineRule="auto"/>
      <w:ind w:firstLine="200" w:firstLineChars="200"/>
    </w:pPr>
    <w:rPr>
      <w:rFonts w:ascii="Arial" w:hAnsi="Arial" w:eastAsia="黑体"/>
      <w:color w:val="auto"/>
      <w:kern w:val="2"/>
      <w:sz w:val="24"/>
      <w:szCs w:val="21"/>
    </w:rPr>
  </w:style>
  <w:style w:type="character" w:customStyle="1" w:styleId="189">
    <w:name w:val="带编号样式 Char"/>
    <w:qFormat/>
    <w:uiPriority w:val="0"/>
    <w:rPr>
      <w:rFonts w:ascii="仿宋_GB2312" w:eastAsia="仿宋_GB2312"/>
      <w:color w:val="000000"/>
      <w:sz w:val="24"/>
      <w:lang w:bidi="ar-SA"/>
    </w:rPr>
  </w:style>
  <w:style w:type="character" w:customStyle="1" w:styleId="190">
    <w:name w:val="Footer-Even Char"/>
    <w:qFormat/>
    <w:uiPriority w:val="0"/>
    <w:rPr>
      <w:rFonts w:eastAsia="宋体"/>
      <w:kern w:val="2"/>
      <w:sz w:val="18"/>
      <w:lang w:val="en-US" w:eastAsia="zh-CN" w:bidi="ar-SA"/>
    </w:rPr>
  </w:style>
  <w:style w:type="character" w:customStyle="1" w:styleId="191">
    <w:name w:val="标题 5 Char"/>
    <w:link w:val="6"/>
    <w:qFormat/>
    <w:uiPriority w:val="9"/>
    <w:rPr>
      <w:b/>
      <w:bCs/>
      <w:kern w:val="2"/>
      <w:sz w:val="28"/>
      <w:szCs w:val="28"/>
    </w:rPr>
  </w:style>
  <w:style w:type="character" w:customStyle="1" w:styleId="192">
    <w:name w:val="Char Char31"/>
    <w:qFormat/>
    <w:uiPriority w:val="6"/>
    <w:rPr>
      <w:rFonts w:ascii="Arial" w:hAnsi="Arial" w:eastAsia="黑体"/>
      <w:kern w:val="1"/>
      <w:sz w:val="24"/>
      <w:szCs w:val="24"/>
    </w:rPr>
  </w:style>
  <w:style w:type="character" w:customStyle="1" w:styleId="193">
    <w:name w:val="链接"/>
    <w:qFormat/>
    <w:uiPriority w:val="0"/>
    <w:rPr>
      <w:color w:val="0000FF"/>
      <w:sz w:val="21"/>
      <w:szCs w:val="21"/>
      <w:u w:val="single"/>
    </w:rPr>
  </w:style>
  <w:style w:type="character" w:customStyle="1" w:styleId="194">
    <w:name w:val="style36"/>
    <w:basedOn w:val="51"/>
    <w:qFormat/>
    <w:uiPriority w:val="0"/>
  </w:style>
  <w:style w:type="character" w:customStyle="1" w:styleId="195">
    <w:name w:val="标题 4 Char1"/>
    <w:qFormat/>
    <w:uiPriority w:val="9"/>
    <w:rPr>
      <w:rFonts w:ascii="Cambria" w:hAnsi="Cambria" w:eastAsia="宋体" w:cs="Times New Roman"/>
      <w:b/>
      <w:bCs/>
      <w:kern w:val="2"/>
      <w:sz w:val="28"/>
      <w:szCs w:val="28"/>
    </w:rPr>
  </w:style>
  <w:style w:type="character" w:customStyle="1" w:styleId="196">
    <w:name w:val="标题 8 Char"/>
    <w:link w:val="9"/>
    <w:qFormat/>
    <w:uiPriority w:val="9"/>
    <w:rPr>
      <w:rFonts w:ascii="Arial" w:hAnsi="Arial" w:eastAsia="黑体"/>
      <w:kern w:val="2"/>
      <w:sz w:val="24"/>
      <w:szCs w:val="24"/>
    </w:rPr>
  </w:style>
  <w:style w:type="character" w:customStyle="1" w:styleId="197">
    <w:name w:val="首行缩进 Char"/>
    <w:qFormat/>
    <w:uiPriority w:val="0"/>
    <w:rPr>
      <w:rFonts w:ascii="宋体" w:eastAsia="宋体"/>
      <w:kern w:val="2"/>
      <w:sz w:val="24"/>
      <w:lang w:val="en-US" w:eastAsia="zh-CN" w:bidi="ar-SA"/>
    </w:rPr>
  </w:style>
  <w:style w:type="character" w:customStyle="1" w:styleId="198">
    <w:name w:val="unnamed31"/>
    <w:qFormat/>
    <w:uiPriority w:val="0"/>
    <w:rPr>
      <w:rFonts w:ascii="Tahoma" w:hAnsi="Tahoma" w:eastAsia="宋体"/>
      <w:b/>
      <w:kern w:val="2"/>
      <w:sz w:val="24"/>
      <w:szCs w:val="32"/>
      <w:u w:val="none"/>
      <w:lang w:val="en-US" w:eastAsia="zh-CN" w:bidi="ar-SA"/>
    </w:rPr>
  </w:style>
  <w:style w:type="character" w:customStyle="1" w:styleId="199">
    <w:name w:val="dandyren_title1"/>
    <w:qFormat/>
    <w:uiPriority w:val="0"/>
    <w:rPr>
      <w:b/>
      <w:bCs/>
      <w:color w:val="FF6633"/>
      <w:sz w:val="18"/>
      <w:szCs w:val="18"/>
    </w:rPr>
  </w:style>
  <w:style w:type="character" w:customStyle="1" w:styleId="200">
    <w:name w:val="Char Char61"/>
    <w:qFormat/>
    <w:uiPriority w:val="6"/>
    <w:rPr>
      <w:rFonts w:eastAsia="宋体"/>
      <w:kern w:val="2"/>
      <w:sz w:val="21"/>
      <w:szCs w:val="24"/>
      <w:lang w:val="en-US" w:eastAsia="zh-CN" w:bidi="ar-SA"/>
    </w:rPr>
  </w:style>
  <w:style w:type="character" w:customStyle="1" w:styleId="201">
    <w:name w:val="方案正文 Char"/>
    <w:qFormat/>
    <w:uiPriority w:val="0"/>
    <w:rPr>
      <w:rFonts w:ascii="仿宋_GB2312" w:eastAsia="仿宋_GB2312"/>
      <w:b/>
      <w:color w:val="000000"/>
      <w:kern w:val="2"/>
      <w:sz w:val="24"/>
      <w:lang w:val="en-US" w:eastAsia="zh-CN" w:bidi="ar-SA"/>
    </w:rPr>
  </w:style>
  <w:style w:type="character" w:customStyle="1" w:styleId="202">
    <w:name w:val="文本正文 Char Char"/>
    <w:qFormat/>
    <w:uiPriority w:val="0"/>
    <w:rPr>
      <w:sz w:val="24"/>
      <w:lang w:bidi="ar-SA"/>
    </w:rPr>
  </w:style>
  <w:style w:type="character" w:customStyle="1" w:styleId="203">
    <w:name w:val="DO_NOT_TRANSLATE"/>
    <w:qFormat/>
    <w:uiPriority w:val="0"/>
    <w:rPr>
      <w:rFonts w:ascii="Courier New" w:hAnsi="Courier New" w:cs="Courier New"/>
      <w:color w:val="800000"/>
      <w:lang w:val="en-US" w:eastAsia="zh-CN"/>
    </w:rPr>
  </w:style>
  <w:style w:type="character" w:customStyle="1" w:styleId="204">
    <w:name w:val="hui"/>
    <w:basedOn w:val="51"/>
    <w:qFormat/>
    <w:uiPriority w:val="0"/>
  </w:style>
  <w:style w:type="character" w:customStyle="1" w:styleId="205">
    <w:name w:val="Heading 1 Char_39036d89-f680-4e07-9d9e-aef03a1fa893"/>
    <w:qFormat/>
    <w:uiPriority w:val="6"/>
    <w:rPr>
      <w:rFonts w:ascii="Times New Roman" w:hAnsi="Times New Roman" w:eastAsia="黑体" w:cs="Times New Roman"/>
      <w:b/>
      <w:kern w:val="0"/>
      <w:sz w:val="24"/>
      <w:szCs w:val="24"/>
    </w:rPr>
  </w:style>
  <w:style w:type="character" w:customStyle="1" w:styleId="206">
    <w:name w:val="gray6"/>
    <w:basedOn w:val="51"/>
    <w:qFormat/>
    <w:uiPriority w:val="0"/>
  </w:style>
  <w:style w:type="character" w:customStyle="1" w:styleId="207">
    <w:name w:val="font12gray1"/>
    <w:qFormat/>
    <w:uiPriority w:val="0"/>
    <w:rPr>
      <w:rFonts w:ascii="仿宋_GB2312" w:eastAsia="微软雅黑"/>
      <w:b/>
      <w:spacing w:val="300"/>
      <w:kern w:val="2"/>
      <w:sz w:val="18"/>
      <w:szCs w:val="18"/>
      <w:lang w:val="en-US" w:eastAsia="zh-CN" w:bidi="ar-SA"/>
    </w:rPr>
  </w:style>
  <w:style w:type="character" w:customStyle="1" w:styleId="208">
    <w:name w:val="正文文本缩进 Char"/>
    <w:link w:val="21"/>
    <w:qFormat/>
    <w:uiPriority w:val="99"/>
    <w:rPr>
      <w:rFonts w:ascii="宋体" w:hAnsi="宋体"/>
      <w:kern w:val="2"/>
      <w:sz w:val="24"/>
      <w:szCs w:val="24"/>
    </w:rPr>
  </w:style>
  <w:style w:type="character" w:customStyle="1" w:styleId="209">
    <w:name w:val="apple-converted-space"/>
    <w:qFormat/>
    <w:uiPriority w:val="0"/>
  </w:style>
  <w:style w:type="character" w:customStyle="1" w:styleId="210">
    <w:name w:val="Char Char211"/>
    <w:qFormat/>
    <w:uiPriority w:val="0"/>
    <w:rPr>
      <w:rFonts w:eastAsia="宋体"/>
      <w:b/>
      <w:bCs/>
      <w:kern w:val="2"/>
      <w:sz w:val="21"/>
      <w:szCs w:val="24"/>
      <w:lang w:val="en-US" w:eastAsia="zh-CN" w:bidi="ar-SA"/>
    </w:rPr>
  </w:style>
  <w:style w:type="character" w:customStyle="1" w:styleId="211">
    <w:name w:val="标书表格字体格式 Char"/>
    <w:qFormat/>
    <w:uiPriority w:val="0"/>
    <w:rPr>
      <w:kern w:val="2"/>
      <w:sz w:val="21"/>
      <w:szCs w:val="24"/>
      <w:lang w:bidi="ar-SA"/>
    </w:rPr>
  </w:style>
  <w:style w:type="character" w:customStyle="1" w:styleId="212">
    <w:name w:val="正文1 Char1"/>
    <w:qFormat/>
    <w:uiPriority w:val="0"/>
    <w:rPr>
      <w:rFonts w:ascii="仿宋_GB2312" w:hAnsi="Courier New" w:eastAsia="仿宋_GB2312"/>
      <w:kern w:val="28"/>
      <w:sz w:val="24"/>
      <w:szCs w:val="24"/>
      <w:lang w:val="en-US" w:eastAsia="zh-CN"/>
    </w:rPr>
  </w:style>
  <w:style w:type="character" w:customStyle="1" w:styleId="213">
    <w:name w:val="h Char Char1"/>
    <w:qFormat/>
    <w:uiPriority w:val="0"/>
    <w:rPr>
      <w:rFonts w:eastAsia="宋体"/>
      <w:kern w:val="2"/>
      <w:sz w:val="18"/>
      <w:szCs w:val="18"/>
      <w:lang w:val="en-US" w:eastAsia="zh-CN" w:bidi="ar-SA"/>
    </w:rPr>
  </w:style>
  <w:style w:type="character" w:customStyle="1" w:styleId="214">
    <w:name w:val="表格 Char Char"/>
    <w:qFormat/>
    <w:uiPriority w:val="0"/>
    <w:rPr>
      <w:rFonts w:ascii="宋体" w:hAnsi="宋体" w:eastAsia="宋体"/>
      <w:lang w:bidi="ar-SA"/>
    </w:rPr>
  </w:style>
  <w:style w:type="character" w:customStyle="1" w:styleId="215">
    <w:name w:val="highlight1"/>
    <w:qFormat/>
    <w:uiPriority w:val="0"/>
    <w:rPr>
      <w:rFonts w:ascii="仿宋_GB2312" w:eastAsia="微软雅黑"/>
      <w:b/>
      <w:kern w:val="2"/>
      <w:sz w:val="23"/>
      <w:szCs w:val="23"/>
      <w:lang w:val="en-US" w:eastAsia="zh-CN" w:bidi="ar-SA"/>
    </w:rPr>
  </w:style>
  <w:style w:type="character" w:customStyle="1" w:styleId="216">
    <w:name w:val="标题 2 Char"/>
    <w:qFormat/>
    <w:uiPriority w:val="0"/>
    <w:rPr>
      <w:rFonts w:ascii="Arial" w:hAnsi="Arial" w:eastAsia="黑体"/>
      <w:b/>
      <w:kern w:val="2"/>
      <w:sz w:val="32"/>
      <w:lang w:val="en-US" w:eastAsia="zh-CN"/>
    </w:rPr>
  </w:style>
  <w:style w:type="character" w:customStyle="1" w:styleId="217">
    <w:name w:val="Char Char91"/>
    <w:qFormat/>
    <w:uiPriority w:val="0"/>
    <w:rPr>
      <w:rFonts w:eastAsia="宋体"/>
      <w:kern w:val="2"/>
      <w:sz w:val="18"/>
      <w:szCs w:val="18"/>
      <w:lang w:val="en-US" w:eastAsia="zh-CN" w:bidi="ar-SA"/>
    </w:rPr>
  </w:style>
  <w:style w:type="character" w:customStyle="1" w:styleId="218">
    <w:name w:val="Char Char4"/>
    <w:qFormat/>
    <w:uiPriority w:val="0"/>
    <w:rPr>
      <w:rFonts w:eastAsia="宋体"/>
      <w:b/>
      <w:sz w:val="24"/>
      <w:lang w:val="en-GB" w:eastAsia="zh-CN" w:bidi="ar-SA"/>
    </w:rPr>
  </w:style>
  <w:style w:type="character" w:customStyle="1" w:styleId="219">
    <w:name w:val="页脚 Char"/>
    <w:qFormat/>
    <w:uiPriority w:val="99"/>
    <w:rPr>
      <w:rFonts w:eastAsia="仿宋_GB2312"/>
      <w:kern w:val="2"/>
      <w:sz w:val="18"/>
      <w:lang w:val="en-US" w:eastAsia="zh-CN"/>
    </w:rPr>
  </w:style>
  <w:style w:type="character" w:customStyle="1" w:styleId="220">
    <w:name w:val="样式7 Char"/>
    <w:qFormat/>
    <w:uiPriority w:val="0"/>
    <w:rPr>
      <w:rFonts w:ascii="仿宋_GB2312" w:hAnsi="仿宋" w:eastAsia="仿宋_GB2312"/>
      <w:b/>
      <w:kern w:val="2"/>
      <w:sz w:val="24"/>
      <w:szCs w:val="24"/>
    </w:rPr>
  </w:style>
  <w:style w:type="character" w:customStyle="1" w:styleId="221">
    <w:name w:val="批注主题 Char1"/>
    <w:link w:val="48"/>
    <w:qFormat/>
    <w:uiPriority w:val="6"/>
    <w:rPr>
      <w:rFonts w:ascii="Times New Roman" w:hAnsi="Times New Roman" w:eastAsia="宋体" w:cs="Times New Roman"/>
      <w:b/>
      <w:bCs/>
      <w:snapToGrid w:val="0"/>
      <w:kern w:val="2"/>
      <w:sz w:val="21"/>
      <w:szCs w:val="24"/>
    </w:rPr>
  </w:style>
  <w:style w:type="character" w:customStyle="1" w:styleId="222">
    <w:name w:val="Char Char81"/>
    <w:qFormat/>
    <w:uiPriority w:val="0"/>
    <w:rPr>
      <w:rFonts w:eastAsia="宋体"/>
      <w:b/>
      <w:sz w:val="24"/>
      <w:lang w:val="en-GB" w:eastAsia="zh-CN"/>
    </w:rPr>
  </w:style>
  <w:style w:type="character" w:customStyle="1" w:styleId="223">
    <w:name w:val="批注主题 Char"/>
    <w:qFormat/>
    <w:uiPriority w:val="99"/>
    <w:rPr>
      <w:rFonts w:eastAsia="宋体"/>
      <w:b/>
      <w:bCs/>
      <w:kern w:val="2"/>
      <w:sz w:val="21"/>
      <w:szCs w:val="24"/>
      <w:lang w:val="en-US" w:eastAsia="zh-CN" w:bidi="ar-SA"/>
    </w:rPr>
  </w:style>
  <w:style w:type="character" w:customStyle="1" w:styleId="224">
    <w:name w:val="纯文本 Char1"/>
    <w:link w:val="225"/>
    <w:qFormat/>
    <w:uiPriority w:val="0"/>
    <w:rPr>
      <w:rFonts w:ascii="宋体" w:hAnsi="宋体" w:cs="Courier New"/>
      <w:color w:val="000000"/>
      <w:kern w:val="1"/>
      <w:sz w:val="21"/>
    </w:rPr>
  </w:style>
  <w:style w:type="paragraph" w:customStyle="1" w:styleId="225">
    <w:name w:val="纯文本1"/>
    <w:basedOn w:val="1"/>
    <w:link w:val="224"/>
    <w:qFormat/>
    <w:uiPriority w:val="0"/>
    <w:pPr>
      <w:adjustRightInd/>
    </w:pPr>
    <w:rPr>
      <w:rFonts w:ascii="宋体" w:hAnsi="宋体"/>
      <w:color w:val="000000"/>
      <w:kern w:val="1"/>
      <w:szCs w:val="20"/>
    </w:rPr>
  </w:style>
  <w:style w:type="character" w:customStyle="1" w:styleId="226">
    <w:name w:val="Char Char2"/>
    <w:qFormat/>
    <w:uiPriority w:val="6"/>
    <w:rPr>
      <w:rFonts w:eastAsia="宋体"/>
      <w:b/>
      <w:bCs/>
      <w:kern w:val="2"/>
      <w:sz w:val="21"/>
      <w:szCs w:val="24"/>
      <w:lang w:val="en-US" w:eastAsia="zh-CN" w:bidi="ar-SA"/>
    </w:rPr>
  </w:style>
  <w:style w:type="character" w:customStyle="1" w:styleId="227">
    <w:name w:val="正文文本缩进 2 Char"/>
    <w:link w:val="31"/>
    <w:qFormat/>
    <w:uiPriority w:val="0"/>
    <w:rPr>
      <w:rFonts w:ascii="宋体"/>
      <w:sz w:val="28"/>
    </w:rPr>
  </w:style>
  <w:style w:type="character" w:customStyle="1" w:styleId="228">
    <w:name w:val="标题 3 Char2"/>
    <w:qFormat/>
    <w:uiPriority w:val="0"/>
    <w:rPr>
      <w:rFonts w:eastAsia="宋体"/>
      <w:b/>
      <w:bCs/>
      <w:kern w:val="2"/>
      <w:sz w:val="32"/>
      <w:szCs w:val="32"/>
      <w:lang w:val="en-US" w:eastAsia="zh-CN" w:bidi="ar-SA"/>
    </w:rPr>
  </w:style>
  <w:style w:type="character" w:customStyle="1" w:styleId="229">
    <w:name w:val="样式5 Char"/>
    <w:qFormat/>
    <w:uiPriority w:val="0"/>
    <w:rPr>
      <w:rFonts w:ascii="仿宋_GB2312" w:hAnsi="仿宋" w:eastAsia="仿宋_GB2312"/>
      <w:kern w:val="2"/>
      <w:sz w:val="24"/>
      <w:szCs w:val="24"/>
    </w:rPr>
  </w:style>
  <w:style w:type="character" w:customStyle="1" w:styleId="230">
    <w:name w:val="Char Char11"/>
    <w:qFormat/>
    <w:uiPriority w:val="0"/>
    <w:rPr>
      <w:rFonts w:ascii="宋体" w:hAnsi="宋体" w:eastAsia="宋体"/>
      <w:b/>
      <w:kern w:val="2"/>
      <w:sz w:val="24"/>
      <w:szCs w:val="24"/>
      <w:lang w:val="en-US" w:eastAsia="zh-CN" w:bidi="ar-SA"/>
    </w:rPr>
  </w:style>
  <w:style w:type="character" w:customStyle="1" w:styleId="231">
    <w:name w:val="Char Char7"/>
    <w:qFormat/>
    <w:uiPriority w:val="6"/>
    <w:rPr>
      <w:rFonts w:eastAsia="宋体"/>
      <w:kern w:val="2"/>
      <w:sz w:val="21"/>
      <w:szCs w:val="24"/>
      <w:lang w:val="en-US" w:eastAsia="zh-CN" w:bidi="ar-SA"/>
    </w:rPr>
  </w:style>
  <w:style w:type="character" w:customStyle="1" w:styleId="232">
    <w:name w:val="Body Text(ch) Char Char"/>
    <w:qFormat/>
    <w:uiPriority w:val="0"/>
    <w:rPr>
      <w:rFonts w:ascii="宋体"/>
      <w:kern w:val="2"/>
      <w:sz w:val="24"/>
      <w:szCs w:val="21"/>
      <w:lang w:val="zh-CN"/>
    </w:rPr>
  </w:style>
  <w:style w:type="character" w:customStyle="1" w:styleId="233">
    <w:name w:val="Footer Char_f5b9630e-b41e-4b5d-8a12-31c7e071b29f"/>
    <w:qFormat/>
    <w:uiPriority w:val="0"/>
    <w:rPr>
      <w:rFonts w:eastAsia="宋体"/>
      <w:kern w:val="2"/>
      <w:sz w:val="18"/>
      <w:lang w:val="en-US" w:eastAsia="zh-CN" w:bidi="ar-SA"/>
    </w:rPr>
  </w:style>
  <w:style w:type="character" w:customStyle="1" w:styleId="234">
    <w:name w:val="标书正文格式 Char"/>
    <w:qFormat/>
    <w:uiPriority w:val="0"/>
    <w:rPr>
      <w:rFonts w:eastAsia="楷体_GB2312"/>
      <w:kern w:val="2"/>
      <w:sz w:val="24"/>
      <w:szCs w:val="24"/>
      <w:lang w:bidi="ar-SA"/>
    </w:rPr>
  </w:style>
  <w:style w:type="character" w:customStyle="1" w:styleId="235">
    <w:name w:val="message1"/>
    <w:qFormat/>
    <w:uiPriority w:val="0"/>
    <w:rPr>
      <w:rFonts w:hint="default" w:ascii="Tahoma" w:hAnsi="Tahoma" w:cs="Tahoma"/>
      <w:sz w:val="18"/>
      <w:szCs w:val="18"/>
    </w:rPr>
  </w:style>
  <w:style w:type="character" w:customStyle="1" w:styleId="236">
    <w:name w:val="myp11"/>
    <w:qFormat/>
    <w:uiPriority w:val="0"/>
    <w:rPr>
      <w:rFonts w:ascii="仿宋_GB2312" w:eastAsia="微软雅黑"/>
      <w:b/>
      <w:kern w:val="2"/>
      <w:sz w:val="32"/>
      <w:szCs w:val="32"/>
      <w:lang w:val="en-US" w:eastAsia="zh-CN" w:bidi="ar-SA"/>
    </w:rPr>
  </w:style>
  <w:style w:type="character" w:customStyle="1" w:styleId="237">
    <w:name w:val="pt141"/>
    <w:qFormat/>
    <w:uiPriority w:val="0"/>
    <w:rPr>
      <w:color w:val="330066"/>
      <w:sz w:val="22"/>
      <w:szCs w:val="22"/>
    </w:rPr>
  </w:style>
  <w:style w:type="character" w:customStyle="1" w:styleId="238">
    <w:name w:val="Char Char101"/>
    <w:qFormat/>
    <w:uiPriority w:val="6"/>
    <w:rPr>
      <w:rFonts w:ascii="宋体" w:hAnsi="宋体"/>
      <w:kern w:val="2"/>
      <w:sz w:val="21"/>
      <w:szCs w:val="24"/>
      <w:lang w:val="en-US" w:eastAsia="zh-CN"/>
    </w:rPr>
  </w:style>
  <w:style w:type="character" w:customStyle="1" w:styleId="239">
    <w:name w:val="txt"/>
    <w:qFormat/>
    <w:uiPriority w:val="0"/>
    <w:rPr>
      <w:rFonts w:ascii="仿宋_GB2312" w:eastAsia="微软雅黑"/>
      <w:b/>
      <w:kern w:val="2"/>
      <w:sz w:val="32"/>
      <w:szCs w:val="32"/>
      <w:lang w:val="en-US" w:eastAsia="zh-CN" w:bidi="ar-SA"/>
    </w:rPr>
  </w:style>
  <w:style w:type="character" w:customStyle="1" w:styleId="240">
    <w:name w:val="正文文本 2 Char1"/>
    <w:link w:val="44"/>
    <w:qFormat/>
    <w:uiPriority w:val="6"/>
    <w:rPr>
      <w:rFonts w:ascii="Arial" w:hAnsi="Arial" w:eastAsia="黑体" w:cs="Arial"/>
      <w:snapToGrid w:val="0"/>
      <w:kern w:val="2"/>
      <w:sz w:val="21"/>
      <w:szCs w:val="24"/>
    </w:rPr>
  </w:style>
  <w:style w:type="character" w:customStyle="1" w:styleId="241">
    <w:name w:val="solutionfonts"/>
    <w:qFormat/>
    <w:uiPriority w:val="0"/>
  </w:style>
  <w:style w:type="character" w:customStyle="1" w:styleId="242">
    <w:name w:val="ca-131"/>
    <w:qFormat/>
    <w:uiPriority w:val="0"/>
    <w:rPr>
      <w:rFonts w:hint="eastAsia" w:ascii="仿宋_GB2312" w:eastAsia="仿宋_GB2312"/>
      <w:b/>
      <w:bCs/>
      <w:color w:val="000000"/>
      <w:spacing w:val="-20"/>
      <w:sz w:val="24"/>
      <w:szCs w:val="24"/>
    </w:rPr>
  </w:style>
  <w:style w:type="character" w:customStyle="1" w:styleId="243">
    <w:name w:val="标题 2 Char Char"/>
    <w:qFormat/>
    <w:uiPriority w:val="0"/>
    <w:rPr>
      <w:rFonts w:ascii="楷体_GB2312" w:hAnsi="Arial" w:eastAsia="楷体_GB2312"/>
      <w:b/>
      <w:bCs/>
      <w:kern w:val="2"/>
      <w:sz w:val="24"/>
      <w:szCs w:val="32"/>
      <w:lang w:val="en-US" w:eastAsia="zh-CN" w:bidi="ar-SA"/>
    </w:rPr>
  </w:style>
  <w:style w:type="character" w:customStyle="1" w:styleId="244">
    <w:name w:val="正文文本 Char"/>
    <w:qFormat/>
    <w:uiPriority w:val="0"/>
    <w:rPr>
      <w:rFonts w:eastAsia="宋体"/>
      <w:kern w:val="2"/>
      <w:sz w:val="24"/>
      <w:szCs w:val="24"/>
      <w:lang w:val="en-US" w:eastAsia="zh-CN" w:bidi="ar-SA"/>
    </w:rPr>
  </w:style>
  <w:style w:type="character" w:customStyle="1" w:styleId="245">
    <w:name w:val="Char Char10"/>
    <w:qFormat/>
    <w:uiPriority w:val="6"/>
    <w:rPr>
      <w:rFonts w:ascii="宋体" w:hAnsi="宋体"/>
      <w:kern w:val="2"/>
      <w:sz w:val="21"/>
      <w:szCs w:val="24"/>
      <w:lang w:val="en-US" w:eastAsia="zh-CN"/>
    </w:rPr>
  </w:style>
  <w:style w:type="character" w:customStyle="1" w:styleId="246">
    <w:name w:val="blue1"/>
    <w:basedOn w:val="51"/>
    <w:qFormat/>
    <w:uiPriority w:val="0"/>
  </w:style>
  <w:style w:type="character" w:customStyle="1" w:styleId="247">
    <w:name w:val="large1"/>
    <w:qFormat/>
    <w:uiPriority w:val="0"/>
    <w:rPr>
      <w:rFonts w:hint="eastAsia" w:ascii="宋体" w:hAnsi="宋体" w:eastAsia="宋体"/>
      <w:sz w:val="21"/>
      <w:szCs w:val="21"/>
    </w:rPr>
  </w:style>
  <w:style w:type="character" w:customStyle="1" w:styleId="248">
    <w:name w:val="tw4winPopup"/>
    <w:qFormat/>
    <w:uiPriority w:val="0"/>
    <w:rPr>
      <w:rFonts w:ascii="Courier New" w:hAnsi="Courier New" w:cs="Courier New"/>
      <w:color w:val="008000"/>
      <w:lang w:val="en-US" w:eastAsia="zh-CN"/>
    </w:rPr>
  </w:style>
  <w:style w:type="character" w:customStyle="1" w:styleId="249">
    <w:name w:val="tw4winExternal"/>
    <w:qFormat/>
    <w:uiPriority w:val="0"/>
    <w:rPr>
      <w:rFonts w:ascii="Courier New" w:hAnsi="Courier New" w:cs="Courier New"/>
      <w:color w:val="808080"/>
      <w:lang w:val="en-US" w:eastAsia="zh-CN"/>
    </w:rPr>
  </w:style>
  <w:style w:type="character" w:customStyle="1" w:styleId="250">
    <w:name w:val="表格名称{858D7CFB-ED40-4347-BF05-701D383B685F}"/>
    <w:link w:val="251"/>
    <w:qFormat/>
    <w:uiPriority w:val="0"/>
    <w:rPr>
      <w:sz w:val="32"/>
    </w:rPr>
  </w:style>
  <w:style w:type="paragraph" w:customStyle="1" w:styleId="251">
    <w:name w:val="表格名称"/>
    <w:basedOn w:val="2"/>
    <w:link w:val="250"/>
    <w:qFormat/>
    <w:uiPriority w:val="0"/>
    <w:pPr>
      <w:snapToGrid w:val="0"/>
      <w:spacing w:before="240" w:after="240" w:line="240" w:lineRule="auto"/>
      <w:ind w:left="0" w:firstLine="0"/>
      <w:jc w:val="center"/>
    </w:pPr>
    <w:rPr>
      <w:rFonts w:ascii="Times New Roman" w:hAnsi="Times New Roman" w:eastAsia="宋体"/>
      <w:b w:val="0"/>
      <w:bCs w:val="0"/>
      <w:kern w:val="0"/>
      <w:szCs w:val="20"/>
    </w:rPr>
  </w:style>
  <w:style w:type="character" w:customStyle="1" w:styleId="252">
    <w:name w:val="Char Char3"/>
    <w:qFormat/>
    <w:uiPriority w:val="0"/>
    <w:rPr>
      <w:rFonts w:ascii="Times New Roman" w:hAnsi="Times New Roman" w:eastAsia="宋体" w:cs="Times New Roman"/>
      <w:b/>
      <w:kern w:val="2"/>
      <w:sz w:val="32"/>
      <w:szCs w:val="24"/>
      <w:lang w:val="en-US" w:eastAsia="zh-CN" w:bidi="ar-SA"/>
    </w:rPr>
  </w:style>
  <w:style w:type="character" w:customStyle="1" w:styleId="253">
    <w:name w:val="Char Char35"/>
    <w:qFormat/>
    <w:uiPriority w:val="6"/>
    <w:rPr>
      <w:rFonts w:ascii="Arial" w:hAnsi="Arial" w:eastAsia="黑体"/>
      <w:b/>
      <w:kern w:val="1"/>
      <w:sz w:val="28"/>
      <w:szCs w:val="28"/>
      <w:lang w:val="zh-CN"/>
    </w:rPr>
  </w:style>
  <w:style w:type="character" w:customStyle="1" w:styleId="254">
    <w:name w:val="h3 Char1"/>
    <w:qFormat/>
    <w:uiPriority w:val="0"/>
    <w:rPr>
      <w:rFonts w:eastAsia="宋体"/>
      <w:b/>
      <w:bCs/>
      <w:kern w:val="2"/>
      <w:sz w:val="32"/>
      <w:szCs w:val="32"/>
      <w:lang w:bidi="ar-SA"/>
    </w:rPr>
  </w:style>
  <w:style w:type="character" w:customStyle="1" w:styleId="255">
    <w:name w:val="正文说明 Char"/>
    <w:link w:val="256"/>
    <w:qFormat/>
    <w:uiPriority w:val="0"/>
    <w:rPr>
      <w:sz w:val="24"/>
      <w:szCs w:val="24"/>
    </w:rPr>
  </w:style>
  <w:style w:type="paragraph" w:customStyle="1" w:styleId="256">
    <w:name w:val="正文说明"/>
    <w:basedOn w:val="1"/>
    <w:link w:val="255"/>
    <w:qFormat/>
    <w:uiPriority w:val="0"/>
    <w:pPr>
      <w:adjustRightInd/>
      <w:spacing w:line="360" w:lineRule="auto"/>
    </w:pPr>
    <w:rPr>
      <w:kern w:val="0"/>
      <w:sz w:val="24"/>
    </w:rPr>
  </w:style>
  <w:style w:type="character" w:customStyle="1" w:styleId="257">
    <w:name w:val="正文 编号 Char"/>
    <w:qFormat/>
    <w:uiPriority w:val="0"/>
    <w:rPr>
      <w:rFonts w:ascii="仿宋_GB2312" w:hAnsi="仿宋_GB2312" w:eastAsia="仿宋_GB2312"/>
      <w:kern w:val="2"/>
      <w:sz w:val="24"/>
      <w:lang w:bidi="ar-SA"/>
    </w:rPr>
  </w:style>
  <w:style w:type="character" w:customStyle="1" w:styleId="258">
    <w:name w:val="页眉 Char1"/>
    <w:qFormat/>
    <w:uiPriority w:val="0"/>
    <w:rPr>
      <w:rFonts w:eastAsia="宋体"/>
      <w:kern w:val="2"/>
      <w:sz w:val="18"/>
      <w:szCs w:val="18"/>
      <w:lang w:val="en-US" w:eastAsia="zh-CN" w:bidi="ar-SA"/>
    </w:rPr>
  </w:style>
  <w:style w:type="character" w:customStyle="1" w:styleId="259">
    <w:name w:val="Heading 7 Char_169951a3-d084-4db9-9457-6a2755c5cefd"/>
    <w:qFormat/>
    <w:uiPriority w:val="0"/>
    <w:rPr>
      <w:rFonts w:ascii="宋体" w:hAnsi="宋体" w:eastAsia="宋体"/>
      <w:b/>
      <w:bCs/>
      <w:kern w:val="2"/>
      <w:sz w:val="24"/>
      <w:szCs w:val="24"/>
      <w:lang w:val="en-US" w:eastAsia="zh-CN" w:bidi="ar-SA"/>
    </w:rPr>
  </w:style>
  <w:style w:type="character" w:customStyle="1" w:styleId="260">
    <w:name w:val="Char Char"/>
    <w:qFormat/>
    <w:uiPriority w:val="0"/>
    <w:rPr>
      <w:rFonts w:ascii="宋体" w:hAnsi="Courier New" w:eastAsia="宋体"/>
      <w:kern w:val="2"/>
      <w:sz w:val="21"/>
      <w:lang w:val="en-US" w:eastAsia="zh-CN" w:bidi="ar-SA"/>
    </w:rPr>
  </w:style>
  <w:style w:type="character" w:customStyle="1" w:styleId="261">
    <w:name w:val="javascript"/>
    <w:qFormat/>
    <w:uiPriority w:val="0"/>
  </w:style>
  <w:style w:type="character" w:customStyle="1" w:styleId="262">
    <w:name w:val="冯广丽 Char"/>
    <w:link w:val="263"/>
    <w:qFormat/>
    <w:uiPriority w:val="0"/>
    <w:rPr>
      <w:rFonts w:ascii="宋体" w:hAnsi="宋体"/>
      <w:kern w:val="2"/>
      <w:sz w:val="24"/>
      <w:szCs w:val="22"/>
    </w:rPr>
  </w:style>
  <w:style w:type="paragraph" w:customStyle="1" w:styleId="263">
    <w:name w:val="冯广丽"/>
    <w:basedOn w:val="1"/>
    <w:link w:val="262"/>
    <w:qFormat/>
    <w:uiPriority w:val="0"/>
    <w:pPr>
      <w:adjustRightInd/>
      <w:spacing w:line="360" w:lineRule="auto"/>
      <w:ind w:firstLine="480" w:firstLineChars="200"/>
    </w:pPr>
    <w:rPr>
      <w:rFonts w:ascii="宋体" w:hAnsi="宋体"/>
      <w:sz w:val="24"/>
      <w:szCs w:val="22"/>
    </w:rPr>
  </w:style>
  <w:style w:type="character" w:customStyle="1" w:styleId="264">
    <w:name w:val="Char Char6"/>
    <w:qFormat/>
    <w:uiPriority w:val="0"/>
    <w:rPr>
      <w:rFonts w:eastAsia="宋体"/>
      <w:kern w:val="2"/>
      <w:sz w:val="21"/>
      <w:szCs w:val="24"/>
      <w:lang w:val="en-US" w:eastAsia="zh-CN" w:bidi="ar-SA"/>
    </w:rPr>
  </w:style>
  <w:style w:type="character" w:customStyle="1" w:styleId="265">
    <w:name w:val="Comment Text Char"/>
    <w:qFormat/>
    <w:uiPriority w:val="0"/>
    <w:rPr>
      <w:rFonts w:ascii="宋体" w:hAnsi="宋体" w:eastAsia="宋体"/>
      <w:kern w:val="2"/>
      <w:sz w:val="24"/>
      <w:lang w:val="en-US" w:eastAsia="zh-CN" w:bidi="ar-SA"/>
    </w:rPr>
  </w:style>
  <w:style w:type="character" w:customStyle="1" w:styleId="266">
    <w:name w:val="Char Char8"/>
    <w:qFormat/>
    <w:uiPriority w:val="0"/>
    <w:rPr>
      <w:rFonts w:eastAsia="宋体"/>
      <w:b/>
      <w:sz w:val="24"/>
      <w:lang w:val="en-GB" w:eastAsia="zh-CN"/>
    </w:rPr>
  </w:style>
  <w:style w:type="character" w:customStyle="1" w:styleId="267">
    <w:name w:val="正文（缩进2汉字） Char"/>
    <w:link w:val="268"/>
    <w:qFormat/>
    <w:uiPriority w:val="0"/>
    <w:rPr>
      <w:rFonts w:ascii="宋体"/>
    </w:rPr>
  </w:style>
  <w:style w:type="paragraph" w:customStyle="1" w:styleId="268">
    <w:name w:val="正文（缩进2汉字）"/>
    <w:basedOn w:val="1"/>
    <w:link w:val="267"/>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269">
    <w:name w:val="gf正文1 Char"/>
    <w:qFormat/>
    <w:uiPriority w:val="0"/>
    <w:rPr>
      <w:rFonts w:ascii="宋体" w:hAnsi="宋体" w:eastAsia="宋体" w:cs="宋体"/>
      <w:kern w:val="2"/>
      <w:sz w:val="24"/>
      <w:szCs w:val="24"/>
      <w:lang w:val="en-US" w:eastAsia="zh-CN" w:bidi="ar-SA"/>
    </w:rPr>
  </w:style>
  <w:style w:type="character" w:customStyle="1" w:styleId="270">
    <w:name w:val="正文文本 3 Char"/>
    <w:link w:val="19"/>
    <w:qFormat/>
    <w:uiPriority w:val="0"/>
    <w:rPr>
      <w:kern w:val="2"/>
      <w:sz w:val="21"/>
    </w:rPr>
  </w:style>
  <w:style w:type="character" w:customStyle="1" w:styleId="271">
    <w:name w:val="Footer-Even Char1"/>
    <w:qFormat/>
    <w:uiPriority w:val="0"/>
    <w:rPr>
      <w:rFonts w:eastAsia="宋体"/>
      <w:kern w:val="2"/>
      <w:sz w:val="18"/>
      <w:szCs w:val="18"/>
      <w:lang w:val="en-US" w:eastAsia="zh-CN" w:bidi="ar-SA"/>
    </w:rPr>
  </w:style>
  <w:style w:type="character" w:customStyle="1" w:styleId="272">
    <w:name w:val="big1"/>
    <w:qFormat/>
    <w:uiPriority w:val="0"/>
    <w:rPr>
      <w:rFonts w:hint="eastAsia" w:ascii="宋体" w:hAnsi="宋体" w:eastAsia="宋体"/>
      <w:color w:val="333333"/>
      <w:sz w:val="22"/>
      <w:szCs w:val="22"/>
    </w:rPr>
  </w:style>
  <w:style w:type="character" w:customStyle="1" w:styleId="273">
    <w:name w:val="正文 项目2 Char"/>
    <w:basedOn w:val="171"/>
    <w:qFormat/>
    <w:uiPriority w:val="0"/>
    <w:rPr>
      <w:rFonts w:ascii="仿宋_GB2312" w:hAnsi="仿宋_GB2312" w:eastAsia="仿宋_GB2312"/>
      <w:kern w:val="2"/>
      <w:sz w:val="24"/>
      <w:lang w:bidi="ar-SA"/>
    </w:rPr>
  </w:style>
  <w:style w:type="character" w:customStyle="1" w:styleId="274">
    <w:name w:val="冯 Char"/>
    <w:link w:val="275"/>
    <w:qFormat/>
    <w:uiPriority w:val="0"/>
    <w:rPr>
      <w:rFonts w:ascii="宋体" w:hAnsi="宋体"/>
      <w:color w:val="000000"/>
      <w:sz w:val="24"/>
      <w:szCs w:val="24"/>
    </w:rPr>
  </w:style>
  <w:style w:type="paragraph" w:customStyle="1" w:styleId="275">
    <w:name w:val="冯"/>
    <w:basedOn w:val="1"/>
    <w:link w:val="274"/>
    <w:qFormat/>
    <w:uiPriority w:val="0"/>
    <w:pPr>
      <w:widowControl/>
      <w:adjustRightInd/>
      <w:spacing w:line="360" w:lineRule="auto"/>
      <w:ind w:firstLine="480" w:firstLineChars="200"/>
    </w:pPr>
    <w:rPr>
      <w:rFonts w:ascii="宋体" w:hAnsi="宋体"/>
      <w:color w:val="000000"/>
      <w:kern w:val="0"/>
      <w:sz w:val="24"/>
    </w:rPr>
  </w:style>
  <w:style w:type="character" w:customStyle="1" w:styleId="276">
    <w:name w:val="称呼 Char"/>
    <w:link w:val="18"/>
    <w:qFormat/>
    <w:uiPriority w:val="0"/>
    <w:rPr>
      <w:rFonts w:ascii="仿宋_GB2312" w:eastAsia="仿宋_GB2312"/>
      <w:kern w:val="2"/>
      <w:sz w:val="28"/>
    </w:rPr>
  </w:style>
  <w:style w:type="character" w:customStyle="1" w:styleId="277">
    <w:name w:val="页脚 Char1"/>
    <w:qFormat/>
    <w:uiPriority w:val="0"/>
    <w:rPr>
      <w:rFonts w:eastAsia="宋体"/>
      <w:kern w:val="2"/>
      <w:sz w:val="18"/>
      <w:szCs w:val="18"/>
      <w:lang w:val="en-US" w:eastAsia="zh-CN" w:bidi="ar-SA"/>
    </w:rPr>
  </w:style>
  <w:style w:type="character" w:customStyle="1" w:styleId="278">
    <w:name w:val="Char Char23"/>
    <w:qFormat/>
    <w:uiPriority w:val="6"/>
    <w:rPr>
      <w:color w:val="0000FF"/>
      <w:sz w:val="21"/>
    </w:rPr>
  </w:style>
  <w:style w:type="character" w:customStyle="1" w:styleId="279">
    <w:name w:val="Item List Char"/>
    <w:link w:val="280"/>
    <w:qFormat/>
    <w:uiPriority w:val="0"/>
    <w:rPr>
      <w:rFonts w:ascii="Arial"/>
      <w:bCs/>
      <w:sz w:val="21"/>
      <w:szCs w:val="21"/>
      <w:lang w:val="en-US" w:eastAsia="zh-CN" w:bidi="ar-SA"/>
    </w:rPr>
  </w:style>
  <w:style w:type="paragraph" w:customStyle="1" w:styleId="280">
    <w:name w:val="Item List"/>
    <w:link w:val="27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281">
    <w:name w:val="Char Char25"/>
    <w:qFormat/>
    <w:uiPriority w:val="6"/>
    <w:rPr>
      <w:rFonts w:ascii="宋体" w:hAnsi="宋体"/>
      <w:kern w:val="1"/>
      <w:sz w:val="24"/>
      <w:lang w:val="zh-CN"/>
    </w:rPr>
  </w:style>
  <w:style w:type="character" w:customStyle="1" w:styleId="28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83">
    <w:name w:val="Ò³Ã¼ Char Char"/>
    <w:qFormat/>
    <w:uiPriority w:val="0"/>
    <w:rPr>
      <w:rFonts w:eastAsia="宋体"/>
      <w:kern w:val="2"/>
      <w:sz w:val="18"/>
      <w:lang w:val="en-US" w:eastAsia="zh-CN" w:bidi="ar-SA"/>
    </w:rPr>
  </w:style>
  <w:style w:type="character" w:customStyle="1" w:styleId="284">
    <w:name w:val="签名 Char"/>
    <w:link w:val="35"/>
    <w:qFormat/>
    <w:uiPriority w:val="0"/>
    <w:rPr>
      <w:rFonts w:eastAsia="仿宋_GB2312"/>
      <w:sz w:val="24"/>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Heading 2 Hidden Char"/>
    <w:qFormat/>
    <w:uiPriority w:val="0"/>
    <w:rPr>
      <w:rFonts w:ascii="仿宋_GB2312" w:eastAsia="仿宋_GB2312"/>
      <w:b/>
      <w:bCs/>
      <w:kern w:val="2"/>
      <w:sz w:val="24"/>
      <w:szCs w:val="24"/>
      <w:lang w:val="zh-CN" w:eastAsia="zh-CN" w:bidi="ar-SA"/>
    </w:rPr>
  </w:style>
  <w:style w:type="character" w:customStyle="1" w:styleId="288">
    <w:name w:val="批注文字 Char2"/>
    <w:link w:val="17"/>
    <w:qFormat/>
    <w:uiPriority w:val="99"/>
    <w:rPr>
      <w:kern w:val="2"/>
      <w:sz w:val="21"/>
      <w:szCs w:val="24"/>
    </w:rPr>
  </w:style>
  <w:style w:type="character" w:customStyle="1" w:styleId="289">
    <w:name w:val="PI Char"/>
    <w:qFormat/>
    <w:uiPriority w:val="0"/>
    <w:rPr>
      <w:rFonts w:ascii="宋体" w:hAnsi="宋体" w:eastAsia="宋体"/>
      <w:kern w:val="2"/>
      <w:sz w:val="24"/>
      <w:szCs w:val="24"/>
      <w:lang w:val="en-US" w:eastAsia="zh-CN" w:bidi="ar-SA"/>
    </w:rPr>
  </w:style>
  <w:style w:type="character" w:customStyle="1" w:styleId="290">
    <w:name w:val="content"/>
    <w:qFormat/>
    <w:uiPriority w:val="0"/>
  </w:style>
  <w:style w:type="character" w:customStyle="1" w:styleId="291">
    <w:name w:val="HTML 预设格式 Char"/>
    <w:link w:val="45"/>
    <w:qFormat/>
    <w:uiPriority w:val="0"/>
    <w:rPr>
      <w:rFonts w:ascii="黑体" w:hAnsi="Courier New" w:eastAsia="黑体"/>
    </w:rPr>
  </w:style>
  <w:style w:type="character" w:customStyle="1" w:styleId="292">
    <w:name w:val="普通文字 Char Char1"/>
    <w:qFormat/>
    <w:uiPriority w:val="0"/>
    <w:rPr>
      <w:rFonts w:ascii="宋体" w:hAnsi="Courier New"/>
      <w:kern w:val="2"/>
      <w:sz w:val="21"/>
    </w:rPr>
  </w:style>
  <w:style w:type="character" w:customStyle="1" w:styleId="293">
    <w:name w:val="Char Char24"/>
    <w:qFormat/>
    <w:uiPriority w:val="6"/>
    <w:rPr>
      <w:kern w:val="1"/>
      <w:sz w:val="21"/>
    </w:rPr>
  </w:style>
  <w:style w:type="character" w:customStyle="1" w:styleId="294">
    <w:name w:val="正文非缩进 Char"/>
    <w:qFormat/>
    <w:uiPriority w:val="0"/>
    <w:rPr>
      <w:rFonts w:ascii="宋体" w:eastAsia="宋体"/>
      <w:snapToGrid w:val="0"/>
      <w:color w:val="000000"/>
      <w:kern w:val="28"/>
      <w:sz w:val="28"/>
      <w:lang w:val="en-US" w:eastAsia="zh-CN" w:bidi="ar-SA"/>
    </w:rPr>
  </w:style>
  <w:style w:type="character" w:customStyle="1" w:styleId="295">
    <w:name w:val="Char Char34"/>
    <w:qFormat/>
    <w:uiPriority w:val="6"/>
    <w:rPr>
      <w:b/>
      <w:kern w:val="1"/>
      <w:sz w:val="28"/>
      <w:szCs w:val="28"/>
    </w:rPr>
  </w:style>
  <w:style w:type="character" w:customStyle="1" w:styleId="296">
    <w:name w:val="Table Text Char1"/>
    <w:qFormat/>
    <w:uiPriority w:val="0"/>
    <w:rPr>
      <w:rFonts w:eastAsia="宋体"/>
      <w:sz w:val="24"/>
      <w:szCs w:val="24"/>
      <w:lang w:val="en-US" w:eastAsia="zh-CN" w:bidi="ar-SA"/>
    </w:rPr>
  </w:style>
  <w:style w:type="character" w:customStyle="1" w:styleId="297">
    <w:name w:val="标题 1 Char Char"/>
    <w:qFormat/>
    <w:uiPriority w:val="0"/>
    <w:rPr>
      <w:rFonts w:hint="eastAsia" w:ascii="宋体" w:hAnsi="宋体" w:eastAsia="宋体"/>
      <w:b/>
      <w:spacing w:val="-2"/>
      <w:sz w:val="24"/>
      <w:lang w:val="en-US" w:eastAsia="zh-CN" w:bidi="ar-SA"/>
    </w:rPr>
  </w:style>
  <w:style w:type="character" w:customStyle="1" w:styleId="298">
    <w:name w:val="Char Char121"/>
    <w:qFormat/>
    <w:uiPriority w:val="6"/>
    <w:rPr>
      <w:rFonts w:ascii="仿宋_GB2312" w:eastAsia="仿宋_GB2312"/>
      <w:b/>
      <w:bCs/>
      <w:kern w:val="2"/>
      <w:sz w:val="24"/>
      <w:szCs w:val="24"/>
      <w:lang w:val="zh-CN" w:eastAsia="zh-CN" w:bidi="ar-SA"/>
    </w:rPr>
  </w:style>
  <w:style w:type="character" w:customStyle="1" w:styleId="299">
    <w:name w:val="hui3"/>
    <w:qFormat/>
    <w:uiPriority w:val="0"/>
    <w:rPr>
      <w:color w:val="333333"/>
    </w:rPr>
  </w:style>
  <w:style w:type="character" w:customStyle="1" w:styleId="300">
    <w:name w:val="Char Char27"/>
    <w:qFormat/>
    <w:uiPriority w:val="6"/>
    <w:rPr>
      <w:rFonts w:ascii="宋体" w:hAnsi="宋体" w:eastAsia="宋体"/>
      <w:color w:val="000000"/>
      <w:kern w:val="1"/>
      <w:sz w:val="28"/>
      <w:lang w:val="en-US" w:eastAsia="zh-CN" w:bidi="ar-SA"/>
    </w:rPr>
  </w:style>
  <w:style w:type="character" w:customStyle="1" w:styleId="301">
    <w:name w:val="标题 3 Char1"/>
    <w:qFormat/>
    <w:uiPriority w:val="6"/>
    <w:rPr>
      <w:rFonts w:hint="eastAsia" w:ascii="华文中宋" w:hAnsi="华文中宋" w:eastAsia="华文中宋"/>
      <w:b/>
      <w:bCs/>
      <w:kern w:val="2"/>
      <w:sz w:val="32"/>
      <w:szCs w:val="32"/>
      <w:lang w:val="en-US" w:eastAsia="zh-CN" w:bidi="ar-SA"/>
    </w:rPr>
  </w:style>
  <w:style w:type="character" w:customStyle="1" w:styleId="302">
    <w:name w:val="Char Char13"/>
    <w:qFormat/>
    <w:uiPriority w:val="6"/>
    <w:rPr>
      <w:rFonts w:ascii="宋体" w:hAnsi="宋体"/>
      <w:kern w:val="1"/>
      <w:sz w:val="21"/>
      <w:szCs w:val="24"/>
    </w:rPr>
  </w:style>
  <w:style w:type="character" w:customStyle="1" w:styleId="303">
    <w:name w:val="纯文本 Char Char Char"/>
    <w:qFormat/>
    <w:uiPriority w:val="0"/>
    <w:rPr>
      <w:rFonts w:ascii="宋体" w:hAnsi="Courier New" w:eastAsia="宋体"/>
      <w:kern w:val="2"/>
      <w:sz w:val="21"/>
      <w:lang w:val="en-US" w:eastAsia="zh-CN" w:bidi="ar-SA"/>
    </w:rPr>
  </w:style>
  <w:style w:type="character" w:customStyle="1" w:styleId="304">
    <w:name w:val="Char Char20"/>
    <w:qFormat/>
    <w:uiPriority w:val="6"/>
    <w:rPr>
      <w:kern w:val="1"/>
      <w:sz w:val="24"/>
    </w:rPr>
  </w:style>
  <w:style w:type="character" w:customStyle="1" w:styleId="305">
    <w:name w:val="hei16b1"/>
    <w:qFormat/>
    <w:uiPriority w:val="0"/>
    <w:rPr>
      <w:rFonts w:hint="default" w:ascii="Arial" w:hAnsi="Arial" w:cs="Arial"/>
      <w:b/>
      <w:bCs/>
      <w:color w:val="000000"/>
      <w:sz w:val="24"/>
      <w:szCs w:val="24"/>
    </w:rPr>
  </w:style>
  <w:style w:type="character" w:customStyle="1" w:styleId="306">
    <w:name w:val="Char Char29"/>
    <w:qFormat/>
    <w:uiPriority w:val="6"/>
    <w:rPr>
      <w:rFonts w:ascii="Arial" w:hAnsi="Arial" w:eastAsia="微软雅黑"/>
      <w:b/>
      <w:kern w:val="1"/>
      <w:sz w:val="44"/>
      <w:szCs w:val="32"/>
      <w:lang w:val="en-US" w:eastAsia="zh-CN" w:bidi="ar-SA"/>
    </w:rPr>
  </w:style>
  <w:style w:type="character" w:customStyle="1" w:styleId="307">
    <w:name w:val="Char Char36"/>
    <w:qFormat/>
    <w:uiPriority w:val="6"/>
    <w:rPr>
      <w:rFonts w:ascii="仿宋_GB2312" w:hAnsi="仿宋_GB2312" w:eastAsia="仿宋_GB2312" w:cs="Arial"/>
      <w:b/>
      <w:kern w:val="1"/>
      <w:sz w:val="32"/>
      <w:szCs w:val="32"/>
      <w:lang w:val="zh-CN" w:eastAsia="zh-CN" w:bidi="ar-SA"/>
    </w:rPr>
  </w:style>
  <w:style w:type="character" w:customStyle="1" w:styleId="308">
    <w:name w:val="Char Char32"/>
    <w:qFormat/>
    <w:uiPriority w:val="6"/>
    <w:rPr>
      <w:b/>
      <w:kern w:val="1"/>
      <w:sz w:val="24"/>
      <w:szCs w:val="24"/>
    </w:rPr>
  </w:style>
  <w:style w:type="character" w:customStyle="1" w:styleId="309">
    <w:name w:val="Char Char15"/>
    <w:qFormat/>
    <w:uiPriority w:val="6"/>
    <w:rPr>
      <w:rFonts w:ascii="宋体" w:hAnsi="宋体"/>
      <w:kern w:val="1"/>
      <w:sz w:val="21"/>
    </w:rPr>
  </w:style>
  <w:style w:type="character" w:customStyle="1" w:styleId="310">
    <w:name w:val="Char Char21"/>
    <w:qFormat/>
    <w:uiPriority w:val="6"/>
    <w:rPr>
      <w:rFonts w:ascii="宋体" w:hAnsi="宋体"/>
      <w:kern w:val="1"/>
      <w:sz w:val="24"/>
      <w:szCs w:val="21"/>
      <w:lang w:val="zh-CN"/>
    </w:rPr>
  </w:style>
  <w:style w:type="character" w:customStyle="1" w:styleId="311">
    <w:name w:val="Char Char22"/>
    <w:qFormat/>
    <w:uiPriority w:val="6"/>
    <w:rPr>
      <w:rFonts w:ascii="宋体" w:hAnsi="宋体"/>
      <w:kern w:val="1"/>
      <w:sz w:val="24"/>
      <w:szCs w:val="24"/>
    </w:rPr>
  </w:style>
  <w:style w:type="character" w:customStyle="1" w:styleId="312">
    <w:name w:val="question-title2"/>
    <w:basedOn w:val="51"/>
    <w:qFormat/>
    <w:uiPriority w:val="6"/>
  </w:style>
  <w:style w:type="character" w:customStyle="1" w:styleId="313">
    <w:name w:val="param-name"/>
    <w:basedOn w:val="51"/>
    <w:qFormat/>
    <w:uiPriority w:val="99"/>
  </w:style>
  <w:style w:type="character" w:customStyle="1" w:styleId="314">
    <w:name w:val="脚注文本 Char1"/>
    <w:qFormat/>
    <w:uiPriority w:val="99"/>
    <w:rPr>
      <w:rFonts w:ascii="Times New Roman" w:hAnsi="Times New Roman" w:eastAsia="宋体" w:cs="Times New Roman"/>
      <w:sz w:val="18"/>
      <w:szCs w:val="18"/>
    </w:rPr>
  </w:style>
  <w:style w:type="character" w:customStyle="1" w:styleId="315">
    <w:name w:val="正文文本缩进 Char1"/>
    <w:qFormat/>
    <w:uiPriority w:val="0"/>
    <w:rPr>
      <w:rFonts w:ascii="Times New Roman" w:hAnsi="Times New Roman" w:eastAsia="宋体" w:cs="Times New Roman"/>
      <w:szCs w:val="24"/>
    </w:rPr>
  </w:style>
  <w:style w:type="character" w:customStyle="1" w:styleId="316">
    <w:name w:val="正文文本缩进 2 Char1"/>
    <w:qFormat/>
    <w:uiPriority w:val="0"/>
    <w:rPr>
      <w:rFonts w:ascii="Times New Roman" w:hAnsi="Times New Roman" w:eastAsia="宋体" w:cs="Times New Roman"/>
      <w:szCs w:val="24"/>
    </w:rPr>
  </w:style>
  <w:style w:type="character" w:customStyle="1" w:styleId="317">
    <w:name w:val="正文文本 3 Char1"/>
    <w:qFormat/>
    <w:uiPriority w:val="0"/>
    <w:rPr>
      <w:rFonts w:ascii="Times New Roman" w:hAnsi="Times New Roman" w:eastAsia="宋体" w:cs="Times New Roman"/>
      <w:sz w:val="16"/>
      <w:szCs w:val="16"/>
    </w:rPr>
  </w:style>
  <w:style w:type="character" w:customStyle="1" w:styleId="318">
    <w:name w:val="签名 Char1"/>
    <w:qFormat/>
    <w:uiPriority w:val="99"/>
    <w:rPr>
      <w:rFonts w:ascii="Times New Roman" w:hAnsi="Times New Roman" w:eastAsia="宋体" w:cs="Times New Roman"/>
      <w:szCs w:val="24"/>
    </w:rPr>
  </w:style>
  <w:style w:type="character" w:customStyle="1" w:styleId="319">
    <w:name w:val="正文首行缩进 2 Char1"/>
    <w:basedOn w:val="315"/>
    <w:qFormat/>
    <w:uiPriority w:val="99"/>
    <w:rPr>
      <w:rFonts w:ascii="Times New Roman" w:hAnsi="Times New Roman" w:eastAsia="宋体" w:cs="Times New Roman"/>
      <w:szCs w:val="24"/>
    </w:rPr>
  </w:style>
  <w:style w:type="character" w:customStyle="1" w:styleId="320">
    <w:name w:val="纯文本 Char2"/>
    <w:qFormat/>
    <w:uiPriority w:val="99"/>
    <w:rPr>
      <w:rFonts w:ascii="宋体" w:hAnsi="Courier New" w:eastAsia="宋体" w:cs="Courier New"/>
    </w:rPr>
  </w:style>
  <w:style w:type="character" w:customStyle="1" w:styleId="321">
    <w:name w:val="批注框文本 Char1"/>
    <w:qFormat/>
    <w:uiPriority w:val="99"/>
    <w:rPr>
      <w:rFonts w:ascii="Times New Roman" w:hAnsi="Times New Roman" w:eastAsia="宋体" w:cs="Times New Roman"/>
      <w:sz w:val="18"/>
      <w:szCs w:val="18"/>
    </w:rPr>
  </w:style>
  <w:style w:type="character" w:customStyle="1" w:styleId="322">
    <w:name w:val="正文文本缩进 3 Char1"/>
    <w:qFormat/>
    <w:uiPriority w:val="0"/>
    <w:rPr>
      <w:rFonts w:ascii="Times New Roman" w:hAnsi="Times New Roman" w:eastAsia="宋体" w:cs="Times New Roman"/>
      <w:sz w:val="16"/>
      <w:szCs w:val="16"/>
    </w:rPr>
  </w:style>
  <w:style w:type="character" w:customStyle="1" w:styleId="323">
    <w:name w:val="正文首行缩进 Char1"/>
    <w:qFormat/>
    <w:uiPriority w:val="99"/>
    <w:rPr>
      <w:rFonts w:ascii="宋体" w:hAnsi="Times New Roman" w:eastAsia="宋体" w:cs="Times New Roman"/>
      <w:snapToGrid w:val="0"/>
      <w:kern w:val="2"/>
      <w:sz w:val="24"/>
      <w:szCs w:val="21"/>
      <w:lang w:val="zh-CN"/>
    </w:rPr>
  </w:style>
  <w:style w:type="character" w:customStyle="1" w:styleId="324">
    <w:name w:val="副标题 Char1"/>
    <w:qFormat/>
    <w:uiPriority w:val="11"/>
    <w:rPr>
      <w:rFonts w:ascii="Cambria" w:hAnsi="Cambria" w:eastAsia="宋体" w:cs="Times New Roman"/>
      <w:b/>
      <w:bCs/>
      <w:kern w:val="28"/>
      <w:sz w:val="32"/>
      <w:szCs w:val="32"/>
    </w:rPr>
  </w:style>
  <w:style w:type="character" w:customStyle="1" w:styleId="325">
    <w:name w:val="font71"/>
    <w:qFormat/>
    <w:uiPriority w:val="0"/>
    <w:rPr>
      <w:rFonts w:hint="eastAsia" w:ascii="宋体" w:hAnsi="宋体" w:eastAsia="宋体" w:cs="宋体"/>
      <w:b/>
      <w:color w:val="000000"/>
      <w:sz w:val="20"/>
      <w:szCs w:val="20"/>
      <w:u w:val="none"/>
    </w:rPr>
  </w:style>
  <w:style w:type="character" w:customStyle="1" w:styleId="326">
    <w:name w:val="font121"/>
    <w:qFormat/>
    <w:uiPriority w:val="0"/>
    <w:rPr>
      <w:rFonts w:hint="default" w:ascii="Arial Unicode MS" w:hAnsi="Arial Unicode MS" w:eastAsia="Arial Unicode MS" w:cs="Arial Unicode MS"/>
      <w:snapToGrid w:val="0"/>
      <w:color w:val="000000"/>
      <w:kern w:val="0"/>
      <w:sz w:val="19"/>
      <w:szCs w:val="19"/>
      <w:u w:val="none"/>
    </w:rPr>
  </w:style>
  <w:style w:type="character" w:customStyle="1" w:styleId="327">
    <w:name w:val="font131"/>
    <w:qFormat/>
    <w:uiPriority w:val="0"/>
    <w:rPr>
      <w:rFonts w:hint="eastAsia" w:ascii="宋体" w:hAnsi="宋体" w:eastAsia="宋体" w:cs="宋体"/>
      <w:b/>
      <w:snapToGrid w:val="0"/>
      <w:color w:val="000000"/>
      <w:kern w:val="0"/>
      <w:sz w:val="20"/>
      <w:szCs w:val="20"/>
      <w:u w:val="none"/>
    </w:rPr>
  </w:style>
  <w:style w:type="character" w:customStyle="1" w:styleId="328">
    <w:name w:val="font41"/>
    <w:qFormat/>
    <w:uiPriority w:val="0"/>
    <w:rPr>
      <w:rFonts w:hint="eastAsia" w:ascii="宋体" w:hAnsi="宋体" w:eastAsia="宋体" w:cs="宋体"/>
      <w:snapToGrid w:val="0"/>
      <w:color w:val="000000"/>
      <w:kern w:val="0"/>
      <w:sz w:val="19"/>
      <w:szCs w:val="19"/>
      <w:u w:val="none"/>
    </w:rPr>
  </w:style>
  <w:style w:type="character" w:customStyle="1" w:styleId="329">
    <w:name w:val="font161"/>
    <w:qFormat/>
    <w:uiPriority w:val="0"/>
    <w:rPr>
      <w:rFonts w:hint="eastAsia" w:ascii="宋体" w:hAnsi="宋体" w:eastAsia="宋体" w:cs="宋体"/>
      <w:snapToGrid w:val="0"/>
      <w:color w:val="000000"/>
      <w:kern w:val="0"/>
      <w:sz w:val="19"/>
      <w:szCs w:val="19"/>
      <w:u w:val="none"/>
    </w:rPr>
  </w:style>
  <w:style w:type="character" w:customStyle="1" w:styleId="330">
    <w:name w:val="font31"/>
    <w:qFormat/>
    <w:uiPriority w:val="0"/>
    <w:rPr>
      <w:rFonts w:hint="eastAsia" w:ascii="宋体" w:hAnsi="宋体" w:eastAsia="宋体" w:cs="宋体"/>
      <w:b/>
      <w:snapToGrid w:val="0"/>
      <w:color w:val="000000"/>
      <w:kern w:val="0"/>
      <w:sz w:val="20"/>
      <w:szCs w:val="20"/>
      <w:u w:val="none"/>
    </w:rPr>
  </w:style>
  <w:style w:type="character" w:customStyle="1" w:styleId="331">
    <w:name w:val="font11"/>
    <w:qFormat/>
    <w:uiPriority w:val="0"/>
    <w:rPr>
      <w:rFonts w:ascii="Arial" w:hAnsi="Arial" w:cs="Arial"/>
      <w:color w:val="000000"/>
      <w:sz w:val="20"/>
      <w:szCs w:val="20"/>
      <w:u w:val="none"/>
    </w:rPr>
  </w:style>
  <w:style w:type="character" w:customStyle="1" w:styleId="332">
    <w:name w:val="content1"/>
    <w:qFormat/>
    <w:uiPriority w:val="0"/>
    <w:rPr>
      <w:color w:val="0066FF"/>
      <w:sz w:val="21"/>
      <w:szCs w:val="21"/>
    </w:rPr>
  </w:style>
  <w:style w:type="character" w:customStyle="1" w:styleId="333">
    <w:name w:val="font81"/>
    <w:qFormat/>
    <w:uiPriority w:val="0"/>
    <w:rPr>
      <w:rFonts w:hint="eastAsia" w:ascii="宋体" w:hAnsi="宋体" w:eastAsia="宋体" w:cs="宋体"/>
      <w:b/>
      <w:snapToGrid w:val="0"/>
      <w:color w:val="000000"/>
      <w:kern w:val="0"/>
      <w:sz w:val="20"/>
      <w:szCs w:val="20"/>
      <w:u w:val="none"/>
    </w:rPr>
  </w:style>
  <w:style w:type="character" w:customStyle="1" w:styleId="334">
    <w:name w:val="font61"/>
    <w:qFormat/>
    <w:uiPriority w:val="0"/>
    <w:rPr>
      <w:rFonts w:hint="eastAsia" w:ascii="宋体" w:hAnsi="宋体" w:eastAsia="宋体" w:cs="宋体"/>
      <w:snapToGrid w:val="0"/>
      <w:color w:val="000000"/>
      <w:kern w:val="0"/>
      <w:sz w:val="20"/>
      <w:szCs w:val="20"/>
      <w:u w:val="none"/>
    </w:rPr>
  </w:style>
  <w:style w:type="character" w:customStyle="1" w:styleId="335">
    <w:name w:val="Char Char341"/>
    <w:qFormat/>
    <w:uiPriority w:val="0"/>
    <w:rPr>
      <w:rFonts w:eastAsia="宋体"/>
      <w:kern w:val="2"/>
      <w:sz w:val="21"/>
      <w:szCs w:val="24"/>
      <w:lang w:val="en-US" w:eastAsia="zh-CN" w:bidi="ar-SA"/>
    </w:rPr>
  </w:style>
  <w:style w:type="character" w:customStyle="1" w:styleId="336">
    <w:name w:val="font01"/>
    <w:qFormat/>
    <w:uiPriority w:val="0"/>
    <w:rPr>
      <w:rFonts w:hint="eastAsia" w:ascii="宋体" w:hAnsi="宋体" w:eastAsia="宋体" w:cs="宋体"/>
      <w:snapToGrid w:val="0"/>
      <w:color w:val="000000"/>
      <w:kern w:val="0"/>
      <w:sz w:val="20"/>
      <w:szCs w:val="20"/>
      <w:u w:val="none"/>
    </w:rPr>
  </w:style>
  <w:style w:type="character" w:customStyle="1" w:styleId="337">
    <w:name w:val="c11"/>
    <w:qFormat/>
    <w:uiPriority w:val="0"/>
    <w:rPr>
      <w:rFonts w:hint="default" w:ascii="Arial" w:hAnsi="Arial" w:cs="Arial"/>
      <w:color w:val="333333"/>
      <w:sz w:val="22"/>
      <w:szCs w:val="22"/>
    </w:rPr>
  </w:style>
  <w:style w:type="character" w:customStyle="1" w:styleId="338">
    <w:name w:val="编号，小四 Char"/>
    <w:link w:val="339"/>
    <w:qFormat/>
    <w:uiPriority w:val="0"/>
    <w:rPr>
      <w:rFonts w:ascii="Arial" w:hAnsi="Arial"/>
      <w:kern w:val="2"/>
      <w:sz w:val="24"/>
    </w:rPr>
  </w:style>
  <w:style w:type="paragraph" w:customStyle="1" w:styleId="339">
    <w:name w:val="编号，小四"/>
    <w:basedOn w:val="1"/>
    <w:link w:val="338"/>
    <w:qFormat/>
    <w:uiPriority w:val="0"/>
    <w:pPr>
      <w:adjustRightInd/>
      <w:spacing w:line="360" w:lineRule="auto"/>
      <w:ind w:left="420"/>
    </w:pPr>
    <w:rPr>
      <w:rFonts w:ascii="Arial" w:hAnsi="Arial"/>
      <w:sz w:val="24"/>
      <w:szCs w:val="20"/>
    </w:rPr>
  </w:style>
  <w:style w:type="character" w:customStyle="1" w:styleId="340">
    <w:name w:val="题注 Char"/>
    <w:link w:val="14"/>
    <w:qFormat/>
    <w:uiPriority w:val="0"/>
    <w:rPr>
      <w:b/>
      <w:kern w:val="2"/>
      <w:sz w:val="28"/>
    </w:rPr>
  </w:style>
  <w:style w:type="character" w:customStyle="1" w:styleId="341">
    <w:name w:val="内容文本 Char"/>
    <w:link w:val="342"/>
    <w:qFormat/>
    <w:uiPriority w:val="0"/>
    <w:rPr>
      <w:rFonts w:ascii="宋体" w:hAnsi="宋体"/>
      <w:sz w:val="24"/>
      <w:szCs w:val="24"/>
      <w:lang w:eastAsia="en-US" w:bidi="en-US"/>
    </w:rPr>
  </w:style>
  <w:style w:type="paragraph" w:customStyle="1" w:styleId="342">
    <w:name w:val="内容文本"/>
    <w:basedOn w:val="343"/>
    <w:link w:val="341"/>
    <w:qFormat/>
    <w:uiPriority w:val="0"/>
    <w:pPr>
      <w:adjustRightInd/>
      <w:spacing w:line="360" w:lineRule="auto"/>
      <w:ind w:firstLine="200"/>
      <w:contextualSpacing/>
      <w:jc w:val="left"/>
    </w:pPr>
    <w:rPr>
      <w:rFonts w:ascii="宋体" w:hAnsi="宋体"/>
      <w:kern w:val="0"/>
      <w:sz w:val="24"/>
      <w:lang w:eastAsia="en-US" w:bidi="en-US"/>
    </w:rPr>
  </w:style>
  <w:style w:type="paragraph" w:customStyle="1" w:styleId="343">
    <w:name w:val="列表段落1"/>
    <w:basedOn w:val="1"/>
    <w:qFormat/>
    <w:uiPriority w:val="34"/>
    <w:pPr>
      <w:ind w:firstLine="420" w:firstLineChars="200"/>
    </w:pPr>
  </w:style>
  <w:style w:type="character" w:customStyle="1" w:styleId="344">
    <w:name w:val="*正文 Char"/>
    <w:link w:val="345"/>
    <w:qFormat/>
    <w:uiPriority w:val="0"/>
    <w:rPr>
      <w:rFonts w:ascii="宋体" w:hAnsi="宋体"/>
      <w:kern w:val="2"/>
      <w:sz w:val="24"/>
      <w:szCs w:val="24"/>
    </w:rPr>
  </w:style>
  <w:style w:type="paragraph" w:customStyle="1" w:styleId="345">
    <w:name w:val="*正文"/>
    <w:basedOn w:val="1"/>
    <w:link w:val="344"/>
    <w:qFormat/>
    <w:uiPriority w:val="0"/>
    <w:pPr>
      <w:adjustRightInd/>
      <w:spacing w:line="360" w:lineRule="auto"/>
    </w:pPr>
    <w:rPr>
      <w:rFonts w:ascii="宋体" w:hAnsi="宋体"/>
      <w:sz w:val="24"/>
    </w:rPr>
  </w:style>
  <w:style w:type="character" w:customStyle="1" w:styleId="346">
    <w:name w:val="样式 首行缩进:  0 字符 Char"/>
    <w:link w:val="347"/>
    <w:qFormat/>
    <w:uiPriority w:val="0"/>
    <w:rPr>
      <w:rFonts w:ascii="Arial" w:hAnsi="Arial" w:cs="宋体"/>
      <w:kern w:val="2"/>
      <w:sz w:val="24"/>
    </w:rPr>
  </w:style>
  <w:style w:type="paragraph" w:customStyle="1" w:styleId="347">
    <w:name w:val="样式 首行缩进:  0 字符"/>
    <w:basedOn w:val="1"/>
    <w:link w:val="346"/>
    <w:qFormat/>
    <w:uiPriority w:val="0"/>
    <w:pPr>
      <w:adjustRightInd/>
      <w:spacing w:line="360" w:lineRule="auto"/>
      <w:ind w:firstLine="200" w:firstLineChars="200"/>
    </w:pPr>
    <w:rPr>
      <w:rFonts w:ascii="Arial" w:hAnsi="Arial"/>
      <w:sz w:val="24"/>
      <w:szCs w:val="20"/>
    </w:rPr>
  </w:style>
  <w:style w:type="character" w:customStyle="1" w:styleId="348">
    <w:name w:val="text1"/>
    <w:qFormat/>
    <w:uiPriority w:val="0"/>
    <w:rPr>
      <w:sz w:val="21"/>
      <w:szCs w:val="21"/>
    </w:rPr>
  </w:style>
  <w:style w:type="character" w:customStyle="1" w:styleId="349">
    <w:name w:val="未处理的提及1"/>
    <w:qFormat/>
    <w:uiPriority w:val="99"/>
    <w:rPr>
      <w:color w:val="605E5C"/>
      <w:shd w:val="clear" w:color="auto" w:fill="E1DFDD"/>
    </w:rPr>
  </w:style>
  <w:style w:type="character" w:customStyle="1" w:styleId="350">
    <w:name w:val="纯文本 字符"/>
    <w:qFormat/>
    <w:uiPriority w:val="99"/>
    <w:rPr>
      <w:rFonts w:ascii="宋体" w:hAnsi="Courier New" w:eastAsia="黑体" w:cs="Arial"/>
      <w:kern w:val="2"/>
      <w:sz w:val="21"/>
      <w:szCs w:val="21"/>
    </w:rPr>
  </w:style>
  <w:style w:type="character" w:customStyle="1" w:styleId="351">
    <w:name w:val="批注文字 字符"/>
    <w:qFormat/>
    <w:uiPriority w:val="0"/>
    <w:rPr>
      <w:szCs w:val="24"/>
    </w:rPr>
  </w:style>
  <w:style w:type="character" w:customStyle="1" w:styleId="352">
    <w:name w:val="纯文本 Char"/>
    <w:qFormat/>
    <w:uiPriority w:val="0"/>
    <w:rPr>
      <w:rFonts w:ascii="宋体" w:hAnsi="Courier New" w:eastAsia="黑体" w:cs="Arial"/>
      <w:snapToGrid w:val="0"/>
      <w:szCs w:val="21"/>
    </w:rPr>
  </w:style>
  <w:style w:type="character" w:customStyle="1" w:styleId="353">
    <w:name w:val="批注文字 Char"/>
    <w:qFormat/>
    <w:uiPriority w:val="99"/>
    <w:rPr>
      <w:szCs w:val="24"/>
    </w:rPr>
  </w:style>
  <w:style w:type="character" w:customStyle="1" w:styleId="354">
    <w:name w:val="正文缩进 Char2"/>
    <w:qFormat/>
    <w:uiPriority w:val="0"/>
    <w:rPr>
      <w:rFonts w:ascii="宋体" w:eastAsia="宋体"/>
      <w:snapToGrid w:val="0"/>
      <w:color w:val="000000"/>
      <w:kern w:val="28"/>
      <w:sz w:val="28"/>
      <w:lang w:val="en-US" w:eastAsia="zh-CN" w:bidi="ar-SA"/>
    </w:rPr>
  </w:style>
  <w:style w:type="paragraph" w:customStyle="1" w:styleId="35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356">
    <w:name w:val="表格标题2"/>
    <w:basedOn w:val="357"/>
    <w:qFormat/>
    <w:uiPriority w:val="0"/>
    <w:rPr>
      <w:b/>
    </w:rPr>
  </w:style>
  <w:style w:type="paragraph" w:customStyle="1" w:styleId="357">
    <w:name w:val="表格内文"/>
    <w:basedOn w:val="1"/>
    <w:qFormat/>
    <w:uiPriority w:val="0"/>
    <w:pPr>
      <w:adjustRightInd/>
      <w:spacing w:line="360" w:lineRule="auto"/>
    </w:pPr>
    <w:rPr>
      <w:rFonts w:ascii="宋体" w:hAnsi="宋体" w:cs="宋体"/>
      <w:color w:val="000000"/>
      <w:szCs w:val="20"/>
    </w:rPr>
  </w:style>
  <w:style w:type="paragraph" w:customStyle="1" w:styleId="35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359">
    <w:name w:val="Char Char11 Char Char Char1"/>
    <w:basedOn w:val="1"/>
    <w:qFormat/>
    <w:uiPriority w:val="6"/>
    <w:pPr>
      <w:spacing w:line="360" w:lineRule="auto"/>
    </w:pPr>
    <w:rPr>
      <w:szCs w:val="20"/>
    </w:rPr>
  </w:style>
  <w:style w:type="paragraph" w:customStyle="1" w:styleId="36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361">
    <w:name w:val="目录 61"/>
    <w:basedOn w:val="1"/>
    <w:next w:val="1"/>
    <w:qFormat/>
    <w:uiPriority w:val="0"/>
    <w:pPr>
      <w:ind w:left="2100" w:leftChars="1000"/>
    </w:pPr>
  </w:style>
  <w:style w:type="paragraph" w:customStyle="1" w:styleId="362">
    <w:name w:val="列出段落3"/>
    <w:basedOn w:val="1"/>
    <w:qFormat/>
    <w:uiPriority w:val="99"/>
    <w:pPr>
      <w:adjustRightInd/>
      <w:spacing w:line="360" w:lineRule="auto"/>
      <w:ind w:firstLine="420" w:firstLineChars="200"/>
    </w:pPr>
    <w:rPr>
      <w:rFonts w:ascii="Calibri" w:hAnsi="Calibri"/>
      <w:sz w:val="24"/>
      <w:szCs w:val="22"/>
    </w:rPr>
  </w:style>
  <w:style w:type="paragraph" w:customStyle="1" w:styleId="363">
    <w:name w:val="目录 41"/>
    <w:basedOn w:val="1"/>
    <w:next w:val="1"/>
    <w:qFormat/>
    <w:uiPriority w:val="0"/>
    <w:pPr>
      <w:ind w:left="1260" w:leftChars="600"/>
    </w:pPr>
  </w:style>
  <w:style w:type="paragraph" w:customStyle="1" w:styleId="364">
    <w:name w:val="目录 91"/>
    <w:basedOn w:val="1"/>
    <w:next w:val="1"/>
    <w:qFormat/>
    <w:uiPriority w:val="0"/>
    <w:pPr>
      <w:ind w:left="3360" w:leftChars="1600"/>
    </w:pPr>
  </w:style>
  <w:style w:type="paragraph" w:customStyle="1" w:styleId="365">
    <w:name w:val="Char Char112"/>
    <w:basedOn w:val="1"/>
    <w:qFormat/>
    <w:uiPriority w:val="6"/>
    <w:pPr>
      <w:widowControl/>
      <w:spacing w:after="160" w:line="240" w:lineRule="exact"/>
      <w:jc w:val="left"/>
    </w:pPr>
    <w:rPr>
      <w:rFonts w:eastAsia="仿宋_GB2312"/>
      <w:sz w:val="28"/>
    </w:rPr>
  </w:style>
  <w:style w:type="paragraph" w:customStyle="1" w:styleId="366">
    <w:name w:val="列出段落2"/>
    <w:basedOn w:val="1"/>
    <w:qFormat/>
    <w:uiPriority w:val="0"/>
    <w:pPr>
      <w:adjustRightInd/>
      <w:ind w:firstLine="420" w:firstLineChars="200"/>
    </w:pPr>
    <w:rPr>
      <w:rFonts w:ascii="宋体" w:hAnsi="宋体"/>
      <w:sz w:val="24"/>
    </w:rPr>
  </w:style>
  <w:style w:type="paragraph" w:customStyle="1" w:styleId="367">
    <w:name w:val="目录 21"/>
    <w:basedOn w:val="1"/>
    <w:next w:val="1"/>
    <w:qFormat/>
    <w:uiPriority w:val="0"/>
    <w:pPr>
      <w:ind w:left="420" w:leftChars="200"/>
    </w:pPr>
  </w:style>
  <w:style w:type="paragraph" w:customStyle="1" w:styleId="368">
    <w:name w:val="数字标题1"/>
    <w:basedOn w:val="3"/>
    <w:next w:val="1"/>
    <w:qFormat/>
    <w:uiPriority w:val="0"/>
    <w:pPr>
      <w:tabs>
        <w:tab w:val="left" w:pos="480"/>
      </w:tabs>
      <w:ind w:left="480" w:hanging="480"/>
    </w:pPr>
  </w:style>
  <w:style w:type="paragraph" w:customStyle="1" w:styleId="369">
    <w:name w:val="四级条标题"/>
    <w:basedOn w:val="370"/>
    <w:next w:val="374"/>
    <w:qFormat/>
    <w:uiPriority w:val="0"/>
    <w:pPr>
      <w:tabs>
        <w:tab w:val="left" w:pos="360"/>
        <w:tab w:val="left" w:pos="1260"/>
        <w:tab w:val="left" w:pos="1680"/>
        <w:tab w:val="left" w:pos="2100"/>
        <w:tab w:val="left" w:pos="2520"/>
        <w:tab w:val="left" w:pos="2940"/>
      </w:tabs>
      <w:outlineLvl w:val="5"/>
    </w:pPr>
  </w:style>
  <w:style w:type="paragraph" w:customStyle="1" w:styleId="370">
    <w:name w:val="三级条标题"/>
    <w:basedOn w:val="371"/>
    <w:next w:val="374"/>
    <w:qFormat/>
    <w:uiPriority w:val="0"/>
    <w:pPr>
      <w:tabs>
        <w:tab w:val="left" w:pos="360"/>
        <w:tab w:val="left" w:pos="1260"/>
        <w:tab w:val="left" w:pos="1680"/>
        <w:tab w:val="left" w:pos="2100"/>
        <w:tab w:val="left" w:pos="2520"/>
      </w:tabs>
      <w:outlineLvl w:val="4"/>
    </w:pPr>
  </w:style>
  <w:style w:type="paragraph" w:customStyle="1" w:styleId="371">
    <w:name w:val="二级条标题"/>
    <w:basedOn w:val="372"/>
    <w:next w:val="374"/>
    <w:qFormat/>
    <w:uiPriority w:val="0"/>
    <w:pPr>
      <w:tabs>
        <w:tab w:val="left" w:pos="360"/>
        <w:tab w:val="left" w:pos="1260"/>
        <w:tab w:val="left" w:pos="1680"/>
        <w:tab w:val="left" w:pos="2100"/>
      </w:tabs>
      <w:outlineLvl w:val="3"/>
    </w:pPr>
  </w:style>
  <w:style w:type="paragraph" w:customStyle="1" w:styleId="372">
    <w:name w:val="一级条标题"/>
    <w:basedOn w:val="373"/>
    <w:next w:val="374"/>
    <w:qFormat/>
    <w:uiPriority w:val="0"/>
    <w:pPr>
      <w:tabs>
        <w:tab w:val="left" w:pos="360"/>
        <w:tab w:val="left" w:pos="1260"/>
        <w:tab w:val="left" w:pos="1680"/>
      </w:tabs>
      <w:ind w:left="1680" w:hanging="420"/>
      <w:outlineLvl w:val="2"/>
    </w:pPr>
  </w:style>
  <w:style w:type="paragraph" w:customStyle="1" w:styleId="373">
    <w:name w:val="章标题"/>
    <w:next w:val="374"/>
    <w:qFormat/>
    <w:uiPriority w:val="0"/>
    <w:pPr>
      <w:tabs>
        <w:tab w:val="left" w:pos="360"/>
        <w:tab w:val="left" w:pos="1260"/>
      </w:tabs>
      <w:spacing w:beforeLines="50" w:afterLines="50"/>
      <w:jc w:val="both"/>
      <w:outlineLvl w:val="1"/>
    </w:pPr>
    <w:rPr>
      <w:rFonts w:ascii="黑体" w:hAnsi="Times New Roman" w:eastAsia="黑体" w:cs="Times New Roman"/>
      <w:sz w:val="21"/>
      <w:lang w:val="en-US" w:eastAsia="zh-CN" w:bidi="ar-SA"/>
    </w:rPr>
  </w:style>
  <w:style w:type="paragraph" w:customStyle="1" w:styleId="37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7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76">
    <w:name w:val="样式 标题 3标题 3 Char第二层条h33Bold Headbh章标题1小标题level_3PIM 3..."/>
    <w:basedOn w:val="4"/>
    <w:qFormat/>
    <w:uiPriority w:val="0"/>
    <w:pPr>
      <w:numPr>
        <w:ilvl w:val="0"/>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377">
    <w:name w:val="目录 71"/>
    <w:basedOn w:val="1"/>
    <w:next w:val="1"/>
    <w:qFormat/>
    <w:uiPriority w:val="0"/>
    <w:pPr>
      <w:ind w:left="2520" w:leftChars="1200"/>
    </w:pPr>
  </w:style>
  <w:style w:type="paragraph" w:customStyle="1" w:styleId="378">
    <w:name w:val="单元格左对齐"/>
    <w:basedOn w:val="1"/>
    <w:qFormat/>
    <w:uiPriority w:val="0"/>
    <w:pPr>
      <w:adjustRightInd/>
      <w:spacing w:line="360" w:lineRule="auto"/>
    </w:pPr>
    <w:rPr>
      <w:sz w:val="24"/>
    </w:rPr>
  </w:style>
  <w:style w:type="paragraph" w:customStyle="1" w:styleId="379">
    <w:name w:val="数字标题5"/>
    <w:basedOn w:val="6"/>
    <w:next w:val="1"/>
    <w:qFormat/>
    <w:uiPriority w:val="0"/>
    <w:pPr>
      <w:tabs>
        <w:tab w:val="left" w:pos="480"/>
        <w:tab w:val="left" w:pos="1080"/>
      </w:tabs>
      <w:ind w:left="480" w:hanging="480"/>
    </w:pPr>
  </w:style>
  <w:style w:type="paragraph" w:customStyle="1" w:styleId="380">
    <w:name w:val="目录 51"/>
    <w:basedOn w:val="1"/>
    <w:next w:val="1"/>
    <w:qFormat/>
    <w:uiPriority w:val="0"/>
    <w:pPr>
      <w:ind w:left="1680" w:leftChars="800"/>
    </w:pPr>
  </w:style>
  <w:style w:type="paragraph" w:customStyle="1" w:styleId="38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382">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38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84">
    <w:name w:val="Char11"/>
    <w:basedOn w:val="1"/>
    <w:qFormat/>
    <w:uiPriority w:val="0"/>
    <w:pPr>
      <w:tabs>
        <w:tab w:val="left" w:pos="432"/>
      </w:tabs>
      <w:adjustRightInd/>
      <w:spacing w:beforeLines="50" w:afterLines="50"/>
      <w:ind w:left="432" w:hanging="432" w:firstLineChars="200"/>
    </w:pPr>
    <w:rPr>
      <w:sz w:val="24"/>
    </w:rPr>
  </w:style>
  <w:style w:type="paragraph" w:customStyle="1" w:styleId="385">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386">
    <w:name w:val="样式 标题 4PIM 4H4h4bulletblbbH41H42H43H44H45H46H47H48...1"/>
    <w:basedOn w:val="5"/>
    <w:qFormat/>
    <w:uiPriority w:val="0"/>
    <w:pPr>
      <w:widowControl/>
      <w:jc w:val="left"/>
    </w:pPr>
    <w:rPr>
      <w:rFonts w:cs="宋体"/>
      <w:sz w:val="24"/>
      <w:szCs w:val="20"/>
    </w:rPr>
  </w:style>
  <w:style w:type="paragraph" w:customStyle="1" w:styleId="387">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88">
    <w:name w:val="目录 31"/>
    <w:basedOn w:val="1"/>
    <w:next w:val="1"/>
    <w:qFormat/>
    <w:uiPriority w:val="0"/>
    <w:pPr>
      <w:tabs>
        <w:tab w:val="right" w:leader="dot" w:pos="8268"/>
      </w:tabs>
      <w:spacing w:line="460" w:lineRule="exact"/>
      <w:ind w:left="840" w:leftChars="400" w:firstLine="482"/>
    </w:pPr>
    <w:rPr>
      <w:rFonts w:ascii="宋体" w:hAnsi="宋体"/>
    </w:rPr>
  </w:style>
  <w:style w:type="paragraph" w:customStyle="1" w:styleId="389">
    <w:name w:val="目录 11"/>
    <w:basedOn w:val="1"/>
    <w:next w:val="1"/>
    <w:qFormat/>
    <w:uiPriority w:val="0"/>
  </w:style>
  <w:style w:type="paragraph" w:customStyle="1" w:styleId="39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39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9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394">
    <w:name w:val="样式6"/>
    <w:basedOn w:val="28"/>
    <w:qFormat/>
    <w:uiPriority w:val="0"/>
    <w:pPr>
      <w:spacing w:line="460" w:lineRule="exact"/>
      <w:outlineLvl w:val="2"/>
    </w:pPr>
    <w:rPr>
      <w:rFonts w:ascii="仿宋_GB2312" w:hAnsi="宋体" w:eastAsia="仿宋_GB2312"/>
      <w:b/>
      <w:bCs/>
      <w:sz w:val="24"/>
      <w:szCs w:val="24"/>
    </w:rPr>
  </w:style>
  <w:style w:type="paragraph" w:customStyle="1" w:styleId="395">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96">
    <w:name w:val="目录 81"/>
    <w:basedOn w:val="1"/>
    <w:next w:val="1"/>
    <w:qFormat/>
    <w:uiPriority w:val="0"/>
    <w:pPr>
      <w:ind w:left="2940" w:leftChars="1400"/>
    </w:p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399">
    <w:name w:val="小节"/>
    <w:basedOn w:val="4"/>
    <w:qFormat/>
    <w:uiPriority w:val="0"/>
    <w:pPr>
      <w:numPr>
        <w:ilvl w:val="0"/>
        <w:numId w:val="0"/>
      </w:numPr>
      <w:adjustRightInd/>
      <w:spacing w:before="200" w:after="200" w:line="560" w:lineRule="exact"/>
      <w:jc w:val="left"/>
    </w:pPr>
    <w:rPr>
      <w:rFonts w:ascii="宋体" w:hAnsi="宋体"/>
      <w:bCs w:val="0"/>
      <w:color w:val="000000"/>
      <w:spacing w:val="10"/>
      <w:kern w:val="24"/>
      <w:sz w:val="28"/>
    </w:rPr>
  </w:style>
  <w:style w:type="paragraph" w:customStyle="1" w:styleId="400">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40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40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403">
    <w:name w:val="List Paragraph1"/>
    <w:basedOn w:val="1"/>
    <w:qFormat/>
    <w:uiPriority w:val="99"/>
    <w:pPr>
      <w:adjustRightInd/>
      <w:ind w:firstLine="420" w:firstLineChars="200"/>
    </w:pPr>
    <w:rPr>
      <w:rFonts w:ascii="Calibri" w:hAnsi="Calibri"/>
      <w:szCs w:val="22"/>
    </w:rPr>
  </w:style>
  <w:style w:type="paragraph" w:customStyle="1" w:styleId="4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05">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06">
    <w:name w:val="标题五"/>
    <w:basedOn w:val="1"/>
    <w:qFormat/>
    <w:uiPriority w:val="0"/>
    <w:pPr>
      <w:adjustRightInd/>
      <w:spacing w:beforeLines="50" w:line="360" w:lineRule="auto"/>
    </w:pPr>
    <w:rPr>
      <w:b/>
      <w:sz w:val="24"/>
    </w:rPr>
  </w:style>
  <w:style w:type="paragraph" w:customStyle="1" w:styleId="407">
    <w:name w:val="正文缩进1"/>
    <w:basedOn w:val="1"/>
    <w:next w:val="21"/>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40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409">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410">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41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412">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1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1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17">
    <w:name w:val="五级条标题"/>
    <w:basedOn w:val="369"/>
    <w:next w:val="374"/>
    <w:qFormat/>
    <w:uiPriority w:val="0"/>
    <w:pPr>
      <w:tabs>
        <w:tab w:val="clear" w:pos="2940"/>
      </w:tabs>
      <w:outlineLvl w:val="6"/>
    </w:pPr>
  </w:style>
  <w:style w:type="paragraph" w:customStyle="1" w:styleId="418">
    <w:name w:val="列表内容"/>
    <w:basedOn w:val="1"/>
    <w:next w:val="1"/>
    <w:qFormat/>
    <w:uiPriority w:val="0"/>
    <w:pPr>
      <w:widowControl/>
      <w:tabs>
        <w:tab w:val="left" w:pos="840"/>
      </w:tabs>
      <w:ind w:left="840" w:hanging="420"/>
      <w:jc w:val="left"/>
    </w:pPr>
    <w:rPr>
      <w:kern w:val="0"/>
      <w:sz w:val="18"/>
    </w:rPr>
  </w:style>
  <w:style w:type="paragraph" w:customStyle="1" w:styleId="419">
    <w:name w:val="正文文字缩进2字"/>
    <w:basedOn w:val="20"/>
    <w:qFormat/>
    <w:uiPriority w:val="0"/>
    <w:pPr>
      <w:autoSpaceDE/>
      <w:autoSpaceDN/>
      <w:adjustRightInd/>
      <w:spacing w:before="60" w:after="60"/>
      <w:ind w:firstLine="200" w:firstLineChars="200"/>
    </w:pPr>
    <w:rPr>
      <w:rFonts w:ascii="Times New Roman"/>
      <w:szCs w:val="20"/>
      <w:lang w:val="en-US"/>
    </w:rPr>
  </w:style>
  <w:style w:type="paragraph" w:customStyle="1" w:styleId="420">
    <w:name w:val="Char Char1 Char1"/>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21">
    <w:name w:val="Char19"/>
    <w:basedOn w:val="1"/>
    <w:qFormat/>
    <w:uiPriority w:val="0"/>
    <w:pPr>
      <w:adjustRightInd/>
    </w:pPr>
    <w:rPr>
      <w:szCs w:val="20"/>
    </w:rPr>
  </w:style>
  <w:style w:type="paragraph" w:customStyle="1" w:styleId="422">
    <w:name w:val="正文缩进一"/>
    <w:basedOn w:val="1"/>
    <w:next w:val="1"/>
    <w:qFormat/>
    <w:uiPriority w:val="99"/>
    <w:pPr>
      <w:widowControl/>
      <w:tabs>
        <w:tab w:val="left" w:pos="425"/>
      </w:tabs>
      <w:snapToGrid w:val="0"/>
      <w:spacing w:line="360" w:lineRule="auto"/>
      <w:ind w:left="425" w:hanging="425"/>
    </w:pPr>
    <w:rPr>
      <w:rFonts w:ascii="宋体" w:hAnsi="宋体"/>
      <w:spacing w:val="8"/>
      <w:kern w:val="0"/>
      <w:sz w:val="28"/>
      <w:szCs w:val="20"/>
    </w:rPr>
  </w:style>
  <w:style w:type="paragraph" w:customStyle="1" w:styleId="42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24">
    <w:name w:val="样式 列表编号 + 段后: 0.5 行"/>
    <w:basedOn w:val="12"/>
    <w:qFormat/>
    <w:uiPriority w:val="2"/>
    <w:pPr>
      <w:tabs>
        <w:tab w:val="clear" w:pos="390"/>
        <w:tab w:val="clear" w:pos="454"/>
      </w:tabs>
      <w:ind w:left="840" w:hanging="420"/>
      <w:contextualSpacing/>
    </w:pPr>
    <w:rPr>
      <w:rFonts w:cs="宋体"/>
    </w:rPr>
  </w:style>
  <w:style w:type="paragraph" w:customStyle="1" w:styleId="425">
    <w:name w:val="文本正文 Char"/>
    <w:basedOn w:val="1"/>
    <w:qFormat/>
    <w:uiPriority w:val="0"/>
    <w:pPr>
      <w:spacing w:line="360" w:lineRule="auto"/>
      <w:ind w:firstLine="200" w:firstLineChars="200"/>
    </w:pPr>
    <w:rPr>
      <w:kern w:val="0"/>
      <w:sz w:val="24"/>
      <w:szCs w:val="20"/>
    </w:rPr>
  </w:style>
  <w:style w:type="paragraph" w:customStyle="1" w:styleId="4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427">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428">
    <w:name w:val="列出段落11"/>
    <w:basedOn w:val="1"/>
    <w:qFormat/>
    <w:uiPriority w:val="34"/>
    <w:pPr>
      <w:adjustRightInd/>
      <w:ind w:firstLine="420" w:firstLineChars="200"/>
    </w:pPr>
    <w:rPr>
      <w:rFonts w:ascii="Calibri" w:hAnsi="Calibri"/>
      <w:szCs w:val="22"/>
    </w:rPr>
  </w:style>
  <w:style w:type="paragraph" w:customStyle="1" w:styleId="429">
    <w:name w:val="Char Char11 Char Char Char Char Char Char Char Char Char"/>
    <w:basedOn w:val="1"/>
    <w:qFormat/>
    <w:uiPriority w:val="0"/>
    <w:pPr>
      <w:spacing w:line="360" w:lineRule="auto"/>
    </w:pPr>
    <w:rPr>
      <w:szCs w:val="20"/>
    </w:rPr>
  </w:style>
  <w:style w:type="paragraph" w:customStyle="1" w:styleId="43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3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Char Char Char1 Char"/>
    <w:basedOn w:val="1"/>
    <w:qFormat/>
    <w:uiPriority w:val="0"/>
    <w:rPr>
      <w:szCs w:val="20"/>
    </w:rPr>
  </w:style>
  <w:style w:type="paragraph" w:customStyle="1" w:styleId="43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35">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436">
    <w:name w:val="Char Char Char Char Char Char Char Char Char Char1"/>
    <w:basedOn w:val="1"/>
    <w:qFormat/>
    <w:uiPriority w:val="0"/>
    <w:rPr>
      <w:rFonts w:ascii="仿宋_GB2312" w:eastAsia="仿宋_GB2312"/>
      <w:b/>
      <w:sz w:val="32"/>
      <w:szCs w:val="32"/>
    </w:rPr>
  </w:style>
  <w:style w:type="paragraph" w:customStyle="1" w:styleId="437">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43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439">
    <w:name w:val="TOC 标题1"/>
    <w:basedOn w:val="3"/>
    <w:next w:val="1"/>
    <w:qFormat/>
    <w:uiPriority w:val="39"/>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4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44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442">
    <w:name w:val="EB_表格"/>
    <w:basedOn w:val="1"/>
    <w:qFormat/>
    <w:uiPriority w:val="0"/>
    <w:pPr>
      <w:adjustRightInd/>
      <w:spacing w:line="300" w:lineRule="auto"/>
      <w:jc w:val="center"/>
    </w:pPr>
  </w:style>
  <w:style w:type="paragraph" w:customStyle="1" w:styleId="44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445">
    <w:name w:val="Char Char Char Char Char Char Char Char Char Char Char Char1 Char"/>
    <w:basedOn w:val="1"/>
    <w:qFormat/>
    <w:uiPriority w:val="0"/>
    <w:rPr>
      <w:rFonts w:ascii="Tahoma" w:hAnsi="Tahoma" w:cs="仿宋_GB2312"/>
      <w:sz w:val="24"/>
      <w:szCs w:val="20"/>
    </w:rPr>
  </w:style>
  <w:style w:type="paragraph" w:customStyle="1" w:styleId="446">
    <w:name w:val="Thf"/>
    <w:basedOn w:val="447"/>
    <w:qFormat/>
    <w:uiPriority w:val="0"/>
    <w:pPr>
      <w:ind w:left="0"/>
    </w:pPr>
  </w:style>
  <w:style w:type="paragraph" w:customStyle="1" w:styleId="447">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448">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49">
    <w:name w:val="Char Char1 Char Char Char Char Char Char"/>
    <w:basedOn w:val="1"/>
    <w:qFormat/>
    <w:uiPriority w:val="0"/>
    <w:rPr>
      <w:rFonts w:ascii="仿宋_GB2312" w:eastAsia="仿宋_GB2312"/>
      <w:b/>
      <w:sz w:val="32"/>
      <w:szCs w:val="20"/>
    </w:rPr>
  </w:style>
  <w:style w:type="paragraph" w:customStyle="1" w:styleId="450">
    <w:name w:val="模板普通正文"/>
    <w:basedOn w:val="21"/>
    <w:qFormat/>
    <w:uiPriority w:val="0"/>
    <w:pPr>
      <w:adjustRightInd/>
      <w:spacing w:beforeLines="50" w:after="10" w:line="360" w:lineRule="auto"/>
      <w:ind w:firstLine="175" w:firstLineChars="175"/>
      <w:jc w:val="left"/>
    </w:pPr>
    <w:rPr>
      <w:rFonts w:ascii="Times New Roman" w:hAnsi="Times New Roman"/>
    </w:rPr>
  </w:style>
  <w:style w:type="paragraph" w:customStyle="1" w:styleId="451">
    <w:name w:val="正文首行缩进1"/>
    <w:basedOn w:val="20"/>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452">
    <w:name w:val="CSS1级正文 Char"/>
    <w:basedOn w:val="20"/>
    <w:qFormat/>
    <w:uiPriority w:val="0"/>
    <w:pPr>
      <w:autoSpaceDE/>
      <w:autoSpaceDN/>
      <w:snapToGrid w:val="0"/>
      <w:ind w:firstLine="480" w:firstLineChars="200"/>
    </w:pPr>
    <w:rPr>
      <w:rFonts w:ascii="Times New Roman"/>
      <w:szCs w:val="24"/>
      <w:lang w:val="en-US"/>
    </w:rPr>
  </w:style>
  <w:style w:type="paragraph" w:customStyle="1" w:styleId="453">
    <w:name w:val="Char Char Char Char Char Char Char Char Char Char"/>
    <w:basedOn w:val="1"/>
    <w:qFormat/>
    <w:uiPriority w:val="0"/>
    <w:rPr>
      <w:rFonts w:ascii="仿宋_GB2312" w:eastAsia="仿宋_GB2312"/>
      <w:b/>
      <w:sz w:val="32"/>
      <w:szCs w:val="32"/>
    </w:rPr>
  </w:style>
  <w:style w:type="paragraph" w:customStyle="1" w:styleId="454">
    <w:name w:val="封面"/>
    <w:basedOn w:val="1"/>
    <w:qFormat/>
    <w:uiPriority w:val="0"/>
    <w:pPr>
      <w:spacing w:line="360" w:lineRule="atLeast"/>
      <w:jc w:val="right"/>
      <w:textAlignment w:val="baseline"/>
    </w:pPr>
    <w:rPr>
      <w:rFonts w:ascii="Symbol" w:hAnsi="Symbol"/>
      <w:kern w:val="0"/>
      <w:szCs w:val="20"/>
    </w:rPr>
  </w:style>
  <w:style w:type="paragraph" w:customStyle="1" w:styleId="45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456">
    <w:name w:val="标题4_自定义"/>
    <w:basedOn w:val="5"/>
    <w:qFormat/>
    <w:uiPriority w:val="0"/>
    <w:pPr>
      <w:adjustRightInd/>
      <w:spacing w:before="0" w:after="0" w:line="360" w:lineRule="auto"/>
      <w:ind w:left="0" w:firstLine="0"/>
    </w:pPr>
    <w:rPr>
      <w:rFonts w:ascii="Verdana" w:eastAsia="Verdana"/>
      <w:sz w:val="21"/>
      <w:lang w:val="en-US"/>
    </w:rPr>
  </w:style>
  <w:style w:type="paragraph" w:customStyle="1" w:styleId="45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58">
    <w:name w:val="标书标题4"/>
    <w:basedOn w:val="5"/>
    <w:qFormat/>
    <w:uiPriority w:val="0"/>
    <w:pPr>
      <w:keepLines w:val="0"/>
      <w:snapToGrid w:val="0"/>
      <w:spacing w:before="0" w:after="0" w:line="300" w:lineRule="auto"/>
      <w:ind w:left="0" w:firstLine="0"/>
    </w:pPr>
    <w:rPr>
      <w:rFonts w:ascii="Arial Narrow" w:hAnsi="Arial Narrow" w:eastAsia="仿宋_GB2312"/>
      <w:bCs w:val="0"/>
      <w:color w:val="000000"/>
      <w:kern w:val="0"/>
      <w:szCs w:val="32"/>
      <w:lang w:val="en-US"/>
    </w:rPr>
  </w:style>
  <w:style w:type="paragraph" w:customStyle="1" w:styleId="459">
    <w:name w:val="_Style 412"/>
    <w:next w:val="1"/>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customStyle="1" w:styleId="460">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461">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2">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6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464">
    <w:name w:val="样式 标题 3H3 + 两端对齐"/>
    <w:basedOn w:val="4"/>
    <w:qFormat/>
    <w:uiPriority w:val="0"/>
    <w:pPr>
      <w:keepLines w:val="0"/>
      <w:numPr>
        <w:ilvl w:val="0"/>
        <w:numId w:val="0"/>
      </w:numPr>
      <w:spacing w:before="0" w:after="0" w:line="240" w:lineRule="auto"/>
      <w:jc w:val="left"/>
    </w:pPr>
    <w:rPr>
      <w:rFonts w:cs="宋体"/>
      <w:sz w:val="21"/>
      <w:szCs w:val="20"/>
    </w:rPr>
  </w:style>
  <w:style w:type="paragraph" w:customStyle="1" w:styleId="465">
    <w:name w:val="trademark"/>
    <w:qFormat/>
    <w:uiPriority w:val="0"/>
    <w:pPr>
      <w:spacing w:after="60"/>
    </w:pPr>
    <w:rPr>
      <w:rFonts w:ascii="Futura Bk" w:hAnsi="Futura Bk" w:eastAsia="宋体" w:cs="Times New Roman"/>
      <w:sz w:val="15"/>
      <w:lang w:val="en-US" w:eastAsia="en-US" w:bidi="ar-SA"/>
    </w:rPr>
  </w:style>
  <w:style w:type="paragraph" w:customStyle="1" w:styleId="466">
    <w:name w:val="Char31"/>
    <w:basedOn w:val="1"/>
    <w:qFormat/>
    <w:uiPriority w:val="0"/>
    <w:pPr>
      <w:adjustRightInd/>
    </w:pPr>
    <w:rPr>
      <w:rFonts w:ascii="仿宋_GB2312" w:eastAsia="仿宋_GB2312"/>
      <w:b/>
      <w:sz w:val="32"/>
      <w:szCs w:val="32"/>
    </w:rPr>
  </w:style>
  <w:style w:type="paragraph" w:customStyle="1" w:styleId="467">
    <w:name w:val="Char Char Char Char Char Char Char Char Char Char Char1 Char"/>
    <w:basedOn w:val="1"/>
    <w:qFormat/>
    <w:uiPriority w:val="0"/>
    <w:pPr>
      <w:adjustRightInd/>
    </w:pPr>
    <w:rPr>
      <w:rFonts w:ascii="Tahoma" w:hAnsi="Tahoma"/>
      <w:sz w:val="24"/>
    </w:rPr>
  </w:style>
  <w:style w:type="paragraph" w:customStyle="1" w:styleId="468">
    <w:name w:val="!大节"/>
    <w:basedOn w:val="2"/>
    <w:qFormat/>
    <w:uiPriority w:val="0"/>
    <w:pPr>
      <w:spacing w:before="260" w:after="260" w:line="415" w:lineRule="auto"/>
      <w:ind w:left="420" w:hanging="420"/>
    </w:pPr>
    <w:rPr>
      <w:rFonts w:ascii="Arial" w:hAnsi="Arial" w:eastAsia="微软雅黑"/>
      <w:lang w:val="en-US"/>
    </w:rPr>
  </w:style>
  <w:style w:type="paragraph" w:customStyle="1" w:styleId="469">
    <w:name w:val="正文表标题"/>
    <w:next w:val="37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470">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471">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72">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47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74">
    <w:name w:val="Char1 Char Char Char"/>
    <w:basedOn w:val="1"/>
    <w:qFormat/>
    <w:uiPriority w:val="0"/>
    <w:rPr>
      <w:rFonts w:ascii="Tahoma" w:hAnsi="Tahoma"/>
      <w:sz w:val="24"/>
      <w:szCs w:val="20"/>
    </w:rPr>
  </w:style>
  <w:style w:type="paragraph" w:customStyle="1" w:styleId="475">
    <w:name w:val="MM Topic 3"/>
    <w:basedOn w:val="4"/>
    <w:qFormat/>
    <w:uiPriority w:val="0"/>
    <w:pPr>
      <w:numPr>
        <w:ilvl w:val="0"/>
        <w:numId w:val="0"/>
      </w:numPr>
      <w:tabs>
        <w:tab w:val="left" w:pos="840"/>
        <w:tab w:val="left" w:pos="1680"/>
      </w:tabs>
      <w:adjustRightInd/>
      <w:ind w:left="1680" w:hanging="420"/>
    </w:pPr>
  </w:style>
  <w:style w:type="paragraph" w:customStyle="1" w:styleId="47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477">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7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479">
    <w:name w:val="a1"/>
    <w:basedOn w:val="1"/>
    <w:qFormat/>
    <w:uiPriority w:val="0"/>
    <w:pPr>
      <w:widowControl/>
      <w:spacing w:line="300" w:lineRule="atLeast"/>
      <w:jc w:val="left"/>
    </w:pPr>
    <w:rPr>
      <w:rFonts w:ascii="宋体" w:hAnsi="宋体"/>
      <w:kern w:val="0"/>
      <w:sz w:val="18"/>
      <w:szCs w:val="20"/>
    </w:rPr>
  </w:style>
  <w:style w:type="paragraph" w:customStyle="1" w:styleId="48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81">
    <w:name w:val="Char Char110"/>
    <w:basedOn w:val="1"/>
    <w:qFormat/>
    <w:uiPriority w:val="0"/>
    <w:pPr>
      <w:spacing w:line="360" w:lineRule="auto"/>
    </w:pPr>
    <w:rPr>
      <w:rFonts w:ascii="Tahoma" w:hAnsi="Tahoma"/>
      <w:sz w:val="24"/>
      <w:szCs w:val="20"/>
    </w:rPr>
  </w:style>
  <w:style w:type="paragraph" w:customStyle="1" w:styleId="48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83">
    <w:name w:val="表格题注"/>
    <w:next w:val="1"/>
    <w:qFormat/>
    <w:uiPriority w:val="0"/>
    <w:pPr>
      <w:keepLines/>
      <w:tabs>
        <w:tab w:val="left" w:pos="360"/>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85">
    <w:name w:val="正文文字表格居中"/>
    <w:basedOn w:val="1"/>
    <w:next w:val="44"/>
    <w:qFormat/>
    <w:uiPriority w:val="0"/>
    <w:pPr>
      <w:snapToGrid w:val="0"/>
      <w:spacing w:line="360" w:lineRule="auto"/>
    </w:pPr>
    <w:rPr>
      <w:rFonts w:ascii="宋体"/>
      <w:b/>
      <w:sz w:val="24"/>
      <w:szCs w:val="20"/>
    </w:rPr>
  </w:style>
  <w:style w:type="paragraph" w:customStyle="1" w:styleId="486">
    <w:name w:val="修订1"/>
    <w:qFormat/>
    <w:uiPriority w:val="3"/>
    <w:rPr>
      <w:rFonts w:ascii="Times New Roman" w:hAnsi="Times New Roman" w:eastAsia="宋体" w:cs="Times New Roman"/>
      <w:color w:val="000000"/>
      <w:kern w:val="1"/>
      <w:sz w:val="21"/>
      <w:lang w:val="en-US" w:eastAsia="zh-CN" w:bidi="ar-SA"/>
    </w:rPr>
  </w:style>
  <w:style w:type="paragraph" w:customStyle="1" w:styleId="48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488">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489">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90">
    <w:name w:val="正文 项目2"/>
    <w:basedOn w:val="491"/>
    <w:qFormat/>
    <w:uiPriority w:val="0"/>
    <w:pPr>
      <w:tabs>
        <w:tab w:val="left" w:pos="840"/>
      </w:tabs>
      <w:spacing w:after="0"/>
      <w:ind w:left="900"/>
    </w:pPr>
  </w:style>
  <w:style w:type="paragraph" w:customStyle="1" w:styleId="49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92">
    <w:name w:val="左对齐表格文字"/>
    <w:basedOn w:val="1"/>
    <w:qFormat/>
    <w:uiPriority w:val="0"/>
    <w:pPr>
      <w:adjustRightInd/>
      <w:ind w:firstLine="200" w:firstLineChars="200"/>
      <w:jc w:val="right"/>
    </w:pPr>
  </w:style>
  <w:style w:type="paragraph" w:customStyle="1" w:styleId="49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494">
    <w:name w:val="4"/>
    <w:basedOn w:val="1"/>
    <w:next w:val="31"/>
    <w:qFormat/>
    <w:uiPriority w:val="0"/>
    <w:pPr>
      <w:spacing w:after="120" w:line="480" w:lineRule="auto"/>
      <w:ind w:left="420" w:leftChars="200"/>
    </w:pPr>
    <w:rPr>
      <w:sz w:val="24"/>
      <w:szCs w:val="20"/>
    </w:rPr>
  </w:style>
  <w:style w:type="paragraph" w:customStyle="1" w:styleId="495">
    <w:name w:val="0"/>
    <w:basedOn w:val="1"/>
    <w:qFormat/>
    <w:uiPriority w:val="0"/>
    <w:pPr>
      <w:widowControl/>
    </w:pPr>
    <w:rPr>
      <w:kern w:val="0"/>
      <w:sz w:val="24"/>
      <w:szCs w:val="20"/>
    </w:rPr>
  </w:style>
  <w:style w:type="paragraph" w:customStyle="1" w:styleId="496">
    <w:name w:val="封面公司名"/>
    <w:qFormat/>
    <w:uiPriority w:val="0"/>
    <w:pPr>
      <w:jc w:val="center"/>
    </w:pPr>
    <w:rPr>
      <w:rFonts w:ascii="Arial" w:hAnsi="Arial" w:eastAsia="楷体_GB2312" w:cs="宋体"/>
      <w:bCs/>
      <w:kern w:val="2"/>
      <w:sz w:val="28"/>
      <w:lang w:val="en-US" w:eastAsia="zh-CN" w:bidi="ar-SA"/>
    </w:rPr>
  </w:style>
  <w:style w:type="paragraph" w:customStyle="1" w:styleId="497">
    <w:name w:val="MM Empty"/>
    <w:basedOn w:val="1"/>
    <w:qFormat/>
    <w:uiPriority w:val="0"/>
    <w:pPr>
      <w:adjustRightInd/>
    </w:pPr>
  </w:style>
  <w:style w:type="paragraph" w:customStyle="1" w:styleId="498">
    <w:name w:val="Char Char Char Char Char Char Char"/>
    <w:basedOn w:val="1"/>
    <w:qFormat/>
    <w:uiPriority w:val="0"/>
    <w:rPr>
      <w:rFonts w:ascii="仿宋_GB2312" w:eastAsia="仿宋_GB2312"/>
      <w:b/>
      <w:sz w:val="32"/>
      <w:szCs w:val="32"/>
    </w:rPr>
  </w:style>
  <w:style w:type="paragraph" w:customStyle="1" w:styleId="499">
    <w:name w:val="默认段落字体 Para Char"/>
    <w:basedOn w:val="1"/>
    <w:qFormat/>
    <w:uiPriority w:val="0"/>
    <w:rPr>
      <w:rFonts w:ascii="Tahoma" w:hAnsi="Tahoma"/>
      <w:sz w:val="24"/>
      <w:szCs w:val="20"/>
    </w:rPr>
  </w:style>
  <w:style w:type="paragraph" w:customStyle="1" w:styleId="50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50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502">
    <w:name w:val="Char2 Char Char"/>
    <w:basedOn w:val="1"/>
    <w:qFormat/>
    <w:uiPriority w:val="0"/>
    <w:pPr>
      <w:adjustRightInd/>
    </w:pPr>
    <w:rPr>
      <w:rFonts w:ascii="Tahoma" w:hAnsi="Tahoma"/>
      <w:sz w:val="24"/>
      <w:szCs w:val="20"/>
    </w:rPr>
  </w:style>
  <w:style w:type="paragraph" w:customStyle="1" w:styleId="503">
    <w:name w:val="Char Char1 Char"/>
    <w:basedOn w:val="1"/>
    <w:qFormat/>
    <w:uiPriority w:val="0"/>
    <w:rPr>
      <w:rFonts w:ascii="仿宋_GB2312" w:eastAsia="仿宋_GB2312"/>
      <w:b/>
      <w:sz w:val="32"/>
      <w:szCs w:val="32"/>
    </w:rPr>
  </w:style>
  <w:style w:type="paragraph" w:customStyle="1" w:styleId="504">
    <w:name w:val="Table Text"/>
    <w:basedOn w:val="1"/>
    <w:qFormat/>
    <w:uiPriority w:val="0"/>
    <w:pPr>
      <w:widowControl/>
      <w:spacing w:before="60" w:after="60"/>
      <w:jc w:val="left"/>
    </w:pPr>
    <w:rPr>
      <w:kern w:val="0"/>
      <w:sz w:val="24"/>
    </w:rPr>
  </w:style>
  <w:style w:type="paragraph" w:customStyle="1" w:styleId="505">
    <w:name w:val="Body Text 2*"/>
    <w:basedOn w:val="1"/>
    <w:qFormat/>
    <w:uiPriority w:val="6"/>
    <w:pPr>
      <w:widowControl/>
      <w:adjustRightInd/>
      <w:ind w:left="720" w:hanging="720"/>
    </w:pPr>
    <w:rPr>
      <w:color w:val="000000"/>
      <w:kern w:val="0"/>
      <w:sz w:val="24"/>
      <w:szCs w:val="20"/>
      <w:lang w:val="en-GB"/>
    </w:rPr>
  </w:style>
  <w:style w:type="paragraph" w:customStyle="1" w:styleId="50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07">
    <w:name w:val="Char1 Char Char Char1"/>
    <w:basedOn w:val="1"/>
    <w:qFormat/>
    <w:uiPriority w:val="0"/>
    <w:pPr>
      <w:adjustRightInd/>
      <w:ind w:firstLine="200" w:firstLineChars="200"/>
    </w:pPr>
    <w:rPr>
      <w:rFonts w:ascii="Tahoma" w:hAnsi="Tahoma"/>
      <w:sz w:val="24"/>
      <w:szCs w:val="20"/>
    </w:rPr>
  </w:style>
  <w:style w:type="paragraph" w:customStyle="1" w:styleId="508">
    <w:name w:val="标书标题3"/>
    <w:basedOn w:val="4"/>
    <w:qFormat/>
    <w:uiPriority w:val="0"/>
    <w:pPr>
      <w:keepLines w:val="0"/>
      <w:widowControl/>
      <w:numPr>
        <w:ilvl w:val="0"/>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09">
    <w:name w:val="样式1 + (中宋体"/>
    <w:basedOn w:val="387"/>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510">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11">
    <w:name w:val="Char Char Char Char Char Char Char Char"/>
    <w:basedOn w:val="1"/>
    <w:qFormat/>
    <w:uiPriority w:val="0"/>
    <w:pPr>
      <w:tabs>
        <w:tab w:val="left" w:pos="360"/>
      </w:tabs>
    </w:pPr>
    <w:rPr>
      <w:sz w:val="24"/>
      <w:szCs w:val="20"/>
    </w:rPr>
  </w:style>
  <w:style w:type="paragraph" w:customStyle="1" w:styleId="512">
    <w:name w:val="默认段落字体 Para Char Char Char Char"/>
    <w:basedOn w:val="1"/>
    <w:qFormat/>
    <w:uiPriority w:val="0"/>
    <w:pPr>
      <w:spacing w:line="360" w:lineRule="auto"/>
    </w:pPr>
    <w:rPr>
      <w:szCs w:val="20"/>
    </w:rPr>
  </w:style>
  <w:style w:type="paragraph" w:customStyle="1" w:styleId="51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14">
    <w:name w:val="Char Char Char1 Char1"/>
    <w:basedOn w:val="1"/>
    <w:qFormat/>
    <w:uiPriority w:val="0"/>
    <w:rPr>
      <w:szCs w:val="20"/>
    </w:rPr>
  </w:style>
  <w:style w:type="paragraph" w:customStyle="1" w:styleId="515">
    <w:name w:val="数字标题6"/>
    <w:basedOn w:val="7"/>
    <w:next w:val="1"/>
    <w:qFormat/>
    <w:uiPriority w:val="0"/>
    <w:pPr>
      <w:tabs>
        <w:tab w:val="left" w:pos="480"/>
        <w:tab w:val="left" w:pos="1080"/>
      </w:tabs>
      <w:ind w:left="480" w:hanging="480"/>
    </w:pPr>
    <w:rPr>
      <w:rFonts w:ascii="Times New Roman" w:hAnsi="Times New Roman" w:eastAsia="宋体"/>
      <w:i/>
    </w:rPr>
  </w:style>
  <w:style w:type="paragraph" w:customStyle="1" w:styleId="51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17">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1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19">
    <w:name w:val="Char1 Char Char Char4"/>
    <w:basedOn w:val="1"/>
    <w:qFormat/>
    <w:uiPriority w:val="0"/>
    <w:pPr>
      <w:adjustRightInd/>
      <w:ind w:firstLine="200" w:firstLineChars="200"/>
    </w:pPr>
    <w:rPr>
      <w:rFonts w:ascii="Tahoma" w:hAnsi="Tahoma"/>
      <w:sz w:val="24"/>
      <w:szCs w:val="20"/>
    </w:rPr>
  </w:style>
  <w:style w:type="paragraph" w:customStyle="1" w:styleId="52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521">
    <w:name w:val="正文－恩普"/>
    <w:basedOn w:val="13"/>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52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523">
    <w:name w:val="Char Char11 Char Char Char"/>
    <w:basedOn w:val="1"/>
    <w:qFormat/>
    <w:uiPriority w:val="0"/>
    <w:pPr>
      <w:spacing w:line="360" w:lineRule="auto"/>
    </w:pPr>
    <w:rPr>
      <w:szCs w:val="20"/>
    </w:rPr>
  </w:style>
  <w:style w:type="paragraph" w:customStyle="1" w:styleId="524">
    <w:name w:val="标书标题2"/>
    <w:basedOn w:val="2"/>
    <w:qFormat/>
    <w:uiPriority w:val="0"/>
    <w:pPr>
      <w:keepLines w:val="0"/>
      <w:widowControl/>
      <w:tabs>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样式 样式2 + 左侧:  1 字符 右侧:  1 字符"/>
    <w:basedOn w:val="52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52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52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2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30">
    <w:name w:val="正文21"/>
    <w:basedOn w:val="1"/>
    <w:qFormat/>
    <w:uiPriority w:val="0"/>
    <w:pPr>
      <w:adjustRightInd/>
      <w:spacing w:before="156" w:line="360" w:lineRule="auto"/>
      <w:ind w:firstLine="510" w:firstLineChars="200"/>
    </w:pPr>
    <w:rPr>
      <w:sz w:val="24"/>
      <w:szCs w:val="20"/>
    </w:rPr>
  </w:style>
  <w:style w:type="paragraph" w:customStyle="1" w:styleId="531">
    <w:name w:val="正文文字缩进项目"/>
    <w:basedOn w:val="21"/>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532">
    <w:name w:val="MM Topic 2"/>
    <w:basedOn w:val="2"/>
    <w:qFormat/>
    <w:uiPriority w:val="0"/>
    <w:pPr>
      <w:tabs>
        <w:tab w:val="left" w:pos="1260"/>
      </w:tabs>
      <w:ind w:left="1260" w:hanging="420"/>
    </w:pPr>
    <w:rPr>
      <w:rFonts w:ascii="Arial" w:hAnsi="Arial" w:eastAsia="黑体"/>
      <w:lang w:val="en-US"/>
    </w:rPr>
  </w:style>
  <w:style w:type="paragraph" w:customStyle="1" w:styleId="533">
    <w:name w:val="Char2 Char Char Char1"/>
    <w:basedOn w:val="1"/>
    <w:qFormat/>
    <w:uiPriority w:val="0"/>
    <w:rPr>
      <w:rFonts w:ascii="仿宋_GB2312" w:eastAsia="仿宋_GB2312"/>
      <w:b/>
      <w:sz w:val="32"/>
      <w:szCs w:val="32"/>
    </w:rPr>
  </w:style>
  <w:style w:type="paragraph" w:customStyle="1" w:styleId="534">
    <w:name w:val="样式3"/>
    <w:basedOn w:val="527"/>
    <w:qFormat/>
    <w:uiPriority w:val="0"/>
    <w:pPr>
      <w:spacing w:beforeLines="100"/>
      <w:jc w:val="left"/>
    </w:pPr>
  </w:style>
  <w:style w:type="paragraph" w:customStyle="1" w:styleId="53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3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537">
    <w:name w:val="Bulleting First Indent 1"/>
    <w:basedOn w:val="133"/>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38">
    <w:name w:val="Plain Text1"/>
    <w:basedOn w:val="1"/>
    <w:qFormat/>
    <w:uiPriority w:val="0"/>
    <w:pPr>
      <w:adjustRightInd/>
    </w:pPr>
    <w:rPr>
      <w:rFonts w:ascii="宋体" w:hAnsi="Courier New"/>
    </w:rPr>
  </w:style>
  <w:style w:type="paragraph" w:customStyle="1" w:styleId="5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540">
    <w:name w:val="正文 首行缩进:  2 字符 Char"/>
    <w:basedOn w:val="1"/>
    <w:qFormat/>
    <w:uiPriority w:val="0"/>
    <w:pPr>
      <w:adjustRightInd/>
      <w:spacing w:line="360" w:lineRule="auto"/>
      <w:ind w:firstLine="480"/>
    </w:pPr>
    <w:rPr>
      <w:rFonts w:cs="宋体"/>
      <w:sz w:val="24"/>
      <w:szCs w:val="20"/>
    </w:rPr>
  </w:style>
  <w:style w:type="paragraph" w:customStyle="1" w:styleId="54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42">
    <w:name w:val="Char111"/>
    <w:basedOn w:val="1"/>
    <w:qFormat/>
    <w:uiPriority w:val="0"/>
    <w:rPr>
      <w:rFonts w:ascii="仿宋_GB2312" w:eastAsia="仿宋_GB2312"/>
      <w:b/>
      <w:sz w:val="32"/>
      <w:szCs w:val="32"/>
    </w:rPr>
  </w:style>
  <w:style w:type="paragraph" w:customStyle="1" w:styleId="543">
    <w:name w:val="表格文字"/>
    <w:basedOn w:val="1"/>
    <w:next w:val="13"/>
    <w:qFormat/>
    <w:uiPriority w:val="0"/>
    <w:pPr>
      <w:adjustRightInd/>
      <w:ind w:firstLine="200" w:firstLineChars="200"/>
    </w:pPr>
    <w:rPr>
      <w:rFonts w:ascii="Arial" w:hAnsi="Arial"/>
      <w:spacing w:val="-5"/>
      <w:kern w:val="0"/>
      <w:sz w:val="24"/>
      <w:szCs w:val="20"/>
    </w:rPr>
  </w:style>
  <w:style w:type="paragraph" w:customStyle="1" w:styleId="5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545">
    <w:name w:val="彩色列表 - 强调文字颜色 11"/>
    <w:basedOn w:val="1"/>
    <w:qFormat/>
    <w:uiPriority w:val="0"/>
    <w:pPr>
      <w:adjustRightInd/>
      <w:ind w:firstLine="420" w:firstLineChars="200"/>
    </w:pPr>
    <w:rPr>
      <w:rFonts w:ascii="Calibri" w:hAnsi="Calibri"/>
      <w:szCs w:val="22"/>
    </w:rPr>
  </w:style>
  <w:style w:type="paragraph" w:customStyle="1" w:styleId="546">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547">
    <w:name w:val="P1"/>
    <w:basedOn w:val="1"/>
    <w:qFormat/>
    <w:uiPriority w:val="0"/>
    <w:pPr>
      <w:adjustRightInd/>
      <w:spacing w:line="288" w:lineRule="auto"/>
      <w:ind w:firstLine="425" w:firstLineChars="200"/>
    </w:pPr>
  </w:style>
  <w:style w:type="paragraph" w:customStyle="1" w:styleId="548">
    <w:name w:val="数字标题4"/>
    <w:basedOn w:val="5"/>
    <w:qFormat/>
    <w:uiPriority w:val="0"/>
    <w:pPr>
      <w:tabs>
        <w:tab w:val="left" w:pos="0"/>
      </w:tabs>
      <w:spacing w:before="0" w:after="0" w:line="360" w:lineRule="auto"/>
      <w:ind w:left="1" w:firstLine="0"/>
    </w:pPr>
    <w:rPr>
      <w:rFonts w:eastAsia="仿宋_GB2312" w:cs="Arial"/>
      <w:b w:val="0"/>
      <w:bCs w:val="0"/>
      <w:color w:val="000000"/>
      <w:kern w:val="0"/>
      <w:sz w:val="24"/>
      <w:szCs w:val="24"/>
      <w:lang w:val="en-US"/>
    </w:rPr>
  </w:style>
  <w:style w:type="paragraph" w:customStyle="1" w:styleId="549">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55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551">
    <w:name w:val="默认段落样式"/>
    <w:basedOn w:val="97"/>
    <w:qFormat/>
    <w:uiPriority w:val="0"/>
    <w:pPr>
      <w:spacing w:before="0"/>
      <w:ind w:firstLine="480"/>
      <w:outlineLvl w:val="2"/>
    </w:pPr>
    <w:rPr>
      <w:rFonts w:ascii="仿宋_GB2312" w:hAnsi="宋体" w:eastAsia="仿宋_GB2312"/>
      <w:color w:val="000000"/>
      <w:szCs w:val="24"/>
    </w:rPr>
  </w:style>
  <w:style w:type="paragraph" w:customStyle="1" w:styleId="552">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553">
    <w:name w:val="Char Char1 Char Char1 Char Char1"/>
    <w:basedOn w:val="1"/>
    <w:qFormat/>
    <w:uiPriority w:val="0"/>
    <w:pPr>
      <w:tabs>
        <w:tab w:val="left" w:pos="840"/>
      </w:tabs>
      <w:ind w:left="840" w:hanging="420"/>
    </w:pPr>
    <w:rPr>
      <w:rFonts w:ascii="Tahoma" w:hAnsi="Tahoma"/>
      <w:sz w:val="24"/>
    </w:rPr>
  </w:style>
  <w:style w:type="paragraph" w:customStyle="1" w:styleId="55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555">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56">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57">
    <w:name w:val="TOC 标题11"/>
    <w:basedOn w:val="3"/>
    <w:next w:val="1"/>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58">
    <w:name w:val="正文（首行缩进）"/>
    <w:basedOn w:val="21"/>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59">
    <w:name w:val="加粗正文"/>
    <w:basedOn w:val="1"/>
    <w:qFormat/>
    <w:uiPriority w:val="0"/>
    <w:pPr>
      <w:adjustRightInd/>
      <w:spacing w:beforeLines="50" w:afterLines="50" w:line="360" w:lineRule="auto"/>
      <w:ind w:firstLine="422" w:firstLineChars="200"/>
    </w:pPr>
    <w:rPr>
      <w:b/>
      <w:bCs/>
      <w:szCs w:val="21"/>
    </w:rPr>
  </w:style>
  <w:style w:type="paragraph" w:customStyle="1" w:styleId="5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6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62">
    <w:name w:val="表格（小）"/>
    <w:basedOn w:val="1"/>
    <w:qFormat/>
    <w:uiPriority w:val="0"/>
    <w:pPr>
      <w:adjustRightInd/>
      <w:snapToGrid w:val="0"/>
      <w:spacing w:line="300" w:lineRule="auto"/>
    </w:pPr>
    <w:rPr>
      <w:rFonts w:eastAsia="仿宋"/>
      <w:szCs w:val="21"/>
    </w:rPr>
  </w:style>
  <w:style w:type="paragraph" w:customStyle="1" w:styleId="563">
    <w:name w:val="文档正文"/>
    <w:basedOn w:val="1"/>
    <w:qFormat/>
    <w:uiPriority w:val="0"/>
    <w:pPr>
      <w:spacing w:line="480" w:lineRule="atLeast"/>
      <w:ind w:firstLine="567"/>
      <w:textAlignment w:val="baseline"/>
    </w:pPr>
    <w:rPr>
      <w:kern w:val="0"/>
      <w:sz w:val="24"/>
      <w:szCs w:val="20"/>
    </w:rPr>
  </w:style>
  <w:style w:type="paragraph" w:customStyle="1" w:styleId="564">
    <w:name w:val="注释"/>
    <w:basedOn w:val="1"/>
    <w:qFormat/>
    <w:uiPriority w:val="0"/>
    <w:pPr>
      <w:adjustRightInd/>
      <w:spacing w:line="360" w:lineRule="auto"/>
      <w:ind w:firstLine="480"/>
    </w:pPr>
    <w:rPr>
      <w:sz w:val="24"/>
    </w:rPr>
  </w:style>
  <w:style w:type="paragraph" w:customStyle="1" w:styleId="565">
    <w:name w:val="body text bold"/>
    <w:basedOn w:val="20"/>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566">
    <w:name w:val="Char1 Char Char Char2"/>
    <w:basedOn w:val="1"/>
    <w:qFormat/>
    <w:uiPriority w:val="0"/>
    <w:pPr>
      <w:adjustRightInd/>
      <w:ind w:firstLine="200" w:firstLineChars="200"/>
    </w:pPr>
    <w:rPr>
      <w:rFonts w:ascii="Tahoma" w:hAnsi="Tahoma"/>
      <w:sz w:val="24"/>
      <w:szCs w:val="20"/>
    </w:rPr>
  </w:style>
  <w:style w:type="paragraph" w:customStyle="1" w:styleId="567">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8">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69">
    <w:name w:val="四号　首行缩进"/>
    <w:basedOn w:val="1"/>
    <w:qFormat/>
    <w:uiPriority w:val="0"/>
    <w:pPr>
      <w:adjustRightInd/>
      <w:spacing w:line="360" w:lineRule="auto"/>
    </w:pPr>
    <w:rPr>
      <w:rFonts w:ascii="宋体" w:hAnsi="宋体"/>
      <w:szCs w:val="20"/>
    </w:rPr>
  </w:style>
  <w:style w:type="paragraph" w:customStyle="1" w:styleId="570">
    <w:name w:val="Char21"/>
    <w:basedOn w:val="1"/>
    <w:qFormat/>
    <w:uiPriority w:val="0"/>
    <w:pPr>
      <w:adjustRightInd/>
      <w:ind w:firstLine="200" w:firstLineChars="200"/>
    </w:pPr>
    <w:rPr>
      <w:rFonts w:ascii="仿宋_GB2312" w:eastAsia="仿宋_GB2312"/>
      <w:b/>
      <w:sz w:val="32"/>
      <w:szCs w:val="32"/>
    </w:rPr>
  </w:style>
  <w:style w:type="paragraph" w:customStyle="1" w:styleId="571">
    <w:name w:val="列出段落5"/>
    <w:basedOn w:val="1"/>
    <w:qFormat/>
    <w:uiPriority w:val="0"/>
    <w:pPr>
      <w:spacing w:line="360" w:lineRule="auto"/>
      <w:ind w:firstLine="200" w:firstLineChars="200"/>
    </w:pPr>
    <w:rPr>
      <w:rFonts w:eastAsia="楷体_GB2312" w:cs="Lucida Sans"/>
      <w:sz w:val="24"/>
    </w:rPr>
  </w:style>
  <w:style w:type="paragraph" w:customStyle="1" w:styleId="5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573">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574">
    <w:name w:val="Char Char Char Char Char Char Char1"/>
    <w:basedOn w:val="1"/>
    <w:qFormat/>
    <w:uiPriority w:val="0"/>
    <w:rPr>
      <w:rFonts w:ascii="仿宋_GB2312" w:eastAsia="仿宋_GB2312"/>
      <w:b/>
      <w:sz w:val="32"/>
      <w:szCs w:val="32"/>
    </w:rPr>
  </w:style>
  <w:style w:type="paragraph" w:customStyle="1" w:styleId="575">
    <w:name w:val="有符号正文"/>
    <w:basedOn w:val="1"/>
    <w:qFormat/>
    <w:uiPriority w:val="0"/>
    <w:pPr>
      <w:adjustRightInd/>
      <w:spacing w:line="400" w:lineRule="exact"/>
      <w:ind w:firstLine="200" w:firstLineChars="200"/>
    </w:pPr>
    <w:rPr>
      <w:rFonts w:ascii="Arial" w:hAnsi="Arial"/>
    </w:rPr>
  </w:style>
  <w:style w:type="paragraph" w:customStyle="1" w:styleId="57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57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578">
    <w:name w:val="样式 正文文本缩进 + 左侧:  2 字符 首行缩进:  2 字符"/>
    <w:basedOn w:val="21"/>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579">
    <w:name w:val="带编号样式"/>
    <w:basedOn w:val="425"/>
    <w:qFormat/>
    <w:uiPriority w:val="0"/>
    <w:pPr>
      <w:tabs>
        <w:tab w:val="left" w:pos="840"/>
      </w:tabs>
      <w:snapToGrid w:val="0"/>
      <w:ind w:left="840" w:firstLine="0" w:firstLineChars="0"/>
    </w:pPr>
    <w:rPr>
      <w:rFonts w:ascii="仿宋_GB2312" w:eastAsia="仿宋_GB2312"/>
      <w:color w:val="000000"/>
    </w:rPr>
  </w:style>
  <w:style w:type="paragraph" w:customStyle="1" w:styleId="580">
    <w:name w:val="彩色列表 - 强调文字颜色 12"/>
    <w:basedOn w:val="1"/>
    <w:qFormat/>
    <w:uiPriority w:val="0"/>
    <w:pPr>
      <w:adjustRightInd/>
      <w:ind w:firstLine="420" w:firstLineChars="200"/>
    </w:pPr>
    <w:rPr>
      <w:rFonts w:ascii="Calibri" w:hAnsi="Calibri"/>
      <w:szCs w:val="22"/>
    </w:rPr>
  </w:style>
  <w:style w:type="paragraph" w:customStyle="1" w:styleId="581">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8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4">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8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86">
    <w:name w:val="WW-正文文字缩进 2"/>
    <w:basedOn w:val="1"/>
    <w:qFormat/>
    <w:uiPriority w:val="0"/>
    <w:pPr>
      <w:suppressAutoHyphens/>
      <w:adjustRightInd/>
      <w:ind w:firstLine="420"/>
    </w:pPr>
    <w:rPr>
      <w:kern w:val="1"/>
      <w:szCs w:val="20"/>
    </w:rPr>
  </w:style>
  <w:style w:type="paragraph" w:customStyle="1" w:styleId="5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588">
    <w:name w:val="标准有序列表（L1）"/>
    <w:basedOn w:val="13"/>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8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9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59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592">
    <w:name w:val="正文（标题三）"/>
    <w:basedOn w:val="1"/>
    <w:qFormat/>
    <w:uiPriority w:val="0"/>
    <w:pPr>
      <w:spacing w:line="360" w:lineRule="auto"/>
      <w:ind w:firstLine="200" w:firstLineChars="200"/>
    </w:pPr>
    <w:rPr>
      <w:sz w:val="24"/>
    </w:rPr>
  </w:style>
  <w:style w:type="paragraph" w:customStyle="1" w:styleId="593">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594">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595">
    <w:name w:val="数字标题3"/>
    <w:basedOn w:val="4"/>
    <w:next w:val="1"/>
    <w:qFormat/>
    <w:uiPriority w:val="0"/>
    <w:pPr>
      <w:numPr>
        <w:ilvl w:val="0"/>
        <w:numId w:val="0"/>
      </w:numPr>
      <w:spacing w:line="240" w:lineRule="auto"/>
    </w:pPr>
    <w:rPr>
      <w:sz w:val="28"/>
      <w:szCs w:val="28"/>
    </w:rPr>
  </w:style>
  <w:style w:type="paragraph" w:customStyle="1" w:styleId="59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597">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598">
    <w:name w:val="标书表格字体格式"/>
    <w:next w:val="585"/>
    <w:qFormat/>
    <w:uiPriority w:val="0"/>
    <w:rPr>
      <w:rFonts w:ascii="Times New Roman" w:hAnsi="Times New Roman" w:eastAsia="宋体" w:cs="Times New Roman"/>
      <w:kern w:val="2"/>
      <w:sz w:val="21"/>
      <w:szCs w:val="24"/>
      <w:lang w:val="en-US" w:eastAsia="zh-CN" w:bidi="ar-SA"/>
    </w:rPr>
  </w:style>
  <w:style w:type="paragraph" w:customStyle="1" w:styleId="599">
    <w:name w:val="bullet"/>
    <w:basedOn w:val="1"/>
    <w:qFormat/>
    <w:uiPriority w:val="0"/>
    <w:pPr>
      <w:tabs>
        <w:tab w:val="left" w:pos="840"/>
      </w:tabs>
      <w:adjustRightInd/>
      <w:ind w:left="840" w:hanging="420"/>
    </w:pPr>
  </w:style>
  <w:style w:type="paragraph" w:customStyle="1" w:styleId="60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1">
    <w:name w:val="FA正文"/>
    <w:basedOn w:val="1"/>
    <w:qFormat/>
    <w:uiPriority w:val="0"/>
    <w:pPr>
      <w:spacing w:line="360" w:lineRule="auto"/>
      <w:ind w:firstLine="480" w:firstLineChars="200"/>
    </w:pPr>
    <w:rPr>
      <w:rFonts w:hAnsi="宋体"/>
      <w:sz w:val="24"/>
      <w:szCs w:val="20"/>
    </w:rPr>
  </w:style>
  <w:style w:type="paragraph" w:customStyle="1" w:styleId="602">
    <w:name w:val="列出段落1"/>
    <w:basedOn w:val="1"/>
    <w:qFormat/>
    <w:uiPriority w:val="34"/>
    <w:pPr>
      <w:widowControl/>
      <w:ind w:firstLine="420" w:firstLineChars="200"/>
      <w:jc w:val="left"/>
    </w:pPr>
    <w:rPr>
      <w:rFonts w:ascii="宋体" w:hAnsi="宋体" w:cs="宋体"/>
      <w:kern w:val="0"/>
      <w:sz w:val="24"/>
    </w:rPr>
  </w:style>
  <w:style w:type="paragraph" w:customStyle="1" w:styleId="60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604">
    <w:name w:val="Char Char Char Char Char Char Char Char1"/>
    <w:basedOn w:val="1"/>
    <w:qFormat/>
    <w:uiPriority w:val="0"/>
    <w:pPr>
      <w:tabs>
        <w:tab w:val="left" w:pos="360"/>
      </w:tabs>
    </w:pPr>
    <w:rPr>
      <w:sz w:val="24"/>
      <w:szCs w:val="20"/>
    </w:rPr>
  </w:style>
  <w:style w:type="paragraph" w:customStyle="1" w:styleId="605">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06">
    <w:name w:val="Char Char1 Char Char Char Char Char Char1"/>
    <w:basedOn w:val="1"/>
    <w:qFormat/>
    <w:uiPriority w:val="0"/>
    <w:rPr>
      <w:rFonts w:ascii="仿宋_GB2312" w:eastAsia="仿宋_GB2312"/>
      <w:b/>
      <w:sz w:val="32"/>
      <w:szCs w:val="20"/>
    </w:rPr>
  </w:style>
  <w:style w:type="paragraph" w:customStyle="1" w:styleId="60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608">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60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10">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611">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12">
    <w:name w:val="Char Char111"/>
    <w:basedOn w:val="1"/>
    <w:qFormat/>
    <w:uiPriority w:val="0"/>
    <w:pPr>
      <w:spacing w:line="360" w:lineRule="auto"/>
    </w:pPr>
    <w:rPr>
      <w:szCs w:val="20"/>
    </w:rPr>
  </w:style>
  <w:style w:type="paragraph" w:customStyle="1" w:styleId="6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6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616">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618">
    <w:name w:val="Char2 Char Char Char"/>
    <w:basedOn w:val="1"/>
    <w:qFormat/>
    <w:uiPriority w:val="0"/>
    <w:rPr>
      <w:rFonts w:ascii="仿宋_GB2312" w:eastAsia="仿宋_GB2312"/>
      <w:b/>
      <w:sz w:val="32"/>
      <w:szCs w:val="32"/>
    </w:rPr>
  </w:style>
  <w:style w:type="paragraph" w:customStyle="1" w:styleId="619">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0">
    <w:name w:val="图中文字"/>
    <w:basedOn w:val="1"/>
    <w:qFormat/>
    <w:uiPriority w:val="0"/>
    <w:pPr>
      <w:snapToGrid w:val="0"/>
      <w:spacing w:line="0" w:lineRule="atLeast"/>
      <w:ind w:firstLine="200" w:firstLineChars="200"/>
      <w:jc w:val="center"/>
    </w:pPr>
    <w:rPr>
      <w:sz w:val="24"/>
      <w:szCs w:val="20"/>
    </w:rPr>
  </w:style>
  <w:style w:type="paragraph" w:customStyle="1" w:styleId="62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622">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23">
    <w:name w:val="插图题注"/>
    <w:next w:val="1"/>
    <w:qFormat/>
    <w:uiPriority w:val="0"/>
    <w:pPr>
      <w:tabs>
        <w:tab w:val="left" w:pos="360"/>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2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625">
    <w:name w:val="正文（首行缩进2字符）"/>
    <w:basedOn w:val="1"/>
    <w:qFormat/>
    <w:uiPriority w:val="0"/>
    <w:pPr>
      <w:adjustRightInd/>
      <w:spacing w:line="360" w:lineRule="auto"/>
      <w:ind w:firstLine="480" w:firstLineChars="200"/>
    </w:pPr>
    <w:rPr>
      <w:sz w:val="24"/>
      <w:szCs w:val="20"/>
    </w:rPr>
  </w:style>
  <w:style w:type="paragraph" w:customStyle="1" w:styleId="626">
    <w:name w:val="样式 标题 22h2L1 Heading 2H2sect 1.2H21sect 1.21H22sect 1.2..."/>
    <w:basedOn w:val="2"/>
    <w:next w:val="1"/>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62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628">
    <w:name w:val="修订2"/>
    <w:qFormat/>
    <w:uiPriority w:val="0"/>
    <w:rPr>
      <w:rFonts w:ascii="Times New Roman" w:hAnsi="Times New Roman" w:eastAsia="宋体" w:cs="Times New Roman"/>
      <w:kern w:val="2"/>
      <w:sz w:val="21"/>
      <w:lang w:val="en-US" w:eastAsia="zh-CN" w:bidi="ar-SA"/>
    </w:rPr>
  </w:style>
  <w:style w:type="paragraph" w:customStyle="1" w:styleId="629">
    <w:name w:val="样式 正文文本缩进 + 段前: 2 字符"/>
    <w:basedOn w:val="1"/>
    <w:qFormat/>
    <w:uiPriority w:val="0"/>
    <w:pPr>
      <w:adjustRightInd/>
      <w:ind w:left="420" w:leftChars="200"/>
      <w:jc w:val="left"/>
    </w:pPr>
    <w:rPr>
      <w:sz w:val="28"/>
      <w:szCs w:val="20"/>
      <w:lang w:eastAsia="zh-TW"/>
    </w:rPr>
  </w:style>
  <w:style w:type="paragraph" w:customStyle="1" w:styleId="63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3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63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33">
    <w:name w:val="Char Char11 Char Char Char Char Char Char Char Char Char1"/>
    <w:basedOn w:val="1"/>
    <w:qFormat/>
    <w:uiPriority w:val="6"/>
    <w:pPr>
      <w:spacing w:line="360" w:lineRule="auto"/>
    </w:pPr>
    <w:rPr>
      <w:szCs w:val="20"/>
    </w:rPr>
  </w:style>
  <w:style w:type="paragraph" w:customStyle="1" w:styleId="63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35">
    <w:name w:val="Char2 Char Char1"/>
    <w:basedOn w:val="1"/>
    <w:qFormat/>
    <w:uiPriority w:val="0"/>
    <w:pPr>
      <w:adjustRightInd/>
    </w:pPr>
    <w:rPr>
      <w:rFonts w:ascii="Tahoma" w:hAnsi="Tahoma"/>
      <w:sz w:val="24"/>
      <w:szCs w:val="20"/>
    </w:rPr>
  </w:style>
  <w:style w:type="paragraph" w:customStyle="1" w:styleId="636">
    <w:name w:val="正文文字 2"/>
    <w:basedOn w:val="478"/>
    <w:next w:val="478"/>
    <w:qFormat/>
    <w:uiPriority w:val="0"/>
    <w:rPr>
      <w:rFonts w:ascii="宋体" w:eastAsia="宋体" w:cs="Times New Roman"/>
      <w:color w:val="auto"/>
    </w:rPr>
  </w:style>
  <w:style w:type="paragraph" w:customStyle="1" w:styleId="637">
    <w:name w:val="Char1 Char Char Char3"/>
    <w:basedOn w:val="1"/>
    <w:qFormat/>
    <w:uiPriority w:val="0"/>
    <w:pPr>
      <w:adjustRightInd/>
      <w:ind w:firstLine="200" w:firstLineChars="200"/>
    </w:pPr>
    <w:rPr>
      <w:rFonts w:ascii="Tahoma" w:hAnsi="Tahoma"/>
      <w:sz w:val="24"/>
      <w:szCs w:val="20"/>
    </w:rPr>
  </w:style>
  <w:style w:type="paragraph" w:customStyle="1" w:styleId="638">
    <w:name w:val="样式7"/>
    <w:basedOn w:val="463"/>
    <w:next w:val="1"/>
    <w:qFormat/>
    <w:uiPriority w:val="0"/>
    <w:pPr>
      <w:spacing w:afterLines="50"/>
      <w:jc w:val="left"/>
      <w:outlineLvl w:val="3"/>
    </w:pPr>
    <w:rPr>
      <w:sz w:val="24"/>
      <w:szCs w:val="24"/>
    </w:rPr>
  </w:style>
  <w:style w:type="paragraph" w:customStyle="1" w:styleId="639">
    <w:name w:val="默认段落字体 Para Char Char Char Char Char Char Char"/>
    <w:basedOn w:val="1"/>
    <w:qFormat/>
    <w:uiPriority w:val="0"/>
    <w:rPr>
      <w:rFonts w:eastAsia="仿宋_GB2312"/>
      <w:sz w:val="28"/>
      <w:szCs w:val="20"/>
    </w:rPr>
  </w:style>
  <w:style w:type="paragraph" w:customStyle="1" w:styleId="640">
    <w:name w:val="Picture"/>
    <w:basedOn w:val="1"/>
    <w:next w:val="14"/>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首行缩进"/>
    <w:basedOn w:val="1"/>
    <w:qFormat/>
    <w:uiPriority w:val="0"/>
    <w:pPr>
      <w:spacing w:line="360" w:lineRule="auto"/>
      <w:ind w:firstLine="480" w:firstLineChars="200"/>
    </w:pPr>
    <w:rPr>
      <w:rFonts w:ascii="宋体"/>
      <w:sz w:val="24"/>
      <w:szCs w:val="20"/>
    </w:rPr>
  </w:style>
  <w:style w:type="paragraph" w:customStyle="1" w:styleId="642">
    <w:name w:val="Char2"/>
    <w:basedOn w:val="1"/>
    <w:qFormat/>
    <w:uiPriority w:val="0"/>
    <w:rPr>
      <w:rFonts w:ascii="仿宋_GB2312" w:eastAsia="仿宋_GB2312"/>
      <w:b/>
      <w:sz w:val="32"/>
      <w:szCs w:val="32"/>
    </w:rPr>
  </w:style>
  <w:style w:type="paragraph" w:customStyle="1" w:styleId="64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6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64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646">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64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64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6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50">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652">
    <w:name w:val="p0"/>
    <w:basedOn w:val="1"/>
    <w:qFormat/>
    <w:uiPriority w:val="0"/>
    <w:pPr>
      <w:widowControl/>
      <w:adjustRightInd/>
    </w:pPr>
    <w:rPr>
      <w:kern w:val="0"/>
      <w:szCs w:val="21"/>
    </w:rPr>
  </w:style>
  <w:style w:type="paragraph" w:customStyle="1" w:styleId="65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54">
    <w:name w:val="单元格居中"/>
    <w:basedOn w:val="1"/>
    <w:qFormat/>
    <w:uiPriority w:val="0"/>
    <w:pPr>
      <w:adjustRightInd/>
      <w:spacing w:line="360" w:lineRule="auto"/>
      <w:jc w:val="center"/>
    </w:pPr>
    <w:rPr>
      <w:sz w:val="24"/>
    </w:rPr>
  </w:style>
  <w:style w:type="paragraph" w:customStyle="1" w:styleId="655">
    <w:name w:val="CM14"/>
    <w:basedOn w:val="478"/>
    <w:next w:val="478"/>
    <w:qFormat/>
    <w:uiPriority w:val="0"/>
    <w:pPr>
      <w:spacing w:after="68"/>
    </w:pPr>
    <w:rPr>
      <w:rFonts w:ascii="FHLHE E+ Futura Bk" w:eastAsia="FHLHE E+ Futura Bk" w:cs="Times New Roman"/>
      <w:color w:val="auto"/>
    </w:rPr>
  </w:style>
  <w:style w:type="paragraph" w:customStyle="1" w:styleId="656">
    <w:name w:val="Char Char Char"/>
    <w:basedOn w:val="1"/>
    <w:qFormat/>
    <w:uiPriority w:val="0"/>
    <w:rPr>
      <w:rFonts w:ascii="Tahoma" w:hAnsi="Tahoma"/>
      <w:sz w:val="24"/>
      <w:szCs w:val="20"/>
    </w:rPr>
  </w:style>
  <w:style w:type="paragraph" w:customStyle="1" w:styleId="657">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658">
    <w:name w:val="_Style 3"/>
    <w:qFormat/>
    <w:uiPriority w:val="0"/>
    <w:rPr>
      <w:rFonts w:ascii="Times New Roman" w:hAnsi="Times New Roman" w:eastAsia="宋体" w:cs="Times New Roman"/>
      <w:sz w:val="22"/>
      <w:szCs w:val="22"/>
      <w:lang w:val="en-US" w:eastAsia="zh-CN" w:bidi="ar-SA"/>
    </w:rPr>
  </w:style>
  <w:style w:type="paragraph" w:customStyle="1" w:styleId="65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60">
    <w:name w:val="表格项目符号 2"/>
    <w:basedOn w:val="26"/>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61">
    <w:name w:val="Char Char Char Char Char Char Char Char Char Char Char Char1 Char1"/>
    <w:basedOn w:val="1"/>
    <w:qFormat/>
    <w:uiPriority w:val="0"/>
    <w:rPr>
      <w:rFonts w:ascii="Tahoma" w:hAnsi="Tahoma" w:cs="仿宋_GB2312"/>
      <w:sz w:val="24"/>
      <w:szCs w:val="20"/>
    </w:rPr>
  </w:style>
  <w:style w:type="paragraph" w:customStyle="1" w:styleId="66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3">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664">
    <w:name w:val="GP正文(无首行缩进)"/>
    <w:basedOn w:val="1"/>
    <w:qFormat/>
    <w:uiPriority w:val="0"/>
    <w:pPr>
      <w:adjustRightInd/>
      <w:spacing w:line="360" w:lineRule="auto"/>
      <w:ind w:firstLine="480" w:firstLineChars="200"/>
      <w:jc w:val="left"/>
    </w:pPr>
    <w:rPr>
      <w:rFonts w:ascii="Arial" w:hAnsi="宋体" w:cs="宋体"/>
      <w:sz w:val="24"/>
      <w:szCs w:val="20"/>
    </w:rPr>
  </w:style>
  <w:style w:type="paragraph" w:customStyle="1" w:styleId="665">
    <w:name w:val="Char Char1 Char Char Char1"/>
    <w:basedOn w:val="1"/>
    <w:qFormat/>
    <w:uiPriority w:val="0"/>
    <w:rPr>
      <w:rFonts w:ascii="仿宋_GB2312" w:eastAsia="仿宋_GB2312"/>
      <w:b/>
      <w:sz w:val="32"/>
      <w:szCs w:val="20"/>
    </w:rPr>
  </w:style>
  <w:style w:type="paragraph" w:customStyle="1" w:styleId="666">
    <w:name w:val="标准小四"/>
    <w:basedOn w:val="1"/>
    <w:qFormat/>
    <w:uiPriority w:val="0"/>
    <w:pPr>
      <w:spacing w:line="360" w:lineRule="auto"/>
      <w:ind w:firstLine="480" w:firstLineChars="200"/>
    </w:pPr>
    <w:rPr>
      <w:rFonts w:ascii="Arial" w:hAnsi="Arial"/>
      <w:sz w:val="24"/>
      <w:szCs w:val="21"/>
    </w:rPr>
  </w:style>
  <w:style w:type="paragraph" w:customStyle="1" w:styleId="667">
    <w:name w:val="表文字"/>
    <w:qFormat/>
    <w:uiPriority w:val="0"/>
    <w:rPr>
      <w:rFonts w:ascii="宋体" w:hAnsi="Times New Roman" w:eastAsia="宋体" w:cs="Times New Roman"/>
      <w:kern w:val="2"/>
      <w:lang w:val="en-US" w:eastAsia="zh-CN" w:bidi="ar-SA"/>
    </w:rPr>
  </w:style>
  <w:style w:type="paragraph" w:customStyle="1" w:styleId="6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66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70">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7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67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673">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67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76">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77">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678">
    <w:name w:val="MM Title"/>
    <w:basedOn w:val="47"/>
    <w:qFormat/>
    <w:uiPriority w:val="0"/>
    <w:pPr>
      <w:widowControl w:val="0"/>
      <w:overflowPunct/>
      <w:autoSpaceDE/>
      <w:autoSpaceDN/>
      <w:adjustRightInd/>
      <w:spacing w:before="240" w:after="60"/>
      <w:textAlignment w:val="auto"/>
      <w:outlineLvl w:val="0"/>
    </w:pPr>
    <w:rPr>
      <w:rFonts w:cs="Arial"/>
      <w:bCs/>
      <w:kern w:val="2"/>
      <w:sz w:val="32"/>
      <w:szCs w:val="32"/>
      <w:lang w:val="en-US"/>
    </w:rPr>
  </w:style>
  <w:style w:type="paragraph" w:customStyle="1" w:styleId="679">
    <w:name w:val="Char Char1 Char Char Char"/>
    <w:basedOn w:val="1"/>
    <w:qFormat/>
    <w:uiPriority w:val="0"/>
    <w:rPr>
      <w:rFonts w:ascii="仿宋_GB2312" w:eastAsia="仿宋_GB2312"/>
      <w:b/>
      <w:sz w:val="32"/>
      <w:szCs w:val="32"/>
    </w:rPr>
  </w:style>
  <w:style w:type="paragraph" w:customStyle="1" w:styleId="680">
    <w:name w:val="Char23"/>
    <w:basedOn w:val="1"/>
    <w:qFormat/>
    <w:uiPriority w:val="0"/>
    <w:rPr>
      <w:rFonts w:ascii="仿宋_GB2312" w:eastAsia="仿宋_GB2312"/>
      <w:b/>
      <w:sz w:val="32"/>
      <w:szCs w:val="32"/>
    </w:rPr>
  </w:style>
  <w:style w:type="paragraph" w:customStyle="1" w:styleId="681">
    <w:name w:val="GP正文(首行缩进)"/>
    <w:basedOn w:val="1"/>
    <w:qFormat/>
    <w:uiPriority w:val="0"/>
    <w:pPr>
      <w:adjustRightInd/>
      <w:spacing w:line="360" w:lineRule="auto"/>
      <w:ind w:firstLine="200" w:firstLineChars="200"/>
      <w:jc w:val="left"/>
    </w:pPr>
    <w:rPr>
      <w:sz w:val="24"/>
      <w:szCs w:val="21"/>
    </w:rPr>
  </w:style>
  <w:style w:type="paragraph" w:customStyle="1" w:styleId="68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8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84">
    <w:name w:val="正文1"/>
    <w:basedOn w:val="388"/>
    <w:qFormat/>
    <w:uiPriority w:val="0"/>
    <w:pPr>
      <w:ind w:left="0" w:leftChars="0" w:firstLine="480" w:firstLineChars="200"/>
    </w:pPr>
    <w:rPr>
      <w:rFonts w:ascii="仿宋_GB2312" w:hAnsi="Courier New" w:eastAsia="仿宋_GB2312"/>
      <w:kern w:val="28"/>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687">
    <w:name w:val="Char5"/>
    <w:basedOn w:val="1"/>
    <w:qFormat/>
    <w:uiPriority w:val="0"/>
    <w:rPr>
      <w:rFonts w:ascii="仿宋_GB2312" w:eastAsia="仿宋_GB2312"/>
      <w:b/>
      <w:sz w:val="32"/>
      <w:szCs w:val="32"/>
    </w:rPr>
  </w:style>
  <w:style w:type="paragraph" w:customStyle="1" w:styleId="68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9">
    <w:name w:val="Char Char Char Char11"/>
    <w:basedOn w:val="1"/>
    <w:qFormat/>
    <w:uiPriority w:val="0"/>
    <w:rPr>
      <w:rFonts w:ascii="Tahoma" w:hAnsi="Tahoma"/>
      <w:sz w:val="24"/>
      <w:szCs w:val="20"/>
    </w:rPr>
  </w:style>
  <w:style w:type="paragraph" w:customStyle="1" w:styleId="690">
    <w:name w:val="MM Topic 5"/>
    <w:basedOn w:val="6"/>
    <w:qFormat/>
    <w:uiPriority w:val="0"/>
    <w:pPr>
      <w:tabs>
        <w:tab w:val="left" w:pos="2520"/>
      </w:tabs>
      <w:adjustRightInd/>
      <w:ind w:left="2520" w:hanging="420"/>
    </w:pPr>
  </w:style>
  <w:style w:type="paragraph" w:customStyle="1" w:styleId="691">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92">
    <w:name w:val="表格"/>
    <w:basedOn w:val="1"/>
    <w:qFormat/>
    <w:uiPriority w:val="0"/>
    <w:pPr>
      <w:snapToGrid w:val="0"/>
      <w:ind w:firstLine="42" w:firstLineChars="21"/>
    </w:pPr>
    <w:rPr>
      <w:rFonts w:ascii="宋体" w:hAnsi="宋体"/>
      <w:kern w:val="0"/>
      <w:sz w:val="20"/>
      <w:szCs w:val="20"/>
    </w:rPr>
  </w:style>
  <w:style w:type="paragraph" w:customStyle="1" w:styleId="693">
    <w:name w:val="Char Char1"/>
    <w:basedOn w:val="1"/>
    <w:qFormat/>
    <w:uiPriority w:val="0"/>
    <w:pPr>
      <w:widowControl/>
      <w:spacing w:after="160" w:line="240" w:lineRule="exact"/>
      <w:jc w:val="left"/>
    </w:pPr>
    <w:rPr>
      <w:rFonts w:eastAsia="仿宋_GB2312"/>
      <w:sz w:val="28"/>
    </w:rPr>
  </w:style>
  <w:style w:type="paragraph" w:customStyle="1" w:styleId="694">
    <w:name w:val="MM Topic 1"/>
    <w:basedOn w:val="3"/>
    <w:qFormat/>
    <w:uiPriority w:val="0"/>
    <w:pPr>
      <w:tabs>
        <w:tab w:val="left" w:pos="840"/>
      </w:tabs>
      <w:adjustRightInd/>
      <w:ind w:left="840" w:hanging="420"/>
    </w:pPr>
  </w:style>
  <w:style w:type="paragraph" w:customStyle="1" w:styleId="695">
    <w:name w:val="Char1 Char Char Char5"/>
    <w:basedOn w:val="1"/>
    <w:qFormat/>
    <w:uiPriority w:val="0"/>
    <w:pPr>
      <w:adjustRightInd/>
      <w:ind w:firstLine="200" w:firstLineChars="200"/>
    </w:pPr>
    <w:rPr>
      <w:rFonts w:ascii="Tahoma" w:hAnsi="Tahoma"/>
      <w:sz w:val="24"/>
      <w:szCs w:val="20"/>
    </w:rPr>
  </w:style>
  <w:style w:type="paragraph" w:customStyle="1" w:styleId="696">
    <w:name w:val="Char3 Char Char Char1"/>
    <w:basedOn w:val="1"/>
    <w:qFormat/>
    <w:uiPriority w:val="6"/>
    <w:pPr>
      <w:widowControl/>
      <w:adjustRightInd/>
      <w:spacing w:after="160" w:line="240" w:lineRule="exact"/>
      <w:jc w:val="left"/>
    </w:pPr>
    <w:rPr>
      <w:szCs w:val="20"/>
    </w:rPr>
  </w:style>
  <w:style w:type="paragraph" w:customStyle="1" w:styleId="697">
    <w:name w:val="_Style 12"/>
    <w:basedOn w:val="16"/>
    <w:qFormat/>
    <w:uiPriority w:val="0"/>
    <w:pPr>
      <w:snapToGrid w:val="0"/>
      <w:spacing w:line="360" w:lineRule="auto"/>
    </w:pPr>
  </w:style>
  <w:style w:type="paragraph" w:customStyle="1" w:styleId="698">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699">
    <w:name w:val="样式 正文文本缩进 2 + 仿宋_GB2312 黑色 行距: 1.5 倍行距"/>
    <w:basedOn w:val="31"/>
    <w:qFormat/>
    <w:uiPriority w:val="0"/>
    <w:pPr>
      <w:adjustRightInd/>
      <w:ind w:firstLine="560" w:firstLineChars="200"/>
      <w:textAlignment w:val="auto"/>
    </w:pPr>
    <w:rPr>
      <w:rFonts w:hAnsi="宋体" w:cs="宋体"/>
      <w:color w:val="000000"/>
      <w:kern w:val="2"/>
      <w:sz w:val="24"/>
    </w:rPr>
  </w:style>
  <w:style w:type="paragraph" w:customStyle="1" w:styleId="700">
    <w:name w:val="样式 左侧:  0.85 厘米"/>
    <w:basedOn w:val="1"/>
    <w:qFormat/>
    <w:uiPriority w:val="2"/>
    <w:pPr>
      <w:adjustRightInd/>
      <w:spacing w:line="360" w:lineRule="auto"/>
    </w:pPr>
    <w:rPr>
      <w:rFonts w:cs="宋体"/>
      <w:sz w:val="24"/>
      <w:szCs w:val="20"/>
    </w:rPr>
  </w:style>
  <w:style w:type="paragraph" w:customStyle="1" w:styleId="701">
    <w:name w:val="Bulleted List"/>
    <w:basedOn w:val="1"/>
    <w:qFormat/>
    <w:uiPriority w:val="0"/>
    <w:pPr>
      <w:tabs>
        <w:tab w:val="left" w:pos="1260"/>
      </w:tabs>
      <w:adjustRightInd/>
      <w:ind w:left="1260" w:hanging="420"/>
    </w:pPr>
  </w:style>
  <w:style w:type="paragraph" w:customStyle="1" w:styleId="702">
    <w:name w:val="Normal0"/>
    <w:qFormat/>
    <w:uiPriority w:val="0"/>
    <w:rPr>
      <w:rFonts w:ascii="Times New Roman" w:hAnsi="Times New Roman" w:eastAsia="宋体" w:cs="Times New Roman"/>
      <w:lang w:val="en-US" w:eastAsia="en-US" w:bidi="ar-SA"/>
    </w:rPr>
  </w:style>
  <w:style w:type="paragraph" w:customStyle="1" w:styleId="703">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70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0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07">
    <w:name w:val="MM Topic 4"/>
    <w:basedOn w:val="5"/>
    <w:qFormat/>
    <w:uiPriority w:val="0"/>
    <w:pPr>
      <w:tabs>
        <w:tab w:val="left" w:pos="2100"/>
      </w:tabs>
      <w:adjustRightInd/>
      <w:ind w:left="2100" w:hanging="420"/>
    </w:pPr>
    <w:rPr>
      <w:lang w:val="en-US"/>
    </w:rPr>
  </w:style>
  <w:style w:type="paragraph" w:customStyle="1" w:styleId="708">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0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710">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71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713">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714">
    <w:name w:val="Char3"/>
    <w:basedOn w:val="1"/>
    <w:qFormat/>
    <w:uiPriority w:val="0"/>
    <w:pPr>
      <w:adjustRightInd/>
      <w:ind w:firstLine="200" w:firstLineChars="200"/>
    </w:pPr>
    <w:rPr>
      <w:rFonts w:ascii="Tahoma" w:hAnsi="Tahoma"/>
      <w:sz w:val="24"/>
      <w:szCs w:val="20"/>
    </w:rPr>
  </w:style>
  <w:style w:type="paragraph" w:customStyle="1" w:styleId="715">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16">
    <w:name w:val="Char3 Char Char Char"/>
    <w:basedOn w:val="1"/>
    <w:qFormat/>
    <w:uiPriority w:val="0"/>
    <w:pPr>
      <w:widowControl/>
      <w:adjustRightInd/>
      <w:spacing w:after="160" w:line="240" w:lineRule="exact"/>
      <w:jc w:val="left"/>
    </w:pPr>
    <w:rPr>
      <w:szCs w:val="20"/>
    </w:rPr>
  </w:style>
  <w:style w:type="paragraph" w:customStyle="1" w:styleId="71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1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9">
    <w:name w:val="文章标题"/>
    <w:next w:val="496"/>
    <w:qFormat/>
    <w:uiPriority w:val="0"/>
    <w:pPr>
      <w:spacing w:beforeLines="800" w:afterLines="100"/>
      <w:jc w:val="center"/>
    </w:pPr>
    <w:rPr>
      <w:rFonts w:ascii="Arial" w:hAnsi="Arial" w:eastAsia="黑体" w:cs="宋体"/>
      <w:bCs/>
      <w:kern w:val="2"/>
      <w:sz w:val="52"/>
      <w:lang w:val="en-US" w:eastAsia="zh-CN" w:bidi="ar-SA"/>
    </w:rPr>
  </w:style>
  <w:style w:type="paragraph" w:customStyle="1" w:styleId="72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索引 11"/>
    <w:basedOn w:val="1"/>
    <w:next w:val="1"/>
    <w:qFormat/>
    <w:uiPriority w:val="0"/>
    <w:pPr>
      <w:adjustRightInd/>
      <w:spacing w:line="360" w:lineRule="auto"/>
    </w:pPr>
    <w:rPr>
      <w:rFonts w:ascii="仿宋_GB2312" w:eastAsia="仿宋_GB2312"/>
      <w:sz w:val="24"/>
      <w:szCs w:val="20"/>
    </w:rPr>
  </w:style>
  <w:style w:type="character" w:customStyle="1" w:styleId="722">
    <w:name w:val="页眉 Char2"/>
    <w:qFormat/>
    <w:uiPriority w:val="99"/>
    <w:rPr>
      <w:kern w:val="2"/>
      <w:sz w:val="18"/>
      <w:szCs w:val="18"/>
    </w:rPr>
  </w:style>
  <w:style w:type="character" w:customStyle="1" w:styleId="723">
    <w:name w:val="页脚 Char2"/>
    <w:qFormat/>
    <w:uiPriority w:val="99"/>
    <w:rPr>
      <w:kern w:val="2"/>
      <w:sz w:val="18"/>
      <w:szCs w:val="18"/>
    </w:rPr>
  </w:style>
  <w:style w:type="paragraph" w:customStyle="1" w:styleId="724">
    <w:name w:val="纯文本_0_0"/>
    <w:basedOn w:val="1"/>
    <w:link w:val="725"/>
    <w:qFormat/>
    <w:uiPriority w:val="0"/>
    <w:pPr>
      <w:adjustRightInd/>
    </w:pPr>
    <w:rPr>
      <w:rFonts w:ascii="宋体" w:hAnsi="Courier New"/>
      <w:szCs w:val="21"/>
    </w:rPr>
  </w:style>
  <w:style w:type="character" w:customStyle="1" w:styleId="725">
    <w:name w:val="纯文本 Char_0"/>
    <w:link w:val="724"/>
    <w:qFormat/>
    <w:uiPriority w:val="0"/>
    <w:rPr>
      <w:rFonts w:ascii="宋体" w:hAnsi="Courier New"/>
      <w:kern w:val="2"/>
      <w:sz w:val="21"/>
      <w:szCs w:val="21"/>
      <w:lang w:val="en-US" w:eastAsia="zh-CN"/>
    </w:rPr>
  </w:style>
  <w:style w:type="paragraph" w:customStyle="1" w:styleId="726">
    <w:name w:val="样式9"/>
    <w:basedOn w:val="34"/>
    <w:link w:val="728"/>
    <w:qFormat/>
    <w:uiPriority w:val="0"/>
    <w:pPr>
      <w:pBdr>
        <w:bottom w:val="none" w:color="auto" w:sz="0" w:space="0"/>
      </w:pBdr>
    </w:pPr>
  </w:style>
  <w:style w:type="paragraph" w:customStyle="1" w:styleId="727">
    <w:name w:val="样式10"/>
    <w:basedOn w:val="34"/>
    <w:link w:val="730"/>
    <w:qFormat/>
    <w:uiPriority w:val="0"/>
    <w:pPr>
      <w:pBdr>
        <w:bottom w:val="none" w:color="auto" w:sz="0" w:space="0"/>
      </w:pBdr>
    </w:pPr>
  </w:style>
  <w:style w:type="character" w:customStyle="1" w:styleId="728">
    <w:name w:val="样式9 Char"/>
    <w:basedOn w:val="165"/>
    <w:link w:val="726"/>
    <w:qFormat/>
    <w:uiPriority w:val="0"/>
    <w:rPr>
      <w:rFonts w:ascii="仿宋" w:hAnsi="仿宋" w:eastAsia="仿宋"/>
      <w:snapToGrid w:val="0"/>
      <w:kern w:val="2"/>
      <w:sz w:val="18"/>
      <w:szCs w:val="18"/>
      <w:u w:val="single"/>
      <w:lang w:val="en-GB"/>
    </w:rPr>
  </w:style>
  <w:style w:type="paragraph" w:customStyle="1" w:styleId="729">
    <w:name w:val="样式11"/>
    <w:basedOn w:val="34"/>
    <w:link w:val="731"/>
    <w:qFormat/>
    <w:uiPriority w:val="0"/>
    <w:pPr>
      <w:pBdr>
        <w:bottom w:val="none" w:color="auto" w:sz="0" w:space="0"/>
      </w:pBdr>
    </w:pPr>
  </w:style>
  <w:style w:type="character" w:customStyle="1" w:styleId="730">
    <w:name w:val="样式10 Char"/>
    <w:basedOn w:val="165"/>
    <w:link w:val="727"/>
    <w:qFormat/>
    <w:uiPriority w:val="0"/>
    <w:rPr>
      <w:rFonts w:ascii="仿宋" w:hAnsi="仿宋" w:eastAsia="仿宋"/>
      <w:snapToGrid w:val="0"/>
      <w:kern w:val="2"/>
      <w:sz w:val="18"/>
      <w:szCs w:val="18"/>
      <w:u w:val="single"/>
      <w:lang w:val="en-GB"/>
    </w:rPr>
  </w:style>
  <w:style w:type="character" w:customStyle="1" w:styleId="731">
    <w:name w:val="样式11 Char"/>
    <w:basedOn w:val="165"/>
    <w:link w:val="729"/>
    <w:qFormat/>
    <w:uiPriority w:val="0"/>
    <w:rPr>
      <w:rFonts w:ascii="仿宋" w:hAnsi="仿宋" w:eastAsia="仿宋"/>
      <w:snapToGrid w:val="0"/>
      <w:kern w:val="2"/>
      <w:sz w:val="18"/>
      <w:szCs w:val="18"/>
      <w:u w:val="single"/>
      <w:lang w:val="en-GB"/>
    </w:rPr>
  </w:style>
  <w:style w:type="paragraph" w:customStyle="1" w:styleId="732">
    <w:name w:val="列出段落6"/>
    <w:basedOn w:val="1"/>
    <w:qFormat/>
    <w:uiPriority w:val="34"/>
    <w:pPr>
      <w:ind w:firstLine="420" w:firstLineChars="200"/>
    </w:pPr>
    <w:rPr>
      <w:rFonts w:ascii="Calibri" w:hAnsi="Calibri"/>
    </w:rPr>
  </w:style>
  <w:style w:type="paragraph" w:customStyle="1" w:styleId="733">
    <w:name w:val="列出段落7"/>
    <w:basedOn w:val="1"/>
    <w:qFormat/>
    <w:uiPriority w:val="34"/>
    <w:pPr>
      <w:adjustRightInd/>
      <w:ind w:firstLine="420" w:firstLineChars="200"/>
    </w:pPr>
    <w:rPr>
      <w:rFonts w:ascii="Calibri" w:hAnsi="Calibri"/>
      <w:szCs w:val="22"/>
    </w:rPr>
  </w:style>
  <w:style w:type="paragraph" w:customStyle="1" w:styleId="734">
    <w:name w:val="[Normal]"/>
    <w:qFormat/>
    <w:uiPriority w:val="0"/>
    <w:rPr>
      <w:rFonts w:ascii="宋体" w:hAnsi="宋体" w:eastAsia="宋体" w:cs="Times New Roman"/>
      <w:sz w:val="24"/>
      <w:szCs w:val="22"/>
      <w:lang w:val="zh-CN" w:eastAsia="zh-CN" w:bidi="ar-SA"/>
    </w:rPr>
  </w:style>
  <w:style w:type="paragraph" w:customStyle="1" w:styleId="735">
    <w:name w:val="Table Paragraph"/>
    <w:basedOn w:val="1"/>
    <w:qFormat/>
    <w:uiPriority w:val="1"/>
    <w:pPr>
      <w:autoSpaceDE w:val="0"/>
      <w:autoSpaceDN w:val="0"/>
      <w:adjustRightInd/>
      <w:jc w:val="left"/>
    </w:pPr>
    <w:rPr>
      <w:rFonts w:ascii="宋体" w:hAnsi="宋体" w:cs="宋体"/>
      <w:kern w:val="0"/>
      <w:sz w:val="22"/>
      <w:szCs w:val="22"/>
      <w:lang w:val="zh-CN" w:bidi="zh-CN"/>
    </w:rPr>
  </w:style>
  <w:style w:type="table" w:customStyle="1" w:styleId="736">
    <w:name w:val="Table Normal"/>
    <w:qFormat/>
    <w:uiPriority w:val="2"/>
    <w:pPr>
      <w:widowControl w:val="0"/>
      <w:autoSpaceDE w:val="0"/>
      <w:autoSpaceDN w:val="0"/>
    </w:pPr>
    <w:rPr>
      <w:rFonts w:ascii="Calibri" w:hAnsi="Calibri" w:eastAsia="Times New Roman" w:cs="宋体"/>
      <w:sz w:val="22"/>
      <w:szCs w:val="22"/>
      <w:lang w:eastAsia="en-US"/>
    </w:rPr>
    <w:tblPr>
      <w:tblCellMar>
        <w:top w:w="0" w:type="dxa"/>
        <w:left w:w="0" w:type="dxa"/>
        <w:bottom w:w="0" w:type="dxa"/>
        <w:right w:w="0" w:type="dxa"/>
      </w:tblCellMar>
    </w:tblPr>
  </w:style>
  <w:style w:type="character" w:customStyle="1" w:styleId="737">
    <w:name w:val="font91"/>
    <w:basedOn w:val="51"/>
    <w:qFormat/>
    <w:uiPriority w:val="0"/>
    <w:rPr>
      <w:rFonts w:hint="eastAsia" w:ascii="宋体" w:hAnsi="宋体" w:eastAsia="宋体" w:cs="宋体"/>
      <w:color w:val="000000"/>
      <w:sz w:val="18"/>
      <w:szCs w:val="18"/>
      <w:u w:val="none"/>
    </w:rPr>
  </w:style>
  <w:style w:type="paragraph" w:customStyle="1" w:styleId="738">
    <w:name w:val="无间隔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739">
    <w:name w:val="正文-段落"/>
    <w:qFormat/>
    <w:uiPriority w:val="0"/>
    <w:pPr>
      <w:spacing w:line="360" w:lineRule="auto"/>
      <w:ind w:firstLine="200" w:firstLineChars="200"/>
    </w:pPr>
    <w:rPr>
      <w:rFonts w:ascii="Times New Roman" w:hAnsi="Times New Roman" w:eastAsia="宋体" w:cs="宋体"/>
      <w:sz w:val="24"/>
      <w:szCs w:val="24"/>
      <w:lang w:val="en-GB" w:eastAsia="zh-CN" w:bidi="ar-SA"/>
    </w:rPr>
  </w:style>
  <w:style w:type="paragraph" w:customStyle="1" w:styleId="740">
    <w:name w:val="xl63"/>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41">
    <w:name w:val="xl6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3">
    <w:name w:val="xl6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5">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pPr>
    <w:rPr>
      <w:rFonts w:ascii="仿宋" w:hAnsi="仿宋" w:eastAsia="仿宋" w:cs="宋体"/>
      <w:kern w:val="0"/>
      <w:sz w:val="24"/>
    </w:rPr>
  </w:style>
  <w:style w:type="paragraph" w:customStyle="1" w:styleId="746">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47">
    <w:name w:val="xl70"/>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48">
    <w:name w:val="xl71"/>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49">
    <w:name w:val="xl72"/>
    <w:basedOn w:val="1"/>
    <w:qFormat/>
    <w:uiPriority w:val="0"/>
    <w:pPr>
      <w:widowControl/>
      <w:pBdr>
        <w:top w:val="single" w:color="auto" w:sz="4" w:space="0"/>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0">
    <w:name w:val="xl73"/>
    <w:basedOn w:val="1"/>
    <w:qFormat/>
    <w:uiPriority w:val="0"/>
    <w:pPr>
      <w:widowControl/>
      <w:pBdr>
        <w:left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1">
    <w:name w:val="xl74"/>
    <w:basedOn w:val="1"/>
    <w:qFormat/>
    <w:uiPriority w:val="0"/>
    <w:pPr>
      <w:widowControl/>
      <w:pBdr>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4"/>
    </w:rPr>
  </w:style>
  <w:style w:type="paragraph" w:customStyle="1" w:styleId="753">
    <w:name w:val="xl76"/>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4">
    <w:name w:val="xl77"/>
    <w:basedOn w:val="1"/>
    <w:qFormat/>
    <w:uiPriority w:val="0"/>
    <w:pPr>
      <w:widowControl/>
      <w:pBdr>
        <w:top w:val="single" w:color="auto" w:sz="4" w:space="0"/>
        <w:bottom w:val="single" w:color="auto" w:sz="4" w:space="0"/>
      </w:pBdr>
      <w:adjustRightInd/>
      <w:spacing w:before="100" w:beforeAutospacing="1" w:after="100" w:afterAutospacing="1"/>
    </w:pPr>
    <w:rPr>
      <w:rFonts w:ascii="仿宋" w:hAnsi="仿宋" w:eastAsia="仿宋" w:cs="宋体"/>
      <w:kern w:val="0"/>
      <w:sz w:val="24"/>
    </w:rPr>
  </w:style>
  <w:style w:type="paragraph" w:customStyle="1" w:styleId="755">
    <w:name w:val="xl78"/>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pPr>
    <w:rPr>
      <w:rFonts w:ascii="仿宋" w:hAnsi="仿宋" w:eastAsia="仿宋" w:cs="宋体"/>
      <w:kern w:val="0"/>
      <w:sz w:val="24"/>
    </w:rPr>
  </w:style>
  <w:style w:type="paragraph" w:customStyle="1" w:styleId="756">
    <w:name w:val="xl79"/>
    <w:basedOn w:val="1"/>
    <w:qFormat/>
    <w:uiPriority w:val="0"/>
    <w:pPr>
      <w:widowControl/>
      <w:pBdr>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7">
    <w:name w:val="xl80"/>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58">
    <w:name w:val="xl81"/>
    <w:basedOn w:val="1"/>
    <w:qFormat/>
    <w:uiPriority w:val="0"/>
    <w:pPr>
      <w:widowControl/>
      <w:adjustRightInd/>
      <w:spacing w:before="100" w:beforeAutospacing="1" w:after="100" w:afterAutospacing="1"/>
      <w:jc w:val="center"/>
    </w:pPr>
    <w:rPr>
      <w:rFonts w:ascii="宋体" w:hAnsi="宋体" w:cs="宋体"/>
      <w:kern w:val="0"/>
      <w:sz w:val="24"/>
    </w:rPr>
  </w:style>
  <w:style w:type="paragraph" w:customStyle="1" w:styleId="759">
    <w:name w:val="xl82"/>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jc w:val="center"/>
    </w:pPr>
    <w:rPr>
      <w:rFonts w:ascii="仿宋" w:hAnsi="仿宋" w:eastAsia="仿宋" w:cs="宋体"/>
      <w:kern w:val="0"/>
      <w:sz w:val="24"/>
    </w:rPr>
  </w:style>
  <w:style w:type="paragraph" w:customStyle="1" w:styleId="760">
    <w:name w:val="xl83"/>
    <w:basedOn w:val="1"/>
    <w:qFormat/>
    <w:uiPriority w:val="0"/>
    <w:pPr>
      <w:widowControl/>
      <w:pBdr>
        <w:top w:val="single" w:color="auto" w:sz="4" w:space="0"/>
        <w:left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1">
    <w:name w:val="xl84"/>
    <w:basedOn w:val="1"/>
    <w:qFormat/>
    <w:uiPriority w:val="0"/>
    <w:pPr>
      <w:widowControl/>
      <w:pBdr>
        <w:top w:val="single" w:color="auto" w:sz="4" w:space="0"/>
        <w:bottom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2">
    <w:name w:val="xl85"/>
    <w:basedOn w:val="1"/>
    <w:qFormat/>
    <w:uiPriority w:val="0"/>
    <w:pPr>
      <w:widowControl/>
      <w:pBdr>
        <w:top w:val="single" w:color="auto" w:sz="4" w:space="0"/>
        <w:bottom w:val="single" w:color="auto" w:sz="4" w:space="0"/>
        <w:right w:val="single" w:color="auto" w:sz="4" w:space="0"/>
      </w:pBdr>
      <w:shd w:val="clear" w:color="000000" w:fill="00B050"/>
      <w:adjustRightInd/>
      <w:spacing w:before="100" w:beforeAutospacing="1" w:after="100" w:afterAutospacing="1"/>
      <w:jc w:val="left"/>
    </w:pPr>
    <w:rPr>
      <w:rFonts w:ascii="仿宋" w:hAnsi="仿宋" w:eastAsia="仿宋" w:cs="宋体"/>
      <w:kern w:val="0"/>
      <w:sz w:val="24"/>
    </w:rPr>
  </w:style>
  <w:style w:type="paragraph" w:customStyle="1" w:styleId="763">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4">
    <w:name w:val="正文首行缩进 21"/>
    <w:basedOn w:val="1"/>
    <w:qFormat/>
    <w:uiPriority w:val="0"/>
    <w:pPr>
      <w:adjustRightInd/>
      <w:spacing w:after="120"/>
      <w:ind w:left="420" w:leftChars="200" w:firstLine="420"/>
    </w:pPr>
    <w:rPr>
      <w:rFonts w:cs="宋体"/>
      <w:color w:val="000000"/>
      <w:szCs w:val="21"/>
    </w:rPr>
  </w:style>
  <w:style w:type="paragraph" w:customStyle="1" w:styleId="765">
    <w:name w:val="封面标题"/>
    <w:qFormat/>
    <w:uiPriority w:val="0"/>
    <w:pPr>
      <w:widowControl w:val="0"/>
      <w:jc w:val="center"/>
    </w:pPr>
    <w:rPr>
      <w:rFonts w:ascii="黑体" w:hAnsi="黑体" w:eastAsia="黑体" w:cs="黑体"/>
      <w:b/>
      <w:bCs/>
      <w:color w:val="000000"/>
      <w:sz w:val="40"/>
      <w:szCs w:val="40"/>
      <w:u w:color="000000"/>
      <w:lang w:val="en-US" w:eastAsia="zh-CN" w:bidi="ar-SA"/>
    </w:rPr>
  </w:style>
  <w:style w:type="paragraph" w:customStyle="1" w:styleId="766">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767">
    <w:name w:val="author-p-144115210953314684"/>
    <w:basedOn w:val="51"/>
    <w:qFormat/>
    <w:uiPriority w:val="0"/>
  </w:style>
  <w:style w:type="character" w:customStyle="1" w:styleId="768">
    <w:name w:val="fontstyle01"/>
    <w:basedOn w:val="51"/>
    <w:qFormat/>
    <w:uiPriority w:val="0"/>
    <w:rPr>
      <w:rFonts w:hint="eastAsia" w:ascii="黑体" w:hAnsi="黑体" w:eastAsia="黑体"/>
      <w:color w:val="000000"/>
      <w:sz w:val="52"/>
      <w:szCs w:val="52"/>
    </w:rPr>
  </w:style>
  <w:style w:type="paragraph" w:customStyle="1" w:styleId="76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770">
    <w:name w:val="正文文本缩进 Char3"/>
    <w:qFormat/>
    <w:uiPriority w:val="0"/>
    <w:rPr>
      <w:rFonts w:ascii="宋体" w:hAnsi="宋体"/>
      <w:kern w:val="2"/>
      <w:sz w:val="24"/>
      <w:szCs w:val="24"/>
    </w:rPr>
  </w:style>
  <w:style w:type="character" w:customStyle="1" w:styleId="771">
    <w:name w:val="font51"/>
    <w:basedOn w:val="51"/>
    <w:qFormat/>
    <w:uiPriority w:val="0"/>
    <w:rPr>
      <w:rFonts w:ascii="宋体" w:hAnsi="宋体" w:eastAsia="宋体" w:cs="宋体"/>
      <w:color w:val="000000"/>
      <w:sz w:val="14"/>
      <w:szCs w:val="14"/>
      <w:u w:val="none"/>
    </w:rPr>
  </w:style>
  <w:style w:type="character" w:customStyle="1" w:styleId="772">
    <w:name w:val="font112"/>
    <w:basedOn w:val="51"/>
    <w:qFormat/>
    <w:uiPriority w:val="0"/>
    <w:rPr>
      <w:rFonts w:ascii="Calibri" w:hAnsi="Calibri" w:cs="Calibri"/>
      <w:color w:val="000000"/>
      <w:sz w:val="14"/>
      <w:szCs w:val="14"/>
      <w:u w:val="none"/>
    </w:rPr>
  </w:style>
  <w:style w:type="character" w:customStyle="1" w:styleId="773">
    <w:name w:val="bookmark-item"/>
    <w:basedOn w:val="51"/>
    <w:qFormat/>
    <w:uiPriority w:val="0"/>
  </w:style>
  <w:style w:type="character" w:customStyle="1" w:styleId="774">
    <w:name w:val="font141"/>
    <w:basedOn w:val="51"/>
    <w:qFormat/>
    <w:uiPriority w:val="0"/>
    <w:rPr>
      <w:rFonts w:hint="default" w:ascii="Arial" w:hAnsi="Arial" w:cs="Arial"/>
      <w:b/>
      <w:color w:val="000000"/>
      <w:sz w:val="20"/>
      <w:szCs w:val="20"/>
      <w:u w:val="none"/>
    </w:rPr>
  </w:style>
  <w:style w:type="paragraph" w:customStyle="1" w:styleId="775">
    <w:name w:val="样式12"/>
    <w:basedOn w:val="1"/>
    <w:link w:val="777"/>
    <w:qFormat/>
    <w:uiPriority w:val="0"/>
  </w:style>
  <w:style w:type="paragraph" w:customStyle="1" w:styleId="776">
    <w:name w:val="样式13"/>
    <w:basedOn w:val="34"/>
    <w:link w:val="779"/>
    <w:qFormat/>
    <w:uiPriority w:val="0"/>
    <w:pPr>
      <w:pBdr>
        <w:bottom w:val="none" w:color="auto" w:sz="0" w:space="0"/>
      </w:pBdr>
    </w:pPr>
  </w:style>
  <w:style w:type="character" w:customStyle="1" w:styleId="777">
    <w:name w:val="样式12 Char"/>
    <w:basedOn w:val="51"/>
    <w:link w:val="775"/>
    <w:qFormat/>
    <w:uiPriority w:val="0"/>
    <w:rPr>
      <w:kern w:val="2"/>
      <w:sz w:val="21"/>
      <w:szCs w:val="24"/>
    </w:rPr>
  </w:style>
  <w:style w:type="paragraph" w:customStyle="1" w:styleId="778">
    <w:name w:val="样式14"/>
    <w:basedOn w:val="34"/>
    <w:link w:val="780"/>
    <w:qFormat/>
    <w:uiPriority w:val="0"/>
    <w:pPr>
      <w:pBdr>
        <w:bottom w:val="none" w:color="auto" w:sz="0" w:space="0"/>
      </w:pBdr>
      <w:tabs>
        <w:tab w:val="center" w:pos="4535"/>
        <w:tab w:val="right" w:pos="9070"/>
        <w:tab w:val="clear" w:pos="4153"/>
        <w:tab w:val="clear" w:pos="8306"/>
      </w:tabs>
    </w:pPr>
  </w:style>
  <w:style w:type="character" w:customStyle="1" w:styleId="779">
    <w:name w:val="样式13 Char"/>
    <w:basedOn w:val="165"/>
    <w:link w:val="776"/>
    <w:qFormat/>
    <w:uiPriority w:val="0"/>
  </w:style>
  <w:style w:type="character" w:customStyle="1" w:styleId="780">
    <w:name w:val="样式14 Char"/>
    <w:basedOn w:val="165"/>
    <w:link w:val="778"/>
    <w:qFormat/>
    <w:uiPriority w:val="0"/>
  </w:style>
  <w:style w:type="paragraph" w:customStyle="1" w:styleId="781">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782">
    <w:name w:val="正文51"/>
    <w:qFormat/>
    <w:uiPriority w:val="0"/>
    <w:pPr>
      <w:jc w:val="both"/>
    </w:pPr>
    <w:rPr>
      <w:rFonts w:ascii="Times New Roman" w:hAnsi="Times New Roman" w:eastAsia="宋体" w:cs="Times New Roman"/>
      <w:kern w:val="2"/>
      <w:sz w:val="21"/>
      <w:szCs w:val="21"/>
      <w:lang w:val="en-US" w:eastAsia="zh-CN" w:bidi="ar-SA"/>
    </w:rPr>
  </w:style>
  <w:style w:type="paragraph" w:customStyle="1" w:styleId="783">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9E554C-C2F7-4B6D-B799-59C528785745}">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107</Pages>
  <Words>31370</Words>
  <Characters>33243</Characters>
  <Lines>287</Lines>
  <Paragraphs>80</Paragraphs>
  <TotalTime>2</TotalTime>
  <ScaleCrop>false</ScaleCrop>
  <LinksUpToDate>false</LinksUpToDate>
  <CharactersWithSpaces>33512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2022-11-05T10:38:00Z</dcterms:created>
  <dc:creator>杨</dc:creator>
  <cp:lastModifiedBy>A小把胡子A 13335718896</cp:lastModifiedBy>
  <cp:lastPrinted>2022-06-25T09:48:00Z</cp:lastPrinted>
  <dcterms:modified xsi:type="dcterms:W3CDTF">2025-07-15T06:55:06Z</dcterms:modified>
  <dc:title>公开招标文件</dc:title>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36427EA666E22F28C6E17568A12F1CA8_43</vt:lpwstr>
  </property>
  <property fmtid="{D5CDD505-2E9C-101B-9397-08002B2CF9AE}" pid="4" name="woTemplateTypoMode">
    <vt:lpwstr>web</vt:lpwstr>
  </property>
  <property fmtid="{D5CDD505-2E9C-101B-9397-08002B2CF9AE}" pid="5" name="woTemplate">
    <vt:i4>1</vt:i4>
  </property>
  <property fmtid="{D5CDD505-2E9C-101B-9397-08002B2CF9AE}" pid="6" name="KSOTemplateDocerSaveRecord">
    <vt:lpwstr>eyJoZGlkIjoiMjk4MGQwMTNjMDNjODU5ODE3OGY4YzE5OTczYmY3ZGIiLCJ1c2VySWQiOiI5OTI5OTgxOTgifQ==</vt:lpwstr>
  </property>
</Properties>
</file>