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74E54">
      <w:pPr>
        <w:spacing w:line="360" w:lineRule="auto"/>
        <w:jc w:val="center"/>
        <w:rPr>
          <w:rFonts w:hint="eastAsia" w:ascii="仿宋" w:hAnsi="仿宋" w:eastAsia="仿宋" w:cs="仿宋"/>
          <w:b/>
          <w:color w:val="auto"/>
          <w:sz w:val="24"/>
          <w:highlight w:val="none"/>
        </w:rPr>
      </w:pPr>
    </w:p>
    <w:p w14:paraId="0C1FA87E">
      <w:pPr>
        <w:spacing w:line="360" w:lineRule="auto"/>
        <w:jc w:val="center"/>
        <w:rPr>
          <w:rFonts w:hint="eastAsia" w:ascii="仿宋" w:hAnsi="仿宋" w:eastAsia="仿宋" w:cs="仿宋"/>
          <w:b/>
          <w:color w:val="auto"/>
          <w:sz w:val="24"/>
          <w:highlight w:val="none"/>
        </w:rPr>
      </w:pPr>
    </w:p>
    <w:p w14:paraId="45689EDE">
      <w:pPr>
        <w:adjustRightInd/>
        <w:spacing w:line="360" w:lineRule="auto"/>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1079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18"/>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highlight w:val="none"/>
          <w:lang w:val="en-US" w:eastAsia="zh-CN"/>
        </w:rPr>
        <w:t xml:space="preserve">      </w:t>
      </w:r>
    </w:p>
    <w:p w14:paraId="126796E7">
      <w:pPr>
        <w:adjustRightInd/>
        <w:spacing w:line="36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val="en-US" w:eastAsia="zh-CN"/>
        </w:rPr>
        <w:t>2025-2026年度金华市看守所购买医疗服务项目</w:t>
      </w:r>
    </w:p>
    <w:p w14:paraId="627C861C">
      <w:pPr>
        <w:adjustRightInd/>
        <w:spacing w:line="36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val="en-US" w:eastAsia="zh-CN"/>
        </w:rPr>
        <w:t>公开</w:t>
      </w:r>
      <w:r>
        <w:rPr>
          <w:rFonts w:hint="eastAsia" w:ascii="仿宋" w:hAnsi="仿宋" w:eastAsia="仿宋" w:cs="仿宋"/>
          <w:b/>
          <w:bCs/>
          <w:color w:val="auto"/>
          <w:sz w:val="48"/>
          <w:szCs w:val="48"/>
          <w:highlight w:val="none"/>
        </w:rPr>
        <w:t>招标文件</w:t>
      </w:r>
    </w:p>
    <w:p w14:paraId="655BA2B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w:t>
      </w:r>
      <w:r>
        <w:rPr>
          <w:rFonts w:hint="eastAsia" w:ascii="仿宋" w:hAnsi="仿宋" w:eastAsia="仿宋" w:cs="仿宋"/>
          <w:b/>
          <w:color w:val="auto"/>
          <w:sz w:val="44"/>
          <w:szCs w:val="44"/>
          <w:highlight w:val="none"/>
          <w:lang w:val="en-US" w:eastAsia="zh-CN"/>
        </w:rPr>
        <w:t>交易</w:t>
      </w:r>
      <w:r>
        <w:rPr>
          <w:rFonts w:hint="eastAsia" w:ascii="仿宋" w:hAnsi="仿宋" w:eastAsia="仿宋" w:cs="仿宋"/>
          <w:b/>
          <w:color w:val="auto"/>
          <w:sz w:val="44"/>
          <w:szCs w:val="44"/>
          <w:highlight w:val="none"/>
        </w:rPr>
        <w:t>）</w:t>
      </w:r>
    </w:p>
    <w:p w14:paraId="1502586C">
      <w:pPr>
        <w:snapToGrid w:val="0"/>
        <w:spacing w:line="360" w:lineRule="auto"/>
        <w:jc w:val="center"/>
        <w:rPr>
          <w:rFonts w:hint="eastAsia" w:ascii="仿宋" w:hAnsi="仿宋" w:eastAsia="仿宋" w:cs="仿宋"/>
          <w:b/>
          <w:bCs/>
          <w:color w:val="auto"/>
          <w:sz w:val="30"/>
          <w:szCs w:val="30"/>
          <w:highlight w:val="none"/>
          <w:lang w:val="en-US"/>
        </w:rPr>
      </w:pPr>
      <w:r>
        <w:rPr>
          <w:rFonts w:hint="eastAsia" w:ascii="仿宋" w:hAnsi="仿宋" w:eastAsia="仿宋" w:cs="仿宋"/>
          <w:b/>
          <w:bCs/>
          <w:color w:val="auto"/>
          <w:sz w:val="30"/>
          <w:szCs w:val="30"/>
          <w:highlight w:val="none"/>
          <w:lang w:val="en-US" w:eastAsia="zh-CN"/>
        </w:rPr>
        <w:t>项目</w:t>
      </w:r>
      <w:r>
        <w:rPr>
          <w:rFonts w:hint="eastAsia" w:ascii="仿宋" w:hAnsi="仿宋" w:eastAsia="仿宋" w:cs="仿宋"/>
          <w:b/>
          <w:bCs/>
          <w:color w:val="auto"/>
          <w:sz w:val="30"/>
          <w:szCs w:val="30"/>
          <w:highlight w:val="none"/>
        </w:rPr>
        <w:t>编号:</w:t>
      </w:r>
      <w:r>
        <w:rPr>
          <w:rFonts w:hint="eastAsia" w:ascii="仿宋" w:hAnsi="仿宋" w:eastAsia="仿宋" w:cs="仿宋"/>
          <w:b/>
          <w:bCs/>
          <w:color w:val="auto"/>
          <w:sz w:val="30"/>
          <w:szCs w:val="30"/>
          <w:highlight w:val="none"/>
          <w:lang w:val="en-US" w:eastAsia="zh-CN"/>
        </w:rPr>
        <w:t>WHZB2025-JHCG011</w:t>
      </w:r>
    </w:p>
    <w:p w14:paraId="2BCCAD9A">
      <w:pPr>
        <w:adjustRightInd/>
        <w:spacing w:line="360" w:lineRule="auto"/>
        <w:outlineLvl w:val="9"/>
        <w:rPr>
          <w:rFonts w:hint="eastAsia" w:ascii="仿宋" w:hAnsi="仿宋" w:eastAsia="仿宋" w:cs="仿宋"/>
          <w:color w:val="auto"/>
          <w:sz w:val="28"/>
          <w:szCs w:val="20"/>
          <w:highlight w:val="none"/>
        </w:rPr>
      </w:pPr>
    </w:p>
    <w:p w14:paraId="49665A4E">
      <w:pPr>
        <w:spacing w:line="360" w:lineRule="auto"/>
        <w:jc w:val="center"/>
        <w:outlineLvl w:val="9"/>
        <w:rPr>
          <w:rFonts w:hint="eastAsia" w:ascii="仿宋" w:hAnsi="仿宋" w:eastAsia="仿宋" w:cs="仿宋"/>
          <w:b/>
          <w:color w:val="auto"/>
          <w:sz w:val="44"/>
          <w:szCs w:val="44"/>
          <w:highlight w:val="none"/>
        </w:rPr>
      </w:pPr>
    </w:p>
    <w:p w14:paraId="4846BEC1">
      <w:pPr>
        <w:pStyle w:val="60"/>
        <w:rPr>
          <w:rFonts w:hint="eastAsia"/>
          <w:color w:val="auto"/>
          <w:highlight w:val="none"/>
        </w:rPr>
      </w:pPr>
    </w:p>
    <w:p w14:paraId="417CFD4F">
      <w:pPr>
        <w:spacing w:line="360" w:lineRule="auto"/>
        <w:jc w:val="center"/>
        <w:outlineLvl w:val="9"/>
        <w:rPr>
          <w:rFonts w:hint="eastAsia" w:ascii="仿宋" w:hAnsi="仿宋" w:eastAsia="仿宋" w:cs="仿宋"/>
          <w:color w:val="auto"/>
          <w:sz w:val="24"/>
          <w:highlight w:val="none"/>
        </w:rPr>
      </w:pPr>
    </w:p>
    <w:p w14:paraId="0A2AC74C">
      <w:pPr>
        <w:spacing w:line="360" w:lineRule="auto"/>
        <w:jc w:val="center"/>
        <w:outlineLvl w:val="9"/>
        <w:rPr>
          <w:rFonts w:hint="eastAsia" w:ascii="仿宋" w:hAnsi="仿宋" w:eastAsia="仿宋" w:cs="仿宋"/>
          <w:color w:val="auto"/>
          <w:sz w:val="24"/>
          <w:highlight w:val="none"/>
        </w:rPr>
      </w:pPr>
    </w:p>
    <w:p w14:paraId="57E61EF4">
      <w:pPr>
        <w:spacing w:line="360" w:lineRule="auto"/>
        <w:outlineLvl w:val="9"/>
        <w:rPr>
          <w:rFonts w:hint="eastAsia" w:ascii="仿宋" w:hAnsi="仿宋" w:eastAsia="仿宋" w:cs="仿宋"/>
          <w:color w:val="auto"/>
          <w:sz w:val="32"/>
          <w:szCs w:val="32"/>
          <w:highlight w:val="none"/>
        </w:rPr>
      </w:pPr>
    </w:p>
    <w:p w14:paraId="63B8F9BB">
      <w:pPr>
        <w:tabs>
          <w:tab w:val="left" w:pos="432"/>
        </w:tabs>
        <w:spacing w:line="360" w:lineRule="auto"/>
        <w:outlineLvl w:val="9"/>
        <w:rPr>
          <w:rFonts w:hint="eastAsia" w:ascii="仿宋" w:hAnsi="仿宋" w:eastAsia="仿宋" w:cs="仿宋"/>
          <w:color w:val="auto"/>
          <w:sz w:val="32"/>
          <w:szCs w:val="32"/>
          <w:highlight w:val="none"/>
        </w:rPr>
      </w:pPr>
    </w:p>
    <w:p w14:paraId="72EB2F6D">
      <w:pPr>
        <w:spacing w:line="360" w:lineRule="auto"/>
        <w:outlineLvl w:val="9"/>
        <w:rPr>
          <w:rFonts w:hint="eastAsia" w:ascii="仿宋" w:hAnsi="仿宋" w:eastAsia="仿宋" w:cs="仿宋"/>
          <w:color w:val="auto"/>
          <w:sz w:val="32"/>
          <w:szCs w:val="32"/>
          <w:highlight w:val="none"/>
        </w:rPr>
      </w:pPr>
    </w:p>
    <w:p w14:paraId="6DCC4D14">
      <w:pPr>
        <w:tabs>
          <w:tab w:val="left" w:pos="432"/>
        </w:tabs>
        <w:spacing w:line="360" w:lineRule="auto"/>
        <w:outlineLvl w:val="9"/>
        <w:rPr>
          <w:rFonts w:hint="eastAsia" w:ascii="仿宋" w:hAnsi="仿宋" w:eastAsia="仿宋" w:cs="仿宋"/>
          <w:color w:val="auto"/>
          <w:sz w:val="32"/>
          <w:szCs w:val="32"/>
          <w:highlight w:val="none"/>
        </w:rPr>
      </w:pPr>
    </w:p>
    <w:p w14:paraId="1246989D">
      <w:pPr>
        <w:spacing w:line="360" w:lineRule="auto"/>
        <w:outlineLvl w:val="9"/>
        <w:rPr>
          <w:rFonts w:hint="eastAsia" w:ascii="仿宋" w:hAnsi="仿宋" w:eastAsia="仿宋" w:cs="仿宋"/>
          <w:color w:val="auto"/>
          <w:sz w:val="32"/>
          <w:szCs w:val="32"/>
          <w:highlight w:val="none"/>
        </w:rPr>
      </w:pPr>
    </w:p>
    <w:p w14:paraId="7EC804B6">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采购单位：</w:t>
      </w:r>
      <w:r>
        <w:rPr>
          <w:rFonts w:hint="eastAsia" w:ascii="仿宋" w:hAnsi="仿宋" w:eastAsia="仿宋" w:cs="仿宋"/>
          <w:b/>
          <w:bCs/>
          <w:color w:val="auto"/>
          <w:sz w:val="32"/>
          <w:szCs w:val="32"/>
          <w:highlight w:val="none"/>
          <w:lang w:eastAsia="zh-CN"/>
        </w:rPr>
        <w:t>金华市看守所</w:t>
      </w:r>
    </w:p>
    <w:p w14:paraId="1CD65B6D">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代理机构：</w:t>
      </w:r>
      <w:r>
        <w:rPr>
          <w:rFonts w:hint="eastAsia" w:ascii="仿宋" w:hAnsi="仿宋" w:eastAsia="仿宋" w:cs="仿宋"/>
          <w:b/>
          <w:bCs/>
          <w:color w:val="auto"/>
          <w:sz w:val="32"/>
          <w:szCs w:val="32"/>
          <w:highlight w:val="none"/>
          <w:lang w:eastAsia="zh-CN"/>
        </w:rPr>
        <w:t>浙江万汇招标代理有限公司</w:t>
      </w:r>
    </w:p>
    <w:p w14:paraId="0F082DE9">
      <w:pPr>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月</w:t>
      </w:r>
      <w:r>
        <w:rPr>
          <w:rFonts w:hint="eastAsia" w:ascii="仿宋" w:hAnsi="仿宋" w:eastAsia="仿宋" w:cs="仿宋"/>
          <w:color w:val="auto"/>
          <w:sz w:val="24"/>
          <w:highlight w:val="none"/>
        </w:rPr>
        <w:br w:type="page"/>
      </w:r>
      <w:bookmarkStart w:id="0" w:name="_Hlt67893495"/>
      <w:bookmarkEnd w:id="0"/>
    </w:p>
    <w:p w14:paraId="6A40D564">
      <w:pPr>
        <w:pStyle w:val="637"/>
        <w:spacing w:line="360" w:lineRule="auto"/>
        <w:ind w:left="0" w:leftChars="0" w:firstLine="0" w:firstLineChars="0"/>
        <w:outlineLvl w:val="9"/>
        <w:rPr>
          <w:rFonts w:hint="eastAsia" w:ascii="仿宋" w:hAnsi="仿宋" w:eastAsia="仿宋" w:cs="仿宋"/>
          <w:color w:val="auto"/>
          <w:highlight w:val="none"/>
        </w:rPr>
      </w:pPr>
    </w:p>
    <w:p w14:paraId="3136016C">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p>
    <w:p w14:paraId="02904D6D">
      <w:pPr>
        <w:spacing w:line="360" w:lineRule="auto"/>
        <w:rPr>
          <w:rFonts w:hint="eastAsia" w:ascii="仿宋" w:hAnsi="仿宋" w:eastAsia="仿宋" w:cs="仿宋"/>
          <w:color w:val="auto"/>
          <w:sz w:val="32"/>
          <w:szCs w:val="32"/>
          <w:highlight w:val="none"/>
        </w:rPr>
      </w:pPr>
    </w:p>
    <w:p w14:paraId="2871614C">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59A878D">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20CBACE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38D7875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13FC53A1">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35A55A4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76B25D90">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58351BC4">
      <w:pPr>
        <w:spacing w:line="360" w:lineRule="auto"/>
        <w:ind w:firstLine="549" w:firstLineChars="229"/>
        <w:rPr>
          <w:rFonts w:hint="eastAsia" w:ascii="仿宋" w:hAnsi="仿宋" w:eastAsia="仿宋" w:cs="仿宋"/>
          <w:color w:val="auto"/>
          <w:sz w:val="24"/>
          <w:highlight w:val="none"/>
        </w:rPr>
      </w:pPr>
    </w:p>
    <w:p w14:paraId="031FAFBC">
      <w:pPr>
        <w:spacing w:line="360" w:lineRule="auto"/>
        <w:ind w:firstLine="549" w:firstLineChars="229"/>
        <w:rPr>
          <w:rFonts w:hint="eastAsia" w:ascii="仿宋" w:hAnsi="仿宋" w:eastAsia="仿宋" w:cs="仿宋"/>
          <w:color w:val="auto"/>
          <w:sz w:val="24"/>
          <w:highlight w:val="none"/>
        </w:rPr>
      </w:pPr>
    </w:p>
    <w:p w14:paraId="5645B2CF">
      <w:pPr>
        <w:spacing w:line="360" w:lineRule="auto"/>
        <w:ind w:firstLine="549" w:firstLineChars="229"/>
        <w:rPr>
          <w:rFonts w:hint="eastAsia" w:ascii="仿宋" w:hAnsi="仿宋" w:eastAsia="仿宋" w:cs="仿宋"/>
          <w:color w:val="auto"/>
          <w:sz w:val="24"/>
          <w:highlight w:val="none"/>
        </w:rPr>
      </w:pPr>
    </w:p>
    <w:p w14:paraId="42B04DF6">
      <w:pPr>
        <w:spacing w:line="360" w:lineRule="auto"/>
        <w:ind w:firstLine="549" w:firstLineChars="229"/>
        <w:rPr>
          <w:rFonts w:hint="eastAsia" w:ascii="仿宋" w:hAnsi="仿宋" w:eastAsia="仿宋" w:cs="仿宋"/>
          <w:color w:val="auto"/>
          <w:sz w:val="24"/>
          <w:highlight w:val="none"/>
        </w:rPr>
      </w:pPr>
    </w:p>
    <w:p w14:paraId="548D52FE">
      <w:pPr>
        <w:spacing w:line="360" w:lineRule="auto"/>
        <w:ind w:firstLine="549" w:firstLineChars="229"/>
        <w:rPr>
          <w:rFonts w:hint="eastAsia" w:ascii="仿宋" w:hAnsi="仿宋" w:eastAsia="仿宋" w:cs="仿宋"/>
          <w:color w:val="auto"/>
          <w:sz w:val="24"/>
          <w:highlight w:val="none"/>
        </w:rPr>
      </w:pPr>
    </w:p>
    <w:p w14:paraId="1956AAC3">
      <w:pPr>
        <w:spacing w:line="360" w:lineRule="auto"/>
        <w:ind w:firstLine="549" w:firstLineChars="229"/>
        <w:rPr>
          <w:rFonts w:hint="eastAsia" w:ascii="仿宋" w:hAnsi="仿宋" w:eastAsia="仿宋" w:cs="仿宋"/>
          <w:color w:val="auto"/>
          <w:sz w:val="24"/>
          <w:highlight w:val="none"/>
        </w:rPr>
      </w:pPr>
    </w:p>
    <w:p w14:paraId="7BE02D09">
      <w:pPr>
        <w:spacing w:line="360" w:lineRule="auto"/>
        <w:ind w:firstLine="549" w:firstLineChars="229"/>
        <w:rPr>
          <w:rFonts w:hint="eastAsia" w:ascii="仿宋" w:hAnsi="仿宋" w:eastAsia="仿宋" w:cs="仿宋"/>
          <w:color w:val="auto"/>
          <w:sz w:val="24"/>
          <w:highlight w:val="none"/>
        </w:rPr>
      </w:pPr>
    </w:p>
    <w:p w14:paraId="22CBB360">
      <w:pPr>
        <w:spacing w:line="360" w:lineRule="auto"/>
        <w:ind w:firstLine="549" w:firstLineChars="229"/>
        <w:rPr>
          <w:rFonts w:hint="eastAsia" w:ascii="仿宋" w:hAnsi="仿宋" w:eastAsia="仿宋" w:cs="仿宋"/>
          <w:color w:val="auto"/>
          <w:sz w:val="24"/>
          <w:highlight w:val="none"/>
        </w:rPr>
      </w:pPr>
    </w:p>
    <w:p w14:paraId="7C3E2AB6">
      <w:pPr>
        <w:spacing w:line="360" w:lineRule="auto"/>
        <w:ind w:firstLine="549" w:firstLineChars="229"/>
        <w:rPr>
          <w:rFonts w:hint="eastAsia" w:ascii="仿宋" w:hAnsi="仿宋" w:eastAsia="仿宋" w:cs="仿宋"/>
          <w:color w:val="auto"/>
          <w:sz w:val="24"/>
          <w:highlight w:val="none"/>
        </w:rPr>
      </w:pPr>
    </w:p>
    <w:p w14:paraId="29C1C8C9">
      <w:pPr>
        <w:spacing w:line="360" w:lineRule="auto"/>
        <w:ind w:firstLine="549" w:firstLineChars="229"/>
        <w:rPr>
          <w:rFonts w:hint="eastAsia" w:ascii="仿宋" w:hAnsi="仿宋" w:eastAsia="仿宋" w:cs="仿宋"/>
          <w:color w:val="auto"/>
          <w:sz w:val="24"/>
          <w:highlight w:val="none"/>
        </w:rPr>
      </w:pPr>
    </w:p>
    <w:p w14:paraId="44E96814">
      <w:pPr>
        <w:spacing w:line="360" w:lineRule="auto"/>
        <w:ind w:firstLine="549" w:firstLineChars="229"/>
        <w:rPr>
          <w:rFonts w:hint="eastAsia" w:ascii="仿宋" w:hAnsi="仿宋" w:eastAsia="仿宋" w:cs="仿宋"/>
          <w:color w:val="auto"/>
          <w:sz w:val="24"/>
          <w:highlight w:val="none"/>
        </w:rPr>
      </w:pPr>
    </w:p>
    <w:p w14:paraId="1C9425B9">
      <w:pPr>
        <w:spacing w:line="360" w:lineRule="auto"/>
        <w:ind w:firstLine="549" w:firstLineChars="229"/>
        <w:rPr>
          <w:rFonts w:hint="eastAsia" w:ascii="仿宋" w:hAnsi="仿宋" w:eastAsia="仿宋" w:cs="仿宋"/>
          <w:color w:val="auto"/>
          <w:sz w:val="24"/>
          <w:highlight w:val="none"/>
        </w:rPr>
      </w:pPr>
    </w:p>
    <w:p w14:paraId="2D437718">
      <w:pPr>
        <w:spacing w:line="360" w:lineRule="auto"/>
        <w:rPr>
          <w:rFonts w:hint="eastAsia" w:ascii="仿宋" w:hAnsi="仿宋" w:eastAsia="仿宋" w:cs="仿宋"/>
          <w:color w:val="auto"/>
          <w:sz w:val="24"/>
          <w:highlight w:val="none"/>
        </w:rPr>
      </w:pPr>
    </w:p>
    <w:p w14:paraId="28C4DF88">
      <w:pPr>
        <w:adjustRightInd/>
        <w:spacing w:line="360" w:lineRule="auto"/>
        <w:jc w:val="center"/>
        <w:outlineLvl w:val="0"/>
        <w:rPr>
          <w:rFonts w:hint="eastAsia" w:ascii="仿宋" w:hAnsi="仿宋" w:eastAsia="仿宋" w:cs="仿宋"/>
          <w:b/>
          <w:color w:val="auto"/>
          <w:sz w:val="32"/>
          <w:szCs w:val="32"/>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auto"/>
          <w:sz w:val="32"/>
          <w:szCs w:val="32"/>
          <w:highlight w:val="none"/>
        </w:rPr>
        <w:t>第一部分 招标公告</w:t>
      </w:r>
    </w:p>
    <w:p w14:paraId="1431F828">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项目概况</w:t>
      </w:r>
    </w:p>
    <w:p w14:paraId="7912FD6C">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lang w:val="en-US" w:eastAsia="zh-CN"/>
        </w:rPr>
        <w:t>2025-2026年度金华市看守所购买医疗服务项目</w:t>
      </w:r>
      <w:r>
        <w:rPr>
          <w:rFonts w:hint="eastAsia" w:ascii="仿宋" w:hAnsi="仿宋" w:eastAsia="仿宋" w:cs="仿宋"/>
          <w:color w:val="auto"/>
          <w:sz w:val="21"/>
          <w:szCs w:val="21"/>
          <w:highlight w:val="none"/>
        </w:rPr>
        <w:t>招标项目的潜在投标人应在政采云平台（</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"https://www.zcygov.cn/）获取（下载）招标文件，并于202%20年%20月%20日%20点%20分00秒" </w:instrText>
      </w:r>
      <w:r>
        <w:rPr>
          <w:rFonts w:hint="eastAsia" w:ascii="仿宋" w:hAnsi="仿宋" w:eastAsia="仿宋" w:cs="仿宋"/>
          <w:color w:val="auto"/>
          <w:sz w:val="21"/>
          <w:szCs w:val="21"/>
          <w:highlight w:val="none"/>
        </w:rPr>
        <w:fldChar w:fldCharType="separate"/>
      </w:r>
      <w:r>
        <w:rPr>
          <w:rStyle w:val="76"/>
          <w:rFonts w:hint="eastAsia" w:ascii="仿宋" w:hAnsi="仿宋" w:eastAsia="仿宋" w:cs="仿宋"/>
          <w:snapToGrid/>
          <w:color w:val="auto"/>
          <w:kern w:val="2"/>
          <w:sz w:val="21"/>
          <w:szCs w:val="21"/>
          <w:highlight w:val="none"/>
        </w:rPr>
        <w:t>https://www.zcygov.cn/）获取（下载）招标文件，并于</w:t>
      </w:r>
      <w:r>
        <w:rPr>
          <w:rStyle w:val="76"/>
          <w:rFonts w:hint="eastAsia" w:ascii="仿宋" w:hAnsi="仿宋" w:eastAsia="仿宋" w:cs="仿宋"/>
          <w:snapToGrid/>
          <w:color w:val="auto"/>
          <w:kern w:val="2"/>
          <w:sz w:val="21"/>
          <w:szCs w:val="21"/>
          <w:highlight w:val="none"/>
        </w:rPr>
        <w:t>202</w:t>
      </w:r>
      <w:r>
        <w:rPr>
          <w:rStyle w:val="76"/>
          <w:rFonts w:hint="eastAsia" w:ascii="仿宋" w:hAnsi="仿宋" w:eastAsia="仿宋" w:cs="仿宋"/>
          <w:snapToGrid/>
          <w:color w:val="auto"/>
          <w:kern w:val="2"/>
          <w:sz w:val="21"/>
          <w:szCs w:val="21"/>
          <w:highlight w:val="none"/>
          <w:lang w:val="en-US" w:eastAsia="zh-CN"/>
        </w:rPr>
        <w:t>5</w:t>
      </w:r>
      <w:r>
        <w:rPr>
          <w:rStyle w:val="76"/>
          <w:rFonts w:hint="eastAsia" w:ascii="仿宋" w:hAnsi="仿宋" w:eastAsia="仿宋" w:cs="仿宋"/>
          <w:snapToGrid/>
          <w:color w:val="auto"/>
          <w:kern w:val="2"/>
          <w:sz w:val="21"/>
          <w:szCs w:val="21"/>
          <w:highlight w:val="none"/>
        </w:rPr>
        <w:t>年</w:t>
      </w:r>
      <w:r>
        <w:rPr>
          <w:rStyle w:val="76"/>
          <w:rFonts w:hint="eastAsia" w:ascii="仿宋" w:hAnsi="仿宋" w:eastAsia="仿宋" w:cs="仿宋"/>
          <w:snapToGrid/>
          <w:color w:val="auto"/>
          <w:kern w:val="2"/>
          <w:sz w:val="21"/>
          <w:szCs w:val="21"/>
          <w:highlight w:val="none"/>
          <w:lang w:val="en-US" w:eastAsia="zh-CN"/>
        </w:rPr>
        <w:t>8</w:t>
      </w:r>
      <w:r>
        <w:rPr>
          <w:rStyle w:val="76"/>
          <w:rFonts w:hint="eastAsia" w:ascii="仿宋" w:hAnsi="仿宋" w:eastAsia="仿宋" w:cs="仿宋"/>
          <w:snapToGrid/>
          <w:color w:val="auto"/>
          <w:kern w:val="2"/>
          <w:sz w:val="21"/>
          <w:szCs w:val="21"/>
          <w:highlight w:val="none"/>
        </w:rPr>
        <w:t>月</w:t>
      </w:r>
      <w:r>
        <w:rPr>
          <w:rStyle w:val="76"/>
          <w:rFonts w:hint="eastAsia" w:ascii="仿宋" w:hAnsi="仿宋" w:eastAsia="仿宋" w:cs="仿宋"/>
          <w:snapToGrid/>
          <w:color w:val="auto"/>
          <w:kern w:val="2"/>
          <w:sz w:val="21"/>
          <w:szCs w:val="21"/>
          <w:highlight w:val="none"/>
          <w:lang w:val="en-US" w:eastAsia="zh-CN"/>
        </w:rPr>
        <w:t>4</w:t>
      </w:r>
      <w:r>
        <w:rPr>
          <w:rStyle w:val="76"/>
          <w:rFonts w:hint="eastAsia" w:ascii="仿宋" w:hAnsi="仿宋" w:eastAsia="仿宋" w:cs="仿宋"/>
          <w:snapToGrid/>
          <w:color w:val="auto"/>
          <w:kern w:val="2"/>
          <w:sz w:val="21"/>
          <w:szCs w:val="21"/>
          <w:highlight w:val="none"/>
        </w:rPr>
        <w:t>日</w:t>
      </w:r>
      <w:r>
        <w:rPr>
          <w:rStyle w:val="76"/>
          <w:rFonts w:hint="eastAsia" w:ascii="仿宋" w:hAnsi="仿宋" w:eastAsia="仿宋" w:cs="仿宋"/>
          <w:snapToGrid/>
          <w:color w:val="auto"/>
          <w:kern w:val="2"/>
          <w:sz w:val="21"/>
          <w:szCs w:val="21"/>
          <w:highlight w:val="none"/>
          <w:lang w:val="en-US" w:eastAsia="zh-CN"/>
        </w:rPr>
        <w:t>14</w:t>
      </w:r>
      <w:r>
        <w:rPr>
          <w:rStyle w:val="76"/>
          <w:rFonts w:hint="eastAsia" w:ascii="仿宋" w:hAnsi="仿宋" w:eastAsia="仿宋" w:cs="仿宋"/>
          <w:snapToGrid/>
          <w:color w:val="auto"/>
          <w:kern w:val="2"/>
          <w:sz w:val="21"/>
          <w:szCs w:val="21"/>
          <w:highlight w:val="none"/>
        </w:rPr>
        <w:t>点</w:t>
      </w:r>
      <w:r>
        <w:rPr>
          <w:rStyle w:val="76"/>
          <w:rFonts w:hint="eastAsia" w:ascii="仿宋" w:hAnsi="仿宋" w:eastAsia="仿宋" w:cs="仿宋"/>
          <w:snapToGrid/>
          <w:color w:val="auto"/>
          <w:kern w:val="2"/>
          <w:sz w:val="21"/>
          <w:szCs w:val="21"/>
          <w:highlight w:val="none"/>
          <w:lang w:val="en-US" w:eastAsia="zh-CN"/>
        </w:rPr>
        <w:t>30</w:t>
      </w:r>
      <w:r>
        <w:rPr>
          <w:rStyle w:val="76"/>
          <w:rFonts w:hint="eastAsia" w:ascii="仿宋" w:hAnsi="仿宋" w:eastAsia="仿宋" w:cs="仿宋"/>
          <w:snapToGrid/>
          <w:color w:val="auto"/>
          <w:kern w:val="2"/>
          <w:sz w:val="21"/>
          <w:szCs w:val="21"/>
          <w:highlight w:val="none"/>
        </w:rPr>
        <w:t>分</w:t>
      </w:r>
      <w:r>
        <w:rPr>
          <w:rStyle w:val="76"/>
          <w:rFonts w:hint="eastAsia" w:ascii="仿宋" w:hAnsi="仿宋" w:eastAsia="仿宋" w:cs="仿宋"/>
          <w:bCs/>
          <w:snapToGrid/>
          <w:color w:val="auto"/>
          <w:kern w:val="2"/>
          <w:sz w:val="21"/>
          <w:szCs w:val="21"/>
          <w:highlight w:val="none"/>
        </w:rPr>
        <w:t>00秒</w:t>
      </w:r>
      <w:r>
        <w:rPr>
          <w:rStyle w:val="76"/>
          <w:rFonts w:hint="eastAsia" w:ascii="仿宋" w:hAnsi="仿宋" w:eastAsia="仿宋" w:cs="仿宋"/>
          <w:bCs/>
          <w:snapToGrid/>
          <w:color w:val="auto"/>
          <w:kern w:val="2"/>
          <w:sz w:val="21"/>
          <w:szCs w:val="21"/>
          <w:highlight w:val="none"/>
        </w:rPr>
        <w:fldChar w:fldCharType="end"/>
      </w:r>
      <w:r>
        <w:rPr>
          <w:rFonts w:hint="eastAsia" w:ascii="仿宋" w:hAnsi="仿宋" w:eastAsia="仿宋" w:cs="仿宋"/>
          <w:bCs/>
          <w:color w:val="auto"/>
          <w:sz w:val="21"/>
          <w:szCs w:val="21"/>
          <w:highlight w:val="none"/>
        </w:rPr>
        <w:t>（北京时间）前</w:t>
      </w:r>
      <w:r>
        <w:rPr>
          <w:rFonts w:hint="eastAsia" w:ascii="仿宋" w:hAnsi="仿宋" w:eastAsia="仿宋" w:cs="仿宋"/>
          <w:color w:val="auto"/>
          <w:sz w:val="21"/>
          <w:szCs w:val="21"/>
          <w:highlight w:val="none"/>
        </w:rPr>
        <w:t>递交（上传）投标文件。</w:t>
      </w:r>
    </w:p>
    <w:p w14:paraId="2864247F">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一、项目基本情况</w:t>
      </w:r>
    </w:p>
    <w:p w14:paraId="41FC4CD7">
      <w:pPr>
        <w:spacing w:line="360" w:lineRule="auto"/>
        <w:ind w:left="0" w:leftChars="0" w:firstLine="422" w:firstLineChars="200"/>
        <w:rPr>
          <w:rFonts w:hint="eastAsia" w:ascii="仿宋" w:hAnsi="仿宋" w:eastAsia="仿宋" w:cs="仿宋"/>
          <w:color w:val="auto"/>
          <w:sz w:val="21"/>
          <w:szCs w:val="21"/>
          <w:highlight w:val="none"/>
          <w:lang w:val="en-US"/>
        </w:rPr>
      </w:pPr>
      <w:r>
        <w:rPr>
          <w:rFonts w:hint="eastAsia" w:ascii="仿宋" w:hAnsi="仿宋" w:eastAsia="仿宋" w:cs="仿宋"/>
          <w:b/>
          <w:color w:val="auto"/>
          <w:sz w:val="21"/>
          <w:szCs w:val="21"/>
          <w:highlight w:val="none"/>
        </w:rPr>
        <w:t>项目编号：</w:t>
      </w:r>
      <w:r>
        <w:rPr>
          <w:rFonts w:hint="eastAsia" w:ascii="仿宋" w:hAnsi="仿宋" w:eastAsia="仿宋" w:cs="仿宋"/>
          <w:b w:val="0"/>
          <w:bCs/>
          <w:color w:val="auto"/>
          <w:sz w:val="21"/>
          <w:szCs w:val="21"/>
          <w:highlight w:val="none"/>
          <w:lang w:val="en-US" w:eastAsia="zh-CN"/>
        </w:rPr>
        <w:t>WHZB2025-JHCG011</w:t>
      </w:r>
    </w:p>
    <w:p w14:paraId="0DF19586">
      <w:pPr>
        <w:spacing w:line="360" w:lineRule="auto"/>
        <w:ind w:left="0" w:leftChars="0"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项目名称：</w:t>
      </w:r>
      <w:r>
        <w:rPr>
          <w:rFonts w:hint="eastAsia" w:ascii="仿宋" w:hAnsi="仿宋" w:eastAsia="仿宋" w:cs="仿宋"/>
          <w:color w:val="auto"/>
          <w:sz w:val="21"/>
          <w:szCs w:val="21"/>
          <w:highlight w:val="none"/>
          <w:lang w:val="en-US" w:eastAsia="zh-CN"/>
        </w:rPr>
        <w:t>2025-2026年度金华市看守所购买医疗服务项目</w:t>
      </w:r>
    </w:p>
    <w:p w14:paraId="14909467">
      <w:pPr>
        <w:spacing w:line="360" w:lineRule="auto"/>
        <w:ind w:left="0" w:leftChars="0"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预算金额（元）：</w:t>
      </w:r>
      <w:r>
        <w:rPr>
          <w:rFonts w:hint="eastAsia" w:ascii="仿宋" w:hAnsi="仿宋" w:eastAsia="仿宋" w:cs="仿宋"/>
          <w:b w:val="0"/>
          <w:bCs/>
          <w:color w:val="auto"/>
          <w:sz w:val="21"/>
          <w:szCs w:val="21"/>
          <w:highlight w:val="none"/>
          <w:lang w:val="en-US" w:eastAsia="zh-CN"/>
        </w:rPr>
        <w:t>4,760,000</w:t>
      </w:r>
    </w:p>
    <w:p w14:paraId="562990DB">
      <w:pPr>
        <w:spacing w:line="360" w:lineRule="auto"/>
        <w:ind w:firstLine="422"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最高限价（元）：</w:t>
      </w:r>
      <w:r>
        <w:rPr>
          <w:rFonts w:hint="eastAsia" w:ascii="仿宋" w:hAnsi="仿宋" w:eastAsia="仿宋" w:cs="仿宋"/>
          <w:b w:val="0"/>
          <w:bCs/>
          <w:color w:val="auto"/>
          <w:sz w:val="21"/>
          <w:szCs w:val="21"/>
          <w:highlight w:val="none"/>
          <w:lang w:val="en-US" w:eastAsia="zh-CN"/>
        </w:rPr>
        <w:t>4,760,000</w:t>
      </w:r>
    </w:p>
    <w:p w14:paraId="1855E1E8">
      <w:pPr>
        <w:pStyle w:val="5"/>
        <w:spacing w:line="360" w:lineRule="auto"/>
        <w:ind w:left="0" w:leftChars="0" w:firstLine="422" w:firstLineChars="200"/>
        <w:rPr>
          <w:rFonts w:hint="eastAsia" w:ascii="仿宋" w:hAnsi="仿宋" w:eastAsia="仿宋" w:cs="仿宋"/>
          <w:snapToGrid/>
          <w:color w:val="auto"/>
          <w:kern w:val="2"/>
          <w:sz w:val="21"/>
          <w:szCs w:val="21"/>
          <w:highlight w:val="none"/>
          <w:lang w:val="en-US" w:eastAsia="zh-CN" w:bidi="ar-SA"/>
        </w:rPr>
      </w:pPr>
      <w:r>
        <w:rPr>
          <w:rFonts w:hint="eastAsia" w:ascii="仿宋" w:hAnsi="仿宋" w:eastAsia="仿宋" w:cs="仿宋"/>
          <w:b/>
          <w:color w:val="auto"/>
          <w:sz w:val="21"/>
          <w:szCs w:val="21"/>
          <w:highlight w:val="none"/>
        </w:rPr>
        <w:t>简要规格描述或项目基本概况介绍、用途：</w:t>
      </w:r>
      <w:r>
        <w:rPr>
          <w:rFonts w:hint="eastAsia" w:ascii="仿宋" w:hAnsi="仿宋" w:eastAsia="仿宋" w:cs="仿宋"/>
          <w:snapToGrid/>
          <w:color w:val="auto"/>
          <w:kern w:val="2"/>
          <w:sz w:val="21"/>
          <w:szCs w:val="21"/>
          <w:highlight w:val="none"/>
          <w:lang w:val="en-US" w:eastAsia="zh-CN" w:bidi="ar-SA"/>
        </w:rPr>
        <w:t>为金华市看守所、金华市拘留所提供医疗服务，具体要求详见“第三章招标需求”。</w:t>
      </w:r>
    </w:p>
    <w:p w14:paraId="666CB724">
      <w:pPr>
        <w:pStyle w:val="5"/>
        <w:spacing w:line="360" w:lineRule="auto"/>
        <w:ind w:left="0" w:leftChars="0" w:firstLine="422" w:firstLineChars="20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color w:val="auto"/>
          <w:sz w:val="21"/>
          <w:szCs w:val="21"/>
          <w:highlight w:val="none"/>
        </w:rPr>
        <w:t>合同履约期限：</w:t>
      </w:r>
      <w:r>
        <w:rPr>
          <w:rFonts w:hint="eastAsia" w:ascii="仿宋" w:hAnsi="仿宋" w:eastAsia="仿宋" w:cs="仿宋"/>
          <w:snapToGrid/>
          <w:color w:val="auto"/>
          <w:kern w:val="2"/>
          <w:sz w:val="21"/>
          <w:szCs w:val="21"/>
          <w:highlight w:val="none"/>
          <w:lang w:val="en-US" w:eastAsia="zh-CN" w:bidi="ar-SA"/>
        </w:rPr>
        <w:t>本合同服务期一年，一年服务期满后，经金华市看守所、金华市拘留所对中标医院服务质量、响应速度等方面测评满意（评分标准详见“第三章招标需求附件五”），认为符合续签条件且年度内无违约行为的，在财政政策、服务费用不变的情况下，可按原合同继续签订2年的服务合同（一年一签）。甲方也可以选择不续签，有权组织招标。</w:t>
      </w:r>
    </w:p>
    <w:p w14:paraId="2CDB693A">
      <w:pPr>
        <w:pStyle w:val="5"/>
        <w:spacing w:line="360" w:lineRule="auto"/>
        <w:ind w:left="0" w:leftChars="0"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本项目接受联合体投标：</w:t>
      </w:r>
      <w:r>
        <w:rPr>
          <w:rFonts w:hint="eastAsia" w:ascii="仿宋" w:hAnsi="仿宋" w:eastAsia="仿宋" w:cs="仿宋"/>
          <w:color w:val="auto"/>
          <w:kern w:val="0"/>
          <w:sz w:val="21"/>
          <w:szCs w:val="21"/>
          <w:highlight w:val="none"/>
        </w:rPr>
        <w:t xml:space="preserve"> </w:t>
      </w:r>
      <w:sdt>
        <w:sdtPr>
          <w:rPr>
            <w:rFonts w:hint="eastAsia" w:ascii="仿宋" w:hAnsi="仿宋" w:eastAsia="仿宋" w:cs="仿宋"/>
            <w:color w:val="auto"/>
            <w:kern w:val="0"/>
            <w:sz w:val="21"/>
            <w:szCs w:val="21"/>
            <w:highlight w:val="none"/>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snapToGrid w:val="0"/>
              <w:color w:val="auto"/>
              <w:kern w:val="0"/>
              <w:sz w:val="21"/>
              <w:szCs w:val="21"/>
              <w:highlight w:val="none"/>
              <w:lang w:val="en-US" w:eastAsia="zh-CN" w:bidi="ar-SA"/>
            </w:rPr>
            <w:t>þ</w:t>
          </w:r>
        </w:sdtContent>
      </w:sdt>
      <w:r>
        <w:rPr>
          <w:rFonts w:hint="eastAsia" w:ascii="仿宋" w:hAnsi="仿宋" w:eastAsia="仿宋" w:cs="仿宋"/>
          <w:b/>
          <w:color w:val="auto"/>
          <w:sz w:val="21"/>
          <w:szCs w:val="21"/>
          <w:highlight w:val="none"/>
        </w:rPr>
        <w:t>是；</w:t>
      </w:r>
      <w:sdt>
        <w:sdtPr>
          <w:rPr>
            <w:rFonts w:hint="eastAsia" w:ascii="仿宋" w:hAnsi="仿宋" w:eastAsia="仿宋" w:cs="仿宋"/>
            <w:color w:val="auto"/>
            <w:kern w:val="0"/>
            <w:sz w:val="21"/>
            <w:szCs w:val="21"/>
            <w:highlight w:val="none"/>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MS Gothic" w:hAnsi="MS Gothic" w:eastAsia="仿宋" w:cs="仿宋"/>
              <w:snapToGrid w:val="0"/>
              <w:color w:val="auto"/>
              <w:kern w:val="0"/>
              <w:sz w:val="21"/>
              <w:szCs w:val="21"/>
              <w:highlight w:val="none"/>
              <w:lang w:val="en-US" w:eastAsia="zh-CN" w:bidi="ar-SA"/>
            </w:rPr>
            <w:t>☐</w:t>
          </w:r>
        </w:sdtContent>
      </w:sdt>
      <w:r>
        <w:rPr>
          <w:rFonts w:hint="eastAsia" w:ascii="仿宋" w:hAnsi="仿宋" w:eastAsia="仿宋" w:cs="仿宋"/>
          <w:b/>
          <w:color w:val="auto"/>
          <w:sz w:val="21"/>
          <w:szCs w:val="21"/>
          <w:highlight w:val="none"/>
        </w:rPr>
        <w:t>否</w:t>
      </w:r>
      <w:r>
        <w:rPr>
          <w:rFonts w:hint="eastAsia" w:ascii="仿宋" w:hAnsi="仿宋" w:eastAsia="仿宋" w:cs="仿宋"/>
          <w:color w:val="auto"/>
          <w:kern w:val="0"/>
          <w:sz w:val="21"/>
          <w:szCs w:val="21"/>
          <w:highlight w:val="none"/>
        </w:rPr>
        <w:t>。</w:t>
      </w:r>
    </w:p>
    <w:p w14:paraId="1BA4A4E9">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二、申请人的资格要求：</w:t>
      </w:r>
    </w:p>
    <w:p w14:paraId="17EFD824">
      <w:pPr>
        <w:spacing w:line="360" w:lineRule="auto"/>
        <w:ind w:firstLine="480"/>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1</w:t>
      </w:r>
      <w:r>
        <w:rPr>
          <w:rFonts w:hint="eastAsia" w:ascii="仿宋" w:hAnsi="仿宋" w:eastAsia="仿宋" w:cs="仿宋"/>
          <w:snapToGrid w:val="0"/>
          <w:color w:val="auto"/>
          <w:kern w:val="28"/>
          <w:sz w:val="21"/>
          <w:szCs w:val="21"/>
          <w:highlight w:val="none"/>
          <w:lang w:val="en-US" w:eastAsia="zh-CN"/>
        </w:rPr>
        <w:t>.</w:t>
      </w:r>
      <w:r>
        <w:rPr>
          <w:rFonts w:hint="eastAsia" w:ascii="仿宋" w:hAnsi="仿宋" w:eastAsia="仿宋" w:cs="仿宋"/>
          <w:snapToGrid w:val="0"/>
          <w:color w:val="auto"/>
          <w:kern w:val="28"/>
          <w:sz w:val="21"/>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4C27D845">
      <w:pPr>
        <w:spacing w:line="360" w:lineRule="auto"/>
        <w:ind w:firstLine="480"/>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2.以联合体形式投标的，提供联合协议(</w:t>
      </w:r>
      <w:r>
        <w:rPr>
          <w:rFonts w:hint="eastAsia" w:ascii="仿宋" w:hAnsi="仿宋" w:eastAsia="仿宋" w:cs="仿宋"/>
          <w:snapToGrid w:val="0"/>
          <w:color w:val="auto"/>
          <w:kern w:val="28"/>
          <w:sz w:val="21"/>
          <w:szCs w:val="21"/>
          <w:highlight w:val="none"/>
          <w:lang w:val="en-US" w:eastAsia="zh-CN"/>
        </w:rPr>
        <w:t>若</w:t>
      </w:r>
      <w:r>
        <w:rPr>
          <w:rFonts w:hint="eastAsia" w:ascii="仿宋" w:hAnsi="仿宋" w:eastAsia="仿宋" w:cs="仿宋"/>
          <w:snapToGrid w:val="0"/>
          <w:color w:val="auto"/>
          <w:kern w:val="28"/>
          <w:sz w:val="21"/>
          <w:szCs w:val="21"/>
          <w:highlight w:val="none"/>
        </w:rPr>
        <w:t>本项目不接受联合体投标或者投标人不以联合体形式投标的，则不需要提供) ；</w:t>
      </w:r>
    </w:p>
    <w:p w14:paraId="50A81E4A">
      <w:pPr>
        <w:spacing w:line="360" w:lineRule="auto"/>
        <w:ind w:firstLine="420" w:firstLineChars="200"/>
        <w:rPr>
          <w:rFonts w:hint="eastAsia" w:ascii="仿宋" w:hAnsi="仿宋" w:eastAsia="仿宋" w:cs="仿宋"/>
          <w:snapToGrid w:val="0"/>
          <w:color w:val="auto"/>
          <w:kern w:val="28"/>
          <w:sz w:val="21"/>
          <w:szCs w:val="21"/>
          <w:highlight w:val="none"/>
          <w:lang w:val="en-US" w:eastAsia="zh-CN"/>
        </w:rPr>
      </w:pPr>
      <w:r>
        <w:rPr>
          <w:rFonts w:hint="eastAsia" w:ascii="仿宋" w:hAnsi="仿宋" w:eastAsia="仿宋" w:cs="仿宋"/>
          <w:snapToGrid w:val="0"/>
          <w:color w:val="auto"/>
          <w:kern w:val="28"/>
          <w:sz w:val="21"/>
          <w:szCs w:val="21"/>
          <w:highlight w:val="none"/>
        </w:rPr>
        <w:t>3.落实政府采购政策需满足的资格要求：</w:t>
      </w:r>
      <w:r>
        <w:rPr>
          <w:rFonts w:hint="eastAsia" w:ascii="仿宋" w:hAnsi="仿宋" w:eastAsia="仿宋" w:cs="仿宋"/>
          <w:snapToGrid w:val="0"/>
          <w:color w:val="auto"/>
          <w:kern w:val="28"/>
          <w:sz w:val="21"/>
          <w:szCs w:val="21"/>
          <w:highlight w:val="none"/>
          <w:lang w:val="en-US" w:eastAsia="zh-CN"/>
        </w:rPr>
        <w:t>无。</w:t>
      </w:r>
    </w:p>
    <w:p w14:paraId="2D0973E6">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4.本项目的特定资格要求：</w:t>
      </w:r>
      <w:r>
        <w:rPr>
          <w:rFonts w:hint="eastAsia" w:ascii="仿宋" w:hAnsi="仿宋" w:eastAsia="仿宋" w:cs="仿宋"/>
          <w:color w:val="auto"/>
          <w:sz w:val="21"/>
          <w:szCs w:val="21"/>
          <w:highlight w:val="none"/>
          <w:lang w:val="en-US" w:eastAsia="zh-CN"/>
        </w:rPr>
        <w:t>具有二乙（含）以上医院的资质。</w:t>
      </w:r>
    </w:p>
    <w:p w14:paraId="46004361">
      <w:pPr>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5.单位负责人为同一人或者存在直接控股、管理关系的不同供应商，不得参加同一合同项下的</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；为采购项目提供整体设计、规范编制或者项目管理、监理、检测等服务后不得再参加该采购项目的其他采购活动。</w:t>
      </w:r>
    </w:p>
    <w:p w14:paraId="34CC05C5">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三、获取招标文件 </w:t>
      </w:r>
    </w:p>
    <w:p w14:paraId="0B9D67B6">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时间：</w:t>
      </w:r>
      <w:r>
        <w:rPr>
          <w:rFonts w:hint="eastAsia" w:ascii="仿宋" w:hAnsi="仿宋" w:eastAsia="仿宋" w:cs="仿宋"/>
          <w:color w:val="auto"/>
          <w:sz w:val="21"/>
          <w:szCs w:val="21"/>
          <w:highlight w:val="none"/>
        </w:rPr>
        <w:t>/至</w:t>
      </w:r>
      <w:r>
        <w:rPr>
          <w:rFonts w:hint="eastAsia" w:ascii="仿宋" w:hAnsi="仿宋" w:eastAsia="仿宋" w:cs="仿宋"/>
          <w:color w:val="auto"/>
          <w:sz w:val="21"/>
          <w:szCs w:val="21"/>
          <w:highlight w:val="none"/>
          <w:u w:val="single"/>
        </w:rPr>
        <w:t>2025年8月4日</w:t>
      </w:r>
      <w:r>
        <w:rPr>
          <w:rFonts w:hint="eastAsia" w:ascii="仿宋" w:hAnsi="仿宋" w:eastAsia="仿宋" w:cs="仿宋"/>
          <w:color w:val="auto"/>
          <w:sz w:val="21"/>
          <w:szCs w:val="21"/>
          <w:highlight w:val="none"/>
        </w:rPr>
        <w:t>，每天上午00:00至12:00，下午12:00至23:59（北京时间，线上获取法定节假日均可，线下获取文件法定节假日除外）</w:t>
      </w:r>
    </w:p>
    <w:p w14:paraId="2EB31232">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地点（网址）：</w:t>
      </w:r>
      <w:r>
        <w:rPr>
          <w:rFonts w:hint="eastAsia" w:ascii="仿宋" w:hAnsi="仿宋" w:eastAsia="仿宋" w:cs="仿宋"/>
          <w:color w:val="auto"/>
          <w:sz w:val="21"/>
          <w:szCs w:val="21"/>
          <w:highlight w:val="none"/>
        </w:rPr>
        <w:t xml:space="preserve">政采云平台（https://www.zcygov.cn/） </w:t>
      </w:r>
    </w:p>
    <w:p w14:paraId="4FA52EE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方式：</w:t>
      </w:r>
      <w:r>
        <w:rPr>
          <w:rFonts w:hint="eastAsia" w:ascii="仿宋" w:hAnsi="仿宋" w:eastAsia="仿宋" w:cs="仿宋"/>
          <w:color w:val="auto"/>
          <w:sz w:val="21"/>
          <w:szCs w:val="21"/>
          <w:highlight w:val="none"/>
        </w:rPr>
        <w:t xml:space="preserve">供应商登录政采云平台https://www.zcygov.cn/在线申请获取采购文件（进入“项目采购”应用，在获取采购文件菜单中选择项目，申请获取采购文件）。 </w:t>
      </w:r>
    </w:p>
    <w:p w14:paraId="458C3FA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售价（元）：</w:t>
      </w:r>
      <w:r>
        <w:rPr>
          <w:rFonts w:hint="eastAsia" w:ascii="仿宋" w:hAnsi="仿宋" w:eastAsia="仿宋" w:cs="仿宋"/>
          <w:color w:val="auto"/>
          <w:sz w:val="21"/>
          <w:szCs w:val="21"/>
          <w:highlight w:val="none"/>
        </w:rPr>
        <w:t xml:space="preserve">0 </w:t>
      </w:r>
      <w:r>
        <w:rPr>
          <w:rFonts w:hint="eastAsia" w:ascii="仿宋" w:hAnsi="仿宋" w:eastAsia="仿宋" w:cs="仿宋"/>
          <w:color w:val="auto"/>
          <w:sz w:val="21"/>
          <w:szCs w:val="21"/>
          <w:highlight w:val="none"/>
        </w:rPr>
        <w:tab/>
      </w:r>
    </w:p>
    <w:p w14:paraId="41416A14">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四、提交投标文件截止时间、开标时间和地点</w:t>
      </w:r>
    </w:p>
    <w:p w14:paraId="48FF61E8">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提交投标文件截止时间：</w:t>
      </w:r>
      <w:r>
        <w:rPr>
          <w:rStyle w:val="76"/>
          <w:rFonts w:hint="eastAsia" w:ascii="仿宋" w:hAnsi="仿宋" w:eastAsia="仿宋" w:cs="仿宋"/>
          <w:snapToGrid/>
          <w:color w:val="auto"/>
          <w:kern w:val="2"/>
          <w:sz w:val="21"/>
          <w:szCs w:val="21"/>
          <w:highlight w:val="none"/>
          <w:u w:val="single"/>
        </w:rPr>
        <w:t>2025年8月4日</w:t>
      </w:r>
      <w:r>
        <w:rPr>
          <w:rStyle w:val="76"/>
          <w:rFonts w:hint="eastAsia" w:ascii="仿宋" w:hAnsi="仿宋" w:eastAsia="仿宋" w:cs="仿宋"/>
          <w:snapToGrid/>
          <w:color w:val="auto"/>
          <w:kern w:val="2"/>
          <w:sz w:val="21"/>
          <w:szCs w:val="21"/>
          <w:highlight w:val="none"/>
          <w:u w:val="single"/>
          <w:lang w:val="en-US" w:eastAsia="zh-CN"/>
        </w:rPr>
        <w:t>14</w:t>
      </w:r>
      <w:r>
        <w:rPr>
          <w:rStyle w:val="76"/>
          <w:rFonts w:hint="eastAsia" w:ascii="仿宋" w:hAnsi="仿宋" w:eastAsia="仿宋" w:cs="仿宋"/>
          <w:snapToGrid/>
          <w:color w:val="auto"/>
          <w:kern w:val="2"/>
          <w:sz w:val="21"/>
          <w:szCs w:val="21"/>
          <w:highlight w:val="none"/>
          <w:u w:val="single"/>
        </w:rPr>
        <w:t>点</w:t>
      </w:r>
      <w:r>
        <w:rPr>
          <w:rStyle w:val="76"/>
          <w:rFonts w:hint="eastAsia" w:ascii="仿宋" w:hAnsi="仿宋" w:eastAsia="仿宋" w:cs="仿宋"/>
          <w:snapToGrid/>
          <w:color w:val="auto"/>
          <w:kern w:val="2"/>
          <w:sz w:val="21"/>
          <w:szCs w:val="21"/>
          <w:highlight w:val="none"/>
          <w:u w:val="single"/>
          <w:lang w:val="en-US" w:eastAsia="zh-CN"/>
        </w:rPr>
        <w:t>30</w:t>
      </w:r>
      <w:r>
        <w:rPr>
          <w:rStyle w:val="76"/>
          <w:rFonts w:hint="eastAsia" w:ascii="仿宋" w:hAnsi="仿宋" w:eastAsia="仿宋" w:cs="仿宋"/>
          <w:snapToGrid/>
          <w:color w:val="auto"/>
          <w:kern w:val="2"/>
          <w:sz w:val="21"/>
          <w:szCs w:val="21"/>
          <w:highlight w:val="none"/>
          <w:u w:val="single"/>
        </w:rPr>
        <w:t>分</w:t>
      </w:r>
      <w:r>
        <w:rPr>
          <w:rStyle w:val="76"/>
          <w:rFonts w:hint="eastAsia" w:ascii="仿宋" w:hAnsi="仿宋" w:eastAsia="仿宋" w:cs="仿宋"/>
          <w:bCs/>
          <w:snapToGrid/>
          <w:color w:val="auto"/>
          <w:kern w:val="2"/>
          <w:sz w:val="21"/>
          <w:szCs w:val="21"/>
          <w:highlight w:val="none"/>
          <w:u w:val="single"/>
        </w:rPr>
        <w:t>00秒</w:t>
      </w:r>
      <w:r>
        <w:rPr>
          <w:rFonts w:hint="eastAsia" w:ascii="仿宋" w:hAnsi="仿宋" w:eastAsia="仿宋" w:cs="仿宋"/>
          <w:color w:val="auto"/>
          <w:sz w:val="21"/>
          <w:szCs w:val="21"/>
          <w:highlight w:val="none"/>
        </w:rPr>
        <w:t>（北京时间）</w:t>
      </w:r>
    </w:p>
    <w:p w14:paraId="547F772C">
      <w:pPr>
        <w:spacing w:line="360" w:lineRule="auto"/>
        <w:ind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投标地点（网址）：</w:t>
      </w:r>
      <w:r>
        <w:rPr>
          <w:rFonts w:hint="eastAsia" w:ascii="仿宋" w:hAnsi="仿宋" w:eastAsia="仿宋" w:cs="仿宋"/>
          <w:color w:val="auto"/>
          <w:sz w:val="21"/>
          <w:szCs w:val="21"/>
          <w:highlight w:val="none"/>
        </w:rPr>
        <w:t>政采云平台（https://www.zcygov.cn/）</w:t>
      </w:r>
    </w:p>
    <w:p w14:paraId="175CDAFE">
      <w:pPr>
        <w:spacing w:line="360" w:lineRule="auto"/>
        <w:ind w:firstLine="422" w:firstLineChars="200"/>
        <w:rPr>
          <w:rFonts w:hint="eastAsia" w:ascii="仿宋" w:hAnsi="仿宋" w:eastAsia="仿宋" w:cs="仿宋"/>
          <w:bCs/>
          <w:color w:val="auto"/>
          <w:sz w:val="21"/>
          <w:szCs w:val="21"/>
          <w:highlight w:val="none"/>
          <w:u w:val="single"/>
        </w:rPr>
      </w:pPr>
      <w:r>
        <w:rPr>
          <w:rFonts w:hint="eastAsia" w:ascii="仿宋" w:hAnsi="仿宋" w:eastAsia="仿宋" w:cs="仿宋"/>
          <w:b/>
          <w:color w:val="auto"/>
          <w:sz w:val="21"/>
          <w:szCs w:val="21"/>
          <w:highlight w:val="none"/>
        </w:rPr>
        <w:t>开标时间：</w:t>
      </w:r>
      <w:r>
        <w:rPr>
          <w:rStyle w:val="76"/>
          <w:rFonts w:hint="eastAsia" w:ascii="仿宋" w:hAnsi="仿宋" w:eastAsia="仿宋" w:cs="仿宋"/>
          <w:snapToGrid/>
          <w:color w:val="auto"/>
          <w:kern w:val="2"/>
          <w:sz w:val="21"/>
          <w:szCs w:val="21"/>
          <w:highlight w:val="none"/>
          <w:u w:val="single"/>
        </w:rPr>
        <w:t>2025年8月4日</w:t>
      </w:r>
      <w:r>
        <w:rPr>
          <w:rStyle w:val="76"/>
          <w:rFonts w:hint="eastAsia" w:ascii="仿宋" w:hAnsi="仿宋" w:eastAsia="仿宋" w:cs="仿宋"/>
          <w:snapToGrid/>
          <w:color w:val="auto"/>
          <w:kern w:val="2"/>
          <w:sz w:val="21"/>
          <w:szCs w:val="21"/>
          <w:highlight w:val="none"/>
          <w:u w:val="single"/>
          <w:lang w:val="en-US" w:eastAsia="zh-CN"/>
        </w:rPr>
        <w:t>14</w:t>
      </w:r>
      <w:r>
        <w:rPr>
          <w:rStyle w:val="76"/>
          <w:rFonts w:hint="eastAsia" w:ascii="仿宋" w:hAnsi="仿宋" w:eastAsia="仿宋" w:cs="仿宋"/>
          <w:snapToGrid/>
          <w:color w:val="auto"/>
          <w:kern w:val="2"/>
          <w:sz w:val="21"/>
          <w:szCs w:val="21"/>
          <w:highlight w:val="none"/>
          <w:u w:val="single"/>
        </w:rPr>
        <w:t>点</w:t>
      </w:r>
      <w:r>
        <w:rPr>
          <w:rStyle w:val="76"/>
          <w:rFonts w:hint="eastAsia" w:ascii="仿宋" w:hAnsi="仿宋" w:eastAsia="仿宋" w:cs="仿宋"/>
          <w:snapToGrid/>
          <w:color w:val="auto"/>
          <w:kern w:val="2"/>
          <w:sz w:val="21"/>
          <w:szCs w:val="21"/>
          <w:highlight w:val="none"/>
          <w:u w:val="single"/>
          <w:lang w:val="en-US" w:eastAsia="zh-CN"/>
        </w:rPr>
        <w:t>30</w:t>
      </w:r>
      <w:r>
        <w:rPr>
          <w:rStyle w:val="76"/>
          <w:rFonts w:hint="eastAsia" w:ascii="仿宋" w:hAnsi="仿宋" w:eastAsia="仿宋" w:cs="仿宋"/>
          <w:snapToGrid/>
          <w:color w:val="auto"/>
          <w:kern w:val="2"/>
          <w:sz w:val="21"/>
          <w:szCs w:val="21"/>
          <w:highlight w:val="none"/>
          <w:u w:val="single"/>
        </w:rPr>
        <w:t>分</w:t>
      </w:r>
      <w:r>
        <w:rPr>
          <w:rStyle w:val="76"/>
          <w:rFonts w:hint="eastAsia" w:ascii="仿宋" w:hAnsi="仿宋" w:eastAsia="仿宋" w:cs="仿宋"/>
          <w:bCs/>
          <w:snapToGrid/>
          <w:color w:val="auto"/>
          <w:kern w:val="2"/>
          <w:sz w:val="21"/>
          <w:szCs w:val="21"/>
          <w:highlight w:val="none"/>
          <w:u w:val="single"/>
        </w:rPr>
        <w:t>00秒</w:t>
      </w:r>
    </w:p>
    <w:p w14:paraId="370966D7">
      <w:pP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开标地点（网址）：</w:t>
      </w:r>
      <w:r>
        <w:rPr>
          <w:rFonts w:hint="eastAsia" w:ascii="仿宋" w:hAnsi="仿宋" w:eastAsia="仿宋" w:cs="仿宋"/>
          <w:color w:val="auto"/>
          <w:sz w:val="21"/>
          <w:szCs w:val="21"/>
          <w:highlight w:val="none"/>
        </w:rPr>
        <w:t>政采云平台（https://www.zcygov.cn/）</w:t>
      </w:r>
    </w:p>
    <w:p w14:paraId="433F6711">
      <w:pPr>
        <w:spacing w:line="360" w:lineRule="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 xml:space="preserve">五、公告期限 </w:t>
      </w:r>
    </w:p>
    <w:p w14:paraId="7DAC699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自本公告发布之日起5个工作日。</w:t>
      </w:r>
    </w:p>
    <w:p w14:paraId="1DE9E9BA">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六、其他补充事宜</w:t>
      </w:r>
    </w:p>
    <w:p w14:paraId="65CBAF2B">
      <w:pPr>
        <w:adjustRightInd/>
        <w:spacing w:line="360" w:lineRule="auto"/>
        <w:ind w:firstLine="420" w:firstLineChars="200"/>
        <w:rPr>
          <w:rFonts w:hint="eastAsia" w:ascii="仿宋" w:hAnsi="仿宋" w:eastAsia="仿宋" w:cs="仿宋"/>
          <w:bCs w:val="0"/>
          <w:color w:val="auto"/>
          <w:sz w:val="21"/>
          <w:szCs w:val="21"/>
          <w:highlight w:val="none"/>
          <w:lang w:bidi="ar"/>
        </w:rPr>
      </w:pPr>
      <w:r>
        <w:rPr>
          <w:rFonts w:hint="eastAsia" w:ascii="仿宋" w:hAnsi="仿宋" w:eastAsia="仿宋" w:cs="仿宋"/>
          <w:color w:val="auto"/>
          <w:sz w:val="21"/>
          <w:szCs w:val="21"/>
          <w:highlight w:val="none"/>
          <w:lang w:val="en-US" w:eastAsia="zh-CN"/>
        </w:rPr>
        <w:t>1.1</w:t>
      </w:r>
      <w:r>
        <w:rPr>
          <w:rFonts w:hint="eastAsia" w:ascii="仿宋" w:hAnsi="仿宋" w:eastAsia="仿宋" w:cs="仿宋"/>
          <w:bCs w:val="0"/>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w:t>
      </w:r>
      <w:r>
        <w:rPr>
          <w:rFonts w:hint="eastAsia" w:ascii="仿宋" w:hAnsi="仿宋" w:eastAsia="仿宋" w:cs="仿宋"/>
          <w:bCs w:val="0"/>
          <w:color w:val="auto"/>
          <w:sz w:val="21"/>
          <w:szCs w:val="21"/>
          <w:highlight w:val="none"/>
          <w:lang w:bidi="ar"/>
        </w:rPr>
        <w:t>稳住经济的通知》（浙财采监〔2022〕8号）已分别于2022年1月29日、2022年2月1日和2022年7月1日开始实施，此前有关规定与上述文件内容不一致的，按上述文件要求执行。</w:t>
      </w:r>
    </w:p>
    <w:p w14:paraId="61DC0925">
      <w:pPr>
        <w:autoSpaceDE/>
        <w:autoSpaceDN/>
        <w:adjustRightInd/>
        <w:spacing w:line="360" w:lineRule="auto"/>
        <w:ind w:firstLine="420" w:firstLineChars="200"/>
        <w:rPr>
          <w:rFonts w:hint="eastAsia" w:ascii="仿宋" w:hAnsi="仿宋" w:eastAsia="仿宋" w:cs="仿宋"/>
          <w:bCs w:val="0"/>
          <w:color w:val="auto"/>
          <w:sz w:val="21"/>
          <w:szCs w:val="21"/>
          <w:highlight w:val="none"/>
          <w:lang w:bidi="ar"/>
        </w:rPr>
      </w:pPr>
      <w:r>
        <w:rPr>
          <w:rFonts w:hint="eastAsia" w:ascii="仿宋" w:hAnsi="仿宋" w:eastAsia="仿宋" w:cs="仿宋"/>
          <w:bCs w:val="0"/>
          <w:color w:val="auto"/>
          <w:sz w:val="21"/>
          <w:szCs w:val="21"/>
          <w:highlight w:val="none"/>
          <w:lang w:val="en-US" w:eastAsia="zh-CN" w:bidi="ar"/>
        </w:rPr>
        <w:t>1.2</w:t>
      </w:r>
      <w:r>
        <w:rPr>
          <w:rFonts w:hint="eastAsia" w:ascii="仿宋" w:hAnsi="仿宋" w:eastAsia="仿宋" w:cs="仿宋"/>
          <w:bCs w:val="0"/>
          <w:color w:val="auto"/>
          <w:sz w:val="21"/>
          <w:szCs w:val="21"/>
          <w:highlight w:val="none"/>
          <w:lang w:bidi="ar"/>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224DB6">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bCs w:val="0"/>
          <w:color w:val="auto"/>
          <w:sz w:val="21"/>
          <w:szCs w:val="21"/>
          <w:highlight w:val="none"/>
          <w:lang w:val="en-US" w:eastAsia="zh-CN" w:bidi="ar"/>
        </w:rPr>
        <w:t>1.</w:t>
      </w:r>
      <w:r>
        <w:rPr>
          <w:rFonts w:hint="eastAsia" w:ascii="仿宋" w:hAnsi="仿宋" w:eastAsia="仿宋" w:cs="仿宋"/>
          <w:bCs w:val="0"/>
          <w:color w:val="auto"/>
          <w:sz w:val="21"/>
          <w:szCs w:val="21"/>
          <w:highlight w:val="none"/>
          <w:lang w:bidi="ar"/>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应在法定质疑期内一次性提出针对同一采购程序环节的质疑。</w:t>
      </w:r>
    </w:p>
    <w:p w14:paraId="45ABE97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需要落实的采购政策：包括节约资源、保护环境、支持创新、促进中小企业发展等。详见招标文件的第二部分总则。</w:t>
      </w:r>
    </w:p>
    <w:p w14:paraId="197736B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电子招投标的说明：①电子招投标：本项目以数据电文形式，依托“政府采购云平台（www.zcygov.cn）”进行招投标活动，不接受纸质投标文件；②投标准备：注册账号--点击“商家入驻”，进行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w:t>
      </w:r>
      <w:r>
        <w:rPr>
          <w:rFonts w:hint="eastAsia" w:ascii="仿宋" w:hAnsi="仿宋" w:eastAsia="仿宋" w:cs="仿宋"/>
          <w:color w:val="auto"/>
          <w:sz w:val="21"/>
          <w:szCs w:val="21"/>
          <w:highlight w:val="none"/>
          <w:lang w:eastAsia="zh-CN"/>
        </w:rPr>
        <w:t>采购项目</w:t>
      </w:r>
      <w:r>
        <w:rPr>
          <w:rFonts w:hint="eastAsia" w:ascii="仿宋" w:hAnsi="仿宋" w:eastAsia="仿宋" w:cs="仿宋"/>
          <w:color w:val="auto"/>
          <w:sz w:val="21"/>
          <w:szCs w:val="21"/>
          <w:highlight w:val="none"/>
        </w:rPr>
        <w:t>电子交易管理操作指南-供应商”。</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招标文件公告期限与招标公告的公告期限一致。</w:t>
      </w:r>
    </w:p>
    <w:p w14:paraId="7BBB4D25">
      <w:pP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七、对本次采购提出询问、质疑、投诉，请按以下方式联系</w:t>
      </w:r>
    </w:p>
    <w:p w14:paraId="25626C1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1.采购人信息</w:t>
      </w:r>
    </w:p>
    <w:p w14:paraId="2BEB10C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    称：</w:t>
      </w:r>
      <w:r>
        <w:rPr>
          <w:rFonts w:hint="eastAsia" w:ascii="仿宋" w:hAnsi="仿宋" w:eastAsia="仿宋" w:cs="仿宋"/>
          <w:color w:val="auto"/>
          <w:sz w:val="21"/>
          <w:szCs w:val="21"/>
          <w:highlight w:val="none"/>
          <w:lang w:eastAsia="zh-CN"/>
        </w:rPr>
        <w:t>金华市看守所</w:t>
      </w:r>
      <w:r>
        <w:rPr>
          <w:rFonts w:hint="eastAsia" w:ascii="仿宋" w:hAnsi="仿宋" w:eastAsia="仿宋" w:cs="仿宋"/>
          <w:color w:val="auto"/>
          <w:sz w:val="21"/>
          <w:szCs w:val="21"/>
          <w:highlight w:val="none"/>
        </w:rPr>
        <w:t xml:space="preserve"> </w:t>
      </w:r>
    </w:p>
    <w:p w14:paraId="3DFE4859">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地    址：</w:t>
      </w:r>
      <w:r>
        <w:rPr>
          <w:rFonts w:hint="eastAsia" w:ascii="仿宋" w:hAnsi="仿宋" w:eastAsia="仿宋" w:cs="仿宋"/>
          <w:color w:val="auto"/>
          <w:sz w:val="21"/>
          <w:szCs w:val="21"/>
          <w:highlight w:val="none"/>
          <w:lang w:eastAsia="zh-CN"/>
        </w:rPr>
        <w:t>金华市婺城区新狮街道十里牌楼村（市看守所）</w:t>
      </w:r>
    </w:p>
    <w:p w14:paraId="4B7ED29A">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项目联系人（询问）：</w:t>
      </w:r>
      <w:r>
        <w:rPr>
          <w:rFonts w:hint="eastAsia" w:ascii="仿宋" w:hAnsi="仿宋" w:eastAsia="仿宋" w:cs="仿宋"/>
          <w:color w:val="auto"/>
          <w:sz w:val="21"/>
          <w:szCs w:val="21"/>
          <w:highlight w:val="none"/>
          <w:lang w:eastAsia="zh-CN"/>
        </w:rPr>
        <w:t>黄先生</w:t>
      </w:r>
    </w:p>
    <w:p w14:paraId="6F0F69CA">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项目联系方式（询问）：</w:t>
      </w:r>
      <w:r>
        <w:rPr>
          <w:rFonts w:hint="eastAsia" w:ascii="仿宋" w:hAnsi="仿宋" w:eastAsia="仿宋" w:cs="仿宋"/>
          <w:color w:val="auto"/>
          <w:sz w:val="21"/>
          <w:szCs w:val="21"/>
          <w:highlight w:val="none"/>
          <w:lang w:eastAsia="zh-CN"/>
        </w:rPr>
        <w:t>0579-89115123、13575908256</w:t>
      </w:r>
    </w:p>
    <w:p w14:paraId="7C85B3B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质疑联系人：</w:t>
      </w:r>
      <w:r>
        <w:rPr>
          <w:rFonts w:hint="eastAsia" w:ascii="仿宋" w:hAnsi="仿宋" w:eastAsia="仿宋" w:cs="仿宋"/>
          <w:color w:val="auto"/>
          <w:sz w:val="21"/>
          <w:szCs w:val="21"/>
          <w:highlight w:val="none"/>
          <w:lang w:eastAsia="zh-CN"/>
        </w:rPr>
        <w:t>黄先生</w:t>
      </w:r>
      <w:r>
        <w:rPr>
          <w:rFonts w:hint="eastAsia" w:ascii="仿宋" w:hAnsi="仿宋" w:eastAsia="仿宋" w:cs="仿宋"/>
          <w:color w:val="auto"/>
          <w:sz w:val="21"/>
          <w:szCs w:val="21"/>
          <w:highlight w:val="none"/>
        </w:rPr>
        <w:t xml:space="preserve"> </w:t>
      </w:r>
    </w:p>
    <w:p w14:paraId="0E4AC6F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质疑联系方式：</w:t>
      </w:r>
      <w:r>
        <w:rPr>
          <w:rFonts w:hint="eastAsia" w:ascii="仿宋" w:hAnsi="仿宋" w:eastAsia="仿宋" w:cs="仿宋"/>
          <w:color w:val="auto"/>
          <w:sz w:val="21"/>
          <w:szCs w:val="21"/>
          <w:highlight w:val="none"/>
          <w:lang w:eastAsia="zh-CN"/>
        </w:rPr>
        <w:t>0579-89115123、13575908256</w:t>
      </w:r>
    </w:p>
    <w:p w14:paraId="6CC4F51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2.采购代理机构信息</w:t>
      </w:r>
    </w:p>
    <w:p w14:paraId="598D24A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    称：</w:t>
      </w:r>
      <w:r>
        <w:rPr>
          <w:rFonts w:hint="eastAsia" w:ascii="仿宋" w:hAnsi="仿宋" w:eastAsia="仿宋" w:cs="仿宋"/>
          <w:color w:val="auto"/>
          <w:sz w:val="21"/>
          <w:szCs w:val="21"/>
          <w:highlight w:val="none"/>
          <w:lang w:val="en-US" w:eastAsia="zh-CN"/>
        </w:rPr>
        <w:t>浙江万汇招标代理有限公司</w:t>
      </w:r>
    </w:p>
    <w:p w14:paraId="5B4206B7">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    址：</w:t>
      </w:r>
      <w:r>
        <w:rPr>
          <w:rFonts w:hint="eastAsia" w:ascii="仿宋" w:hAnsi="仿宋" w:eastAsia="仿宋" w:cs="仿宋"/>
          <w:color w:val="auto"/>
          <w:sz w:val="21"/>
          <w:szCs w:val="21"/>
          <w:highlight w:val="none"/>
          <w:lang w:val="zh-CN" w:eastAsia="zh-CN"/>
        </w:rPr>
        <w:t>金华市婺城区人民西路167号3楼301-305室</w:t>
      </w:r>
    </w:p>
    <w:p w14:paraId="5B4AF6B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项目联系人（询问）：</w:t>
      </w:r>
      <w:r>
        <w:rPr>
          <w:rFonts w:hint="eastAsia" w:ascii="仿宋" w:hAnsi="仿宋" w:eastAsia="仿宋" w:cs="仿宋"/>
          <w:color w:val="auto"/>
          <w:sz w:val="21"/>
          <w:szCs w:val="21"/>
          <w:highlight w:val="none"/>
          <w:lang w:val="en-US" w:eastAsia="zh-CN"/>
        </w:rPr>
        <w:t>王先生</w:t>
      </w:r>
    </w:p>
    <w:p w14:paraId="3AF2D9DF">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项目联系方式（询问）：</w:t>
      </w:r>
      <w:r>
        <w:rPr>
          <w:rFonts w:hint="eastAsia" w:ascii="仿宋" w:hAnsi="仿宋" w:eastAsia="仿宋" w:cs="仿宋"/>
          <w:color w:val="auto"/>
          <w:sz w:val="21"/>
          <w:szCs w:val="21"/>
          <w:highlight w:val="none"/>
          <w:lang w:val="en-US" w:eastAsia="zh-CN"/>
        </w:rPr>
        <w:t>15957970849</w:t>
      </w:r>
    </w:p>
    <w:p w14:paraId="5187872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质疑联系人：</w:t>
      </w:r>
      <w:r>
        <w:rPr>
          <w:rFonts w:hint="eastAsia" w:ascii="仿宋" w:hAnsi="仿宋" w:eastAsia="仿宋" w:cs="仿宋"/>
          <w:color w:val="auto"/>
          <w:sz w:val="21"/>
          <w:szCs w:val="21"/>
          <w:highlight w:val="none"/>
          <w:lang w:val="en-US" w:eastAsia="zh-CN"/>
        </w:rPr>
        <w:t>方女士</w:t>
      </w:r>
    </w:p>
    <w:p w14:paraId="392F4189">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质疑联系方式：</w:t>
      </w:r>
      <w:r>
        <w:rPr>
          <w:rFonts w:hint="eastAsia" w:ascii="仿宋" w:hAnsi="仿宋" w:eastAsia="仿宋" w:cs="仿宋"/>
          <w:color w:val="auto"/>
          <w:sz w:val="21"/>
          <w:szCs w:val="21"/>
          <w:highlight w:val="none"/>
          <w:lang w:val="en-US" w:eastAsia="zh-CN"/>
        </w:rPr>
        <w:t>13588665788</w:t>
      </w:r>
    </w:p>
    <w:p w14:paraId="3999C49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3.采购监督管理部门</w:t>
      </w:r>
    </w:p>
    <w:p w14:paraId="56717A60">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名    称：金华市财政局政府采购监管处</w:t>
      </w:r>
    </w:p>
    <w:p w14:paraId="234757C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联系</w:t>
      </w:r>
      <w:r>
        <w:rPr>
          <w:rFonts w:hint="eastAsia" w:ascii="仿宋" w:hAnsi="仿宋" w:eastAsia="仿宋" w:cs="仿宋"/>
          <w:color w:val="auto"/>
          <w:sz w:val="21"/>
          <w:szCs w:val="21"/>
          <w:highlight w:val="none"/>
        </w:rPr>
        <w:t xml:space="preserve">电话：0579-82468735  </w:t>
      </w:r>
    </w:p>
    <w:p w14:paraId="15A6BD90">
      <w:pPr>
        <w:spacing w:line="360" w:lineRule="auto"/>
        <w:rPr>
          <w:rFonts w:hint="eastAsia" w:ascii="仿宋" w:hAnsi="仿宋" w:eastAsia="仿宋" w:cs="仿宋"/>
          <w:color w:val="auto"/>
          <w:sz w:val="21"/>
          <w:szCs w:val="21"/>
          <w:highlight w:val="none"/>
        </w:rPr>
      </w:pPr>
    </w:p>
    <w:p w14:paraId="5E5840D9">
      <w:pPr>
        <w:spacing w:line="360" w:lineRule="auto"/>
        <w:ind w:firstLine="688" w:firstLineChars="3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若对项目采购电子交易系统操作有疑问，可拨打政采云服务热线95763获取热线服务帮助。</w:t>
      </w:r>
    </w:p>
    <w:p w14:paraId="7B79662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409B73DC">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D5C6E02">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第二部分</w:t>
      </w:r>
      <w:bookmarkEnd w:id="8"/>
      <w:r>
        <w:rPr>
          <w:rFonts w:hint="eastAsia" w:ascii="仿宋" w:hAnsi="仿宋" w:eastAsia="仿宋" w:cs="仿宋"/>
          <w:b/>
          <w:color w:val="auto"/>
          <w:sz w:val="32"/>
          <w:szCs w:val="32"/>
          <w:highlight w:val="none"/>
        </w:rPr>
        <w:t xml:space="preserve"> 投标人须知</w:t>
      </w:r>
      <w:bookmarkEnd w:id="9"/>
    </w:p>
    <w:p w14:paraId="1F619D32">
      <w:pPr>
        <w:adjustRightInd/>
        <w:spacing w:line="360" w:lineRule="auto"/>
        <w:ind w:firstLine="4167" w:firstLineChars="1297"/>
        <w:outlineLvl w:val="1"/>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前附表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25"/>
      </w:tblGrid>
      <w:tr w14:paraId="06999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0A0B7476">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9059F1C">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事项</w:t>
            </w:r>
          </w:p>
        </w:tc>
        <w:tc>
          <w:tcPr>
            <w:tcW w:w="6525" w:type="dxa"/>
            <w:tcBorders>
              <w:top w:val="single" w:color="000000" w:sz="8" w:space="0"/>
              <w:left w:val="single" w:color="000000" w:sz="2" w:space="0"/>
              <w:bottom w:val="single" w:color="000000" w:sz="8" w:space="0"/>
              <w:right w:val="single" w:color="000000" w:sz="8" w:space="0"/>
            </w:tcBorders>
            <w:vAlign w:val="center"/>
          </w:tcPr>
          <w:p w14:paraId="7C0620AF">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本项目的特别规定</w:t>
            </w:r>
          </w:p>
        </w:tc>
      </w:tr>
      <w:tr w14:paraId="063E8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C6D2A93">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1462">
            <w:pPr>
              <w:snapToGrid w:val="0"/>
              <w:spacing w:line="360" w:lineRule="auto"/>
              <w:ind w:firstLine="211" w:firstLineChars="1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项目属性</w:t>
            </w:r>
          </w:p>
        </w:tc>
        <w:tc>
          <w:tcPr>
            <w:tcW w:w="6525" w:type="dxa"/>
            <w:tcBorders>
              <w:top w:val="single" w:color="000000" w:sz="8" w:space="0"/>
              <w:left w:val="single" w:color="000000" w:sz="2" w:space="0"/>
              <w:bottom w:val="single" w:color="000000" w:sz="8" w:space="0"/>
              <w:right w:val="single" w:color="000000" w:sz="8" w:space="0"/>
            </w:tcBorders>
            <w:vAlign w:val="center"/>
          </w:tcPr>
          <w:p w14:paraId="70631B94">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服务类。</w:t>
            </w:r>
          </w:p>
        </w:tc>
      </w:tr>
      <w:tr w14:paraId="2893C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1F8B4DA">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9C09783">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采购标的及其对应的中小企业划分标准所属行业</w:t>
            </w:r>
          </w:p>
        </w:tc>
        <w:tc>
          <w:tcPr>
            <w:tcW w:w="6525" w:type="dxa"/>
            <w:tcBorders>
              <w:top w:val="single" w:color="000000" w:sz="8" w:space="0"/>
              <w:left w:val="single" w:color="000000" w:sz="2" w:space="0"/>
              <w:bottom w:val="single" w:color="000000" w:sz="8" w:space="0"/>
              <w:right w:val="single" w:color="000000" w:sz="8" w:space="0"/>
            </w:tcBorders>
            <w:vAlign w:val="center"/>
          </w:tcPr>
          <w:p w14:paraId="7A95F0E8">
            <w:pPr>
              <w:snapToGrid w:val="0"/>
              <w:spacing w:line="360" w:lineRule="auto"/>
              <w:rPr>
                <w:rFonts w:hint="eastAsia" w:ascii="仿宋" w:hAnsi="仿宋" w:eastAsia="仿宋" w:cs="仿宋"/>
                <w:color w:val="auto"/>
                <w:sz w:val="21"/>
                <w:szCs w:val="21"/>
                <w:highlight w:val="none"/>
                <w:lang w:val="en-US"/>
              </w:rPr>
            </w:pPr>
            <w:r>
              <w:rPr>
                <w:rFonts w:hint="eastAsia" w:ascii="仿宋" w:hAnsi="仿宋" w:eastAsia="仿宋" w:cs="仿宋"/>
                <w:color w:val="auto"/>
                <w:kern w:val="0"/>
                <w:sz w:val="21"/>
                <w:szCs w:val="21"/>
                <w:highlight w:val="none"/>
              </w:rPr>
              <w:t>标的：</w:t>
            </w:r>
            <w:r>
              <w:rPr>
                <w:rFonts w:hint="eastAsia" w:ascii="仿宋" w:hAnsi="仿宋" w:eastAsia="仿宋" w:cs="仿宋"/>
                <w:color w:val="auto"/>
                <w:kern w:val="0"/>
                <w:sz w:val="21"/>
                <w:szCs w:val="21"/>
                <w:highlight w:val="none"/>
                <w:u w:val="single"/>
              </w:rPr>
              <w:t>2025-2026年度金华市看守所购买医疗服务项目</w:t>
            </w:r>
            <w:r>
              <w:rPr>
                <w:rFonts w:hint="eastAsia" w:ascii="仿宋" w:hAnsi="仿宋" w:eastAsia="仿宋" w:cs="仿宋"/>
                <w:color w:val="auto"/>
                <w:kern w:val="0"/>
                <w:sz w:val="21"/>
                <w:szCs w:val="21"/>
                <w:highlight w:val="none"/>
              </w:rPr>
              <w:t>，属于</w:t>
            </w:r>
            <w:r>
              <w:rPr>
                <w:rFonts w:hint="eastAsia" w:ascii="仿宋" w:hAnsi="仿宋" w:eastAsia="仿宋" w:cs="仿宋"/>
                <w:color w:val="auto"/>
                <w:kern w:val="0"/>
                <w:sz w:val="21"/>
                <w:szCs w:val="21"/>
                <w:highlight w:val="none"/>
                <w:u w:val="single"/>
              </w:rPr>
              <w:t>其他</w:t>
            </w:r>
            <w:r>
              <w:rPr>
                <w:rFonts w:hint="eastAsia" w:ascii="仿宋" w:hAnsi="仿宋" w:eastAsia="仿宋" w:cs="仿宋"/>
                <w:color w:val="auto"/>
                <w:kern w:val="0"/>
                <w:sz w:val="21"/>
                <w:szCs w:val="21"/>
                <w:highlight w:val="none"/>
                <w:u w:val="single"/>
                <w:lang w:val="en-US" w:eastAsia="zh-CN"/>
              </w:rPr>
              <w:t>未列明行业</w:t>
            </w:r>
            <w:r>
              <w:rPr>
                <w:rFonts w:hint="eastAsia" w:ascii="仿宋" w:hAnsi="仿宋" w:eastAsia="仿宋" w:cs="仿宋"/>
                <w:color w:val="auto"/>
                <w:kern w:val="0"/>
                <w:sz w:val="21"/>
                <w:szCs w:val="21"/>
                <w:highlight w:val="none"/>
              </w:rPr>
              <w:t>；</w:t>
            </w:r>
          </w:p>
        </w:tc>
      </w:tr>
      <w:tr w14:paraId="58828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9"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424BFF4">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4CD5534">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是否允许采购进口产品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D91E820">
            <w:pPr>
              <w:snapToGrid w:val="0"/>
              <w:spacing w:line="360" w:lineRule="auto"/>
              <w:jc w:val="left"/>
              <w:rPr>
                <w:rFonts w:hint="eastAsia" w:ascii="仿宋" w:hAnsi="仿宋" w:eastAsia="仿宋" w:cs="仿宋"/>
                <w:color w:val="auto"/>
                <w:sz w:val="21"/>
                <w:szCs w:val="21"/>
                <w:highlight w:val="none"/>
              </w:rPr>
            </w:pPr>
            <w:sdt>
              <w:sdtPr>
                <w:rPr>
                  <w:rFonts w:hint="eastAsia" w:ascii="仿宋" w:hAnsi="仿宋" w:eastAsia="仿宋" w:cs="仿宋"/>
                  <w:color w:val="auto"/>
                  <w:sz w:val="21"/>
                  <w:szCs w:val="21"/>
                  <w:highlight w:val="none"/>
                </w:rPr>
                <w:id w:val="-1828425707"/>
                <w14:checkbox>
                  <w14:checked w14:val="1"/>
                  <w14:checkedState w14:val="00FE" w14:font="Wingdings"/>
                  <w14:uncheckedState w14:val="2610" w14:font="MS Gothic"/>
                </w14:checkbox>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sz w:val="21"/>
                    <w:szCs w:val="21"/>
                    <w:highlight w:val="none"/>
                  </w:rPr>
                  <w:sym w:font="Wingdings" w:char="F0FE"/>
                </w:r>
              </w:sdtContent>
            </w:sdt>
            <w:r>
              <w:rPr>
                <w:rFonts w:hint="eastAsia" w:ascii="仿宋" w:hAnsi="仿宋" w:eastAsia="仿宋" w:cs="仿宋"/>
                <w:color w:val="auto"/>
                <w:sz w:val="21"/>
                <w:szCs w:val="21"/>
                <w:highlight w:val="none"/>
              </w:rPr>
              <w:t>本项目不允许采购进口产品。</w:t>
            </w:r>
          </w:p>
          <w:p w14:paraId="509EA0C1">
            <w:pPr>
              <w:snapToGrid w:val="0"/>
              <w:spacing w:line="360" w:lineRule="auto"/>
              <w:jc w:val="left"/>
              <w:rPr>
                <w:rFonts w:hint="eastAsia" w:ascii="仿宋" w:hAnsi="仿宋" w:eastAsia="仿宋" w:cs="仿宋"/>
                <w:color w:val="auto"/>
                <w:sz w:val="21"/>
                <w:szCs w:val="21"/>
                <w:highlight w:val="none"/>
              </w:rPr>
            </w:pPr>
            <w:sdt>
              <w:sdtPr>
                <w:rPr>
                  <w:rFonts w:hint="eastAsia" w:ascii="仿宋" w:hAnsi="仿宋" w:eastAsia="仿宋" w:cs="仿宋"/>
                  <w:color w:val="auto"/>
                  <w:sz w:val="21"/>
                  <w:szCs w:val="21"/>
                  <w:highlight w:val="none"/>
                </w:rPr>
                <w:id w:val="-52852824"/>
                <w14:checkbox>
                  <w14:checked w14:val="0"/>
                  <w14:checkedState w14:val="00FE" w14:font="Wingdings"/>
                  <w14:uncheckedState w14:val="2610" w14:font="MS Gothic"/>
                </w14:checkbox>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sz w:val="21"/>
                    <w:szCs w:val="21"/>
                    <w:highlight w:val="none"/>
                  </w:rPr>
                  <w:t>☐</w:t>
                </w:r>
              </w:sdtContent>
            </w:sdt>
            <w:r>
              <w:rPr>
                <w:rFonts w:hint="eastAsia" w:ascii="仿宋" w:hAnsi="仿宋" w:eastAsia="仿宋" w:cs="仿宋"/>
                <w:color w:val="auto"/>
                <w:sz w:val="21"/>
                <w:szCs w:val="21"/>
                <w:highlight w:val="none"/>
              </w:rPr>
              <w:t>可以就</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采购进口产品。</w:t>
            </w:r>
          </w:p>
        </w:tc>
      </w:tr>
      <w:tr w14:paraId="5C05B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260FF07">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E9B6582">
            <w:pPr>
              <w:snapToGrid w:val="0"/>
              <w:spacing w:line="360" w:lineRule="auto"/>
              <w:ind w:firstLine="632" w:firstLineChars="3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分包</w:t>
            </w:r>
          </w:p>
        </w:tc>
        <w:tc>
          <w:tcPr>
            <w:tcW w:w="6525" w:type="dxa"/>
            <w:tcBorders>
              <w:top w:val="single" w:color="000000" w:sz="8" w:space="0"/>
              <w:left w:val="single" w:color="000000" w:sz="2" w:space="0"/>
              <w:bottom w:val="single" w:color="000000" w:sz="8" w:space="0"/>
              <w:right w:val="single" w:color="000000" w:sz="8" w:space="0"/>
            </w:tcBorders>
            <w:vAlign w:val="center"/>
          </w:tcPr>
          <w:p w14:paraId="6F97E200">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MS Gothic" w:hAnsi="MS Gothic" w:eastAsia="仿宋" w:cs="仿宋"/>
                    <w:color w:val="auto"/>
                    <w:kern w:val="0"/>
                    <w:sz w:val="21"/>
                    <w:szCs w:val="21"/>
                    <w:highlight w:val="none"/>
                    <w:lang w:val="en-US" w:eastAsia="zh-CN" w:bidi="ar-SA"/>
                  </w:rPr>
                  <w:t>☐</w:t>
                </w:r>
              </w:sdtContent>
            </w:sdt>
            <w:r>
              <w:rPr>
                <w:rFonts w:hint="eastAsia" w:ascii="仿宋" w:hAnsi="仿宋" w:eastAsia="仿宋" w:cs="仿宋"/>
                <w:color w:val="auto"/>
                <w:kern w:val="0"/>
                <w:sz w:val="21"/>
                <w:szCs w:val="21"/>
                <w:highlight w:val="none"/>
                <w:lang w:val="en-US" w:eastAsia="zh-CN"/>
              </w:rPr>
              <w:t>A同意</w:t>
            </w:r>
            <w:r>
              <w:rPr>
                <w:rFonts w:hint="eastAsia" w:ascii="仿宋" w:hAnsi="仿宋" w:eastAsia="仿宋" w:cs="仿宋"/>
                <w:color w:val="auto"/>
                <w:sz w:val="21"/>
                <w:szCs w:val="21"/>
                <w:highlight w:val="none"/>
              </w:rPr>
              <w:t>将非主体、非关键性的工作分包。</w:t>
            </w:r>
          </w:p>
          <w:p w14:paraId="53E811D6">
            <w:pPr>
              <w:pStyle w:val="81"/>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sz w:val="21"/>
                  <w:szCs w:val="21"/>
                  <w:highlight w:val="none"/>
                </w:rPr>
                <w:id w:val="147472102"/>
                <w14:checkbox>
                  <w14:checked w14:val="1"/>
                  <w14:checkedState w14:val="00FE" w14:font="Wingdings"/>
                  <w14:uncheckedState w14:val="2610" w14:font="MS Gothic"/>
                </w14:checkbox>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sz w:val="21"/>
                    <w:szCs w:val="21"/>
                    <w:highlight w:val="none"/>
                  </w:rPr>
                  <w:sym w:font="Wingdings" w:char="F0FE"/>
                </w:r>
              </w:sdtContent>
            </w:sdt>
            <w:r>
              <w:rPr>
                <w:rFonts w:hint="eastAsia" w:ascii="仿宋" w:hAnsi="仿宋" w:eastAsia="仿宋" w:cs="仿宋"/>
                <w:color w:val="auto"/>
                <w:sz w:val="21"/>
                <w:szCs w:val="21"/>
                <w:highlight w:val="none"/>
                <w:lang w:val="en-US" w:eastAsia="zh-CN"/>
              </w:rPr>
              <w:t>B不同意分包。</w:t>
            </w:r>
          </w:p>
        </w:tc>
      </w:tr>
      <w:tr w14:paraId="52AD6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16829FD">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406D148">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开标前答疑会或现场考察</w:t>
            </w:r>
          </w:p>
        </w:tc>
        <w:tc>
          <w:tcPr>
            <w:tcW w:w="6525" w:type="dxa"/>
            <w:tcBorders>
              <w:top w:val="single" w:color="000000" w:sz="8" w:space="0"/>
              <w:left w:val="single" w:color="000000" w:sz="2" w:space="0"/>
              <w:bottom w:val="single" w:color="000000" w:sz="8" w:space="0"/>
              <w:right w:val="single" w:color="000000" w:sz="8" w:space="0"/>
            </w:tcBorders>
            <w:vAlign w:val="center"/>
          </w:tcPr>
          <w:p w14:paraId="296D938B">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kern w:val="0"/>
                <w:sz w:val="21"/>
                <w:szCs w:val="21"/>
                <w:highlight w:val="none"/>
              </w:rPr>
              <w:t>A</w:t>
            </w:r>
            <w:r>
              <w:rPr>
                <w:rFonts w:hint="eastAsia" w:ascii="仿宋" w:hAnsi="仿宋" w:eastAsia="仿宋" w:cs="仿宋"/>
                <w:color w:val="auto"/>
                <w:sz w:val="21"/>
                <w:szCs w:val="21"/>
                <w:highlight w:val="none"/>
              </w:rPr>
              <w:t>不组织。</w:t>
            </w:r>
          </w:p>
          <w:p w14:paraId="2957FAD2">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kern w:val="0"/>
                <w:sz w:val="21"/>
                <w:szCs w:val="21"/>
                <w:highlight w:val="none"/>
              </w:rPr>
              <w:t>B组织，</w:t>
            </w:r>
            <w:r>
              <w:rPr>
                <w:rFonts w:hint="eastAsia" w:ascii="仿宋" w:hAnsi="仿宋" w:eastAsia="仿宋" w:cs="仿宋"/>
                <w:color w:val="auto"/>
                <w:sz w:val="21"/>
                <w:szCs w:val="21"/>
                <w:highlight w:val="none"/>
              </w:rPr>
              <w:t>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,地点：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，联系方式：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tc>
      </w:tr>
      <w:tr w14:paraId="74809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12BD8F1">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4136D6B">
            <w:pPr>
              <w:snapToGrid w:val="0"/>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方案讲解演示</w:t>
            </w:r>
          </w:p>
        </w:tc>
        <w:tc>
          <w:tcPr>
            <w:tcW w:w="6525" w:type="dxa"/>
            <w:tcBorders>
              <w:top w:val="single" w:color="000000" w:sz="8" w:space="0"/>
              <w:left w:val="single" w:color="000000" w:sz="2" w:space="0"/>
              <w:bottom w:val="single" w:color="000000" w:sz="8" w:space="0"/>
              <w:right w:val="single" w:color="000000" w:sz="8" w:space="0"/>
            </w:tcBorders>
            <w:vAlign w:val="center"/>
          </w:tcPr>
          <w:p w14:paraId="07F797A8">
            <w:pPr>
              <w:spacing w:line="360" w:lineRule="auto"/>
              <w:rPr>
                <w:rFonts w:hint="eastAsia" w:ascii="仿宋" w:hAnsi="仿宋" w:eastAsia="仿宋" w:cs="仿宋"/>
                <w:color w:val="auto"/>
                <w:sz w:val="21"/>
                <w:szCs w:val="21"/>
                <w:highlight w:val="none"/>
              </w:rPr>
            </w:pPr>
            <w:sdt>
              <w:sdtPr>
                <w:rPr>
                  <w:rFonts w:hint="eastAsia" w:ascii="仿宋" w:hAnsi="仿宋" w:eastAsia="仿宋" w:cs="仿宋"/>
                  <w:color w:val="auto"/>
                  <w:kern w:val="0"/>
                  <w:sz w:val="21"/>
                  <w:szCs w:val="21"/>
                  <w:highlight w:val="none"/>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kern w:val="0"/>
                <w:sz w:val="21"/>
                <w:szCs w:val="21"/>
                <w:highlight w:val="none"/>
              </w:rPr>
              <w:t>A</w:t>
            </w:r>
            <w:r>
              <w:rPr>
                <w:rFonts w:hint="eastAsia" w:ascii="仿宋" w:hAnsi="仿宋" w:eastAsia="仿宋" w:cs="仿宋"/>
                <w:color w:val="auto"/>
                <w:sz w:val="21"/>
                <w:szCs w:val="21"/>
                <w:highlight w:val="none"/>
              </w:rPr>
              <w:t>不组织。</w:t>
            </w:r>
          </w:p>
          <w:p w14:paraId="4BAC8A53">
            <w:pPr>
              <w:spacing w:line="360" w:lineRule="auto"/>
              <w:rPr>
                <w:rFonts w:hint="eastAsia" w:ascii="仿宋" w:hAnsi="仿宋" w:eastAsia="仿宋" w:cs="仿宋"/>
                <w:color w:val="auto"/>
                <w:kern w:val="0"/>
                <w:sz w:val="21"/>
                <w:szCs w:val="21"/>
                <w:highlight w:val="none"/>
              </w:rPr>
            </w:pPr>
            <w:sdt>
              <w:sdtPr>
                <w:rPr>
                  <w:rFonts w:hint="eastAsia" w:ascii="仿宋" w:hAnsi="仿宋" w:eastAsia="仿宋" w:cs="仿宋"/>
                  <w:color w:val="auto"/>
                  <w:kern w:val="0"/>
                  <w:sz w:val="21"/>
                  <w:szCs w:val="21"/>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kern w:val="0"/>
                <w:sz w:val="21"/>
                <w:szCs w:val="21"/>
                <w:highlight w:val="none"/>
              </w:rPr>
              <w:t>B组织。</w:t>
            </w:r>
          </w:p>
          <w:p w14:paraId="69AC49E1">
            <w:pPr>
              <w:snapToGrid w:val="0"/>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rPr>
              <w:t>）在评标时安排每个投标人进行方案讲解演示。每个投标人时间不超过</w:t>
            </w:r>
            <w:r>
              <w:rPr>
                <w:rFonts w:hint="eastAsia" w:ascii="仿宋" w:hAnsi="仿宋" w:eastAsia="仿宋" w:cs="仿宋"/>
                <w:color w:val="auto"/>
                <w:kern w:val="0"/>
                <w:sz w:val="21"/>
                <w:szCs w:val="21"/>
                <w:highlight w:val="none"/>
                <w:u w:val="single"/>
              </w:rPr>
              <w:t>20</w:t>
            </w:r>
            <w:r>
              <w:rPr>
                <w:rFonts w:hint="eastAsia" w:ascii="仿宋" w:hAnsi="仿宋" w:eastAsia="仿宋" w:cs="仿宋"/>
                <w:color w:val="auto"/>
                <w:kern w:val="0"/>
                <w:sz w:val="21"/>
                <w:szCs w:val="21"/>
                <w:highlight w:val="none"/>
              </w:rPr>
              <w:t>分钟，讲解次序以投标文件解密时间先后次序为准，讲解演示人员不超过</w:t>
            </w:r>
            <w:r>
              <w:rPr>
                <w:rFonts w:hint="eastAsia" w:ascii="仿宋" w:hAnsi="仿宋" w:eastAsia="仿宋" w:cs="仿宋"/>
                <w:color w:val="auto"/>
                <w:kern w:val="0"/>
                <w:sz w:val="21"/>
                <w:szCs w:val="21"/>
                <w:highlight w:val="none"/>
                <w:u w:val="single"/>
              </w:rPr>
              <w:t>3</w:t>
            </w:r>
            <w:r>
              <w:rPr>
                <w:rFonts w:hint="eastAsia" w:ascii="仿宋" w:hAnsi="仿宋" w:eastAsia="仿宋" w:cs="仿宋"/>
                <w:color w:val="auto"/>
                <w:kern w:val="0"/>
                <w:sz w:val="21"/>
                <w:szCs w:val="21"/>
                <w:highlight w:val="none"/>
              </w:rPr>
              <w:t>人。讲解演示结束后按要求解答评标委员会提问。</w:t>
            </w:r>
          </w:p>
          <w:p w14:paraId="736407E4">
            <w:pPr>
              <w:snapToGrid w:val="0"/>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（2）方案讲解演示</w:t>
            </w:r>
            <w:r>
              <w:rPr>
                <w:rFonts w:hint="eastAsia" w:ascii="仿宋" w:hAnsi="仿宋" w:eastAsia="仿宋" w:cs="仿宋"/>
                <w:color w:val="auto"/>
                <w:kern w:val="0"/>
                <w:sz w:val="21"/>
                <w:szCs w:val="21"/>
                <w:highlight w:val="none"/>
                <w:lang w:val="en-US" w:eastAsia="zh-CN"/>
              </w:rPr>
              <w:t>方式</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u w:val="single"/>
                <w:lang w:val="en-US" w:eastAsia="zh-CN"/>
              </w:rPr>
              <w:t>/</w:t>
            </w:r>
          </w:p>
          <w:p w14:paraId="7A0C8720">
            <w:pPr>
              <w:snapToGrid w:val="0"/>
              <w:spacing w:line="360" w:lineRule="auto"/>
              <w:rPr>
                <w:rFonts w:hint="eastAsia" w:ascii="仿宋" w:hAnsi="仿宋" w:eastAsia="仿宋" w:cs="仿宋"/>
                <w:b/>
                <w:color w:val="auto"/>
                <w:kern w:val="0"/>
                <w:sz w:val="21"/>
                <w:szCs w:val="21"/>
                <w:highlight w:val="none"/>
                <w:lang w:val="zh-CN"/>
              </w:rPr>
            </w:pPr>
            <w:r>
              <w:rPr>
                <w:rFonts w:hint="eastAsia" w:ascii="仿宋" w:hAnsi="仿宋" w:eastAsia="仿宋" w:cs="仿宋"/>
                <w:b/>
                <w:bCs/>
                <w:color w:val="auto"/>
                <w:kern w:val="0"/>
                <w:sz w:val="21"/>
                <w:szCs w:val="21"/>
                <w:highlight w:val="none"/>
              </w:rPr>
              <w:t>注：因投标人自身原因导致无法演示或者演示效果不理想的，责任自负。</w:t>
            </w:r>
          </w:p>
        </w:tc>
      </w:tr>
      <w:tr w14:paraId="20FE8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vAlign w:val="center"/>
          </w:tcPr>
          <w:p w14:paraId="39006235">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1843" w:type="dxa"/>
            <w:vMerge w:val="restart"/>
            <w:tcBorders>
              <w:top w:val="single" w:color="000000" w:sz="8" w:space="0"/>
              <w:left w:val="single" w:color="auto" w:sz="4" w:space="0"/>
              <w:right w:val="single" w:color="000000" w:sz="8" w:space="0"/>
            </w:tcBorders>
            <w:vAlign w:val="center"/>
          </w:tcPr>
          <w:p w14:paraId="47B574BB">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投标人应当提供的资格、资信证明文件</w:t>
            </w:r>
          </w:p>
        </w:tc>
        <w:tc>
          <w:tcPr>
            <w:tcW w:w="6525" w:type="dxa"/>
            <w:tcBorders>
              <w:top w:val="single" w:color="000000" w:sz="8" w:space="0"/>
              <w:left w:val="single" w:color="000000" w:sz="2" w:space="0"/>
              <w:bottom w:val="single" w:color="auto" w:sz="4" w:space="0"/>
              <w:right w:val="single" w:color="000000" w:sz="8" w:space="0"/>
            </w:tcBorders>
            <w:vAlign w:val="center"/>
          </w:tcPr>
          <w:p w14:paraId="38A158B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（1）资格证明文件：见招标文件第二部分11.1。</w:t>
            </w:r>
          </w:p>
          <w:p w14:paraId="57DC39CB">
            <w:pPr>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color w:val="auto"/>
                <w:kern w:val="0"/>
                <w:sz w:val="21"/>
                <w:szCs w:val="21"/>
                <w:highlight w:val="none"/>
                <w:lang w:val="zh-CN"/>
              </w:rPr>
              <w:t>投标人未提供有效的资格证明文件的，视为投标人不具备招标文件中规定的资格要求，投标无效。</w:t>
            </w:r>
          </w:p>
        </w:tc>
      </w:tr>
      <w:tr w14:paraId="1AC43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tblHeader/>
          <w:jc w:val="center"/>
        </w:trPr>
        <w:tc>
          <w:tcPr>
            <w:tcW w:w="629" w:type="dxa"/>
            <w:vMerge w:val="continue"/>
            <w:tcBorders>
              <w:left w:val="single" w:color="auto" w:sz="4" w:space="0"/>
              <w:bottom w:val="single" w:color="auto" w:sz="4" w:space="0"/>
              <w:right w:val="single" w:color="auto" w:sz="4" w:space="0"/>
            </w:tcBorders>
            <w:vAlign w:val="center"/>
          </w:tcPr>
          <w:p w14:paraId="088D1944">
            <w:pPr>
              <w:snapToGrid w:val="0"/>
              <w:spacing w:line="360" w:lineRule="auto"/>
              <w:jc w:val="center"/>
              <w:rPr>
                <w:rFonts w:hint="eastAsia" w:ascii="仿宋" w:hAnsi="仿宋" w:eastAsia="仿宋" w:cs="仿宋"/>
                <w:color w:val="auto"/>
                <w:sz w:val="21"/>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84EEC01">
            <w:pPr>
              <w:snapToGrid w:val="0"/>
              <w:spacing w:line="360" w:lineRule="auto"/>
              <w:jc w:val="center"/>
              <w:rPr>
                <w:rFonts w:hint="eastAsia" w:ascii="仿宋" w:hAnsi="仿宋" w:eastAsia="仿宋" w:cs="仿宋"/>
                <w:b/>
                <w:color w:val="auto"/>
                <w:sz w:val="21"/>
                <w:szCs w:val="21"/>
                <w:highlight w:val="none"/>
              </w:rPr>
            </w:pPr>
          </w:p>
        </w:tc>
        <w:tc>
          <w:tcPr>
            <w:tcW w:w="6525" w:type="dxa"/>
            <w:tcBorders>
              <w:top w:val="single" w:color="auto" w:sz="4" w:space="0"/>
              <w:left w:val="single" w:color="000000" w:sz="2" w:space="0"/>
              <w:bottom w:val="single" w:color="000000" w:sz="8" w:space="0"/>
              <w:right w:val="single" w:color="000000" w:sz="8" w:space="0"/>
            </w:tcBorders>
            <w:vAlign w:val="center"/>
          </w:tcPr>
          <w:p w14:paraId="1849B890">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（2）资信证明文件：根据招标文件第四部分评标标准提供。</w:t>
            </w:r>
          </w:p>
        </w:tc>
      </w:tr>
      <w:tr w14:paraId="3DAB5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CB24B11">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B9EC43B">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节能产品、环境标志产品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85483E9">
            <w:pPr>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5A56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5791F63">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88E52D5">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报价要求</w:t>
            </w:r>
          </w:p>
        </w:tc>
        <w:tc>
          <w:tcPr>
            <w:tcW w:w="6525" w:type="dxa"/>
            <w:tcBorders>
              <w:top w:val="single" w:color="000000" w:sz="8" w:space="0"/>
              <w:left w:val="single" w:color="000000" w:sz="2" w:space="0"/>
              <w:bottom w:val="single" w:color="000000" w:sz="8" w:space="0"/>
              <w:right w:val="single" w:color="000000" w:sz="8" w:space="0"/>
            </w:tcBorders>
            <w:vAlign w:val="center"/>
          </w:tcPr>
          <w:p w14:paraId="1EB27980">
            <w:pPr>
              <w:snapToGrid w:val="0"/>
              <w:spacing w:line="360" w:lineRule="auto"/>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有关本项目实施所需的所有费用（含税费）均计入报价。</w:t>
            </w:r>
            <w:r>
              <w:rPr>
                <w:rFonts w:hint="eastAsia" w:ascii="仿宋" w:hAnsi="仿宋" w:eastAsia="仿宋" w:cs="仿宋"/>
                <w:b/>
                <w:bCs/>
                <w:color w:val="auto"/>
                <w:kern w:val="0"/>
                <w:sz w:val="21"/>
                <w:szCs w:val="21"/>
                <w:highlight w:val="none"/>
                <w:lang w:val="zh-CN"/>
              </w:rPr>
              <w:t>投标文件</w:t>
            </w:r>
            <w:r>
              <w:rPr>
                <w:rFonts w:hint="eastAsia" w:ascii="仿宋" w:hAnsi="仿宋" w:eastAsia="仿宋" w:cs="仿宋"/>
                <w:b/>
                <w:bCs/>
                <w:color w:val="auto"/>
                <w:sz w:val="21"/>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1"/>
                <w:szCs w:val="21"/>
                <w:highlight w:val="none"/>
                <w:lang w:val="zh-CN"/>
              </w:rPr>
              <w:t>投标文件中价格全部采用人民币报价。招标文件未列明，而投标人认为必需的费用也需列入报价。</w:t>
            </w:r>
          </w:p>
          <w:p w14:paraId="7616EC36">
            <w:pPr>
              <w:snapToGrid w:val="0"/>
              <w:spacing w:line="360" w:lineRule="auto"/>
              <w:ind w:firstLine="211" w:firstLineChars="100"/>
              <w:jc w:val="left"/>
              <w:rPr>
                <w:rFonts w:hint="eastAsia" w:ascii="仿宋" w:hAnsi="仿宋" w:eastAsia="仿宋" w:cs="仿宋"/>
                <w:b/>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投标报价出现下列情形的，投标无效：</w:t>
            </w:r>
          </w:p>
          <w:p w14:paraId="0016CDAE">
            <w:pPr>
              <w:snapToGrid w:val="0"/>
              <w:spacing w:line="360" w:lineRule="auto"/>
              <w:ind w:firstLine="211" w:firstLineChars="100"/>
              <w:jc w:val="left"/>
              <w:rPr>
                <w:rFonts w:hint="eastAsia" w:ascii="仿宋" w:hAnsi="仿宋" w:eastAsia="仿宋" w:cs="仿宋"/>
                <w:b/>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投标文件出现不是唯一的、有选择性投标报价的；</w:t>
            </w:r>
          </w:p>
          <w:p w14:paraId="05D48400">
            <w:pPr>
              <w:snapToGrid w:val="0"/>
              <w:spacing w:line="360" w:lineRule="auto"/>
              <w:ind w:firstLine="211" w:firstLineChars="100"/>
              <w:jc w:val="left"/>
              <w:rPr>
                <w:rFonts w:hint="eastAsia" w:ascii="仿宋" w:hAnsi="仿宋" w:eastAsia="仿宋" w:cs="仿宋"/>
                <w:color w:val="auto"/>
                <w:kern w:val="0"/>
                <w:sz w:val="21"/>
                <w:szCs w:val="21"/>
                <w:highlight w:val="none"/>
                <w:lang w:val="zh-CN"/>
              </w:rPr>
            </w:pPr>
            <w:r>
              <w:rPr>
                <w:rFonts w:hint="eastAsia" w:ascii="仿宋" w:hAnsi="仿宋" w:eastAsia="仿宋" w:cs="仿宋"/>
                <w:b/>
                <w:color w:val="auto"/>
                <w:kern w:val="0"/>
                <w:sz w:val="21"/>
                <w:szCs w:val="21"/>
                <w:highlight w:val="none"/>
                <w:lang w:val="zh-CN"/>
              </w:rPr>
              <w:t>投标报价超过招标文件中规定的预算金额或者最高限价的;</w:t>
            </w:r>
          </w:p>
          <w:p w14:paraId="08F3ECA3">
            <w:pPr>
              <w:spacing w:line="360" w:lineRule="auto"/>
              <w:ind w:firstLine="211" w:firstLineChars="100"/>
              <w:rPr>
                <w:rFonts w:hint="eastAsia" w:ascii="仿宋" w:hAnsi="仿宋" w:eastAsia="仿宋" w:cs="仿宋"/>
                <w:b/>
                <w:color w:val="auto"/>
                <w:sz w:val="21"/>
                <w:szCs w:val="21"/>
                <w:highlight w:val="none"/>
              </w:rPr>
            </w:pPr>
            <w:r>
              <w:rPr>
                <w:rFonts w:hint="eastAsia" w:ascii="仿宋" w:hAnsi="仿宋" w:eastAsia="仿宋" w:cs="仿宋"/>
                <w:b/>
                <w:color w:val="auto"/>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1"/>
                <w:szCs w:val="21"/>
                <w:highlight w:val="none"/>
              </w:rPr>
              <w:t>;</w:t>
            </w:r>
          </w:p>
          <w:p w14:paraId="3F55A006">
            <w:pPr>
              <w:spacing w:line="360" w:lineRule="auto"/>
              <w:ind w:firstLine="211" w:firstLineChars="100"/>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投标人对根据修正原则修正后的报价不确认的</w:t>
            </w:r>
            <w:r>
              <w:rPr>
                <w:rFonts w:hint="eastAsia" w:ascii="仿宋" w:hAnsi="仿宋" w:eastAsia="仿宋" w:cs="仿宋"/>
                <w:b/>
                <w:color w:val="auto"/>
                <w:sz w:val="21"/>
                <w:szCs w:val="21"/>
                <w:highlight w:val="none"/>
              </w:rPr>
              <w:t>。</w:t>
            </w:r>
          </w:p>
        </w:tc>
      </w:tr>
      <w:tr w14:paraId="69C7BC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A510234">
            <w:pPr>
              <w:snapToGrid w:val="0"/>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p>
        </w:tc>
        <w:tc>
          <w:tcPr>
            <w:tcW w:w="1843" w:type="dxa"/>
            <w:tcBorders>
              <w:top w:val="single" w:color="000000" w:sz="8" w:space="0"/>
              <w:left w:val="single" w:color="000000" w:sz="2" w:space="0"/>
              <w:bottom w:val="single" w:color="000000" w:sz="8" w:space="0"/>
              <w:right w:val="single" w:color="000000" w:sz="8" w:space="0"/>
            </w:tcBorders>
            <w:vAlign w:val="center"/>
          </w:tcPr>
          <w:p w14:paraId="54DEB107">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备份投标文件送达地点和签收人员 </w:t>
            </w:r>
          </w:p>
        </w:tc>
        <w:tc>
          <w:tcPr>
            <w:tcW w:w="6525" w:type="dxa"/>
            <w:tcBorders>
              <w:top w:val="single" w:color="000000" w:sz="8" w:space="0"/>
              <w:left w:val="single" w:color="000000" w:sz="2" w:space="0"/>
              <w:bottom w:val="single" w:color="000000" w:sz="8" w:space="0"/>
              <w:right w:val="single" w:color="000000" w:sz="8" w:space="0"/>
            </w:tcBorders>
            <w:vAlign w:val="center"/>
          </w:tcPr>
          <w:p w14:paraId="76947ED2">
            <w:pPr>
              <w:pStyle w:val="32"/>
              <w:spacing w:line="360" w:lineRule="auto"/>
              <w:rPr>
                <w:rFonts w:hint="eastAsia" w:ascii="仿宋" w:hAnsi="仿宋" w:eastAsia="仿宋" w:cs="仿宋"/>
                <w:color w:val="auto"/>
                <w:kern w:val="28"/>
                <w:sz w:val="21"/>
                <w:szCs w:val="21"/>
                <w:highlight w:val="none"/>
              </w:rPr>
            </w:pPr>
            <w:r>
              <w:rPr>
                <w:rFonts w:hint="eastAsia" w:ascii="仿宋" w:hAnsi="仿宋" w:eastAsia="仿宋" w:cs="仿宋"/>
                <w:color w:val="auto"/>
                <w:kern w:val="28"/>
                <w:sz w:val="21"/>
                <w:szCs w:val="21"/>
                <w:highlight w:val="none"/>
              </w:rPr>
              <w:t>备份响应文件送达地点：</w:t>
            </w:r>
            <w:r>
              <w:rPr>
                <w:rFonts w:hint="eastAsia" w:ascii="仿宋" w:hAnsi="仿宋" w:eastAsia="仿宋" w:cs="仿宋"/>
                <w:color w:val="auto"/>
                <w:sz w:val="21"/>
                <w:szCs w:val="21"/>
                <w:highlight w:val="none"/>
                <w:u w:val="single"/>
                <w:lang w:val="en-US" w:eastAsia="zh-CN"/>
              </w:rPr>
              <w:t>金华市婺城区人民西路167号3楼（响应截止时间前一天送达）</w:t>
            </w:r>
            <w:r>
              <w:rPr>
                <w:rFonts w:hint="eastAsia" w:ascii="仿宋" w:hAnsi="仿宋" w:eastAsia="仿宋" w:cs="仿宋"/>
                <w:color w:val="auto"/>
                <w:kern w:val="28"/>
                <w:sz w:val="21"/>
                <w:szCs w:val="21"/>
                <w:highlight w:val="none"/>
              </w:rPr>
              <w:t>；</w:t>
            </w:r>
          </w:p>
          <w:p w14:paraId="433033C4">
            <w:pPr>
              <w:pStyle w:val="32"/>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kern w:val="28"/>
                <w:sz w:val="21"/>
                <w:szCs w:val="21"/>
                <w:highlight w:val="none"/>
              </w:rPr>
              <w:t>备份响应文件签收人员联系电话：</w:t>
            </w:r>
            <w:r>
              <w:rPr>
                <w:rFonts w:hint="eastAsia" w:ascii="仿宋" w:hAnsi="仿宋" w:eastAsia="仿宋" w:cs="仿宋"/>
                <w:color w:val="auto"/>
                <w:kern w:val="28"/>
                <w:sz w:val="21"/>
                <w:szCs w:val="21"/>
                <w:highlight w:val="none"/>
                <w:u w:val="single"/>
                <w:lang w:val="en-US" w:eastAsia="zh-CN"/>
              </w:rPr>
              <w:t>方女士，13588665788</w:t>
            </w:r>
            <w:r>
              <w:rPr>
                <w:rFonts w:hint="eastAsia" w:ascii="仿宋" w:hAnsi="仿宋" w:eastAsia="仿宋" w:cs="仿宋"/>
                <w:color w:val="auto"/>
                <w:sz w:val="21"/>
                <w:szCs w:val="21"/>
                <w:highlight w:val="none"/>
              </w:rPr>
              <w:t>。</w:t>
            </w:r>
          </w:p>
          <w:p w14:paraId="78BA0A49">
            <w:pPr>
              <w:pStyle w:val="32"/>
              <w:spacing w:line="360" w:lineRule="auto"/>
              <w:rPr>
                <w:rFonts w:hint="eastAsia" w:ascii="仿宋" w:hAnsi="仿宋" w:eastAsia="仿宋" w:cs="仿宋"/>
                <w:color w:val="auto"/>
                <w:kern w:val="28"/>
                <w:sz w:val="21"/>
                <w:szCs w:val="21"/>
                <w:highlight w:val="none"/>
              </w:rPr>
            </w:pPr>
            <w:r>
              <w:rPr>
                <w:rFonts w:hint="eastAsia" w:ascii="仿宋" w:hAnsi="仿宋" w:eastAsia="仿宋" w:cs="仿宋"/>
                <w:b/>
                <w:color w:val="auto"/>
                <w:sz w:val="21"/>
                <w:szCs w:val="21"/>
                <w:highlight w:val="none"/>
              </w:rPr>
              <w:t>采购人、</w:t>
            </w:r>
            <w:r>
              <w:rPr>
                <w:rFonts w:hint="eastAsia" w:ascii="仿宋" w:hAnsi="仿宋" w:eastAsia="仿宋" w:cs="仿宋"/>
                <w:b/>
                <w:color w:val="auto"/>
                <w:sz w:val="21"/>
                <w:szCs w:val="21"/>
                <w:highlight w:val="none"/>
                <w:lang w:eastAsia="zh-CN"/>
              </w:rPr>
              <w:t>采购代理机构</w:t>
            </w:r>
            <w:r>
              <w:rPr>
                <w:rFonts w:hint="eastAsia" w:ascii="仿宋" w:hAnsi="仿宋" w:eastAsia="仿宋" w:cs="仿宋"/>
                <w:b/>
                <w:color w:val="auto"/>
                <w:sz w:val="21"/>
                <w:szCs w:val="21"/>
                <w:highlight w:val="none"/>
              </w:rPr>
              <w:t>不强制或变相强制供应商提交备份响应文件。</w:t>
            </w:r>
          </w:p>
        </w:tc>
      </w:tr>
      <w:tr w14:paraId="767B2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A698363">
            <w:pPr>
              <w:snapToGrid w:val="0"/>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18FB28B2">
            <w:pPr>
              <w:snapToGrid w:val="0"/>
              <w:spacing w:line="360" w:lineRule="auto"/>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开标流程</w:t>
            </w:r>
            <w:r>
              <w:rPr>
                <w:rFonts w:hint="eastAsia" w:ascii="仿宋" w:hAnsi="仿宋" w:eastAsia="仿宋" w:cs="仿宋"/>
                <w:b/>
                <w:color w:val="auto"/>
                <w:sz w:val="21"/>
                <w:szCs w:val="21"/>
                <w:highlight w:val="none"/>
                <w:lang w:val="en-US" w:eastAsia="zh-CN"/>
              </w:rPr>
              <w:t>说明</w:t>
            </w:r>
          </w:p>
        </w:tc>
        <w:tc>
          <w:tcPr>
            <w:tcW w:w="6525" w:type="dxa"/>
            <w:tcBorders>
              <w:top w:val="single" w:color="000000" w:sz="8" w:space="0"/>
              <w:left w:val="single" w:color="000000" w:sz="2" w:space="0"/>
              <w:bottom w:val="single" w:color="000000" w:sz="8" w:space="0"/>
              <w:right w:val="single" w:color="000000" w:sz="8" w:space="0"/>
            </w:tcBorders>
            <w:vAlign w:val="center"/>
          </w:tcPr>
          <w:p w14:paraId="50096939">
            <w:pPr>
              <w:pStyle w:val="811"/>
              <w:spacing w:line="360" w:lineRule="auto"/>
              <w:ind w:left="2"/>
              <w:jc w:val="left"/>
              <w:rPr>
                <w:rFonts w:hint="eastAsia" w:ascii="仿宋" w:hAnsi="仿宋" w:eastAsia="仿宋" w:cs="仿宋"/>
                <w:bCs/>
                <w:color w:val="auto"/>
                <w:sz w:val="21"/>
                <w:szCs w:val="21"/>
                <w:highlight w:val="none"/>
              </w:rPr>
            </w:pPr>
            <w:r>
              <w:rPr>
                <w:rFonts w:hint="eastAsia" w:ascii="仿宋" w:hAnsi="仿宋" w:eastAsia="仿宋" w:cs="仿宋"/>
                <w:b/>
                <w:bCs w:val="0"/>
                <w:color w:val="auto"/>
                <w:sz w:val="21"/>
                <w:szCs w:val="21"/>
                <w:highlight w:val="none"/>
              </w:rPr>
              <w:t>开标时间：</w:t>
            </w:r>
            <w:r>
              <w:rPr>
                <w:rFonts w:hint="eastAsia" w:ascii="仿宋" w:hAnsi="仿宋" w:eastAsia="仿宋" w:cs="仿宋"/>
                <w:bCs/>
                <w:color w:val="auto"/>
                <w:sz w:val="21"/>
                <w:szCs w:val="21"/>
                <w:highlight w:val="none"/>
              </w:rPr>
              <w:t>同投标</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响应</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文件递交截止时间；</w:t>
            </w:r>
          </w:p>
          <w:p w14:paraId="421213E2">
            <w:pPr>
              <w:pStyle w:val="811"/>
              <w:spacing w:line="360" w:lineRule="auto"/>
              <w:ind w:left="2"/>
              <w:jc w:val="left"/>
              <w:rPr>
                <w:rFonts w:hint="eastAsia" w:ascii="仿宋" w:hAnsi="仿宋" w:eastAsia="仿宋" w:cs="仿宋"/>
                <w:color w:val="auto"/>
                <w:kern w:val="28"/>
                <w:sz w:val="21"/>
                <w:szCs w:val="21"/>
                <w:highlight w:val="none"/>
                <w:lang w:val="en-US" w:eastAsia="zh-CN"/>
              </w:rPr>
            </w:pPr>
            <w:r>
              <w:rPr>
                <w:rFonts w:hint="eastAsia" w:ascii="仿宋" w:hAnsi="仿宋" w:eastAsia="仿宋" w:cs="仿宋"/>
                <w:b/>
                <w:bCs w:val="0"/>
                <w:color w:val="auto"/>
                <w:sz w:val="21"/>
                <w:szCs w:val="21"/>
                <w:highlight w:val="none"/>
              </w:rPr>
              <w:t>开标</w:t>
            </w:r>
            <w:r>
              <w:rPr>
                <w:rFonts w:hint="eastAsia" w:ascii="仿宋" w:hAnsi="仿宋" w:eastAsia="仿宋" w:cs="仿宋"/>
                <w:b/>
                <w:bCs w:val="0"/>
                <w:color w:val="auto"/>
                <w:sz w:val="21"/>
                <w:szCs w:val="21"/>
                <w:highlight w:val="none"/>
                <w:lang w:val="en-US" w:eastAsia="zh-CN"/>
              </w:rPr>
              <w:t>程序说明</w:t>
            </w:r>
            <w:r>
              <w:rPr>
                <w:rFonts w:hint="eastAsia" w:ascii="仿宋" w:hAnsi="仿宋" w:eastAsia="仿宋" w:cs="仿宋"/>
                <w:b/>
                <w:bCs w:val="0"/>
                <w:color w:val="auto"/>
                <w:sz w:val="21"/>
                <w:szCs w:val="21"/>
                <w:highlight w:val="none"/>
              </w:rPr>
              <w:t>：</w:t>
            </w:r>
            <w:r>
              <w:rPr>
                <w:rFonts w:hint="eastAsia" w:ascii="仿宋" w:hAnsi="仿宋" w:eastAsia="仿宋" w:cs="仿宋"/>
                <w:bCs/>
                <w:color w:val="auto"/>
                <w:sz w:val="21"/>
                <w:szCs w:val="21"/>
                <w:highlight w:val="none"/>
                <w:lang w:val="en-US" w:eastAsia="zh-CN"/>
              </w:rPr>
              <w:t>本项目采用一阶段开标，开标时间到，直接进行响应文件平台解密（含资格文件、报价文件、商务技术文件等）</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后续进入资格审查、符合性审查、商务技术评审等环节。</w:t>
            </w:r>
          </w:p>
        </w:tc>
      </w:tr>
      <w:tr w14:paraId="3F435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9" w:hRule="atLeast"/>
          <w:tblHeader/>
          <w:jc w:val="center"/>
        </w:trPr>
        <w:tc>
          <w:tcPr>
            <w:tcW w:w="629" w:type="dxa"/>
            <w:tcBorders>
              <w:top w:val="single" w:color="auto" w:sz="4" w:space="0"/>
              <w:left w:val="single" w:color="auto" w:sz="4" w:space="0"/>
              <w:bottom w:val="single" w:color="auto" w:sz="4" w:space="0"/>
              <w:right w:val="single" w:color="000000" w:sz="2" w:space="0"/>
            </w:tcBorders>
            <w:vAlign w:val="center"/>
          </w:tcPr>
          <w:p w14:paraId="763891E4">
            <w:pPr>
              <w:snapToGrid w:val="0"/>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1843" w:type="dxa"/>
            <w:tcBorders>
              <w:top w:val="single" w:color="auto" w:sz="4" w:space="0"/>
              <w:left w:val="single" w:color="000000" w:sz="2" w:space="0"/>
              <w:bottom w:val="single" w:color="auto" w:sz="4" w:space="0"/>
              <w:right w:val="single" w:color="000000" w:sz="8" w:space="0"/>
            </w:tcBorders>
            <w:vAlign w:val="center"/>
          </w:tcPr>
          <w:p w14:paraId="78E9BE01">
            <w:pPr>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采购代理服务费</w:t>
            </w:r>
          </w:p>
        </w:tc>
        <w:tc>
          <w:tcPr>
            <w:tcW w:w="6525" w:type="dxa"/>
            <w:tcBorders>
              <w:top w:val="single" w:color="auto" w:sz="4" w:space="0"/>
              <w:left w:val="single" w:color="000000" w:sz="2" w:space="0"/>
              <w:bottom w:val="single" w:color="auto" w:sz="4" w:space="0"/>
              <w:right w:val="single" w:color="auto" w:sz="4" w:space="0"/>
            </w:tcBorders>
            <w:vAlign w:val="center"/>
          </w:tcPr>
          <w:p w14:paraId="6F24A4AE">
            <w:pPr>
              <w:spacing w:line="360" w:lineRule="auto"/>
              <w:rPr>
                <w:rFonts w:hint="eastAsia" w:ascii="仿宋" w:hAnsi="仿宋" w:eastAsia="仿宋" w:cs="仿宋"/>
                <w:b w:val="0"/>
                <w:bCs/>
                <w:color w:val="auto"/>
                <w:kern w:val="0"/>
                <w:sz w:val="21"/>
                <w:szCs w:val="21"/>
                <w:highlight w:val="none"/>
                <w:lang w:eastAsia="zh-CN"/>
              </w:rPr>
            </w:pPr>
            <w:r>
              <w:rPr>
                <w:rFonts w:hint="eastAsia" w:ascii="仿宋" w:hAnsi="仿宋" w:eastAsia="仿宋" w:cs="仿宋"/>
                <w:b w:val="0"/>
                <w:bCs/>
                <w:color w:val="auto"/>
                <w:kern w:val="0"/>
                <w:sz w:val="21"/>
                <w:szCs w:val="21"/>
                <w:highlight w:val="none"/>
                <w:lang w:eastAsia="zh-CN"/>
              </w:rPr>
              <w:t>参照国家计委关于印发《招标代理服务收费管理暂行办法》的通知[计价格（2002）1980号]</w:t>
            </w:r>
            <w:r>
              <w:rPr>
                <w:rFonts w:hint="eastAsia" w:ascii="仿宋" w:hAnsi="仿宋" w:eastAsia="仿宋" w:cs="仿宋"/>
                <w:b w:val="0"/>
                <w:bCs/>
                <w:color w:val="auto"/>
                <w:kern w:val="0"/>
                <w:sz w:val="21"/>
                <w:szCs w:val="21"/>
                <w:highlight w:val="none"/>
                <w:lang w:val="en-US" w:eastAsia="zh-CN"/>
              </w:rPr>
              <w:t>服务</w:t>
            </w:r>
            <w:r>
              <w:rPr>
                <w:rFonts w:hint="eastAsia" w:ascii="仿宋" w:hAnsi="仿宋" w:eastAsia="仿宋" w:cs="仿宋"/>
                <w:b w:val="0"/>
                <w:bCs/>
                <w:color w:val="auto"/>
                <w:kern w:val="0"/>
                <w:sz w:val="21"/>
                <w:szCs w:val="21"/>
                <w:highlight w:val="none"/>
                <w:lang w:eastAsia="zh-CN"/>
              </w:rPr>
              <w:t>类标准68%计算（不足1500元按照1500元收取），由各标项中标人在中标通知书领取时直接支付给采购代理机构。</w:t>
            </w:r>
          </w:p>
          <w:p w14:paraId="390C65A8">
            <w:pPr>
              <w:spacing w:line="360" w:lineRule="auto"/>
              <w:rPr>
                <w:rFonts w:hint="eastAsia" w:ascii="仿宋" w:hAnsi="仿宋" w:eastAsia="仿宋" w:cs="仿宋"/>
                <w:b w:val="0"/>
                <w:bCs/>
                <w:color w:val="auto"/>
                <w:kern w:val="0"/>
                <w:sz w:val="21"/>
                <w:szCs w:val="21"/>
                <w:highlight w:val="none"/>
                <w:lang w:eastAsia="zh-CN"/>
              </w:rPr>
            </w:pPr>
            <w:r>
              <w:rPr>
                <w:rFonts w:hint="eastAsia" w:ascii="仿宋" w:hAnsi="仿宋" w:eastAsia="仿宋" w:cs="仿宋"/>
                <w:b w:val="0"/>
                <w:bCs/>
                <w:color w:val="auto"/>
                <w:kern w:val="0"/>
                <w:sz w:val="21"/>
                <w:szCs w:val="21"/>
                <w:highlight w:val="none"/>
                <w:lang w:eastAsia="zh-CN"/>
              </w:rPr>
              <w:t>户名：浙江万汇招标代理有限公司</w:t>
            </w:r>
          </w:p>
          <w:p w14:paraId="21BFDBFC">
            <w:pPr>
              <w:spacing w:line="360" w:lineRule="auto"/>
              <w:rPr>
                <w:rFonts w:hint="eastAsia" w:ascii="仿宋" w:hAnsi="仿宋" w:eastAsia="仿宋" w:cs="仿宋"/>
                <w:b w:val="0"/>
                <w:bCs/>
                <w:color w:val="auto"/>
                <w:kern w:val="0"/>
                <w:sz w:val="21"/>
                <w:szCs w:val="21"/>
                <w:highlight w:val="none"/>
                <w:lang w:eastAsia="zh-CN"/>
              </w:rPr>
            </w:pPr>
            <w:r>
              <w:rPr>
                <w:rFonts w:hint="eastAsia" w:ascii="仿宋" w:hAnsi="仿宋" w:eastAsia="仿宋" w:cs="仿宋"/>
                <w:b w:val="0"/>
                <w:bCs/>
                <w:color w:val="auto"/>
                <w:kern w:val="0"/>
                <w:sz w:val="21"/>
                <w:szCs w:val="21"/>
                <w:highlight w:val="none"/>
                <w:lang w:eastAsia="zh-CN"/>
              </w:rPr>
              <w:t>开户银行：杭州银行高新支行</w:t>
            </w:r>
          </w:p>
          <w:p w14:paraId="1C41C78F">
            <w:pPr>
              <w:spacing w:line="360" w:lineRule="auto"/>
              <w:rPr>
                <w:rFonts w:hint="eastAsia" w:ascii="仿宋" w:hAnsi="仿宋" w:eastAsia="仿宋" w:cs="仿宋"/>
                <w:b/>
                <w:color w:val="auto"/>
                <w:kern w:val="0"/>
                <w:sz w:val="21"/>
                <w:szCs w:val="21"/>
                <w:highlight w:val="none"/>
              </w:rPr>
            </w:pPr>
            <w:r>
              <w:rPr>
                <w:rFonts w:hint="eastAsia" w:ascii="仿宋" w:hAnsi="仿宋" w:eastAsia="仿宋" w:cs="仿宋"/>
                <w:b w:val="0"/>
                <w:bCs/>
                <w:color w:val="auto"/>
                <w:kern w:val="0"/>
                <w:sz w:val="21"/>
                <w:szCs w:val="21"/>
                <w:highlight w:val="none"/>
                <w:lang w:eastAsia="zh-CN"/>
              </w:rPr>
              <w:t>银行账号：3301 0401 6002 0563 386</w:t>
            </w:r>
          </w:p>
        </w:tc>
      </w:tr>
      <w:bookmarkEnd w:id="10"/>
    </w:tbl>
    <w:p w14:paraId="61994A25">
      <w:pPr>
        <w:rPr>
          <w:rFonts w:hint="eastAsia" w:ascii="仿宋" w:hAnsi="仿宋" w:eastAsia="仿宋" w:cs="仿宋"/>
          <w:b/>
          <w:color w:val="auto"/>
          <w:sz w:val="28"/>
          <w:szCs w:val="28"/>
          <w:highlight w:val="none"/>
        </w:rPr>
      </w:pPr>
      <w:bookmarkStart w:id="11" w:name="第三部分"/>
      <w:bookmarkStart w:id="12" w:name="_Toc164416483"/>
      <w:r>
        <w:rPr>
          <w:rFonts w:hint="eastAsia" w:ascii="仿宋" w:hAnsi="仿宋" w:eastAsia="仿宋" w:cs="仿宋"/>
          <w:b/>
          <w:color w:val="auto"/>
          <w:sz w:val="28"/>
          <w:szCs w:val="28"/>
          <w:highlight w:val="none"/>
        </w:rPr>
        <w:br w:type="page"/>
      </w:r>
    </w:p>
    <w:p w14:paraId="578D80FA">
      <w:pPr>
        <w:adjustRightInd/>
        <w:spacing w:line="360" w:lineRule="auto"/>
        <w:ind w:firstLine="4216" w:firstLineChars="1500"/>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一、总则</w:t>
      </w:r>
    </w:p>
    <w:p w14:paraId="6E207F92">
      <w:pPr>
        <w:snapToGrid w:val="0"/>
        <w:spacing w:line="360" w:lineRule="auto"/>
        <w:ind w:firstLine="316" w:firstLineChars="150"/>
        <w:jc w:val="left"/>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1.适用范围</w:t>
      </w:r>
    </w:p>
    <w:p w14:paraId="4B831A5D">
      <w:pPr>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本招标文件适用于该项目的招标、投标、开标、资格审查及信用信息查询、评标、定标、合同、验收等行为（法律、法规另有规定的，从其规定）。</w:t>
      </w:r>
    </w:p>
    <w:p w14:paraId="2192993F">
      <w:pPr>
        <w:adjustRightInd/>
        <w:spacing w:line="360" w:lineRule="auto"/>
        <w:ind w:left="0" w:leftChars="0" w:firstLine="422" w:firstLineChars="200"/>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2.定义</w:t>
      </w:r>
    </w:p>
    <w:p w14:paraId="04AF8B4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2.1“采购人”系指招标公告中载明的本项目的采购人。</w:t>
      </w:r>
    </w:p>
    <w:p w14:paraId="2C777C29">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”系指招标公告中载明的本项目的</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w:t>
      </w:r>
    </w:p>
    <w:p w14:paraId="4F95573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2.3“投标人”系指是指响应招标、参加投标竞争的法人、其他组织或者自然人。</w:t>
      </w:r>
    </w:p>
    <w:p w14:paraId="7CE730A2">
      <w:pPr>
        <w:snapToGrid w:val="0"/>
        <w:spacing w:line="360" w:lineRule="auto"/>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支机构参加采购活动的规定：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采购活动。上述单位参加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7BC5449D">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2.4“负责人”系指法人企业的法定负责人，或其他组织为法律、行政法规规定代表单位行使职权的主要负责人，或自然人本人。</w:t>
      </w:r>
    </w:p>
    <w:p w14:paraId="517F130A">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27B3B6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2.6“电子交易平台”</w:t>
      </w:r>
      <w:r>
        <w:rPr>
          <w:rFonts w:hint="eastAsia" w:ascii="仿宋" w:hAnsi="仿宋" w:eastAsia="仿宋" w:cs="仿宋"/>
          <w:color w:val="auto"/>
          <w:sz w:val="21"/>
          <w:szCs w:val="21"/>
          <w:highlight w:val="none"/>
          <w:lang w:val="en-US" w:eastAsia="zh-CN"/>
        </w:rPr>
        <w:t>系</w:t>
      </w:r>
      <w:r>
        <w:rPr>
          <w:rFonts w:hint="eastAsia" w:ascii="仿宋" w:hAnsi="仿宋" w:eastAsia="仿宋" w:cs="仿宋"/>
          <w:color w:val="auto"/>
          <w:sz w:val="21"/>
          <w:szCs w:val="21"/>
          <w:highlight w:val="none"/>
        </w:rPr>
        <w:t>指本项目采购活动所依托的</w:t>
      </w:r>
      <w:r>
        <w:rPr>
          <w:rFonts w:hint="eastAsia" w:ascii="仿宋" w:hAnsi="仿宋" w:eastAsia="仿宋" w:cs="仿宋"/>
          <w:color w:val="auto"/>
          <w:sz w:val="21"/>
          <w:szCs w:val="21"/>
          <w:highlight w:val="none"/>
          <w:lang w:val="en-US" w:eastAsia="zh-CN"/>
        </w:rPr>
        <w:t>政采云</w:t>
      </w:r>
      <w:r>
        <w:rPr>
          <w:rFonts w:hint="eastAsia" w:ascii="仿宋" w:hAnsi="仿宋" w:eastAsia="仿宋" w:cs="仿宋"/>
          <w:color w:val="auto"/>
          <w:sz w:val="21"/>
          <w:szCs w:val="21"/>
          <w:highlight w:val="none"/>
        </w:rPr>
        <w:t>平台（https://www.zcygov.cn/）。</w:t>
      </w:r>
    </w:p>
    <w:p w14:paraId="143B248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”系指实质性要求条款，“</w:t>
      </w:r>
      <w:sdt>
        <w:sdtPr>
          <w:rPr>
            <w:rFonts w:hint="eastAsia" w:ascii="仿宋" w:hAnsi="仿宋" w:eastAsia="仿宋" w:cs="仿宋"/>
            <w:color w:val="auto"/>
            <w:kern w:val="0"/>
            <w:sz w:val="21"/>
            <w:szCs w:val="21"/>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Wingdings" w:hAnsi="Wingdings" w:eastAsia="仿宋" w:cs="仿宋"/>
              <w:color w:val="auto"/>
              <w:kern w:val="0"/>
              <w:sz w:val="21"/>
              <w:szCs w:val="21"/>
              <w:highlight w:val="none"/>
              <w:lang w:val="en-US" w:eastAsia="zh-CN" w:bidi="ar-SA"/>
            </w:rPr>
            <w:t>þ</w:t>
          </w:r>
        </w:sdtContent>
      </w:sdt>
      <w:r>
        <w:rPr>
          <w:rFonts w:hint="eastAsia" w:ascii="仿宋" w:hAnsi="仿宋" w:eastAsia="仿宋" w:cs="仿宋"/>
          <w:color w:val="auto"/>
          <w:sz w:val="21"/>
          <w:szCs w:val="21"/>
          <w:highlight w:val="none"/>
        </w:rPr>
        <w:t>”系指适用本项目的要求，“</w:t>
      </w:r>
      <w:sdt>
        <w:sdtPr>
          <w:rPr>
            <w:rFonts w:hint="eastAsia" w:ascii="仿宋" w:hAnsi="仿宋" w:eastAsia="仿宋" w:cs="仿宋"/>
            <w:color w:val="auto"/>
            <w:kern w:val="0"/>
            <w:sz w:val="21"/>
            <w:szCs w:val="21"/>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highlight w:val="none"/>
          </w:rPr>
        </w:sdtEndPr>
        <w:sdtContent>
          <w:r>
            <w:rPr>
              <w:rFonts w:hint="eastAsia" w:ascii="仿宋" w:hAnsi="仿宋" w:eastAsia="仿宋" w:cs="仿宋"/>
              <w:color w:val="auto"/>
              <w:kern w:val="0"/>
              <w:sz w:val="21"/>
              <w:szCs w:val="21"/>
              <w:highlight w:val="none"/>
            </w:rPr>
            <w:t>☐</w:t>
          </w:r>
        </w:sdtContent>
      </w:sdt>
      <w:r>
        <w:rPr>
          <w:rFonts w:hint="eastAsia" w:ascii="仿宋" w:hAnsi="仿宋" w:eastAsia="仿宋" w:cs="仿宋"/>
          <w:color w:val="auto"/>
          <w:sz w:val="21"/>
          <w:szCs w:val="21"/>
          <w:highlight w:val="none"/>
        </w:rPr>
        <w:t>”系指不适用本项目的要求。</w:t>
      </w:r>
    </w:p>
    <w:p w14:paraId="5100AA33">
      <w:pPr>
        <w:adjustRightInd/>
        <w:spacing w:line="360" w:lineRule="auto"/>
        <w:ind w:firstLine="422" w:firstLineChars="200"/>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3.采购项目需要落实的政府采购政策</w:t>
      </w:r>
    </w:p>
    <w:p w14:paraId="2953B236">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本项目原则上采购本国生产的货物、工程和服务，不允许采购进口产品。除非采购人采购进口产品，已经在采购活动开始前获得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不会对其加以限制，仍将按照公平竞争原则实施采购）；</w:t>
      </w:r>
      <w:r>
        <w:rPr>
          <w:rFonts w:hint="eastAsia" w:ascii="仿宋" w:hAnsi="仿宋" w:eastAsia="仿宋" w:cs="仿宋"/>
          <w:color w:val="auto"/>
          <w:kern w:val="0"/>
          <w:sz w:val="21"/>
          <w:szCs w:val="21"/>
          <w:highlight w:val="none"/>
        </w:rPr>
        <w:t>优先采购向我国企业转让技术、与我国企业签订消化吸收再创新方案的供应商的进口产品</w:t>
      </w:r>
      <w:r>
        <w:rPr>
          <w:rFonts w:hint="eastAsia" w:ascii="仿宋" w:hAnsi="仿宋" w:eastAsia="仿宋" w:cs="仿宋"/>
          <w:color w:val="auto"/>
          <w:sz w:val="21"/>
          <w:szCs w:val="21"/>
          <w:highlight w:val="none"/>
        </w:rPr>
        <w:t>。</w:t>
      </w:r>
    </w:p>
    <w:p w14:paraId="139AE8C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3.2支持绿色发展</w:t>
      </w:r>
    </w:p>
    <w:p w14:paraId="2408DBA2">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采购人拟采购的产品属于政府强制采购的节能产品品目清单范围的，投标人相应的投标产品未获得国家确定的认证机构出具的、处于有效期之内的节能产品认证证书的，投标无效。</w:t>
      </w:r>
    </w:p>
    <w:p w14:paraId="6347447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3.2.2修缮、装修类项目采购建材的，采购人应将绿色建筑和绿色建材性能、指标等作为实质性条件纳入招标文件和合同。</w:t>
      </w:r>
    </w:p>
    <w:p w14:paraId="41E57A48">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3.2.3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1"/>
          <w:szCs w:val="21"/>
          <w:highlight w:val="none"/>
        </w:rPr>
        <w:t>鼓励采购单位优先采购秸秆环保板材等资源综合利用产品。鼓励采购单位优先采购绿色物流配送服务、提供新能源交通工具的租赁服务。</w:t>
      </w:r>
    </w:p>
    <w:p w14:paraId="78FA6F2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3.2.4鼓励供应商在参加采购过程中开展绿色设计、选择绿色材料、打造绿色制造工艺、开展绿色运输、做好废弃产品回收处理，实现产品全周期的绿色环保。鼓励采购单位对其提高预付款比例、免收履约保证金。</w:t>
      </w:r>
    </w:p>
    <w:p w14:paraId="5FCE2579">
      <w:pPr>
        <w:spacing w:line="360" w:lineRule="auto"/>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3.3支持中小企业发展</w:t>
      </w:r>
    </w:p>
    <w:p w14:paraId="4D96100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281521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符合中小企业划分标准的个体工商户，在</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中视同中小企业。</w:t>
      </w:r>
    </w:p>
    <w:p w14:paraId="38B3384B">
      <w:pPr>
        <w:widowControl/>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bCs/>
          <w:color w:val="auto"/>
          <w:sz w:val="21"/>
          <w:szCs w:val="21"/>
          <w:highlight w:val="none"/>
        </w:rPr>
        <w:t>3.3.2</w:t>
      </w:r>
      <w:r>
        <w:rPr>
          <w:rFonts w:hint="eastAsia" w:ascii="仿宋" w:hAnsi="仿宋" w:eastAsia="仿宋" w:cs="仿宋"/>
          <w:color w:val="auto"/>
          <w:kern w:val="0"/>
          <w:sz w:val="21"/>
          <w:szCs w:val="21"/>
          <w:highlight w:val="none"/>
        </w:rPr>
        <w:t>在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E53C4AB">
      <w:pPr>
        <w:widowControl/>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以联合体形式参加采购活动，联合体各方均为中小企业的，联合体视同中小企业。其中，联合体各方均为小微企业的，联合体视同小微企业。</w:t>
      </w:r>
    </w:p>
    <w:p w14:paraId="539AB8F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3.3.3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8AB4E8E">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3.3.4符合《关于促进残疾人就业政府采购政策的通知》（财库〔2017〕141号）规定的条件并提供《残疾人福利性单位声明函》（附件1）的残疾人福利性单位视同小型、微型企业；</w:t>
      </w:r>
    </w:p>
    <w:p w14:paraId="28E2BB9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6921B9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85E30E2">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3.3.7中小企业享受扶持政策获得采购合同的，小微企业不得将合同分包给大中型企业，中型企业不得将合同分包给大型企业。</w:t>
      </w:r>
    </w:p>
    <w:p w14:paraId="1B086315">
      <w:pPr>
        <w:spacing w:line="360" w:lineRule="auto"/>
        <w:ind w:firstLine="210" w:firstLine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r>
        <w:rPr>
          <w:rFonts w:hint="eastAsia" w:ascii="仿宋" w:hAnsi="仿宋" w:eastAsia="仿宋" w:cs="仿宋"/>
          <w:bCs/>
          <w:color w:val="auto"/>
          <w:sz w:val="21"/>
          <w:szCs w:val="21"/>
          <w:highlight w:val="none"/>
        </w:rPr>
        <w:t>支持创新发展</w:t>
      </w:r>
    </w:p>
    <w:p w14:paraId="6BE8E4BF">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3.4.1采购人优先采购被认定为首台套产品和“制造精品”的自主创新产品。</w:t>
      </w:r>
    </w:p>
    <w:p w14:paraId="452B35F4">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3.4.2首台套产品被纳入《首台套产品推广应用指导目录》之日起3年内，以及产品核心技术高于国内领先水平，并具有明晰自主知识产权的“制造精品”产品，自认定之日起2年内视同已具备相应销售业绩，参加采购活动时业绩分值为满分。</w:t>
      </w:r>
    </w:p>
    <w:p w14:paraId="0DA60BCE">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3.5平等对待内外资企业和符合条件的破产重整企业</w:t>
      </w:r>
    </w:p>
    <w:p w14:paraId="18DA8AA9">
      <w:pPr>
        <w:snapToGrid w:val="0"/>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平等对待内外资企业和符合条件的破产重整企业，切实保障企业公平竞争，平等维护企业的合法利益。</w:t>
      </w:r>
      <w:r>
        <w:rPr>
          <w:rFonts w:hint="eastAsia" w:ascii="仿宋" w:hAnsi="仿宋" w:eastAsia="仿宋" w:cs="仿宋"/>
          <w:color w:val="auto"/>
          <w:sz w:val="21"/>
          <w:szCs w:val="21"/>
          <w:highlight w:val="none"/>
        </w:rPr>
        <w:cr/>
      </w:r>
      <w:r>
        <w:rPr>
          <w:rFonts w:hint="eastAsia" w:ascii="仿宋" w:hAnsi="仿宋" w:eastAsia="仿宋" w:cs="仿宋"/>
          <w:b/>
          <w:color w:val="auto"/>
          <w:sz w:val="21"/>
          <w:szCs w:val="21"/>
          <w:highlight w:val="none"/>
        </w:rPr>
        <w:t>4.</w:t>
      </w:r>
      <w:r>
        <w:rPr>
          <w:rFonts w:hint="eastAsia" w:ascii="仿宋" w:hAnsi="仿宋" w:eastAsia="仿宋" w:cs="仿宋"/>
          <w:b/>
          <w:color w:val="auto"/>
          <w:sz w:val="21"/>
          <w:szCs w:val="21"/>
          <w:highlight w:val="none"/>
        </w:rPr>
        <w:t>询问、质疑、投诉</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所有程序均采用线下形式，与代理机构联系</w:t>
      </w:r>
      <w:r>
        <w:rPr>
          <w:rFonts w:hint="eastAsia" w:ascii="仿宋" w:hAnsi="仿宋" w:eastAsia="仿宋" w:cs="仿宋"/>
          <w:b/>
          <w:color w:val="auto"/>
          <w:sz w:val="21"/>
          <w:szCs w:val="21"/>
          <w:highlight w:val="none"/>
          <w:lang w:eastAsia="zh-CN"/>
        </w:rPr>
        <w:t>）</w:t>
      </w:r>
    </w:p>
    <w:p w14:paraId="7FB024A1">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val="zh-CN"/>
        </w:rPr>
        <w:t>供应商询问</w:t>
      </w:r>
    </w:p>
    <w:p w14:paraId="1A8BEB2B">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B31A824">
      <w:pPr>
        <w:autoSpaceDE w:val="0"/>
        <w:autoSpaceDN w:val="0"/>
        <w:spacing w:line="360" w:lineRule="auto"/>
        <w:ind w:firstLine="420" w:firstLineChars="200"/>
        <w:jc w:val="left"/>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供应商质疑</w:t>
      </w:r>
    </w:p>
    <w:p w14:paraId="4DCB7DB0">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sz w:val="21"/>
          <w:szCs w:val="21"/>
          <w:highlight w:val="none"/>
        </w:rPr>
        <w:t>.1提出质疑的供应商应当是参与所质疑项目采购活动的供应商。潜在供应商已依法获取其可质疑的</w:t>
      </w:r>
      <w:r>
        <w:rPr>
          <w:rFonts w:hint="eastAsia" w:ascii="仿宋" w:hAnsi="仿宋" w:eastAsia="仿宋" w:cs="仿宋"/>
          <w:color w:val="auto"/>
          <w:sz w:val="21"/>
          <w:szCs w:val="21"/>
          <w:highlight w:val="none"/>
          <w:lang w:eastAsia="zh-CN"/>
        </w:rPr>
        <w:t>采购文件</w:t>
      </w:r>
      <w:r>
        <w:rPr>
          <w:rFonts w:hint="eastAsia" w:ascii="仿宋" w:hAnsi="仿宋" w:eastAsia="仿宋" w:cs="仿宋"/>
          <w:color w:val="auto"/>
          <w:sz w:val="21"/>
          <w:szCs w:val="21"/>
          <w:highlight w:val="none"/>
        </w:rPr>
        <w:t>的，可以对该文件提出质疑。</w:t>
      </w:r>
    </w:p>
    <w:p w14:paraId="2E382D69">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sz w:val="21"/>
          <w:szCs w:val="21"/>
          <w:highlight w:val="none"/>
        </w:rPr>
        <w:t>.2供应商认为</w:t>
      </w:r>
      <w:r>
        <w:rPr>
          <w:rFonts w:hint="eastAsia" w:ascii="仿宋" w:hAnsi="仿宋" w:eastAsia="仿宋" w:cs="仿宋"/>
          <w:color w:val="auto"/>
          <w:sz w:val="21"/>
          <w:szCs w:val="21"/>
          <w:highlight w:val="none"/>
          <w:lang w:eastAsia="zh-CN"/>
        </w:rPr>
        <w:t>采购文件</w:t>
      </w:r>
      <w:r>
        <w:rPr>
          <w:rFonts w:hint="eastAsia" w:ascii="仿宋" w:hAnsi="仿宋" w:eastAsia="仿宋" w:cs="仿宋"/>
          <w:color w:val="auto"/>
          <w:sz w:val="21"/>
          <w:szCs w:val="21"/>
          <w:highlight w:val="none"/>
        </w:rPr>
        <w:t>、采购过程和中标结果使自己的权益受到损害的，可以在知道或者应知其权益受到损害之日起七个工作日内，以书面形式向采购人或者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提出质疑，否则，采购人或者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不予受理：</w:t>
      </w:r>
    </w:p>
    <w:p w14:paraId="31A484EF">
      <w:pPr>
        <w:pStyle w:val="5"/>
        <w:spacing w:line="360" w:lineRule="auto"/>
        <w:ind w:firstLine="420" w:firstLineChars="200"/>
        <w:rPr>
          <w:rFonts w:hint="eastAsia" w:ascii="仿宋" w:hAnsi="仿宋" w:eastAsia="仿宋" w:cs="仿宋"/>
          <w:snapToGrid/>
          <w:color w:val="auto"/>
          <w:kern w:val="2"/>
          <w:sz w:val="21"/>
          <w:szCs w:val="21"/>
          <w:highlight w:val="none"/>
        </w:rPr>
      </w:pPr>
      <w:r>
        <w:rPr>
          <w:rFonts w:hint="eastAsia" w:ascii="仿宋" w:hAnsi="仿宋" w:eastAsia="仿宋" w:cs="仿宋"/>
          <w:snapToGrid/>
          <w:color w:val="auto"/>
          <w:kern w:val="2"/>
          <w:sz w:val="21"/>
          <w:szCs w:val="21"/>
          <w:highlight w:val="none"/>
        </w:rPr>
        <w:t>4.</w:t>
      </w:r>
      <w:r>
        <w:rPr>
          <w:rFonts w:hint="eastAsia" w:ascii="仿宋" w:hAnsi="仿宋" w:eastAsia="仿宋" w:cs="仿宋"/>
          <w:snapToGrid/>
          <w:color w:val="auto"/>
          <w:kern w:val="2"/>
          <w:sz w:val="21"/>
          <w:szCs w:val="21"/>
          <w:highlight w:val="none"/>
          <w:lang w:val="en-US" w:eastAsia="zh-CN"/>
        </w:rPr>
        <w:t>2</w:t>
      </w:r>
      <w:r>
        <w:rPr>
          <w:rFonts w:hint="eastAsia" w:ascii="仿宋" w:hAnsi="仿宋" w:eastAsia="仿宋" w:cs="仿宋"/>
          <w:snapToGrid/>
          <w:color w:val="auto"/>
          <w:kern w:val="2"/>
          <w:sz w:val="21"/>
          <w:szCs w:val="21"/>
          <w:highlight w:val="none"/>
        </w:rPr>
        <w:t>.2</w:t>
      </w:r>
      <w:r>
        <w:rPr>
          <w:rFonts w:hint="eastAsia" w:ascii="仿宋" w:hAnsi="仿宋" w:eastAsia="仿宋" w:cs="仿宋"/>
          <w:snapToGrid/>
          <w:color w:val="auto"/>
          <w:kern w:val="2"/>
          <w:sz w:val="21"/>
          <w:szCs w:val="21"/>
          <w:highlight w:val="none"/>
          <w:lang w:val="en-US" w:eastAsia="zh-CN"/>
        </w:rPr>
        <w:t>.1</w:t>
      </w:r>
      <w:r>
        <w:rPr>
          <w:rFonts w:hint="eastAsia" w:ascii="仿宋" w:hAnsi="仿宋" w:eastAsia="仿宋" w:cs="仿宋"/>
          <w:snapToGrid/>
          <w:color w:val="auto"/>
          <w:kern w:val="2"/>
          <w:sz w:val="21"/>
          <w:szCs w:val="21"/>
          <w:highlight w:val="none"/>
        </w:rPr>
        <w:t>对</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提出质疑的，质疑期限为供应商获得</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之日或者</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公告期限届满之日起计算。</w:t>
      </w:r>
    </w:p>
    <w:p w14:paraId="216A08C4">
      <w:pPr>
        <w:pStyle w:val="32"/>
        <w:spacing w:line="360" w:lineRule="auto"/>
        <w:ind w:left="479" w:leftChars="2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2.2.2</w:t>
      </w:r>
      <w:r>
        <w:rPr>
          <w:rFonts w:hint="eastAsia" w:ascii="仿宋" w:hAnsi="仿宋" w:eastAsia="仿宋" w:cs="仿宋"/>
          <w:color w:val="auto"/>
          <w:sz w:val="21"/>
          <w:szCs w:val="21"/>
          <w:highlight w:val="none"/>
        </w:rPr>
        <w:t>对采购过程提出质疑的，质疑期限为各采购程序环节结束之日起计算。</w:t>
      </w:r>
    </w:p>
    <w:p w14:paraId="37E035C6">
      <w:pPr>
        <w:pStyle w:val="32"/>
        <w:spacing w:line="360" w:lineRule="auto"/>
        <w:ind w:left="479" w:leftChars="2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.2.3对采购结果提出质疑的，质疑期限自采购结果公告期限届满之日起计算。</w:t>
      </w:r>
    </w:p>
    <w:p w14:paraId="5EC5322D">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w:t>
      </w:r>
      <w:r>
        <w:rPr>
          <w:rFonts w:hint="eastAsia" w:ascii="仿宋" w:hAnsi="仿宋" w:eastAsia="仿宋" w:cs="仿宋"/>
          <w:color w:val="auto"/>
          <w:sz w:val="21"/>
          <w:szCs w:val="21"/>
          <w:highlight w:val="none"/>
        </w:rPr>
        <w:t>供应商提出质疑应当提交质疑函和必要的证明材料。质疑函应当包括下列内容：</w:t>
      </w:r>
    </w:p>
    <w:p w14:paraId="6363A246">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.3.1供应商的姓名或者名称、地址、邮编、联系人及联系电话；</w:t>
      </w:r>
    </w:p>
    <w:p w14:paraId="48A5E0BA">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.3.2质疑项目的名称、编号；</w:t>
      </w:r>
    </w:p>
    <w:p w14:paraId="28509C7D">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.3.3具体、明确的质疑事项和与质疑事项相关的请求；</w:t>
      </w:r>
    </w:p>
    <w:p w14:paraId="7ADAE102">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.3.4事实依据；</w:t>
      </w:r>
    </w:p>
    <w:p w14:paraId="76CB4C91">
      <w:pPr>
        <w:pStyle w:val="32"/>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　　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.3.5必要的法律依据；</w:t>
      </w:r>
    </w:p>
    <w:p w14:paraId="3E05AEB9">
      <w:pPr>
        <w:pStyle w:val="32"/>
        <w:spacing w:line="360" w:lineRule="auto"/>
        <w:ind w:firstLine="840" w:firstLineChars="4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4.</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val="zh-CN"/>
        </w:rPr>
        <w:t>.3.6提出质疑的日期。</w:t>
      </w:r>
    </w:p>
    <w:p w14:paraId="26B20ACA">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740F4BC8">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质疑函范本及制作说明详见附件2。</w:t>
      </w:r>
    </w:p>
    <w:p w14:paraId="0A298D0A">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.4对同一采购程序环节的质疑，供应商须在法定质疑期内一次性提出。</w:t>
      </w:r>
    </w:p>
    <w:p w14:paraId="669F7558">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.5采购人或者</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应当在收到供应商的书面质疑后七个工作日内作出答复，并以书面形式通知质疑供应商和其他与质疑处理结果有利害关系的采购当事人，但答复的内容不得涉及商业秘密。</w:t>
      </w:r>
    </w:p>
    <w:p w14:paraId="62A99630">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.6询问或者质疑事项可能影响采购结果的，采购人应当暂停签订合同，已经签订合同的，应当中止履行合同。</w:t>
      </w:r>
    </w:p>
    <w:p w14:paraId="67CC0965">
      <w:pPr>
        <w:pStyle w:val="889"/>
        <w:shd w:val="clear" w:color="auto"/>
        <w:snapToGrid w:val="0"/>
        <w:spacing w:after="240" w:afterAutospacing="0" w:line="360" w:lineRule="auto"/>
        <w:ind w:firstLine="420" w:firstLineChars="200"/>
        <w:contextualSpacing/>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zh-CN"/>
        </w:rPr>
        <w:t>供应商投诉</w:t>
      </w:r>
    </w:p>
    <w:p w14:paraId="3927489A">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.1质疑供应商对采购人、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的答复不满意或者采购人、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未在规定的时间内作出答复的，可以在答复期满后十五个工作日内向采购监督管理部门提出投诉。</w:t>
      </w:r>
    </w:p>
    <w:p w14:paraId="43800CD6">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2</w:t>
      </w:r>
      <w:r>
        <w:rPr>
          <w:rFonts w:hint="eastAsia" w:ascii="仿宋" w:hAnsi="仿宋" w:eastAsia="仿宋" w:cs="仿宋"/>
          <w:color w:val="auto"/>
          <w:sz w:val="21"/>
          <w:szCs w:val="21"/>
          <w:highlight w:val="none"/>
        </w:rPr>
        <w:t>供应商投诉的事项不得超出已质疑事项的范围，基于质疑答复内容提出的投诉事项除外。</w:t>
      </w:r>
    </w:p>
    <w:p w14:paraId="0BEB4ED7">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.3供应商投诉应当有明确的请求和必要的证明材料。</w:t>
      </w:r>
    </w:p>
    <w:p w14:paraId="492F67A5">
      <w:pPr>
        <w:pStyle w:val="889"/>
        <w:shd w:val="clear" w:color="auto"/>
        <w:snapToGrid w:val="0"/>
        <w:spacing w:after="240" w:afterAutospacing="0" w:line="360" w:lineRule="auto"/>
        <w:ind w:firstLine="4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.4以联合体形式参加</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的，其投诉应当由组成联合体的所有供应商共同提出。</w:t>
      </w:r>
    </w:p>
    <w:p w14:paraId="2B5954FF">
      <w:pPr>
        <w:pStyle w:val="889"/>
        <w:keepNext w:val="0"/>
        <w:keepLines w:val="0"/>
        <w:pageBreakBefore w:val="0"/>
        <w:shd w:val="clear" w:color="auto"/>
        <w:kinsoku/>
        <w:wordWrap/>
        <w:overflowPunct/>
        <w:topLinePunct w:val="0"/>
        <w:autoSpaceDE/>
        <w:autoSpaceDN/>
        <w:bidi w:val="0"/>
        <w:snapToGrid w:val="0"/>
        <w:spacing w:before="0" w:beforeAutospacing="0" w:after="0" w:afterAutospacing="0" w:line="360" w:lineRule="auto"/>
        <w:ind w:firstLine="400"/>
        <w:contextualSpacing/>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投诉书范本及制作说明详见附件3。</w:t>
      </w:r>
    </w:p>
    <w:p w14:paraId="7461F8C4">
      <w:pPr>
        <w:keepNext w:val="0"/>
        <w:keepLines w:val="0"/>
        <w:pageBreakBefore w:val="0"/>
        <w:kinsoku/>
        <w:wordWrap/>
        <w:overflowPunct/>
        <w:topLinePunct w:val="0"/>
        <w:autoSpaceDE/>
        <w:autoSpaceDN/>
        <w:bidi w:val="0"/>
        <w:adjustRightInd/>
        <w:spacing w:beforeAutospacing="0" w:line="360" w:lineRule="auto"/>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二、招标文件的构成、澄清、修改</w:t>
      </w:r>
    </w:p>
    <w:p w14:paraId="43DFEDB3">
      <w:pPr>
        <w:pStyle w:val="32"/>
        <w:keepNext w:val="0"/>
        <w:keepLines w:val="0"/>
        <w:pageBreakBefore w:val="0"/>
        <w:kinsoku/>
        <w:wordWrap/>
        <w:overflowPunct/>
        <w:topLinePunct w:val="0"/>
        <w:autoSpaceDE/>
        <w:autoSpaceDN/>
        <w:bidi w:val="0"/>
        <w:spacing w:beforeAutospacing="0" w:line="360" w:lineRule="auto"/>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招标文件的构成</w:t>
      </w:r>
    </w:p>
    <w:p w14:paraId="3E0D5924">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5.1招标文件包括下列文件及附件：</w:t>
      </w:r>
    </w:p>
    <w:p w14:paraId="5C533625">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5.1.1招标公告；</w:t>
      </w:r>
    </w:p>
    <w:p w14:paraId="584DAAD3">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5.1.2投标人须知；</w:t>
      </w:r>
    </w:p>
    <w:p w14:paraId="2083899A">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5.1.3采购需求；</w:t>
      </w:r>
    </w:p>
    <w:p w14:paraId="50447CBC">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5.1.4评标办法；</w:t>
      </w:r>
    </w:p>
    <w:p w14:paraId="7084ABB6">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5.1.5拟签订的合同文本；</w:t>
      </w:r>
    </w:p>
    <w:p w14:paraId="67640D2B">
      <w:pPr>
        <w:pStyle w:val="32"/>
        <w:tabs>
          <w:tab w:val="left" w:pos="840"/>
        </w:tabs>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5.1.6应提交的有关格式范例。</w:t>
      </w:r>
    </w:p>
    <w:p w14:paraId="47010F48">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5.2与本项目有关的</w:t>
      </w:r>
      <w:r>
        <w:rPr>
          <w:rFonts w:hint="eastAsia" w:ascii="仿宋" w:hAnsi="仿宋" w:eastAsia="仿宋" w:cs="仿宋"/>
          <w:bCs/>
          <w:color w:val="auto"/>
          <w:sz w:val="21"/>
          <w:szCs w:val="21"/>
          <w:highlight w:val="none"/>
        </w:rPr>
        <w:t>澄清或者修改的内容为招标文件的组成部分</w:t>
      </w:r>
      <w:r>
        <w:rPr>
          <w:rFonts w:hint="eastAsia" w:ascii="仿宋" w:hAnsi="仿宋" w:eastAsia="仿宋" w:cs="仿宋"/>
          <w:color w:val="auto"/>
          <w:sz w:val="21"/>
          <w:szCs w:val="21"/>
          <w:highlight w:val="none"/>
        </w:rPr>
        <w:t>。</w:t>
      </w:r>
    </w:p>
    <w:p w14:paraId="78278E3F">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6.招标文件的澄清、修改</w:t>
      </w:r>
    </w:p>
    <w:p w14:paraId="35D22B09">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6.1已获取招标文件的潜在投标人，若有问题需要澄清，应于投标截止时间前，以书面形式向</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提出。</w:t>
      </w:r>
    </w:p>
    <w:p w14:paraId="42A48171">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D97843A">
      <w:pPr>
        <w:adjustRightInd/>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w:t>
      </w:r>
    </w:p>
    <w:p w14:paraId="3291D5F7">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7.招标文件的获取</w:t>
      </w:r>
    </w:p>
    <w:p w14:paraId="0CF27FFD">
      <w:pPr>
        <w:spacing w:line="360" w:lineRule="auto"/>
        <w:ind w:firstLine="420" w:firstLineChars="200"/>
        <w:rPr>
          <w:rFonts w:hint="eastAsia" w:ascii="仿宋" w:hAnsi="仿宋" w:eastAsia="仿宋" w:cs="仿宋"/>
          <w:snapToGrid w:val="0"/>
          <w:color w:val="auto"/>
          <w:kern w:val="28"/>
          <w:sz w:val="21"/>
          <w:szCs w:val="21"/>
          <w:highlight w:val="none"/>
        </w:rPr>
      </w:pPr>
      <w:r>
        <w:rPr>
          <w:rFonts w:hint="eastAsia" w:ascii="仿宋" w:hAnsi="仿宋" w:eastAsia="仿宋" w:cs="仿宋"/>
          <w:snapToGrid w:val="0"/>
          <w:color w:val="auto"/>
          <w:kern w:val="28"/>
          <w:sz w:val="21"/>
          <w:szCs w:val="21"/>
          <w:highlight w:val="none"/>
        </w:rPr>
        <w:t>详见招标公告中获取招标文件的时间期限、地点、方式及招标文件售价。</w:t>
      </w:r>
    </w:p>
    <w:p w14:paraId="0AA53436">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8.开标前答疑会或现场考察</w:t>
      </w:r>
    </w:p>
    <w:p w14:paraId="26F82E34">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采购人组织潜在投标人现场考察或者召开开标前答疑会的，潜在投标人按第二部分投标人须知前附表的规定参加现场考察或者开标前答疑会。</w:t>
      </w:r>
    </w:p>
    <w:p w14:paraId="16BC6636">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kern w:val="28"/>
          <w:sz w:val="21"/>
          <w:szCs w:val="21"/>
          <w:highlight w:val="none"/>
        </w:rPr>
        <w:t>9.投标保证金</w:t>
      </w:r>
    </w:p>
    <w:p w14:paraId="01063630">
      <w:pPr>
        <w:pStyle w:val="5"/>
        <w:spacing w:line="360" w:lineRule="auto"/>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本项目不需缴纳投标保证金。</w:t>
      </w:r>
    </w:p>
    <w:p w14:paraId="2BF71E6A">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10.投标文件的语言</w:t>
      </w:r>
    </w:p>
    <w:p w14:paraId="40E7066E">
      <w:pPr>
        <w:autoSpaceDE w:val="0"/>
        <w:autoSpaceDN w:val="0"/>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投标文件及投标人与采购有关的来往通知、函件和文件均应使用中文。</w:t>
      </w:r>
    </w:p>
    <w:p w14:paraId="7D505F14">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11.投标文件的组成</w:t>
      </w:r>
    </w:p>
    <w:p w14:paraId="73D24FB7">
      <w:pPr>
        <w:snapToGrid w:val="0"/>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11.1资格文件：</w:t>
      </w:r>
    </w:p>
    <w:p w14:paraId="493BC75A">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11.1.1符合参加</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应当具备的一般条件的承诺函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如以联合体形式参加政府活动的，联合体各方均应提交该承诺函或共同加盖公章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44137C0D">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11.1.2联合协议（</w:t>
      </w:r>
      <w:r>
        <w:rPr>
          <w:rFonts w:hint="eastAsia" w:ascii="仿宋" w:hAnsi="仿宋" w:eastAsia="仿宋" w:cs="仿宋"/>
          <w:color w:val="auto"/>
          <w:sz w:val="21"/>
          <w:szCs w:val="21"/>
          <w:highlight w:val="none"/>
        </w:rPr>
        <w:t>如有</w:t>
      </w:r>
      <w:r>
        <w:rPr>
          <w:rFonts w:hint="eastAsia" w:ascii="仿宋" w:hAnsi="仿宋" w:eastAsia="仿宋" w:cs="仿宋"/>
          <w:color w:val="auto"/>
          <w:sz w:val="21"/>
          <w:szCs w:val="21"/>
          <w:highlight w:val="none"/>
        </w:rPr>
        <w:t>)；</w:t>
      </w:r>
    </w:p>
    <w:p w14:paraId="654710AA">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11.1.3落实政府采购政策需满足的资格要求（</w:t>
      </w:r>
      <w:r>
        <w:rPr>
          <w:rFonts w:hint="eastAsia" w:ascii="仿宋" w:hAnsi="仿宋" w:eastAsia="仿宋" w:cs="仿宋"/>
          <w:color w:val="auto"/>
          <w:sz w:val="21"/>
          <w:szCs w:val="21"/>
          <w:highlight w:val="none"/>
          <w:lang w:val="en-US" w:eastAsia="zh-CN"/>
        </w:rPr>
        <w:t>中小企业声明函</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eastAsia="zh-CN"/>
        </w:rPr>
        <w:t>以联合体形式参加采购活动的，联合体各方均应提交</w:t>
      </w:r>
      <w:r>
        <w:rPr>
          <w:rFonts w:hint="eastAsia" w:ascii="仿宋" w:hAnsi="仿宋" w:eastAsia="仿宋" w:cs="仿宋"/>
          <w:color w:val="auto"/>
          <w:sz w:val="21"/>
          <w:szCs w:val="21"/>
          <w:highlight w:val="none"/>
        </w:rPr>
        <w:t>)；</w:t>
      </w:r>
    </w:p>
    <w:p w14:paraId="2A37E8E6">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11.1.4本项目的特定资格要求（</w:t>
      </w:r>
      <w:r>
        <w:rPr>
          <w:rFonts w:hint="eastAsia" w:ascii="仿宋" w:hAnsi="仿宋" w:eastAsia="仿宋" w:cs="仿宋"/>
          <w:color w:val="auto"/>
          <w:sz w:val="21"/>
          <w:szCs w:val="21"/>
          <w:highlight w:val="none"/>
          <w:lang w:val="en-US" w:eastAsia="zh-CN"/>
        </w:rPr>
        <w:t>按照资格要求提供</w:t>
      </w:r>
      <w:r>
        <w:rPr>
          <w:rFonts w:hint="eastAsia" w:ascii="仿宋" w:hAnsi="仿宋" w:eastAsia="仿宋" w:cs="仿宋"/>
          <w:color w:val="auto"/>
          <w:sz w:val="21"/>
          <w:szCs w:val="21"/>
          <w:highlight w:val="none"/>
        </w:rPr>
        <w:t>)。</w:t>
      </w:r>
    </w:p>
    <w:p w14:paraId="16F6E263">
      <w:pPr>
        <w:snapToGrid w:val="0"/>
        <w:spacing w:line="360" w:lineRule="auto"/>
        <w:ind w:firstLine="422" w:firstLineChars="200"/>
        <w:rPr>
          <w:rFonts w:hint="eastAsia"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11.</w:t>
      </w:r>
      <w:r>
        <w:rPr>
          <w:rFonts w:hint="eastAsia" w:ascii="仿宋" w:hAnsi="仿宋" w:eastAsia="仿宋" w:cs="仿宋"/>
          <w:b/>
          <w:bCs/>
          <w:color w:val="auto"/>
          <w:sz w:val="21"/>
          <w:szCs w:val="21"/>
          <w:highlight w:val="none"/>
        </w:rPr>
        <w:t>2商务技术</w:t>
      </w:r>
      <w:r>
        <w:rPr>
          <w:rFonts w:hint="eastAsia" w:ascii="仿宋" w:hAnsi="仿宋" w:eastAsia="仿宋" w:cs="仿宋"/>
          <w:b/>
          <w:bCs/>
          <w:color w:val="auto"/>
          <w:sz w:val="21"/>
          <w:szCs w:val="21"/>
          <w:highlight w:val="none"/>
          <w:lang w:val="zh-CN"/>
        </w:rPr>
        <w:t>文件：</w:t>
      </w:r>
    </w:p>
    <w:p w14:paraId="1D9A7FCF">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11.2.1投标函；</w:t>
      </w:r>
    </w:p>
    <w:p w14:paraId="05DE7910">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11.2.2授权委托书或法定代表人（单位负责人、自然人本人）身份证明；</w:t>
      </w:r>
    </w:p>
    <w:p w14:paraId="0CB5CBD4">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11.2.3分包意向协议</w:t>
      </w:r>
      <w:r>
        <w:rPr>
          <w:rFonts w:hint="eastAsia" w:ascii="仿宋" w:hAnsi="仿宋" w:eastAsia="仿宋" w:cs="仿宋"/>
          <w:snapToGrid w:val="0"/>
          <w:color w:val="auto"/>
          <w:kern w:val="28"/>
          <w:sz w:val="21"/>
          <w:szCs w:val="21"/>
          <w:highlight w:val="none"/>
        </w:rPr>
        <w:t>（如有)</w:t>
      </w:r>
      <w:r>
        <w:rPr>
          <w:rFonts w:hint="eastAsia" w:ascii="仿宋" w:hAnsi="仿宋" w:eastAsia="仿宋" w:cs="仿宋"/>
          <w:color w:val="auto"/>
          <w:sz w:val="21"/>
          <w:szCs w:val="21"/>
          <w:highlight w:val="none"/>
        </w:rPr>
        <w:t>；</w:t>
      </w:r>
    </w:p>
    <w:p w14:paraId="2817B998">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11.2.4符合性审查资料；</w:t>
      </w:r>
    </w:p>
    <w:p w14:paraId="09C9CCFB">
      <w:pPr>
        <w:snapToGrid w:val="0"/>
        <w:spacing w:line="360" w:lineRule="auto"/>
        <w:ind w:left="420" w:leftChars="20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11.2.5评标标准相应的商务技术资料；</w:t>
      </w:r>
    </w:p>
    <w:p w14:paraId="348DA156">
      <w:pPr>
        <w:snapToGrid w:val="0"/>
        <w:spacing w:line="360" w:lineRule="auto"/>
        <w:ind w:left="420" w:leftChars="20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11.2.6投标标的清单；</w:t>
      </w:r>
    </w:p>
    <w:p w14:paraId="23ACDF59">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11.2.7商务技术偏离表；</w:t>
      </w:r>
    </w:p>
    <w:p w14:paraId="1D91D517">
      <w:pPr>
        <w:snapToGrid w:val="0"/>
        <w:spacing w:line="360" w:lineRule="auto"/>
        <w:ind w:firstLine="840" w:firstLineChars="4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11.</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zh-CN"/>
        </w:rPr>
        <w:t>政府采购供应商廉洁自律承诺书；</w:t>
      </w:r>
    </w:p>
    <w:p w14:paraId="63E48056">
      <w:pPr>
        <w:snapToGrid w:val="0"/>
        <w:spacing w:line="360" w:lineRule="auto"/>
        <w:ind w:firstLine="422" w:firstLineChars="200"/>
        <w:rPr>
          <w:rFonts w:hint="eastAsia" w:ascii="仿宋" w:hAnsi="仿宋" w:eastAsia="仿宋" w:cs="仿宋"/>
          <w:b/>
          <w:bCs/>
          <w:color w:val="auto"/>
          <w:sz w:val="21"/>
          <w:szCs w:val="21"/>
          <w:highlight w:val="none"/>
          <w:u w:val="single"/>
          <w:lang w:val="zh-CN" w:eastAsia="zh-CN"/>
        </w:rPr>
      </w:pPr>
      <w:r>
        <w:rPr>
          <w:rFonts w:hint="eastAsia" w:ascii="仿宋" w:hAnsi="仿宋" w:eastAsia="仿宋" w:cs="仿宋"/>
          <w:b/>
          <w:bCs/>
          <w:color w:val="auto"/>
          <w:kern w:val="0"/>
          <w:sz w:val="21"/>
          <w:szCs w:val="21"/>
          <w:highlight w:val="none"/>
          <w:lang w:val="zh-CN"/>
        </w:rPr>
        <w:t>11.</w:t>
      </w:r>
      <w:r>
        <w:rPr>
          <w:rFonts w:hint="eastAsia" w:ascii="仿宋" w:hAnsi="仿宋" w:eastAsia="仿宋" w:cs="仿宋"/>
          <w:b/>
          <w:bCs/>
          <w:color w:val="auto"/>
          <w:kern w:val="0"/>
          <w:sz w:val="21"/>
          <w:szCs w:val="21"/>
          <w:highlight w:val="none"/>
        </w:rPr>
        <w:t>3</w:t>
      </w:r>
      <w:r>
        <w:rPr>
          <w:rFonts w:hint="eastAsia" w:ascii="仿宋" w:hAnsi="仿宋" w:eastAsia="仿宋" w:cs="仿宋"/>
          <w:b/>
          <w:bCs/>
          <w:color w:val="auto"/>
          <w:sz w:val="21"/>
          <w:szCs w:val="21"/>
          <w:highlight w:val="none"/>
        </w:rPr>
        <w:t>报价文件：</w:t>
      </w:r>
    </w:p>
    <w:p w14:paraId="5F75A00B">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11.3.1开标一览表（报价表）；</w:t>
      </w:r>
    </w:p>
    <w:p w14:paraId="286350A2">
      <w:pPr>
        <w:snapToGrid w:val="0"/>
        <w:spacing w:line="360" w:lineRule="auto"/>
        <w:ind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11.3.2中小企业声明函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资格文件提供的，可不重复提供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50BA12AF">
      <w:pPr>
        <w:spacing w:line="360" w:lineRule="auto"/>
        <w:ind w:firstLine="632" w:firstLineChars="3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投标文件含有采购人不能接受的附加条件的，投标无效；</w:t>
      </w:r>
    </w:p>
    <w:p w14:paraId="488E9950">
      <w:pPr>
        <w:spacing w:line="360" w:lineRule="auto"/>
        <w:ind w:firstLine="632" w:firstLineChars="3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投标人提供虚假材料投标的，投标无效。</w:t>
      </w:r>
    </w:p>
    <w:p w14:paraId="21062D41">
      <w:pPr>
        <w:pStyle w:val="132"/>
        <w:snapToGrid w:val="0"/>
        <w:spacing w:before="0" w:line="360" w:lineRule="auto"/>
        <w:ind w:firstLine="0" w:firstLineChars="0"/>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12</w:t>
      </w:r>
      <w:r>
        <w:rPr>
          <w:rFonts w:hint="eastAsia" w:ascii="仿宋" w:hAnsi="仿宋" w:eastAsia="仿宋" w:cs="仿宋"/>
          <w:b/>
          <w:color w:val="auto"/>
          <w:kern w:val="0"/>
          <w:sz w:val="21"/>
          <w:szCs w:val="21"/>
          <w:highlight w:val="none"/>
          <w:lang w:val="zh-CN"/>
        </w:rPr>
        <w:t>.</w:t>
      </w:r>
      <w:r>
        <w:rPr>
          <w:rFonts w:hint="eastAsia" w:ascii="仿宋" w:hAnsi="仿宋" w:eastAsia="仿宋" w:cs="仿宋"/>
          <w:b/>
          <w:color w:val="auto"/>
          <w:sz w:val="21"/>
          <w:szCs w:val="21"/>
          <w:highlight w:val="none"/>
        </w:rPr>
        <w:t>投标文件的编制</w:t>
      </w:r>
    </w:p>
    <w:p w14:paraId="495FCA5F">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lang w:val="zh-CN"/>
        </w:rPr>
        <w:t>12.1投标文件分为</w:t>
      </w:r>
      <w:r>
        <w:rPr>
          <w:rFonts w:hint="eastAsia" w:ascii="仿宋" w:hAnsi="仿宋" w:eastAsia="仿宋" w:cs="仿宋"/>
          <w:b/>
          <w:bCs/>
          <w:color w:val="auto"/>
          <w:kern w:val="0"/>
          <w:sz w:val="21"/>
          <w:szCs w:val="21"/>
          <w:highlight w:val="none"/>
          <w:lang w:val="zh-CN"/>
        </w:rPr>
        <w:t>资格文件、商务技术文件、报价文件</w:t>
      </w:r>
      <w:r>
        <w:rPr>
          <w:rFonts w:hint="eastAsia" w:ascii="仿宋" w:hAnsi="仿宋" w:eastAsia="仿宋" w:cs="仿宋"/>
          <w:color w:val="auto"/>
          <w:kern w:val="0"/>
          <w:sz w:val="21"/>
          <w:szCs w:val="21"/>
          <w:highlight w:val="none"/>
          <w:lang w:val="zh-CN"/>
        </w:rPr>
        <w:t>三部分。各投标人在编制投标文件时请按照招标文件第六部分规定的格式进行，混乱的编排导致投标文件被误读或评标委员会查找不到有效文件是投标人的风险。</w:t>
      </w:r>
    </w:p>
    <w:p w14:paraId="45098D8B">
      <w:pPr>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63E014E">
      <w:pPr>
        <w:spacing w:line="360" w:lineRule="auto"/>
        <w:ind w:firstLine="420" w:firstLineChars="200"/>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12.3使用“政采云电子交易客户端”需要提前申领CA数字证书，申领流程请自行前往“浙江政府采购网-下载专区-电子交易客户端-CA驱动和申领流程”进行查阅。</w:t>
      </w:r>
    </w:p>
    <w:p w14:paraId="4ED6AB9C">
      <w:pPr>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13.投标文件的签署、盖章</w:t>
      </w:r>
    </w:p>
    <w:p w14:paraId="6AD7DD8D">
      <w:pPr>
        <w:pStyle w:val="132"/>
        <w:snapToGrid w:val="0"/>
        <w:spacing w:before="0" w:line="360" w:lineRule="auto"/>
        <w:ind w:firstLine="48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13.1投标文件按照招标文件第六部分格式要求进行签署、盖章。</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投标人的投标文件未按照招标文件要求签署、盖章的，其投标无效</w:t>
      </w:r>
      <w:r>
        <w:rPr>
          <w:rFonts w:hint="eastAsia" w:ascii="仿宋" w:hAnsi="仿宋" w:eastAsia="仿宋" w:cs="仿宋"/>
          <w:color w:val="auto"/>
          <w:sz w:val="21"/>
          <w:szCs w:val="21"/>
          <w:highlight w:val="none"/>
        </w:rPr>
        <w:t>。</w:t>
      </w:r>
    </w:p>
    <w:p w14:paraId="494D00CC">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13.2为确保网上操作合法、有效和安全，投标人应当在投标截止时间前完成在“政府采购云平台”的身份认证，确保在电子投标过程中能够对相关数据电文进行加密和使用电子签名。</w:t>
      </w:r>
    </w:p>
    <w:p w14:paraId="5530CDA7">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13.3招标文件对投标文件签署、盖章的要求适用于电子签名。</w:t>
      </w:r>
    </w:p>
    <w:p w14:paraId="6C783CB8">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14.投标文件的提交、补充、修改、撤回</w:t>
      </w:r>
    </w:p>
    <w:p w14:paraId="7D3F8197">
      <w:pPr>
        <w:pStyle w:val="132"/>
        <w:spacing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D6E00A4">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14:paraId="24FB56FB">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14.3采购人、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可以视情况延长投标文件提交的截止时间。在上述情况下，</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与投标人以前在投标截止期方面的全部权利、责任和义务，将适用于延长至新的投标截止期。</w:t>
      </w:r>
    </w:p>
    <w:p w14:paraId="203256E7">
      <w:pPr>
        <w:pStyle w:val="32"/>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15.备份投标文件</w:t>
      </w:r>
    </w:p>
    <w:p w14:paraId="67E135CB">
      <w:pPr>
        <w:pStyle w:val="32"/>
        <w:spacing w:line="360" w:lineRule="auto"/>
        <w:ind w:firstLine="315" w:firstLineChars="15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15.1投标人在电子交易平台传输递交投标文件后，还可以在投标截止时间前直接提交或者以邮政快递方式递交备份投标文件1份，</w:t>
      </w:r>
      <w:r>
        <w:rPr>
          <w:rFonts w:hint="eastAsia" w:ascii="仿宋" w:hAnsi="仿宋" w:eastAsia="仿宋" w:cs="仿宋"/>
          <w:b/>
          <w:color w:val="auto"/>
          <w:sz w:val="21"/>
          <w:szCs w:val="21"/>
          <w:highlight w:val="none"/>
        </w:rPr>
        <w:t>但采购人、</w:t>
      </w:r>
      <w:r>
        <w:rPr>
          <w:rFonts w:hint="eastAsia" w:ascii="仿宋" w:hAnsi="仿宋" w:eastAsia="仿宋" w:cs="仿宋"/>
          <w:b/>
          <w:color w:val="auto"/>
          <w:sz w:val="21"/>
          <w:szCs w:val="21"/>
          <w:highlight w:val="none"/>
          <w:lang w:eastAsia="zh-CN"/>
        </w:rPr>
        <w:t>采购代理机构</w:t>
      </w:r>
      <w:r>
        <w:rPr>
          <w:rFonts w:hint="eastAsia" w:ascii="仿宋" w:hAnsi="仿宋" w:eastAsia="仿宋" w:cs="仿宋"/>
          <w:b/>
          <w:color w:val="auto"/>
          <w:sz w:val="21"/>
          <w:szCs w:val="21"/>
          <w:highlight w:val="none"/>
        </w:rPr>
        <w:t>不强制或变相强制投标人提交备份投标文件。</w:t>
      </w:r>
    </w:p>
    <w:p w14:paraId="7835FAEF">
      <w:pPr>
        <w:pStyle w:val="32"/>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15.2备份投标文件须在“政采云投标客户端”制作生成，并储存在DVD光盘</w:t>
      </w:r>
      <w:r>
        <w:rPr>
          <w:rFonts w:hint="eastAsia" w:ascii="仿宋" w:hAnsi="仿宋" w:eastAsia="仿宋" w:cs="仿宋"/>
          <w:color w:val="auto"/>
          <w:sz w:val="21"/>
          <w:szCs w:val="21"/>
          <w:highlight w:val="none"/>
          <w:lang w:val="en-US" w:eastAsia="zh-CN"/>
        </w:rPr>
        <w:t>等存储介质</w:t>
      </w:r>
      <w:r>
        <w:rPr>
          <w:rFonts w:hint="eastAsia" w:ascii="仿宋" w:hAnsi="仿宋" w:eastAsia="仿宋" w:cs="仿宋"/>
          <w:color w:val="auto"/>
          <w:sz w:val="21"/>
          <w:szCs w:val="21"/>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1"/>
          <w:szCs w:val="21"/>
          <w:highlight w:val="none"/>
        </w:rPr>
        <w:t>不符合上述制作、存储、密封规定的备份投标文件将被视为无效或者被拒绝接收。</w:t>
      </w:r>
    </w:p>
    <w:p w14:paraId="791CA007">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将拒绝接受逾期送达的备份投标文件。</w:t>
      </w:r>
    </w:p>
    <w:p w14:paraId="195A63BB">
      <w:pPr>
        <w:pStyle w:val="32"/>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1"/>
          <w:szCs w:val="21"/>
          <w:highlight w:val="none"/>
        </w:rPr>
        <w:t>招标文件第二部分投标人须知前附表规定的备份投标文件送达地点；</w:t>
      </w:r>
      <w:r>
        <w:rPr>
          <w:rFonts w:hint="eastAsia" w:ascii="仿宋" w:hAnsi="仿宋" w:eastAsia="仿宋" w:cs="仿宋"/>
          <w:color w:val="auto"/>
          <w:sz w:val="21"/>
          <w:szCs w:val="21"/>
          <w:highlight w:val="none"/>
        </w:rPr>
        <w:t>送达时间以签收人签收时间为准。</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将拒绝接受逾期送达的备份投标文件。邮寄过程中，电子备份投标文件发生泄露、遗失、损坏或延期送达等情况的，由投标人自行负责。</w:t>
      </w:r>
    </w:p>
    <w:p w14:paraId="0727CC7C">
      <w:pPr>
        <w:pStyle w:val="32"/>
        <w:spacing w:line="360" w:lineRule="auto"/>
        <w:ind w:firstLine="420" w:firstLine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15.5投标人仅提交备份投标文件，未在电子交易平台传输递交投标文件的，投标无效。</w:t>
      </w:r>
    </w:p>
    <w:p w14:paraId="7B122907">
      <w:pPr>
        <w:pStyle w:val="132"/>
        <w:spacing w:before="0" w:line="360" w:lineRule="auto"/>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16.投标文件的无效处理</w:t>
      </w:r>
    </w:p>
    <w:p w14:paraId="07291573">
      <w:pPr>
        <w:pStyle w:val="6"/>
        <w:spacing w:line="360" w:lineRule="auto"/>
        <w:ind w:firstLine="315" w:firstLine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有招标文件第四部分4.2规定的情形之一的，投标无效：</w:t>
      </w:r>
    </w:p>
    <w:p w14:paraId="300A5956">
      <w:pPr>
        <w:pStyle w:val="132"/>
        <w:spacing w:before="0" w:line="360" w:lineRule="auto"/>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17.投标有效期</w:t>
      </w:r>
    </w:p>
    <w:p w14:paraId="493D4C53">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17.1投标有效期为从提交投标文件的截止之日起90天。</w:t>
      </w:r>
      <w:r>
        <w:rPr>
          <w:rFonts w:hint="eastAsia" w:ascii="仿宋" w:hAnsi="仿宋" w:eastAsia="仿宋" w:cs="仿宋"/>
          <w:color w:val="auto"/>
          <w:sz w:val="21"/>
          <w:szCs w:val="21"/>
          <w:highlight w:val="none"/>
          <w:lang w:eastAsia="zh-CN"/>
        </w:rPr>
        <w:t>★</w:t>
      </w:r>
      <w:r>
        <w:rPr>
          <w:rFonts w:hint="eastAsia" w:ascii="仿宋" w:hAnsi="仿宋" w:eastAsia="仿宋" w:cs="仿宋"/>
          <w:b/>
          <w:color w:val="auto"/>
          <w:sz w:val="21"/>
          <w:szCs w:val="21"/>
          <w:highlight w:val="none"/>
        </w:rPr>
        <w:t>投标人的投标文件中承诺的投标有效期少于招标文件中载明的投标有效期的，投标无效。</w:t>
      </w:r>
    </w:p>
    <w:p w14:paraId="0F8ECC36">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17.2投标文件合格投递后，自投标截止日期起，在投标有效期内有效。</w:t>
      </w:r>
    </w:p>
    <w:p w14:paraId="689FBACD">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17.3在原定投标有效期满之前，如果出现特殊情况，</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可以以书面形式通知投标人延长投标有效期。投标人同意延长的，不得要求或被允许修改其投标文件，投标人拒绝延长的，其投标无效。</w:t>
      </w:r>
    </w:p>
    <w:p w14:paraId="3B08ED45">
      <w:pPr>
        <w:pStyle w:val="132"/>
        <w:spacing w:before="0" w:line="360" w:lineRule="auto"/>
        <w:ind w:firstLine="643"/>
        <w:rPr>
          <w:rFonts w:hint="eastAsia" w:ascii="仿宋" w:hAnsi="仿宋" w:eastAsia="仿宋" w:cs="仿宋"/>
          <w:b/>
          <w:color w:val="auto"/>
          <w:sz w:val="21"/>
          <w:szCs w:val="21"/>
          <w:highlight w:val="none"/>
        </w:rPr>
      </w:pPr>
    </w:p>
    <w:p w14:paraId="3C6FA2E6">
      <w:pPr>
        <w:pStyle w:val="132"/>
        <w:spacing w:before="0" w:line="360" w:lineRule="auto"/>
        <w:ind w:firstLine="2249" w:firstLineChars="800"/>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四、开标、资格审查与信用信息查询</w:t>
      </w:r>
    </w:p>
    <w:p w14:paraId="033F0D61">
      <w:pPr>
        <w:pStyle w:val="557"/>
        <w:spacing w:before="0" w:line="360" w:lineRule="auto"/>
        <w:ind w:left="0" w:leftChars="0" w:firstLine="0" w:firstLineChars="0"/>
        <w:contextualSpacing/>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rPr>
        <w:t>18.开标</w:t>
      </w:r>
    </w:p>
    <w:p w14:paraId="7EA56C7E">
      <w:pPr>
        <w:pStyle w:val="557"/>
        <w:spacing w:before="0" w:line="360" w:lineRule="auto"/>
        <w:ind w:left="0" w:firstLine="420" w:firstLineChars="2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按照招标文件规定的时间通过电子交易平台组织开标，所有投标人均应当准时在线参加。投标人不足3家的，不得开标。</w:t>
      </w:r>
    </w:p>
    <w:p w14:paraId="7A3CF5DA">
      <w:pPr>
        <w:pStyle w:val="557"/>
        <w:spacing w:before="0" w:line="360" w:lineRule="auto"/>
        <w:ind w:left="0" w:leftChars="0" w:firstLine="420" w:firstLineChars="200"/>
        <w:contextualSpacing/>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18.2开标时，电子交易平台按开标时间自动提取所有投标文件。</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依托电子交易平台发起开始解密指令，投标人按照平台提示和招标文件的规定在半小时内完成在线解密。</w:t>
      </w:r>
    </w:p>
    <w:p w14:paraId="0315BCF6">
      <w:pPr>
        <w:pStyle w:val="557"/>
        <w:spacing w:before="0" w:line="360" w:lineRule="auto"/>
        <w:ind w:left="0" w:leftChars="0" w:firstLine="420" w:firstLineChars="200"/>
        <w:contextualSpacing/>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18.3</w:t>
      </w:r>
      <w:r>
        <w:rPr>
          <w:rFonts w:hint="eastAsia" w:ascii="仿宋" w:hAnsi="仿宋" w:eastAsia="仿宋" w:cs="仿宋"/>
          <w:b/>
          <w:color w:val="auto"/>
          <w:sz w:val="21"/>
          <w:szCs w:val="21"/>
          <w:highlight w:val="none"/>
        </w:rPr>
        <w:t>投标文件未按时解密，投标人提供了备份投标文件的，以备份投标文件作为依据，否则视为投标文件撤回。投标文件已按时解密的，备份投标文件自动失效。</w:t>
      </w:r>
    </w:p>
    <w:p w14:paraId="37A9A91C">
      <w:pPr>
        <w:pStyle w:val="557"/>
        <w:spacing w:before="0" w:line="360" w:lineRule="auto"/>
        <w:ind w:left="0" w:leftChars="0" w:firstLine="0" w:firstLineChars="0"/>
        <w:contextualSpacing/>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19</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资格审查</w:t>
      </w:r>
    </w:p>
    <w:p w14:paraId="297A9723">
      <w:pPr>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sz w:val="21"/>
          <w:szCs w:val="21"/>
          <w:highlight w:val="none"/>
        </w:rPr>
        <w:t>采购人或</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依据法律法规和招标文件的规定，对投标人的资格进行审查。</w:t>
      </w:r>
    </w:p>
    <w:p w14:paraId="2A0986C1">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投标人未按照招标文件要求提供与</w:t>
      </w:r>
      <w:r>
        <w:rPr>
          <w:rFonts w:hint="eastAsia" w:ascii="仿宋" w:hAnsi="仿宋" w:eastAsia="仿宋" w:cs="仿宋"/>
          <w:color w:val="auto"/>
          <w:sz w:val="21"/>
          <w:szCs w:val="21"/>
          <w:highlight w:val="none"/>
        </w:rPr>
        <w:t>资格条件相应的</w:t>
      </w:r>
      <w:r>
        <w:rPr>
          <w:rFonts w:hint="eastAsia" w:ascii="仿宋" w:hAnsi="仿宋" w:eastAsia="仿宋" w:cs="仿宋"/>
          <w:color w:val="auto"/>
          <w:kern w:val="0"/>
          <w:sz w:val="21"/>
          <w:szCs w:val="21"/>
          <w:highlight w:val="none"/>
        </w:rPr>
        <w:t>有效资格证明材料的，视为</w:t>
      </w:r>
      <w:r>
        <w:rPr>
          <w:rFonts w:hint="eastAsia" w:ascii="仿宋" w:hAnsi="仿宋" w:eastAsia="仿宋" w:cs="仿宋"/>
          <w:color w:val="auto"/>
          <w:sz w:val="21"/>
          <w:szCs w:val="21"/>
          <w:highlight w:val="none"/>
        </w:rPr>
        <w:t>投标人不具备招标文件中规定的资格要求，其投标无效。</w:t>
      </w:r>
    </w:p>
    <w:p w14:paraId="5F7653E8">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对未通过资格审查的投标人，采购人或</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告知其未通过的原因。</w:t>
      </w:r>
    </w:p>
    <w:p w14:paraId="02A2C3CD">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19.</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合格投标人不足3家的，不再评标。</w:t>
      </w:r>
    </w:p>
    <w:p w14:paraId="39C48B19">
      <w:pPr>
        <w:pStyle w:val="132"/>
        <w:spacing w:before="0" w:line="360" w:lineRule="auto"/>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20</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信用信息查询</w:t>
      </w:r>
    </w:p>
    <w:p w14:paraId="6B7C2483">
      <w:pPr>
        <w:pStyle w:val="132"/>
        <w:spacing w:before="0" w:line="360" w:lineRule="auto"/>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20.1信用信息查询渠道及截止时间：</w:t>
      </w:r>
      <w:r>
        <w:rPr>
          <w:rFonts w:hint="eastAsia" w:ascii="仿宋" w:hAnsi="仿宋" w:eastAsia="仿宋" w:cs="仿宋"/>
          <w:color w:val="auto"/>
          <w:kern w:val="0"/>
          <w:sz w:val="21"/>
          <w:szCs w:val="21"/>
          <w:highlight w:val="none"/>
          <w:lang w:eastAsia="zh-CN"/>
        </w:rPr>
        <w:t>采购代理机构</w:t>
      </w:r>
      <w:r>
        <w:rPr>
          <w:rFonts w:hint="eastAsia" w:ascii="仿宋" w:hAnsi="仿宋" w:eastAsia="仿宋" w:cs="仿宋"/>
          <w:color w:val="auto"/>
          <w:kern w:val="0"/>
          <w:sz w:val="21"/>
          <w:szCs w:val="21"/>
          <w:highlight w:val="none"/>
        </w:rPr>
        <w:t>将在资格审查时通过“信用中国”网站(www.creditchina.gov.cn)、中国政府采购网(www.ccgp.gov.cn)渠道查询投标人接受资格时的信用记录。</w:t>
      </w:r>
    </w:p>
    <w:p w14:paraId="7C073D45">
      <w:pPr>
        <w:pStyle w:val="132"/>
        <w:spacing w:before="0" w:line="360" w:lineRule="auto"/>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20.2信用信息查询记录和证据留存的具体方式：现场查询的投标人的信用记录、查询结果经确认后将与采购文件一起存档。</w:t>
      </w:r>
    </w:p>
    <w:p w14:paraId="6BB46784">
      <w:pPr>
        <w:pStyle w:val="132"/>
        <w:spacing w:before="0" w:line="360" w:lineRule="auto"/>
        <w:ind w:firstLine="495"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20.3信用信息的使用规则：经查询列入失信被执行人名单、重大税收违法案件当事人名单、政府采购严重违法失信行为记录名单的投标人将被拒绝参与</w:t>
      </w:r>
      <w:r>
        <w:rPr>
          <w:rFonts w:hint="eastAsia" w:ascii="仿宋" w:hAnsi="仿宋" w:eastAsia="仿宋" w:cs="仿宋"/>
          <w:color w:val="auto"/>
          <w:kern w:val="0"/>
          <w:sz w:val="21"/>
          <w:szCs w:val="21"/>
          <w:highlight w:val="none"/>
          <w:lang w:eastAsia="zh-CN"/>
        </w:rPr>
        <w:t>采购活动</w:t>
      </w:r>
      <w:r>
        <w:rPr>
          <w:rFonts w:hint="eastAsia" w:ascii="仿宋" w:hAnsi="仿宋" w:eastAsia="仿宋" w:cs="仿宋"/>
          <w:color w:val="auto"/>
          <w:kern w:val="0"/>
          <w:sz w:val="21"/>
          <w:szCs w:val="21"/>
          <w:highlight w:val="none"/>
        </w:rPr>
        <w:t>。</w:t>
      </w:r>
    </w:p>
    <w:p w14:paraId="58187375">
      <w:pPr>
        <w:pStyle w:val="132"/>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20.4联合体信用信息查询：两个以上的自然人、法人或者其他组织组成一个联合体，以一个供应商的身份共同参加</w:t>
      </w:r>
      <w:r>
        <w:rPr>
          <w:rFonts w:hint="eastAsia" w:ascii="仿宋" w:hAnsi="仿宋" w:eastAsia="仿宋" w:cs="仿宋"/>
          <w:color w:val="auto"/>
          <w:kern w:val="0"/>
          <w:sz w:val="21"/>
          <w:szCs w:val="21"/>
          <w:highlight w:val="none"/>
          <w:lang w:eastAsia="zh-CN"/>
        </w:rPr>
        <w:t>采购活动</w:t>
      </w:r>
      <w:r>
        <w:rPr>
          <w:rFonts w:hint="eastAsia" w:ascii="仿宋" w:hAnsi="仿宋" w:eastAsia="仿宋" w:cs="仿宋"/>
          <w:color w:val="auto"/>
          <w:kern w:val="0"/>
          <w:sz w:val="21"/>
          <w:szCs w:val="21"/>
          <w:highlight w:val="none"/>
        </w:rPr>
        <w:t>的，应当对所有联合体成员进行信用记录查询，联合体成员存在不良信用记录的，视同联合体存在不良信用记录</w:t>
      </w:r>
      <w:r>
        <w:rPr>
          <w:rFonts w:hint="eastAsia" w:ascii="仿宋" w:hAnsi="仿宋" w:eastAsia="仿宋" w:cs="仿宋"/>
          <w:color w:val="auto"/>
          <w:sz w:val="21"/>
          <w:szCs w:val="21"/>
          <w:highlight w:val="none"/>
        </w:rPr>
        <w:t>。</w:t>
      </w:r>
    </w:p>
    <w:p w14:paraId="4B2A43A7">
      <w:pPr>
        <w:snapToGrid w:val="0"/>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五、评标</w:t>
      </w:r>
    </w:p>
    <w:p w14:paraId="76BA54C3">
      <w:pPr>
        <w:spacing w:line="360" w:lineRule="auto"/>
        <w:rPr>
          <w:rFonts w:hint="eastAsia" w:ascii="仿宋" w:hAnsi="仿宋" w:eastAsia="仿宋" w:cs="仿宋"/>
          <w:b/>
          <w:color w:val="auto"/>
          <w:sz w:val="21"/>
          <w:szCs w:val="21"/>
          <w:highlight w:val="none"/>
          <w:lang w:val="zh-CN"/>
        </w:rPr>
      </w:pPr>
      <w:bookmarkStart w:id="13" w:name="_Toc91899903"/>
      <w:r>
        <w:rPr>
          <w:rFonts w:hint="eastAsia" w:ascii="仿宋" w:hAnsi="仿宋" w:eastAsia="仿宋" w:cs="仿宋"/>
          <w:b/>
          <w:color w:val="auto"/>
          <w:sz w:val="21"/>
          <w:szCs w:val="21"/>
          <w:highlight w:val="none"/>
        </w:rPr>
        <w:t>21.</w:t>
      </w:r>
      <w:r>
        <w:rPr>
          <w:rFonts w:hint="eastAsia" w:ascii="仿宋" w:hAnsi="仿宋" w:eastAsia="仿宋" w:cs="仿宋"/>
          <w:b/>
          <w:color w:val="auto"/>
          <w:sz w:val="21"/>
          <w:szCs w:val="21"/>
          <w:highlight w:val="none"/>
          <w:lang w:val="zh-CN"/>
        </w:rPr>
        <w:t>评标委员会的组建：</w:t>
      </w:r>
    </w:p>
    <w:p w14:paraId="7494AF8E">
      <w:pPr>
        <w:spacing w:line="360" w:lineRule="auto"/>
        <w:ind w:firstLine="422" w:firstLineChars="200"/>
        <w:rPr>
          <w:rFonts w:hint="eastAsia"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lang w:val="zh-CN"/>
        </w:rPr>
        <w:t>评标委员会由采购人</w:t>
      </w:r>
      <w:r>
        <w:rPr>
          <w:rFonts w:hint="eastAsia" w:ascii="仿宋" w:hAnsi="仿宋" w:eastAsia="仿宋" w:cs="仿宋"/>
          <w:b/>
          <w:color w:val="auto"/>
          <w:sz w:val="21"/>
          <w:szCs w:val="21"/>
          <w:highlight w:val="none"/>
        </w:rPr>
        <w:t>依法负责组建</w:t>
      </w:r>
      <w:r>
        <w:rPr>
          <w:rFonts w:hint="eastAsia" w:ascii="仿宋" w:hAnsi="仿宋" w:eastAsia="仿宋" w:cs="仿宋"/>
          <w:b/>
          <w:color w:val="auto"/>
          <w:sz w:val="21"/>
          <w:szCs w:val="21"/>
          <w:highlight w:val="none"/>
          <w:lang w:val="zh-CN"/>
        </w:rPr>
        <w:t>，成员人数为5人</w:t>
      </w:r>
      <w:r>
        <w:rPr>
          <w:rFonts w:hint="eastAsia" w:ascii="仿宋" w:hAnsi="仿宋" w:eastAsia="仿宋" w:cs="仿宋"/>
          <w:b/>
          <w:color w:val="auto"/>
          <w:sz w:val="21"/>
          <w:szCs w:val="21"/>
          <w:highlight w:val="none"/>
          <w:lang w:val="en-US" w:eastAsia="zh-CN"/>
        </w:rPr>
        <w:t>及以上单数</w:t>
      </w:r>
      <w:r>
        <w:rPr>
          <w:rFonts w:hint="eastAsia" w:ascii="仿宋" w:hAnsi="仿宋" w:eastAsia="仿宋" w:cs="仿宋"/>
          <w:b/>
          <w:color w:val="auto"/>
          <w:sz w:val="21"/>
          <w:szCs w:val="21"/>
          <w:highlight w:val="none"/>
          <w:lang w:val="zh-CN"/>
        </w:rPr>
        <w:t>，其中采购人</w:t>
      </w:r>
      <w:r>
        <w:rPr>
          <w:rFonts w:hint="eastAsia" w:ascii="仿宋" w:hAnsi="仿宋" w:eastAsia="仿宋" w:cs="仿宋"/>
          <w:b/>
          <w:color w:val="auto"/>
          <w:sz w:val="21"/>
          <w:szCs w:val="21"/>
          <w:highlight w:val="none"/>
        </w:rPr>
        <w:t>可派</w:t>
      </w:r>
      <w:r>
        <w:rPr>
          <w:rFonts w:hint="eastAsia" w:ascii="仿宋" w:hAnsi="仿宋" w:eastAsia="仿宋" w:cs="仿宋"/>
          <w:b/>
          <w:color w:val="auto"/>
          <w:sz w:val="21"/>
          <w:szCs w:val="21"/>
          <w:highlight w:val="none"/>
          <w:lang w:val="zh-CN"/>
        </w:rPr>
        <w:t>代表1人。</w:t>
      </w:r>
    </w:p>
    <w:p w14:paraId="4B49D426">
      <w:pP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1"/>
          <w:szCs w:val="21"/>
          <w:highlight w:val="none"/>
        </w:rPr>
        <w:t>详见招标文件第四部分评标办法。</w:t>
      </w:r>
    </w:p>
    <w:bookmarkEnd w:id="11"/>
    <w:bookmarkEnd w:id="12"/>
    <w:bookmarkEnd w:id="13"/>
    <w:p w14:paraId="2B47D5FF">
      <w:pPr>
        <w:snapToGrid w:val="0"/>
        <w:spacing w:line="360" w:lineRule="auto"/>
        <w:jc w:val="center"/>
        <w:outlineLvl w:val="1"/>
        <w:rPr>
          <w:rFonts w:hint="eastAsia" w:ascii="仿宋" w:hAnsi="仿宋" w:eastAsia="仿宋" w:cs="仿宋"/>
          <w:b/>
          <w:color w:val="auto"/>
          <w:sz w:val="28"/>
          <w:szCs w:val="28"/>
          <w:highlight w:val="none"/>
        </w:rPr>
      </w:pPr>
      <w:bookmarkStart w:id="14" w:name="第四部分"/>
      <w:r>
        <w:rPr>
          <w:rFonts w:hint="eastAsia" w:ascii="仿宋" w:hAnsi="仿宋" w:eastAsia="仿宋" w:cs="仿宋"/>
          <w:b/>
          <w:color w:val="auto"/>
          <w:sz w:val="28"/>
          <w:szCs w:val="28"/>
          <w:highlight w:val="none"/>
        </w:rPr>
        <w:t>六、定 标</w:t>
      </w:r>
    </w:p>
    <w:p w14:paraId="38E153C5">
      <w:pPr>
        <w:pStyle w:val="6"/>
        <w:spacing w:line="360" w:lineRule="auto"/>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22.确定中标供应商</w:t>
      </w:r>
    </w:p>
    <w:p w14:paraId="629A218F">
      <w:pPr>
        <w:pStyle w:val="132"/>
        <w:snapToGrid w:val="0"/>
        <w:spacing w:before="0" w:line="360" w:lineRule="auto"/>
        <w:ind w:firstLine="48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采购项目实行全流程电子化，评审报告送交、采购结果确定和结果公告均在线完成。采购单位应当自收到评审报告之日起</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个工作日内在线确定中标或者成交供应商。中标、成交通知书和中标、成交结果公告应当在规定时间内同时发出。</w:t>
      </w:r>
    </w:p>
    <w:p w14:paraId="66A873C2">
      <w:pPr>
        <w:pStyle w:val="132"/>
        <w:snapToGrid w:val="0"/>
        <w:spacing w:before="0" w:line="360" w:lineRule="auto"/>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23.中标通知与中标结果公告</w:t>
      </w:r>
    </w:p>
    <w:p w14:paraId="7F0566EA">
      <w:pPr>
        <w:widowControl/>
        <w:shd w:val="clear" w:color="auto"/>
        <w:spacing w:line="360" w:lineRule="auto"/>
        <w:ind w:firstLine="48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23.1自中标人确定之日，</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通过电子交易平台向中标人发出中标通知书，同时编制发布采购结果公告。</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也可以以纸质形式进行中标通知。</w:t>
      </w:r>
    </w:p>
    <w:p w14:paraId="5A705700">
      <w:pPr>
        <w:widowControl/>
        <w:shd w:val="clear" w:color="auto"/>
        <w:spacing w:line="360" w:lineRule="auto"/>
        <w:ind w:firstLine="48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公告期限为1个工作日。</w:t>
      </w:r>
    </w:p>
    <w:p w14:paraId="636856D0">
      <w:pPr>
        <w:snapToGrid w:val="0"/>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七、合同授予</w:t>
      </w:r>
    </w:p>
    <w:p w14:paraId="42D656E1">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24.</w:t>
      </w:r>
      <w:r>
        <w:rPr>
          <w:rFonts w:hint="eastAsia" w:ascii="仿宋" w:hAnsi="仿宋" w:eastAsia="仿宋" w:cs="仿宋"/>
          <w:color w:val="auto"/>
          <w:sz w:val="21"/>
          <w:szCs w:val="21"/>
          <w:highlight w:val="none"/>
        </w:rPr>
        <w:t>合同主要条款详见第五部分拟签订的合同文本。</w:t>
      </w:r>
    </w:p>
    <w:p w14:paraId="64F5D249">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25.合同的签订</w:t>
      </w:r>
    </w:p>
    <w:p w14:paraId="2D110347">
      <w:pPr>
        <w:widowControl/>
        <w:shd w:val="clear" w:color="auto"/>
        <w:spacing w:line="360" w:lineRule="auto"/>
        <w:ind w:firstLine="48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25.1</w:t>
      </w:r>
      <w:r>
        <w:rPr>
          <w:rFonts w:hint="eastAsia" w:ascii="仿宋" w:hAnsi="仿宋" w:eastAsia="仿宋" w:cs="仿宋"/>
          <w:color w:val="auto"/>
          <w:kern w:val="0"/>
          <w:sz w:val="21"/>
          <w:szCs w:val="21"/>
          <w:highlight w:val="none"/>
        </w:rPr>
        <w:t xml:space="preserve"> 采购人与中标人应当通过电子交易平台在中标通知书发出之日起三十日内，按照招标文件确定的事项签订</w:t>
      </w:r>
      <w:r>
        <w:rPr>
          <w:rFonts w:hint="eastAsia" w:ascii="仿宋" w:hAnsi="仿宋" w:eastAsia="仿宋" w:cs="仿宋"/>
          <w:color w:val="auto"/>
          <w:kern w:val="0"/>
          <w:sz w:val="21"/>
          <w:szCs w:val="21"/>
          <w:highlight w:val="none"/>
          <w:lang w:eastAsia="zh-CN"/>
        </w:rPr>
        <w:t>采购合同</w:t>
      </w:r>
      <w:r>
        <w:rPr>
          <w:rFonts w:hint="eastAsia" w:ascii="仿宋" w:hAnsi="仿宋" w:eastAsia="仿宋" w:cs="仿宋"/>
          <w:color w:val="auto"/>
          <w:kern w:val="0"/>
          <w:sz w:val="21"/>
          <w:szCs w:val="21"/>
          <w:highlight w:val="none"/>
        </w:rPr>
        <w:t>。</w:t>
      </w:r>
    </w:p>
    <w:p w14:paraId="7FA50AEB">
      <w:pPr>
        <w:pStyle w:val="132"/>
        <w:snapToGrid w:val="0"/>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5F532F14">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25.3如签订合同并生效后，供应商无故拒绝或延期，除按照合同条款处理外，列入不良行为记录一次，并给予通报。</w:t>
      </w:r>
    </w:p>
    <w:p w14:paraId="7BDEE7D4">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25.4中标供应商拒绝与采购人签订合同的，采购人可以按照评审报告推荐的中标或者成交候选人名单排序，确定下一候选人为中标供应商，也可以重新开展</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w:t>
      </w:r>
    </w:p>
    <w:p w14:paraId="51D0FDF1">
      <w:pPr>
        <w:pStyle w:val="6"/>
        <w:spacing w:line="360" w:lineRule="auto"/>
        <w:ind w:left="479" w:hanging="420" w:hangingChars="19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26.履约保证金</w:t>
      </w:r>
    </w:p>
    <w:p w14:paraId="3848F37B">
      <w:pPr>
        <w:tabs>
          <w:tab w:val="left" w:pos="0"/>
        </w:tabs>
        <w:spacing w:line="360" w:lineRule="auto"/>
        <w:ind w:firstLine="482"/>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1"/>
          <w:szCs w:val="21"/>
          <w:highlight w:val="none"/>
        </w:rPr>
        <w:t>。履约保证金的数额不得超过采购合同金额的1%</w:t>
      </w:r>
      <w:r>
        <w:rPr>
          <w:rFonts w:hint="eastAsia" w:ascii="仿宋" w:hAnsi="仿宋" w:eastAsia="仿宋" w:cs="仿宋"/>
          <w:color w:val="auto"/>
          <w:sz w:val="21"/>
          <w:szCs w:val="21"/>
          <w:highlight w:val="none"/>
        </w:rPr>
        <w:t>，鼓励根据项目特点、供应商诚信等因素免收履约保证金或降低缴纳比例</w:t>
      </w:r>
      <w:r>
        <w:rPr>
          <w:rFonts w:hint="eastAsia" w:ascii="仿宋" w:hAnsi="仿宋" w:eastAsia="仿宋" w:cs="仿宋"/>
          <w:color w:val="auto"/>
          <w:sz w:val="21"/>
          <w:szCs w:val="21"/>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662039AA">
      <w:pPr>
        <w:snapToGrid w:val="0"/>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八、电子交易活动的中止</w:t>
      </w:r>
    </w:p>
    <w:p w14:paraId="6C199173">
      <w:pPr>
        <w:pStyle w:val="132"/>
        <w:snapToGrid w:val="0"/>
        <w:spacing w:before="0" w:line="36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28</w:t>
      </w:r>
      <w:r>
        <w:rPr>
          <w:rFonts w:hint="eastAsia" w:ascii="仿宋" w:hAnsi="仿宋" w:eastAsia="仿宋" w:cs="仿宋"/>
          <w:b/>
          <w:color w:val="auto"/>
          <w:sz w:val="21"/>
          <w:szCs w:val="21"/>
          <w:highlight w:val="none"/>
        </w:rPr>
        <w:t>.电子交易活动的中止。</w:t>
      </w:r>
      <w:r>
        <w:rPr>
          <w:rFonts w:hint="eastAsia" w:ascii="仿宋" w:hAnsi="仿宋" w:eastAsia="仿宋" w:cs="仿宋"/>
          <w:color w:val="auto"/>
          <w:sz w:val="21"/>
          <w:szCs w:val="21"/>
          <w:highlight w:val="none"/>
        </w:rPr>
        <w:t>采购过程中出现以下情形，导致电子交易平台无法正常运行，或者无法保证电子交易的公平、公正和安全时，</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可中止电子交易活动：</w:t>
      </w:r>
    </w:p>
    <w:p w14:paraId="2B33502A">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28.1电子交易平台发生故障而无法登录访问的； </w:t>
      </w:r>
    </w:p>
    <w:p w14:paraId="78336E5F">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28.2电子交易平台应用或数据库出现错误，不能进行正常操作的；</w:t>
      </w:r>
    </w:p>
    <w:p w14:paraId="77ACC701">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28.3电子交易平台发现严重安全漏洞，有潜在泄密危险的；</w:t>
      </w:r>
    </w:p>
    <w:p w14:paraId="0353659E">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28.4病毒发作导致不能进行正常操作的； </w:t>
      </w:r>
    </w:p>
    <w:p w14:paraId="68ECCCF5">
      <w:pPr>
        <w:pStyle w:val="132"/>
        <w:snapToGrid w:val="0"/>
        <w:spacing w:before="0"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28.5其他无法保证电子交易的公平、公正和安全的情况。</w:t>
      </w:r>
    </w:p>
    <w:p w14:paraId="7F81D70F">
      <w:pPr>
        <w:pStyle w:val="132"/>
        <w:snapToGrid w:val="0"/>
        <w:spacing w:before="0" w:line="36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29.</w:t>
      </w:r>
      <w:r>
        <w:rPr>
          <w:rFonts w:hint="eastAsia" w:ascii="仿宋" w:hAnsi="仿宋" w:eastAsia="仿宋" w:cs="仿宋"/>
          <w:color w:val="auto"/>
          <w:sz w:val="21"/>
          <w:szCs w:val="21"/>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0809C481">
      <w:pPr>
        <w:snapToGrid w:val="0"/>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九、验收</w:t>
      </w:r>
    </w:p>
    <w:p w14:paraId="06CCACA4">
      <w:pPr>
        <w:pStyle w:val="6"/>
        <w:spacing w:line="360" w:lineRule="auto"/>
        <w:ind w:firstLine="0" w:firstLineChars="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30.验收</w:t>
      </w:r>
    </w:p>
    <w:p w14:paraId="0FAF754F">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30.1采购人组织对供应商履约的验收。大型或者复杂的</w:t>
      </w:r>
      <w:r>
        <w:rPr>
          <w:rFonts w:hint="eastAsia" w:ascii="仿宋" w:hAnsi="仿宋" w:eastAsia="仿宋" w:cs="仿宋"/>
          <w:color w:val="auto"/>
          <w:kern w:val="0"/>
          <w:sz w:val="21"/>
          <w:szCs w:val="21"/>
          <w:highlight w:val="none"/>
          <w:lang w:eastAsia="zh-CN"/>
        </w:rPr>
        <w:t>采购项目</w:t>
      </w:r>
      <w:r>
        <w:rPr>
          <w:rFonts w:hint="eastAsia" w:ascii="仿宋" w:hAnsi="仿宋" w:eastAsia="仿宋" w:cs="仿宋"/>
          <w:color w:val="auto"/>
          <w:kern w:val="0"/>
          <w:sz w:val="21"/>
          <w:szCs w:val="21"/>
          <w:highlight w:val="none"/>
        </w:rPr>
        <w:t>，应当邀请国家认可的质量检测机构参加验收工作。验收方成员应当在验收书上签字，并承担相应的法律责任。如果发现与合同中要求不符，供应商须承担由此发生的一切损失和费用，并接受相应的处理。</w:t>
      </w:r>
    </w:p>
    <w:p w14:paraId="60D6DA79">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30.2采购人可以邀请参加本项目的其他投标人或者第三方机构参与验收。参与验收的投标人或者第三方机构的意见作为验收书的参考资料一并存档。</w:t>
      </w:r>
    </w:p>
    <w:p w14:paraId="52A680E8">
      <w:pPr>
        <w:tabs>
          <w:tab w:val="left" w:pos="0"/>
        </w:tabs>
        <w:spacing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4FA37D">
      <w:pPr>
        <w:tabs>
          <w:tab w:val="left" w:pos="0"/>
        </w:tabs>
        <w:spacing w:line="36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7D6343B2">
      <w:pPr>
        <w:tabs>
          <w:tab w:val="left" w:pos="0"/>
        </w:tabs>
        <w:spacing w:line="360" w:lineRule="auto"/>
        <w:ind w:firstLine="480"/>
        <w:rPr>
          <w:rFonts w:hint="eastAsia" w:ascii="仿宋" w:hAnsi="仿宋" w:eastAsia="仿宋" w:cs="仿宋"/>
          <w:color w:val="auto"/>
          <w:kern w:val="0"/>
          <w:sz w:val="21"/>
          <w:szCs w:val="21"/>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5" w:name="_Hlt74714665"/>
      <w:bookmarkEnd w:id="15"/>
      <w:bookmarkStart w:id="16" w:name="_Hlt75236101"/>
      <w:bookmarkEnd w:id="16"/>
      <w:bookmarkStart w:id="17" w:name="_Hlt75236011"/>
      <w:bookmarkEnd w:id="17"/>
      <w:bookmarkStart w:id="18" w:name="_Hlt68073093"/>
      <w:bookmarkEnd w:id="18"/>
      <w:bookmarkStart w:id="19" w:name="_Hlt68072990"/>
      <w:bookmarkEnd w:id="19"/>
      <w:bookmarkStart w:id="20" w:name="_Hlt74730295"/>
      <w:bookmarkEnd w:id="20"/>
      <w:bookmarkStart w:id="21" w:name="_Hlt68403820"/>
      <w:bookmarkEnd w:id="21"/>
      <w:bookmarkStart w:id="22" w:name="_Hlt68072998"/>
      <w:bookmarkEnd w:id="22"/>
      <w:bookmarkStart w:id="23" w:name="_Hlt68057669"/>
      <w:bookmarkEnd w:id="23"/>
      <w:bookmarkStart w:id="24" w:name="_Hlt74707468"/>
      <w:bookmarkEnd w:id="24"/>
      <w:bookmarkStart w:id="25" w:name="_Hlt74729768"/>
      <w:bookmarkEnd w:id="25"/>
      <w:bookmarkStart w:id="26" w:name="_Hlt75236290"/>
      <w:bookmarkEnd w:id="26"/>
    </w:p>
    <w:p w14:paraId="1F1D1517">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第三部分  采购需求</w:t>
      </w:r>
    </w:p>
    <w:p w14:paraId="51EC6EEE">
      <w:p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一、项目概况</w:t>
      </w:r>
    </w:p>
    <w:p w14:paraId="32153865">
      <w:pPr>
        <w:adjustRightInd/>
        <w:snapToGrid/>
        <w:spacing w:line="360" w:lineRule="auto"/>
        <w:ind w:firstLine="420" w:firstLineChars="200"/>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1.采购内</w:t>
      </w:r>
      <w:r>
        <w:rPr>
          <w:rFonts w:hint="eastAsia" w:ascii="仿宋" w:hAnsi="仿宋" w:eastAsia="仿宋" w:cs="仿宋"/>
          <w:color w:val="auto"/>
          <w:sz w:val="21"/>
          <w:szCs w:val="21"/>
          <w:highlight w:val="none"/>
          <w:lang w:val="en-US" w:eastAsia="zh-CN" w:bidi="ar"/>
        </w:rPr>
        <w:t>容：</w:t>
      </w:r>
      <w:r>
        <w:rPr>
          <w:rFonts w:hint="eastAsia" w:ascii="仿宋" w:hAnsi="仿宋" w:eastAsia="仿宋" w:cs="仿宋"/>
          <w:snapToGrid/>
          <w:color w:val="auto"/>
          <w:kern w:val="2"/>
          <w:sz w:val="21"/>
          <w:szCs w:val="21"/>
          <w:highlight w:val="none"/>
          <w:lang w:val="en-US" w:eastAsia="zh-CN" w:bidi="ar-SA"/>
        </w:rPr>
        <w:t>为金华市看守所、金华市拘留所提供医疗服务。</w:t>
      </w:r>
    </w:p>
    <w:p w14:paraId="4970E643">
      <w:pPr>
        <w:adjustRightInd/>
        <w:snapToGrid/>
        <w:spacing w:line="360" w:lineRule="auto"/>
        <w:ind w:firstLine="420" w:firstLineChars="2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2.服务期：</w:t>
      </w:r>
      <w:r>
        <w:rPr>
          <w:rFonts w:hint="eastAsia" w:ascii="仿宋" w:hAnsi="仿宋" w:eastAsia="仿宋" w:cs="仿宋"/>
          <w:b w:val="0"/>
          <w:bCs/>
          <w:color w:val="auto"/>
          <w:sz w:val="21"/>
          <w:szCs w:val="21"/>
          <w:highlight w:val="none"/>
          <w:lang w:val="en-US" w:eastAsia="zh-CN"/>
        </w:rPr>
        <w:t>本合同服务期一年，一年服务期满后，经金华市看守所、金华市拘留所对中标医院服务质量、响应速度等方面测评满意（评分标准详见“第三章招标需求附件五”），认为符合续签条件且年度内无违约行为的，在财政政策、服务费用不变的情况下，方可续签下一年的合同（最多续签两次）。甲方也可以选择不续签，有权组织招标。</w:t>
      </w:r>
    </w:p>
    <w:p w14:paraId="0E798395">
      <w:pPr>
        <w:adjustRightInd/>
        <w:spacing w:line="360" w:lineRule="auto"/>
        <w:ind w:firstLine="420" w:firstLineChars="200"/>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3.</w:t>
      </w:r>
      <w:r>
        <w:rPr>
          <w:rFonts w:hint="eastAsia" w:ascii="仿宋" w:hAnsi="仿宋" w:eastAsia="仿宋" w:cs="仿宋"/>
          <w:color w:val="auto"/>
          <w:sz w:val="21"/>
          <w:szCs w:val="21"/>
          <w:highlight w:val="none"/>
          <w:lang w:val="en-US" w:eastAsia="zh-CN" w:bidi="ar"/>
        </w:rPr>
        <w:t>最高限价</w:t>
      </w:r>
      <w:r>
        <w:rPr>
          <w:rFonts w:hint="eastAsia" w:ascii="仿宋" w:hAnsi="仿宋" w:eastAsia="仿宋" w:cs="仿宋"/>
          <w:color w:val="auto"/>
          <w:sz w:val="21"/>
          <w:szCs w:val="21"/>
          <w:highlight w:val="none"/>
          <w:lang w:bidi="ar"/>
        </w:rPr>
        <w:t>：</w:t>
      </w:r>
    </w:p>
    <w:tbl>
      <w:tblPr>
        <w:tblStyle w:val="62"/>
        <w:tblW w:w="47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897"/>
        <w:gridCol w:w="2421"/>
        <w:gridCol w:w="2746"/>
      </w:tblGrid>
      <w:tr w14:paraId="6A8A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473" w:type="pct"/>
            <w:noWrap w:val="0"/>
            <w:vAlign w:val="center"/>
          </w:tcPr>
          <w:p w14:paraId="70E0C7F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626" w:type="pct"/>
            <w:noWrap w:val="0"/>
            <w:vAlign w:val="center"/>
          </w:tcPr>
          <w:p w14:paraId="0DC65F5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采购</w:t>
            </w:r>
            <w:r>
              <w:rPr>
                <w:rFonts w:hint="eastAsia" w:ascii="仿宋" w:hAnsi="仿宋" w:eastAsia="仿宋" w:cs="仿宋"/>
                <w:color w:val="auto"/>
                <w:sz w:val="21"/>
                <w:szCs w:val="21"/>
                <w:highlight w:val="none"/>
                <w:lang w:val="en-US" w:eastAsia="zh-CN"/>
              </w:rPr>
              <w:t>项目</w:t>
            </w:r>
          </w:p>
        </w:tc>
        <w:tc>
          <w:tcPr>
            <w:tcW w:w="1358" w:type="pct"/>
            <w:noWrap w:val="0"/>
            <w:vAlign w:val="center"/>
          </w:tcPr>
          <w:p w14:paraId="7966DDF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使用单位</w:t>
            </w:r>
          </w:p>
        </w:tc>
        <w:tc>
          <w:tcPr>
            <w:tcW w:w="1541" w:type="pct"/>
            <w:noWrap w:val="0"/>
            <w:vAlign w:val="center"/>
          </w:tcPr>
          <w:p w14:paraId="4282069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最高限价</w:t>
            </w:r>
            <w:r>
              <w:rPr>
                <w:rFonts w:hint="eastAsia" w:ascii="仿宋" w:hAnsi="仿宋" w:eastAsia="仿宋" w:cs="仿宋"/>
                <w:color w:val="auto"/>
                <w:sz w:val="21"/>
                <w:szCs w:val="21"/>
                <w:highlight w:val="none"/>
              </w:rPr>
              <w:t>（万元）</w:t>
            </w:r>
          </w:p>
        </w:tc>
      </w:tr>
      <w:tr w14:paraId="6558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73" w:type="pct"/>
            <w:noWrap w:val="0"/>
            <w:vAlign w:val="center"/>
          </w:tcPr>
          <w:p w14:paraId="3598B3F9">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1626" w:type="pct"/>
            <w:vMerge w:val="restart"/>
            <w:noWrap w:val="0"/>
            <w:vAlign w:val="center"/>
          </w:tcPr>
          <w:p w14:paraId="37B8ADC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202</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eastAsia="zh-CN"/>
              </w:rPr>
              <w:t>-202</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年度金华市看守所购买医疗服务项目</w:t>
            </w:r>
          </w:p>
        </w:tc>
        <w:tc>
          <w:tcPr>
            <w:tcW w:w="1358" w:type="pct"/>
            <w:noWrap w:val="0"/>
            <w:vAlign w:val="center"/>
          </w:tcPr>
          <w:p w14:paraId="1AF2E5F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金华市看守所</w:t>
            </w:r>
          </w:p>
        </w:tc>
        <w:tc>
          <w:tcPr>
            <w:tcW w:w="1541" w:type="pct"/>
            <w:noWrap w:val="0"/>
            <w:vAlign w:val="center"/>
          </w:tcPr>
          <w:p w14:paraId="15B815D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400</w:t>
            </w:r>
          </w:p>
        </w:tc>
      </w:tr>
      <w:tr w14:paraId="0F41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73" w:type="pct"/>
            <w:noWrap w:val="0"/>
            <w:vAlign w:val="center"/>
          </w:tcPr>
          <w:p w14:paraId="5DD0C34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2</w:t>
            </w:r>
          </w:p>
        </w:tc>
        <w:tc>
          <w:tcPr>
            <w:tcW w:w="1626" w:type="pct"/>
            <w:vMerge w:val="continue"/>
            <w:noWrap w:val="0"/>
            <w:vAlign w:val="center"/>
          </w:tcPr>
          <w:p w14:paraId="61696AAA">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p>
        </w:tc>
        <w:tc>
          <w:tcPr>
            <w:tcW w:w="1358" w:type="pct"/>
            <w:noWrap w:val="0"/>
            <w:vAlign w:val="center"/>
          </w:tcPr>
          <w:p w14:paraId="76625A9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金华市拘留所</w:t>
            </w:r>
          </w:p>
        </w:tc>
        <w:tc>
          <w:tcPr>
            <w:tcW w:w="1541" w:type="pct"/>
            <w:noWrap w:val="0"/>
            <w:vAlign w:val="center"/>
          </w:tcPr>
          <w:p w14:paraId="3093360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76</w:t>
            </w:r>
          </w:p>
        </w:tc>
      </w:tr>
      <w:tr w14:paraId="5DC3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458" w:type="pct"/>
            <w:gridSpan w:val="3"/>
            <w:noWrap w:val="0"/>
            <w:vAlign w:val="center"/>
          </w:tcPr>
          <w:p w14:paraId="4E67DF1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w:t>
            </w:r>
          </w:p>
        </w:tc>
        <w:tc>
          <w:tcPr>
            <w:tcW w:w="1541" w:type="pct"/>
            <w:noWrap w:val="0"/>
            <w:vAlign w:val="center"/>
          </w:tcPr>
          <w:p w14:paraId="0931A8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476</w:t>
            </w:r>
            <w:r>
              <w:rPr>
                <w:rFonts w:hint="eastAsia" w:ascii="仿宋" w:hAnsi="仿宋" w:eastAsia="仿宋" w:cs="仿宋"/>
                <w:color w:val="auto"/>
                <w:sz w:val="21"/>
                <w:szCs w:val="21"/>
                <w:highlight w:val="none"/>
                <w:lang w:eastAsia="zh-CN"/>
              </w:rPr>
              <w:t>万元</w:t>
            </w:r>
          </w:p>
        </w:tc>
      </w:tr>
    </w:tbl>
    <w:p w14:paraId="5FD13884">
      <w:pPr>
        <w:numPr>
          <w:ilvl w:val="0"/>
          <w:numId w:val="0"/>
        </w:num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bidi="ar"/>
        </w:rPr>
        <w:t>二、</w:t>
      </w:r>
      <w:r>
        <w:rPr>
          <w:rFonts w:hint="eastAsia" w:ascii="仿宋" w:hAnsi="仿宋" w:eastAsia="仿宋" w:cs="仿宋"/>
          <w:b/>
          <w:bCs/>
          <w:color w:val="auto"/>
          <w:sz w:val="24"/>
          <w:szCs w:val="24"/>
          <w:highlight w:val="none"/>
          <w:lang w:val="en-US" w:eastAsia="zh-CN" w:bidi="ar"/>
        </w:rPr>
        <w:t>服务内容</w:t>
      </w:r>
    </w:p>
    <w:p w14:paraId="214BE1B9">
      <w:pPr>
        <w:spacing w:line="360" w:lineRule="auto"/>
        <w:ind w:left="0" w:leftChars="0" w:firstLine="422" w:firstLineChars="200"/>
        <w:outlineLvl w:val="9"/>
        <w:rPr>
          <w:rFonts w:hint="eastAsia" w:ascii="仿宋" w:hAnsi="仿宋" w:eastAsia="仿宋" w:cs="仿宋"/>
          <w:b/>
          <w:bCs/>
          <w:color w:val="auto"/>
          <w:sz w:val="21"/>
          <w:szCs w:val="21"/>
          <w:highlight w:val="none"/>
          <w:lang w:eastAsia="zh-CN" w:bidi="ar"/>
        </w:rPr>
      </w:pPr>
      <w:r>
        <w:rPr>
          <w:rFonts w:hint="eastAsia" w:ascii="仿宋" w:hAnsi="仿宋" w:eastAsia="仿宋" w:cs="仿宋"/>
          <w:b/>
          <w:bCs/>
          <w:color w:val="auto"/>
          <w:sz w:val="21"/>
          <w:szCs w:val="21"/>
          <w:highlight w:val="none"/>
          <w:lang w:eastAsia="zh-CN" w:bidi="ar"/>
        </w:rPr>
        <w:t>（一）看守所部分：</w:t>
      </w:r>
    </w:p>
    <w:p w14:paraId="22E478D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1.</w:t>
      </w:r>
      <w:r>
        <w:rPr>
          <w:rFonts w:hint="eastAsia" w:ascii="仿宋" w:hAnsi="仿宋" w:eastAsia="仿宋" w:cs="仿宋"/>
          <w:b w:val="0"/>
          <w:bCs w:val="0"/>
          <w:color w:val="auto"/>
          <w:sz w:val="21"/>
          <w:szCs w:val="21"/>
          <w:highlight w:val="none"/>
          <w:lang w:eastAsia="zh-CN" w:bidi="ar"/>
        </w:rPr>
        <w:t>负责收押对象的入监体检。</w:t>
      </w:r>
    </w:p>
    <w:p w14:paraId="583EA15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体检内容包括病史采集、一般项目检查、胸片、心电图、B超、血常规、尿常规、肝肾功能、艾滋病抗体等项目。按监管场所的要求，提供完善的一人一档的入监体检档案，发现并列出健康问题。根据监管场所收押的健康检查要求和标准，提出收押意见。落实入监对象的伤情登记和通报制度。对入监对象进行健康状态评估，落实分级管理，按监管场所的要求建立电子档案。</w:t>
      </w:r>
    </w:p>
    <w:p w14:paraId="151CA956">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bidi="ar"/>
        </w:rPr>
        <w:t>2.负责在押人员疾病诊治。</w:t>
      </w:r>
    </w:p>
    <w:p w14:paraId="37EBB152">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每日深入监区进行上、下午二次巡诊，及时诊治在押人员的疾病。实行医生、护士24小时值班制，及时处置急诊患病人员。负责急症、危重患病人员的紧急送院抢救处置。</w:t>
      </w:r>
    </w:p>
    <w:p w14:paraId="323E30F3">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bidi="ar"/>
        </w:rPr>
        <w:t>3.对慢性病和危重病患者实行住院式或者慢病专科门诊式的管理。</w:t>
      </w:r>
    </w:p>
    <w:p w14:paraId="715326B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将入监体检或者日常诊治过程中发现需要跟踪观察的危重病或者需要长期治疗、健康干预的对象，列入重点病犯管理对象，实行住院式或者慢病专科门诊式的治疗、管理。</w:t>
      </w:r>
    </w:p>
    <w:p w14:paraId="2BB1CB24">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bidi="ar"/>
        </w:rPr>
        <w:t>4.根据疾病情况，及时提出医疗意见。</w:t>
      </w:r>
    </w:p>
    <w:p w14:paraId="65EA439D">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eastAsia="zh-CN" w:bidi="ar"/>
        </w:rPr>
        <w:t>根据在押人员疾病需要及时提请专科医生或者专家进行会诊，能所内解决的医疗问题，尽可能不办理出所就医。对因疾病诊断需要外出检查的，或者疾病严重需要住院治疗的，或者病情严</w:t>
      </w:r>
      <w:r>
        <w:rPr>
          <w:rFonts w:hint="eastAsia" w:ascii="仿宋" w:hAnsi="仿宋" w:eastAsia="仿宋" w:cs="仿宋"/>
          <w:b w:val="0"/>
          <w:bCs w:val="0"/>
          <w:color w:val="auto"/>
          <w:sz w:val="21"/>
          <w:szCs w:val="21"/>
          <w:highlight w:val="none"/>
          <w:lang w:val="en-US" w:eastAsia="zh-CN" w:bidi="ar"/>
        </w:rPr>
        <w:t>重不宜继续羁押的患者及时提出意见。</w:t>
      </w:r>
    </w:p>
    <w:p w14:paraId="322DFAA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bidi="ar"/>
        </w:rPr>
        <w:t>5.发放并监督在押人员服用药物。</w:t>
      </w:r>
    </w:p>
    <w:p w14:paraId="58BBEAFE">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保证在押人员按医嘱用药，防止丢弃不服或者将药物积累。</w:t>
      </w:r>
    </w:p>
    <w:p w14:paraId="6BB54D3B">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bidi="ar"/>
        </w:rPr>
        <w:t>6.及时掌握和通报在押人员的病情。</w:t>
      </w:r>
    </w:p>
    <w:p w14:paraId="24AA8911">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将患有严重疾病的人员或者重要的病情变化情况及时通报给联络员和相关监管岗位民警，指导和协助管教民警对患者的日常生活管理。</w:t>
      </w:r>
    </w:p>
    <w:p w14:paraId="5F0A54CE">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7</w:t>
      </w:r>
      <w:r>
        <w:rPr>
          <w:rFonts w:hint="eastAsia" w:ascii="仿宋" w:hAnsi="仿宋" w:eastAsia="仿宋" w:cs="仿宋"/>
          <w:b w:val="0"/>
          <w:bCs w:val="0"/>
          <w:color w:val="auto"/>
          <w:sz w:val="21"/>
          <w:szCs w:val="21"/>
          <w:highlight w:val="none"/>
          <w:lang w:val="en-US" w:eastAsia="zh-CN" w:bidi="ar"/>
        </w:rPr>
        <w:t>.</w:t>
      </w:r>
      <w:r>
        <w:rPr>
          <w:rFonts w:hint="eastAsia" w:ascii="仿宋" w:hAnsi="仿宋" w:eastAsia="仿宋" w:cs="仿宋"/>
          <w:b w:val="0"/>
          <w:bCs w:val="0"/>
          <w:color w:val="auto"/>
          <w:sz w:val="21"/>
          <w:szCs w:val="21"/>
          <w:highlight w:val="none"/>
          <w:lang w:eastAsia="zh-CN" w:bidi="ar"/>
        </w:rPr>
        <w:t>定期开展对羁押期超半年的在押人员体检。</w:t>
      </w:r>
    </w:p>
    <w:p w14:paraId="15766CA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8</w:t>
      </w:r>
      <w:r>
        <w:rPr>
          <w:rFonts w:hint="eastAsia" w:ascii="仿宋" w:hAnsi="仿宋" w:eastAsia="仿宋" w:cs="仿宋"/>
          <w:b w:val="0"/>
          <w:bCs w:val="0"/>
          <w:color w:val="auto"/>
          <w:sz w:val="21"/>
          <w:szCs w:val="21"/>
          <w:highlight w:val="none"/>
          <w:lang w:val="en-US" w:eastAsia="zh-CN" w:bidi="ar"/>
        </w:rPr>
        <w:t>.</w:t>
      </w:r>
      <w:r>
        <w:rPr>
          <w:rFonts w:hint="eastAsia" w:ascii="仿宋" w:hAnsi="仿宋" w:eastAsia="仿宋" w:cs="仿宋"/>
          <w:b w:val="0"/>
          <w:bCs w:val="0"/>
          <w:color w:val="auto"/>
          <w:sz w:val="21"/>
          <w:szCs w:val="21"/>
          <w:highlight w:val="none"/>
          <w:lang w:eastAsia="zh-CN" w:bidi="ar"/>
        </w:rPr>
        <w:t>指导并协助监管场所做好卫生防疫工作。及时通报疫情，及时发现监区疫情并防止蔓延。</w:t>
      </w:r>
    </w:p>
    <w:p w14:paraId="5F6359BB">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9</w:t>
      </w:r>
      <w:r>
        <w:rPr>
          <w:rFonts w:hint="eastAsia" w:ascii="仿宋" w:hAnsi="仿宋" w:eastAsia="仿宋" w:cs="仿宋"/>
          <w:b w:val="0"/>
          <w:bCs w:val="0"/>
          <w:color w:val="auto"/>
          <w:sz w:val="21"/>
          <w:szCs w:val="21"/>
          <w:highlight w:val="none"/>
          <w:lang w:val="en-US" w:eastAsia="zh-CN" w:bidi="ar"/>
        </w:rPr>
        <w:t>.</w:t>
      </w:r>
      <w:r>
        <w:rPr>
          <w:rFonts w:hint="eastAsia" w:ascii="仿宋" w:hAnsi="仿宋" w:eastAsia="仿宋" w:cs="仿宋"/>
          <w:b w:val="0"/>
          <w:bCs w:val="0"/>
          <w:color w:val="auto"/>
          <w:sz w:val="21"/>
          <w:szCs w:val="21"/>
          <w:highlight w:val="none"/>
          <w:lang w:eastAsia="zh-CN" w:bidi="ar"/>
        </w:rPr>
        <w:t>针对监管场所的特点，落实好在押人员的健康管理工作。</w:t>
      </w:r>
    </w:p>
    <w:p w14:paraId="22DA73BC">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做好在押人员的健康教育，开设健康大讲堂，定期请专家前来授课；指导看守所组织有益于在押人员心身健康的运动；指导看守所在押人员的伙食供应，保证均衡营养；促进在押人员羁押期间的健康。</w:t>
      </w:r>
    </w:p>
    <w:p w14:paraId="0CC9368C">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10</w:t>
      </w:r>
      <w:r>
        <w:rPr>
          <w:rFonts w:hint="eastAsia" w:ascii="仿宋" w:hAnsi="仿宋" w:eastAsia="仿宋" w:cs="仿宋"/>
          <w:b w:val="0"/>
          <w:bCs w:val="0"/>
          <w:color w:val="auto"/>
          <w:sz w:val="21"/>
          <w:szCs w:val="21"/>
          <w:highlight w:val="none"/>
          <w:lang w:val="en-US" w:eastAsia="zh-CN" w:bidi="ar"/>
        </w:rPr>
        <w:t>.</w:t>
      </w:r>
      <w:r>
        <w:rPr>
          <w:rFonts w:hint="eastAsia" w:ascii="仿宋" w:hAnsi="仿宋" w:eastAsia="仿宋" w:cs="仿宋"/>
          <w:b w:val="0"/>
          <w:bCs w:val="0"/>
          <w:color w:val="auto"/>
          <w:sz w:val="21"/>
          <w:szCs w:val="21"/>
          <w:highlight w:val="none"/>
          <w:lang w:eastAsia="zh-CN" w:bidi="ar"/>
        </w:rPr>
        <w:t>开展监管医学的研究。</w:t>
      </w:r>
    </w:p>
    <w:p w14:paraId="74E2E646">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11.</w:t>
      </w:r>
      <w:r>
        <w:rPr>
          <w:rFonts w:hint="eastAsia" w:ascii="仿宋" w:hAnsi="仿宋" w:eastAsia="仿宋" w:cs="仿宋"/>
          <w:b w:val="0"/>
          <w:bCs w:val="0"/>
          <w:color w:val="auto"/>
          <w:sz w:val="21"/>
          <w:szCs w:val="21"/>
          <w:highlight w:val="none"/>
          <w:lang w:eastAsia="zh-CN" w:bidi="ar"/>
        </w:rPr>
        <w:t>做好医疗卫生机构内部的日常管理工作。</w:t>
      </w:r>
    </w:p>
    <w:p w14:paraId="7267328D">
      <w:pPr>
        <w:spacing w:line="360" w:lineRule="auto"/>
        <w:ind w:left="0" w:leftChars="0" w:firstLine="422" w:firstLineChars="200"/>
        <w:outlineLvl w:val="9"/>
        <w:rPr>
          <w:rFonts w:hint="eastAsia" w:ascii="仿宋" w:hAnsi="仿宋" w:eastAsia="仿宋" w:cs="仿宋"/>
          <w:b/>
          <w:bCs/>
          <w:color w:val="auto"/>
          <w:sz w:val="21"/>
          <w:szCs w:val="21"/>
          <w:highlight w:val="none"/>
          <w:lang w:eastAsia="zh-CN" w:bidi="ar"/>
        </w:rPr>
      </w:pPr>
      <w:r>
        <w:rPr>
          <w:rFonts w:hint="eastAsia" w:ascii="仿宋" w:hAnsi="仿宋" w:eastAsia="仿宋" w:cs="仿宋"/>
          <w:b/>
          <w:bCs/>
          <w:color w:val="auto"/>
          <w:sz w:val="21"/>
          <w:szCs w:val="21"/>
          <w:highlight w:val="none"/>
          <w:lang w:eastAsia="zh-CN" w:bidi="ar"/>
        </w:rPr>
        <w:t>（</w:t>
      </w:r>
      <w:r>
        <w:rPr>
          <w:rFonts w:hint="eastAsia" w:ascii="仿宋" w:hAnsi="仿宋" w:eastAsia="仿宋" w:cs="仿宋"/>
          <w:b/>
          <w:bCs/>
          <w:color w:val="auto"/>
          <w:sz w:val="21"/>
          <w:szCs w:val="21"/>
          <w:highlight w:val="none"/>
          <w:lang w:val="en-US" w:eastAsia="zh-CN" w:bidi="ar"/>
        </w:rPr>
        <w:t>二）</w:t>
      </w:r>
      <w:r>
        <w:rPr>
          <w:rFonts w:hint="eastAsia" w:ascii="仿宋" w:hAnsi="仿宋" w:eastAsia="仿宋" w:cs="仿宋"/>
          <w:b/>
          <w:bCs/>
          <w:color w:val="auto"/>
          <w:sz w:val="21"/>
          <w:szCs w:val="21"/>
          <w:highlight w:val="none"/>
          <w:lang w:eastAsia="zh-CN" w:bidi="ar"/>
        </w:rPr>
        <w:t>拘留所部分</w:t>
      </w:r>
    </w:p>
    <w:p w14:paraId="5823EF07">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1.</w:t>
      </w:r>
      <w:r>
        <w:rPr>
          <w:rFonts w:hint="eastAsia" w:ascii="仿宋" w:hAnsi="仿宋" w:eastAsia="仿宋" w:cs="仿宋"/>
          <w:b w:val="0"/>
          <w:bCs w:val="0"/>
          <w:color w:val="auto"/>
          <w:sz w:val="21"/>
          <w:szCs w:val="21"/>
          <w:highlight w:val="none"/>
          <w:lang w:eastAsia="zh-CN" w:bidi="ar"/>
        </w:rPr>
        <w:t>在拘留所设立一个医生岗位和一个护士岗位，实行24小时值班（含节假日）。</w:t>
      </w:r>
    </w:p>
    <w:p w14:paraId="1138EE94">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2.</w:t>
      </w:r>
      <w:r>
        <w:rPr>
          <w:rFonts w:hint="eastAsia" w:ascii="仿宋" w:hAnsi="仿宋" w:eastAsia="仿宋" w:cs="仿宋"/>
          <w:b w:val="0"/>
          <w:bCs w:val="0"/>
          <w:color w:val="auto"/>
          <w:sz w:val="21"/>
          <w:szCs w:val="21"/>
          <w:highlight w:val="none"/>
          <w:lang w:eastAsia="zh-CN" w:bidi="ar"/>
        </w:rPr>
        <w:t>负责在拘人员疾病诊治。</w:t>
      </w:r>
    </w:p>
    <w:p w14:paraId="0312FD65">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每日深入监区进行上、下午二次巡诊，及时诊治在拘人员的疾病。实行医生24小时值班制，及时处置急诊患病人员。负责急症、危重患病人员的紧急送院抢救处置。</w:t>
      </w:r>
    </w:p>
    <w:p w14:paraId="0A04D6D4">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3.</w:t>
      </w:r>
      <w:r>
        <w:rPr>
          <w:rFonts w:hint="eastAsia" w:ascii="仿宋" w:hAnsi="仿宋" w:eastAsia="仿宋" w:cs="仿宋"/>
          <w:b w:val="0"/>
          <w:bCs w:val="0"/>
          <w:color w:val="auto"/>
          <w:sz w:val="21"/>
          <w:szCs w:val="21"/>
          <w:highlight w:val="none"/>
          <w:lang w:eastAsia="zh-CN" w:bidi="ar"/>
        </w:rPr>
        <w:t>对严重慢性病患实行跟踪管理</w:t>
      </w:r>
    </w:p>
    <w:p w14:paraId="46D32A9B">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将入所体检或者日常诊治过程中发现需要跟踪观察的慢性病或者需要长期治疗、健康干预的对象，列入重点病犯管理对象，实行跟踪管理，预防治疗。</w:t>
      </w:r>
    </w:p>
    <w:p w14:paraId="640C1E55">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4.</w:t>
      </w:r>
      <w:r>
        <w:rPr>
          <w:rFonts w:hint="eastAsia" w:ascii="仿宋" w:hAnsi="仿宋" w:eastAsia="仿宋" w:cs="仿宋"/>
          <w:b w:val="0"/>
          <w:bCs w:val="0"/>
          <w:color w:val="auto"/>
          <w:sz w:val="21"/>
          <w:szCs w:val="21"/>
          <w:highlight w:val="none"/>
          <w:lang w:eastAsia="zh-CN" w:bidi="ar"/>
        </w:rPr>
        <w:t>根据疾病情况，及时提出医疗意见</w:t>
      </w:r>
    </w:p>
    <w:p w14:paraId="7447997F">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根据在拘人员疾病需要及时提请专科医生或者专家进行会诊，能所内解决的医疗问题，尽可能不办理出所就医。对因疾病诊断需要外出检查的，或者疾病严重需要住院治疗的，或者病情严重不宜继续拘押的患者及时提出意见。</w:t>
      </w:r>
    </w:p>
    <w:p w14:paraId="24A676BE">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5</w:t>
      </w:r>
      <w:r>
        <w:rPr>
          <w:rFonts w:hint="eastAsia" w:ascii="仿宋" w:hAnsi="仿宋" w:eastAsia="仿宋" w:cs="仿宋"/>
          <w:b w:val="0"/>
          <w:bCs w:val="0"/>
          <w:color w:val="auto"/>
          <w:sz w:val="21"/>
          <w:szCs w:val="21"/>
          <w:highlight w:val="none"/>
          <w:lang w:val="en-US" w:eastAsia="zh-CN" w:bidi="ar"/>
        </w:rPr>
        <w:t>.</w:t>
      </w:r>
      <w:r>
        <w:rPr>
          <w:rFonts w:hint="eastAsia" w:ascii="仿宋" w:hAnsi="仿宋" w:eastAsia="仿宋" w:cs="仿宋"/>
          <w:b w:val="0"/>
          <w:bCs w:val="0"/>
          <w:color w:val="auto"/>
          <w:sz w:val="21"/>
          <w:szCs w:val="21"/>
          <w:highlight w:val="none"/>
          <w:lang w:eastAsia="zh-CN" w:bidi="ar"/>
        </w:rPr>
        <w:t>指导发放在拘人员服用药物。</w:t>
      </w:r>
    </w:p>
    <w:p w14:paraId="65479B7B">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指导在拘人员按医嘱用药，对症用药，确保用药安全。</w:t>
      </w:r>
    </w:p>
    <w:p w14:paraId="2E559FD9">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6.</w:t>
      </w:r>
      <w:r>
        <w:rPr>
          <w:rFonts w:hint="eastAsia" w:ascii="仿宋" w:hAnsi="仿宋" w:eastAsia="仿宋" w:cs="仿宋"/>
          <w:b w:val="0"/>
          <w:bCs w:val="0"/>
          <w:color w:val="auto"/>
          <w:sz w:val="21"/>
          <w:szCs w:val="21"/>
          <w:highlight w:val="none"/>
          <w:lang w:eastAsia="zh-CN" w:bidi="ar"/>
        </w:rPr>
        <w:t>及时了解和通报在拘人员的病情。</w:t>
      </w:r>
    </w:p>
    <w:p w14:paraId="6C71B0D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eastAsia="zh-CN" w:bidi="ar"/>
        </w:rPr>
        <w:t>将患有严重疾病的人员或者重要的病情变化情况及时通报给管教民警，指导和协助管教民警对患者的日常生活管理。</w:t>
      </w:r>
    </w:p>
    <w:p w14:paraId="4493082F">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7.</w:t>
      </w:r>
      <w:r>
        <w:rPr>
          <w:rFonts w:hint="eastAsia" w:ascii="仿宋" w:hAnsi="仿宋" w:eastAsia="仿宋" w:cs="仿宋"/>
          <w:b w:val="0"/>
          <w:bCs w:val="0"/>
          <w:color w:val="auto"/>
          <w:sz w:val="21"/>
          <w:szCs w:val="21"/>
          <w:highlight w:val="none"/>
          <w:lang w:eastAsia="zh-CN" w:bidi="ar"/>
        </w:rPr>
        <w:t>指导并协助拘留所做好卫生防疫工作。及时通报疫情，及时发现监区疫情并防止蔓延。</w:t>
      </w:r>
    </w:p>
    <w:p w14:paraId="69D0BE0F">
      <w:pPr>
        <w:spacing w:line="360" w:lineRule="auto"/>
        <w:ind w:left="0" w:leftChars="0" w:firstLine="420" w:firstLineChars="200"/>
        <w:outlineLvl w:val="9"/>
        <w:rPr>
          <w:rFonts w:hint="eastAsia" w:ascii="仿宋" w:hAnsi="仿宋" w:eastAsia="仿宋" w:cs="仿宋"/>
          <w:b w:val="0"/>
          <w:bCs w:val="0"/>
          <w:color w:val="auto"/>
          <w:sz w:val="21"/>
          <w:szCs w:val="21"/>
          <w:highlight w:val="none"/>
          <w:lang w:eastAsia="zh-CN" w:bidi="ar"/>
        </w:rPr>
      </w:pPr>
      <w:r>
        <w:rPr>
          <w:rFonts w:hint="eastAsia" w:ascii="仿宋" w:hAnsi="仿宋" w:eastAsia="仿宋" w:cs="仿宋"/>
          <w:b w:val="0"/>
          <w:bCs w:val="0"/>
          <w:color w:val="auto"/>
          <w:sz w:val="21"/>
          <w:szCs w:val="21"/>
          <w:highlight w:val="none"/>
          <w:lang w:val="en-US" w:eastAsia="zh-CN" w:bidi="ar"/>
        </w:rPr>
        <w:t>8.</w:t>
      </w:r>
      <w:r>
        <w:rPr>
          <w:rFonts w:hint="eastAsia" w:ascii="仿宋" w:hAnsi="仿宋" w:eastAsia="仿宋" w:cs="仿宋"/>
          <w:b w:val="0"/>
          <w:bCs w:val="0"/>
          <w:color w:val="auto"/>
          <w:sz w:val="21"/>
          <w:szCs w:val="21"/>
          <w:highlight w:val="none"/>
          <w:lang w:eastAsia="zh-CN" w:bidi="ar"/>
        </w:rPr>
        <w:t>针对监管场所特点，落实好在拘人员的健康管理工作。</w:t>
      </w:r>
    </w:p>
    <w:p w14:paraId="7F383080">
      <w:pPr>
        <w:spacing w:line="360" w:lineRule="auto"/>
        <w:ind w:left="0" w:leftChars="0" w:firstLine="420" w:firstLineChars="200"/>
        <w:outlineLvl w:val="9"/>
        <w:rPr>
          <w:rFonts w:hint="eastAsia" w:ascii="仿宋" w:hAnsi="仿宋" w:eastAsia="仿宋" w:cs="仿宋"/>
          <w:b w:val="0"/>
          <w:bCs w:val="0"/>
          <w:color w:val="auto"/>
          <w:sz w:val="21"/>
          <w:szCs w:val="21"/>
          <w:highlight w:val="none"/>
          <w:lang w:val="en-US" w:eastAsia="zh-CN" w:bidi="ar"/>
        </w:rPr>
      </w:pPr>
      <w:r>
        <w:rPr>
          <w:rFonts w:hint="eastAsia" w:ascii="仿宋" w:hAnsi="仿宋" w:eastAsia="仿宋" w:cs="仿宋"/>
          <w:b w:val="0"/>
          <w:bCs w:val="0"/>
          <w:color w:val="auto"/>
          <w:sz w:val="21"/>
          <w:szCs w:val="21"/>
          <w:highlight w:val="none"/>
          <w:lang w:eastAsia="zh-CN" w:bidi="ar"/>
        </w:rPr>
        <w:t>做好在拘人员的健康教育，开设健康大讲堂；指导拘留所组织有益于在拘人员身心健康的运动；指导拘留所在拘人员的伙食供应，确保饮食安全卫生；促进在拘人员拘押期间的健康。</w:t>
      </w:r>
    </w:p>
    <w:p w14:paraId="0F0AA35B">
      <w:pPr>
        <w:numPr>
          <w:ilvl w:val="0"/>
          <w:numId w:val="0"/>
        </w:num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三、服务要求</w:t>
      </w:r>
    </w:p>
    <w:p w14:paraId="30FF39A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1.具有二乙以上公立医院资质，离监管场所相对较近，方便在押人员的急救和医疗资源的共享。</w:t>
      </w:r>
    </w:p>
    <w:p w14:paraId="4AA0F625">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中标医院必须向卫健委申请，在监管中心设立金华市**医院驻公安监管中心门诊部，门诊部法人由医院领导担任，由监管场所提供医疗场所和设施，医院委派有资质的医生、护士和医技人员。医院开通金华市级监管场所在押人员就医绿色通道，对在押人员入院救治、检查提供及时、通畅和便利服务，费用实行记帐。医院设立在押人员住院的专门监管病房，通过各科室医生围着监管病房转的方式保障在押人员的住院治疗。</w:t>
      </w:r>
    </w:p>
    <w:p w14:paraId="4FC83A08">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医院设立医疗机构内部管理体制，制定监管场所医疗机构的管理制度，明确医务人员各岗位职责，根据监管场所的实际情况制定医疗工作流程，保障在押人员患病得到及时医治，保障在押人员出所检查、治疗、抢救、住院等环节畅通无阻。遇到监管场所有突发危急的紧急医疗情况，医院应当按照看守所处置危重病患的紧急预案规定，全力配合抢救，并同看守所一道强化日常演练。</w:t>
      </w:r>
    </w:p>
    <w:p w14:paraId="2771A76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4.制定监管场所医务人员政策倾斜、优惠政策，明确奖罚措施，调动医务人员工作积极性，安心在看守所的工作，确保各项医疗卫生工作的有效完成。</w:t>
      </w:r>
    </w:p>
    <w:p w14:paraId="17A27D62">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5.检查督促医务人员认真执行医疗法律和法规，严格执行医疗技术操作规程，加强责任心教育，防范医疗差错和事故的发生，对医务人员的医疗质量进行日常检查和考核。</w:t>
      </w:r>
    </w:p>
    <w:p w14:paraId="5E1FFC91">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6.加强对医务人员的遵纪守法教育，自觉接受监管场所法律、法规和制度的约束。</w:t>
      </w:r>
    </w:p>
    <w:p w14:paraId="12C12013">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7.落实好医务人员的管理。医务人员由医院全面负责管理，接受监管场所的日常管理和安排。医院对医疗人员的考核、考证应当征求监管场所的意见。医院应当采用综合措施、鼓励政治觉悟高、责任心强、技术水平好的医务人员到监管场所工作。对不适合监管场所工作或者违法违规的医务人员，根据监管场所的要求及时予以调整更换。医务人员相对固定，定期轮换。</w:t>
      </w:r>
    </w:p>
    <w:p w14:paraId="41432D6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8.落实好医疗数据的对接，方便医疗信息的共享。</w:t>
      </w:r>
    </w:p>
    <w:p w14:paraId="4DBB8C4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9.遵守监管场所信息保密工作的规定。</w:t>
      </w:r>
    </w:p>
    <w:p w14:paraId="668B8A80">
      <w:p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四、监管场所服务区域的设定</w:t>
      </w:r>
    </w:p>
    <w:p w14:paraId="5E778FE5">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1.门诊部体检中心</w:t>
      </w:r>
    </w:p>
    <w:p w14:paraId="3666EA97">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负责入监体检的医务人员每班按5个岗位确定。负责病史采集、一般项目检查、胸片、心电图、B超、检验等工作。心电图、胸片的诊断可以通过远程诊断完成。按监管场所的要求完成入监人员常规检查，提出收押意见，建立健康档案。其中主检医生1人，由主治以上医师担任。其他岗位工作人员必须有相应的执业资格。</w:t>
      </w:r>
    </w:p>
    <w:p w14:paraId="5C213BEB">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体检中心工作时间为每日的14时到24时。非工作时间的入监人员体检，通过医院开设的绿色通道完成。承担金华市公安监管中心各羁押场所（看守所、拘留所、强戒所）入监人员的收押体检和日常疾病诊治的检查任务。</w:t>
      </w:r>
    </w:p>
    <w:p w14:paraId="4A57297C">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2.门诊部看守所区域</w:t>
      </w:r>
    </w:p>
    <w:p w14:paraId="466371B2">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每天安排医务人员6人：医生3人（人员相对固定，不可频繁调换），需具有医师以上职称，专业以大内科、全科、外科等为主；且医生应具备临床医学专业相关资格，其中两名医生分片负责日常巡诊，一名医生兼任慢性病、肺结核、危重病人员的全程管理。其中一人负责24小时值班，两人为普班。护士2人，执行医嘱，负责日常医疗事务工作，其中一人负责24小时值班，一人为普班。药剂1人，负责药品发放、药房管理。护士、药剂师必须具有相应的执业资格。工作作息时间执行看守所的规定，服从看守所管理。</w:t>
      </w:r>
    </w:p>
    <w:p w14:paraId="5A2B8229">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3.门诊部拘留所区域</w:t>
      </w:r>
    </w:p>
    <w:p w14:paraId="1390A4C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每天安排医务人员2人（含节假日）：医生1人，医师以上职称，负责慢性病、危重病人员的全程管理，24小时值班。护士1人，执行医嘱，负责日常医疗事务工作，24小时值班，负责药品发放、药房管理。工作作息时间执行拘留所的规定，服从拘留所管理。工作时间遵照拘留所的上下班时间。</w:t>
      </w:r>
    </w:p>
    <w:p w14:paraId="69962BAE">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4.医务人员职称规定</w:t>
      </w:r>
    </w:p>
    <w:p w14:paraId="48708C08">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体检中心、看守所主治医师各1人。</w:t>
      </w:r>
    </w:p>
    <w:p w14:paraId="08968256">
      <w:p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五、监管场所的医疗配合</w:t>
      </w:r>
    </w:p>
    <w:p w14:paraId="577ED46C">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1.提供医疗场所和设施。</w:t>
      </w:r>
    </w:p>
    <w:p w14:paraId="6D430D70">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监管场所提供体检中心、门诊部的相关医疗用房，提供医务人员值班室、休息室及相关办公设施和用品。按浙江省公安监管场所医疗卫生专业化建设标准提供医疗设备。医疗设备由医院负责管理、维护保养和维修。</w:t>
      </w:r>
    </w:p>
    <w:p w14:paraId="315C6A6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2.看守所设医疗联络员。</w:t>
      </w:r>
    </w:p>
    <w:p w14:paraId="2837A5C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负责医疗业务和管理教育工作的衔接，及时办理涉及医疗的日常事务，处置医疗工作中遇到的各类问题和突发事件，协调处理羁押过程中需要医务配合或介入的各项工作。</w:t>
      </w:r>
    </w:p>
    <w:p w14:paraId="2CCCC5F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3.负责监管安全。</w:t>
      </w:r>
    </w:p>
    <w:p w14:paraId="40F708F0">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监管民警负责对在押人员诊疗过程中的押解、现场警戒和监管，根据医嘱落实在押人员的日常生活照顾，教育在押人员实事求是反应病情，尊重医生的诊治，适时和医生沟通反馈在押人员的病情。医生巡诊、日常医疗事务中，由监区辅警负责现场戒护，监督服药过程中，由辅警配合。</w:t>
      </w:r>
    </w:p>
    <w:p w14:paraId="249CB12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4.制定健康管理工作指引。</w:t>
      </w:r>
    </w:p>
    <w:p w14:paraId="5F60BCA3">
      <w:pPr>
        <w:numPr>
          <w:ilvl w:val="0"/>
          <w:numId w:val="0"/>
        </w:numPr>
        <w:spacing w:line="360" w:lineRule="auto"/>
        <w:ind w:firstLine="420" w:firstLineChars="200"/>
        <w:outlineLvl w:val="9"/>
        <w:rPr>
          <w:rFonts w:hint="eastAsia" w:ascii="宋体" w:hAnsi="宋体" w:cs="宋体"/>
          <w:color w:val="auto"/>
          <w:sz w:val="28"/>
          <w:szCs w:val="36"/>
          <w:highlight w:val="none"/>
        </w:rPr>
      </w:pPr>
      <w:r>
        <w:rPr>
          <w:rFonts w:hint="eastAsia" w:ascii="仿宋" w:hAnsi="仿宋" w:eastAsia="仿宋" w:cs="仿宋"/>
          <w:color w:val="auto"/>
          <w:kern w:val="2"/>
          <w:sz w:val="21"/>
          <w:szCs w:val="24"/>
          <w:highlight w:val="none"/>
          <w:lang w:val="en-US" w:eastAsia="zh-CN" w:bidi="ar-SA"/>
        </w:rPr>
        <w:t>看守所根据监管法律、法规及监管医疗的特点，制定《健康管理工作指引》，作为医务人员监管场所工作的行为准则。</w:t>
      </w:r>
    </w:p>
    <w:p w14:paraId="3196767C">
      <w:pPr>
        <w:numPr>
          <w:ilvl w:val="0"/>
          <w:numId w:val="0"/>
        </w:num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bidi="ar"/>
        </w:rPr>
        <w:t>六、</w:t>
      </w:r>
      <w:r>
        <w:rPr>
          <w:rFonts w:hint="eastAsia" w:ascii="仿宋" w:hAnsi="仿宋" w:eastAsia="仿宋" w:cs="仿宋"/>
          <w:b/>
          <w:bCs/>
          <w:color w:val="auto"/>
          <w:sz w:val="24"/>
          <w:szCs w:val="24"/>
          <w:highlight w:val="none"/>
          <w:lang w:val="en-US" w:eastAsia="zh-CN" w:bidi="ar"/>
        </w:rPr>
        <w:t>医疗报酬及费用结算的界定</w:t>
      </w:r>
    </w:p>
    <w:p w14:paraId="256ED917">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门诊部体检中心医务人员工资报酬每天支付600元。门诊部看守所区域值班医生24小时工资报酬支付1050元;门诊部看守所区域值班护士24小时工资报酬支付1000元；普班医务人员工资报酬每人每天支付500元。根据上述计算标准，11个岗位（如果折算成8小时5天工作制，约需要24人的编制）一年365天，共计支付工资报酬257.325万元。工作报酬实行定额制，分12个月支付。</w:t>
      </w:r>
    </w:p>
    <w:p w14:paraId="1C46AF8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2.门诊部拘留所区域值班医生、值班护士按年度工资总额72.5万元支付。</w:t>
      </w:r>
    </w:p>
    <w:p w14:paraId="205BBD24">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3.给予在监管中心工作的12个工作岗位每月补助伙食费300元，年度伙食补助43200元，由医院按月足额发放给医务人员。</w:t>
      </w:r>
    </w:p>
    <w:p w14:paraId="1B238B00">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在押人员入监体检根据时间段安排，在监管场所体检中心和医院急诊科完成，根据入监体检要求设定套餐，按医院收费标准进行价格下浮申报招标；羁押期限超半年的人员体检由医院专门组派人员、携带设备到看守所内进行，每季度开展一次，半年体检套餐按医院标准下浮招标收费。体检的耗材包含在体检费中，由医院提供，不再收取费用。</w:t>
      </w:r>
    </w:p>
    <w:p w14:paraId="0B2D6E48">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所内在押人员疾病诊治的药费和耗材（含医院提供的医疗日常用品和办公用品）根据医院收费标准，按实际产生的费用实行零差价结算，不再收取诊疗费。化验费按医院的收费标准结算；日常诊治需要，到体检中心进行B超、心电图、DR等项目的日常检查，不再收费。</w:t>
      </w:r>
    </w:p>
    <w:p w14:paraId="1F71249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6.医院应当制定适合监管场所在押人员的药品目录清单，在医保报销范围内选用疗效确切、价格低廉、使用方便、兼顾监管安全的药品。特殊用药需要经看守所审核同意后采购。药品由医院药库统一采购、供应。</w:t>
      </w:r>
    </w:p>
    <w:p w14:paraId="7EAEACA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在押人员口服药品按餐分包，包装材料由医院提供，按医院成本标准收费。</w:t>
      </w:r>
    </w:p>
    <w:p w14:paraId="27B0E36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7.委派专科或者专家来所会诊按职称收取会诊费，若医院无相关专科专家时，可请外院专家会诊。主任医师500元/次；副主任医师400元/次；主治医师300元/次。远程会诊按每次150元支付。会诊费列入在押人员诊疗费（医药费）内支付。</w:t>
      </w:r>
    </w:p>
    <w:p w14:paraId="588DCAD2">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在体检中心工作时间，体检中心医务人员必须配合各医疗区域的工作，到各医疗区域进行B超等项目检查，不再收取会诊费等费用。</w:t>
      </w:r>
    </w:p>
    <w:p w14:paraId="4CD2C86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8.在押人员到医院的检查诊治，按医院收费标准收费，请院外专家会诊的，按医院标准收费，费用实行绿色通道记帐。</w:t>
      </w:r>
    </w:p>
    <w:p w14:paraId="4C3757B9">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住院人员产生的医药费按医院标准收费，实行记帐，年度结算一次，不列入本招标金额，由看守所向市财政申请专项经费，另外结算。</w:t>
      </w:r>
    </w:p>
    <w:p w14:paraId="3451AF3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9.医院按规定交纳医疗责任险，年度医疗责任险费用为4万元，列入看守所在押人员医药费内开支，保障医疗差错或医疗责任事故的赔付。</w:t>
      </w:r>
    </w:p>
    <w:p w14:paraId="3AE53C78">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10.由于入监人数、日均羁押量无法确定，患有各类慢性疾病的人员和突发疾病具有不可预测性，因此在押人员体检费和医药费具有很大的变数。如果实际产生的体检费和医药费小于招标金额的，按实际产生的费用支付；如果实际产生的医药费和体检费大于招标金额的，超10%之内通过签订补充协议的方式支付。</w:t>
      </w:r>
    </w:p>
    <w:p w14:paraId="774EAF2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医院应当控制医疗费用，根据招标情况具实按月结算支付，在第三季度末进行年度医疗费用预测，及时向各所通报。</w:t>
      </w:r>
    </w:p>
    <w:p w14:paraId="2183E0F5">
      <w:pPr>
        <w:numPr>
          <w:ilvl w:val="0"/>
          <w:numId w:val="0"/>
        </w:numPr>
        <w:shd w:val="clea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11.招标完成后，由看守所和拘留所分别与中标医院签订合同。其中人工工资分别按年度工资总额分12个月由各自帐户支付。</w:t>
      </w:r>
    </w:p>
    <w:p w14:paraId="48A44AB2">
      <w:pPr>
        <w:numPr>
          <w:ilvl w:val="0"/>
          <w:numId w:val="0"/>
        </w:numPr>
        <w:shd w:val="clea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医药费、体检费等根据年度总额范围内各自支付，由各所每月根据招标结果具实结算支付。由于特殊原因无法按合同派员，则按实际情况结算医务人员工资。</w:t>
      </w:r>
    </w:p>
    <w:p w14:paraId="62498E49">
      <w:pPr>
        <w:numPr>
          <w:ilvl w:val="0"/>
          <w:numId w:val="0"/>
        </w:numPr>
        <w:shd w:val="clea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七、未涉及事项的处理</w:t>
      </w:r>
    </w:p>
    <w:p w14:paraId="48ACFAC9">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1.当监区内发生公共卫生事件需要中标医院增派医务人员时，劳动报酬参照门诊部看守所区域值班医生、护士和普班医务人员工资报酬支付。</w:t>
      </w:r>
    </w:p>
    <w:p w14:paraId="362323C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2.由于特殊原因，需要临时减少岗位或者有关岗位需要停止工作的按前述工资测算标准予以相应的扣减。</w:t>
      </w:r>
    </w:p>
    <w:p w14:paraId="6D33230E">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3.若在押人员或在拘人员需住院治疗，原则上安排到中标医院监管病房住院治疗。</w:t>
      </w:r>
    </w:p>
    <w:p w14:paraId="0C108FB3">
      <w:pPr>
        <w:numPr>
          <w:ilvl w:val="0"/>
          <w:numId w:val="0"/>
        </w:numPr>
        <w:shd w:val="clear"/>
        <w:spacing w:line="360" w:lineRule="auto"/>
        <w:ind w:firstLine="482" w:firstLineChars="200"/>
        <w:outlineLvl w:val="9"/>
        <w:rPr>
          <w:rFonts w:hint="eastAsia" w:ascii="仿宋" w:hAnsi="仿宋" w:eastAsia="仿宋" w:cs="仿宋"/>
          <w:b/>
          <w:bCs/>
          <w:color w:val="auto"/>
          <w:kern w:val="2"/>
          <w:sz w:val="21"/>
          <w:szCs w:val="24"/>
          <w:highlight w:val="none"/>
          <w:lang w:val="en-US" w:eastAsia="zh-CN" w:bidi="ar-SA"/>
        </w:rPr>
      </w:pPr>
      <w:r>
        <w:rPr>
          <w:rFonts w:hint="eastAsia" w:ascii="宋体" w:hAnsi="宋体" w:eastAsia="宋体" w:cs="宋体"/>
          <w:b/>
          <w:bCs/>
          <w:color w:val="auto"/>
          <w:sz w:val="24"/>
          <w:highlight w:val="none"/>
          <w:lang w:eastAsia="zh-CN"/>
        </w:rPr>
        <w:t>★</w:t>
      </w:r>
      <w:r>
        <w:rPr>
          <w:rFonts w:hint="eastAsia" w:ascii="仿宋" w:hAnsi="仿宋" w:eastAsia="仿宋" w:cs="仿宋"/>
          <w:b/>
          <w:bCs/>
          <w:color w:val="auto"/>
          <w:kern w:val="2"/>
          <w:sz w:val="21"/>
          <w:szCs w:val="24"/>
          <w:highlight w:val="none"/>
          <w:lang w:val="en-US" w:eastAsia="zh-CN" w:bidi="ar-SA"/>
        </w:rPr>
        <w:t>4.（1）严禁中标供应商实施任何未经审批、论证的变更事项。所有项目变更必须按业主方内控要求严格履行规定的审批和论证程序。</w:t>
      </w:r>
    </w:p>
    <w:p w14:paraId="50130F5C">
      <w:pPr>
        <w:numPr>
          <w:ilvl w:val="0"/>
          <w:numId w:val="0"/>
        </w:numPr>
        <w:shd w:val="clear"/>
        <w:spacing w:line="360" w:lineRule="auto"/>
        <w:ind w:firstLine="422" w:firstLineChars="200"/>
        <w:outlineLvl w:val="9"/>
        <w:rPr>
          <w:rFonts w:hint="default" w:ascii="仿宋" w:hAnsi="仿宋" w:eastAsia="仿宋" w:cs="仿宋"/>
          <w:b/>
          <w:bCs/>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2）项目实施过程中，如需变更，中标供应商必须凭业主方正式签发的《项目变更通知书》执行。中标供应商收到《项目变更通知书》后，必须严格按照通知书载明的、经审批同意的变更内容执行，不得擅自扩大、缩小、修改或曲解变更要求。</w:t>
      </w:r>
    </w:p>
    <w:p w14:paraId="7B4812E1">
      <w:pPr>
        <w:numPr>
          <w:ilvl w:val="0"/>
          <w:numId w:val="0"/>
        </w:numPr>
        <w:shd w:val="clear"/>
        <w:spacing w:line="360" w:lineRule="auto"/>
        <w:ind w:firstLine="422" w:firstLineChars="200"/>
        <w:outlineLvl w:val="9"/>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（3）对于中标供应商未经审批、未获得《项目变更通知书》而实施的任何变更：相关工作量及费用不予认可；视为供应商违约，按合同约定及法律法规追究其相应责任。</w:t>
      </w:r>
    </w:p>
    <w:p w14:paraId="5665BB40">
      <w:pPr>
        <w:numPr>
          <w:ilvl w:val="0"/>
          <w:numId w:val="0"/>
        </w:numPr>
        <w:shd w:val="clea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w:t>
      </w:r>
      <w:r>
        <w:rPr>
          <w:rFonts w:hint="eastAsia" w:ascii="仿宋" w:hAnsi="仿宋" w:eastAsia="仿宋" w:cs="仿宋"/>
          <w:b w:val="0"/>
          <w:bCs/>
          <w:color w:val="auto"/>
          <w:sz w:val="21"/>
          <w:szCs w:val="21"/>
          <w:highlight w:val="none"/>
          <w:shd w:val="clear"/>
          <w:lang w:val="en-US" w:eastAsia="zh-CN"/>
        </w:rPr>
        <w:t>本合同服务期一年，一年服务期满后，经金华市看守所、金华市拘留所对中标医院服务质量、响应速度等方面测评满意（评分标准详见“第三章招标需求附件五”），认为符合续签条件且年度内无违约行为的，在财政政策、服务费用不变的情况下，方可续签下一年的合同（最多续签两次）。甲方也可以选择不续签，有权组织招标。</w:t>
      </w:r>
    </w:p>
    <w:p w14:paraId="07AE4223">
      <w:pPr>
        <w:numPr>
          <w:ilvl w:val="0"/>
          <w:numId w:val="0"/>
        </w:numPr>
        <w:shd w:val="clear"/>
        <w:spacing w:line="360" w:lineRule="auto"/>
        <w:ind w:firstLine="420" w:firstLineChars="200"/>
        <w:outlineLvl w:val="9"/>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6.未尽事宜，双方可协商解决。</w:t>
      </w:r>
    </w:p>
    <w:p w14:paraId="3D169A6A">
      <w:p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八、付款方式</w:t>
      </w:r>
    </w:p>
    <w:p w14:paraId="2359E1EC">
      <w:pPr>
        <w:numPr>
          <w:ilvl w:val="0"/>
          <w:numId w:val="0"/>
        </w:numPr>
        <w:spacing w:line="360" w:lineRule="auto"/>
        <w:ind w:firstLine="420" w:firstLineChars="200"/>
        <w:outlineLvl w:val="9"/>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rPr>
        <w:t>合同签订后，</w:t>
      </w:r>
      <w:r>
        <w:rPr>
          <w:rFonts w:hint="eastAsia" w:ascii="仿宋" w:hAnsi="仿宋" w:eastAsia="仿宋" w:cs="仿宋"/>
          <w:color w:val="auto"/>
          <w:highlight w:val="none"/>
          <w:lang w:val="en-US" w:eastAsia="zh-CN"/>
        </w:rPr>
        <w:t>由看守所和拘留所分别根据招标情况具实按月结算支付；</w:t>
      </w:r>
    </w:p>
    <w:p w14:paraId="124628D9">
      <w:pPr>
        <w:numPr>
          <w:ilvl w:val="0"/>
          <w:numId w:val="0"/>
        </w:numPr>
        <w:spacing w:line="360" w:lineRule="auto"/>
        <w:ind w:firstLine="420" w:firstLineChars="200"/>
        <w:outlineLvl w:val="9"/>
        <w:rPr>
          <w:rFonts w:hint="eastAsia" w:ascii="仿宋" w:hAnsi="仿宋" w:eastAsia="仿宋" w:cs="仿宋"/>
          <w:color w:val="auto"/>
          <w:highlight w:val="none"/>
        </w:rPr>
      </w:pPr>
      <w:r>
        <w:rPr>
          <w:rFonts w:hint="eastAsia" w:ascii="仿宋" w:hAnsi="仿宋" w:eastAsia="仿宋" w:cs="仿宋"/>
          <w:color w:val="auto"/>
          <w:highlight w:val="none"/>
        </w:rPr>
        <w:t>（二）中标人在结算</w:t>
      </w:r>
      <w:r>
        <w:rPr>
          <w:rFonts w:hint="eastAsia" w:ascii="仿宋" w:hAnsi="仿宋" w:eastAsia="仿宋" w:cs="仿宋"/>
          <w:color w:val="auto"/>
          <w:highlight w:val="none"/>
          <w:lang w:val="en-US" w:eastAsia="zh-CN"/>
        </w:rPr>
        <w:t>每月费用时</w:t>
      </w:r>
      <w:r>
        <w:rPr>
          <w:rFonts w:hint="eastAsia" w:ascii="仿宋" w:hAnsi="仿宋" w:eastAsia="仿宋" w:cs="仿宋"/>
          <w:color w:val="auto"/>
          <w:highlight w:val="none"/>
        </w:rPr>
        <w:t>需提供正式的税务发票，采购人7个工作日内支付。</w:t>
      </w:r>
    </w:p>
    <w:p w14:paraId="5997EC5A">
      <w:pPr>
        <w:adjustRightInd w:val="0"/>
        <w:snapToGrid w:val="0"/>
        <w:spacing w:line="360" w:lineRule="auto"/>
        <w:ind w:firstLine="482" w:firstLineChars="200"/>
        <w:outlineLvl w:val="1"/>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附件：</w:t>
      </w:r>
    </w:p>
    <w:p w14:paraId="06113F54">
      <w:pPr>
        <w:numPr>
          <w:ilvl w:val="0"/>
          <w:numId w:val="0"/>
        </w:numPr>
        <w:spacing w:line="360" w:lineRule="auto"/>
        <w:ind w:left="0" w:leftChars="0" w:firstLine="0" w:firstLineChars="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一、看守所入监人员体检套餐项目</w:t>
      </w:r>
    </w:p>
    <w:p w14:paraId="7515BE03">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体检对象：全员检测。</w:t>
      </w:r>
    </w:p>
    <w:p w14:paraId="269C0D8E">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1、病史采集：基本情况、个人生活史、既往病史、家族史、女性月经史、现病史等。</w:t>
      </w:r>
    </w:p>
    <w:p w14:paraId="4742CFC7">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2、一般项目检查：身高、体重、血压、脉搏、内科、外科、五官科等。</w:t>
      </w:r>
    </w:p>
    <w:p w14:paraId="0BD2D7D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3、伤情检查：伤情情况、受伤原因（本人表述、送押人员情况说明）、诊治处理情况。</w:t>
      </w:r>
    </w:p>
    <w:p w14:paraId="304B64B1">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4、心电图、胸片；</w:t>
      </w:r>
    </w:p>
    <w:p w14:paraId="3234D7E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5、B超：肝、胆、胰、脾、双肾、输尿管、膀胱。根据主检医生体检意见，视情增加相应的项目。</w:t>
      </w:r>
    </w:p>
    <w:p w14:paraId="2B2CB101">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6、血常规、肝肾功能、艾滋病抗体初筛、血HCG、尿常规。</w:t>
      </w:r>
    </w:p>
    <w:p w14:paraId="3D96023F">
      <w:pPr>
        <w:numPr>
          <w:ilvl w:val="0"/>
          <w:numId w:val="0"/>
        </w:numPr>
        <w:spacing w:line="360" w:lineRule="auto"/>
        <w:ind w:left="0" w:leftChars="0" w:firstLine="0" w:firstLineChars="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二、拘留所入所人员体检套餐项目</w:t>
      </w:r>
    </w:p>
    <w:p w14:paraId="3A8D020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体检对象：行政拘留人员、司法拘留人员、患有严重慢性病的治安处罚拘留人员（除铁路派出所、国家安全局等部门外，体检费用由送拘单位自行负责，不包含在本次招标范围内）</w:t>
      </w:r>
    </w:p>
    <w:p w14:paraId="15BDF48A">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1、病史采集：基本情况、个人生活史、既往病史、家族史、女性月经史、现病史等。</w:t>
      </w:r>
    </w:p>
    <w:p w14:paraId="3E323E6F">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2、一般项目检查：身高、体重、血压、脉搏、内科、外科、五官科等。</w:t>
      </w:r>
    </w:p>
    <w:p w14:paraId="6685819A">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3、伤情检查：伤情情况、受伤原因（本人表述、送押人员情况说明）、诊治处理情况。</w:t>
      </w:r>
    </w:p>
    <w:p w14:paraId="3BB2B166">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4、心电图、胸片；</w:t>
      </w:r>
    </w:p>
    <w:p w14:paraId="0C3BCBFD">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5、B超：肝、胆、胰、脾、双肾、输尿管、膀胱。根据主检医生体检意见，视情增加相应的项目。</w:t>
      </w:r>
    </w:p>
    <w:p w14:paraId="5945FFF4">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6、血常规、尿常规。</w:t>
      </w:r>
    </w:p>
    <w:p w14:paraId="03B87C2E">
      <w:pPr>
        <w:numPr>
          <w:ilvl w:val="0"/>
          <w:numId w:val="0"/>
        </w:numPr>
        <w:spacing w:line="360" w:lineRule="auto"/>
        <w:ind w:left="0" w:leftChars="0" w:firstLine="0" w:firstLineChars="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三、拘留所入所人员的一般项目</w:t>
      </w:r>
    </w:p>
    <w:p w14:paraId="2BA5CE23">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1、病史采集：基本情况、个人生活史、既往病史、家族史、女性月经史、现病史等。</w:t>
      </w:r>
    </w:p>
    <w:p w14:paraId="5757B690">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2、一般项目检查：身高、体重、血压、脉搏、内科、外科、五官科等。</w:t>
      </w:r>
    </w:p>
    <w:p w14:paraId="4BF09E60">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3、伤情检查：伤情情况、受伤原因（本人表述、送押人员情况说明）、诊治处理情况。</w:t>
      </w:r>
    </w:p>
    <w:p w14:paraId="422F37BE">
      <w:pPr>
        <w:numPr>
          <w:ilvl w:val="0"/>
          <w:numId w:val="0"/>
        </w:numPr>
        <w:spacing w:line="360" w:lineRule="auto"/>
        <w:ind w:left="0" w:leftChars="0" w:firstLine="0" w:firstLineChars="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四、半年体检套餐</w:t>
      </w:r>
    </w:p>
    <w:p w14:paraId="723CAAEC">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1、一般项目检查：身高、体重、血压、脉搏、内科、外科、五官科等。</w:t>
      </w:r>
    </w:p>
    <w:p w14:paraId="0A6E16AA">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2、心电图。</w:t>
      </w:r>
    </w:p>
    <w:p w14:paraId="0EFBFF28">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3、B超：肝、胆、胰、脾、双肾、输尿管、膀胱。根据主检医生体检意见，视情增加相应的项目。</w:t>
      </w:r>
    </w:p>
    <w:p w14:paraId="44555092">
      <w:pPr>
        <w:numPr>
          <w:ilvl w:val="0"/>
          <w:numId w:val="0"/>
        </w:numPr>
        <w:spacing w:line="360" w:lineRule="auto"/>
        <w:ind w:firstLine="420" w:firstLineChars="20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4、血常规、肝肾功能、结核菌素抗体、尿常规。</w:t>
      </w:r>
    </w:p>
    <w:p w14:paraId="38365968">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br w:type="page"/>
      </w:r>
    </w:p>
    <w:p w14:paraId="6246A794">
      <w:pPr>
        <w:numPr>
          <w:ilvl w:val="0"/>
          <w:numId w:val="0"/>
        </w:numPr>
        <w:spacing w:line="360" w:lineRule="auto"/>
        <w:ind w:left="0" w:leftChars="0" w:firstLine="0" w:firstLineChars="0"/>
        <w:outlineLvl w:val="9"/>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五、金华市监管场所医疗服务评价表</w:t>
      </w:r>
    </w:p>
    <w:p w14:paraId="7488889C">
      <w:pPr>
        <w:numPr>
          <w:ilvl w:val="0"/>
          <w:numId w:val="0"/>
        </w:numPr>
        <w:spacing w:line="360" w:lineRule="auto"/>
        <w:ind w:firstLine="2741" w:firstLineChars="1300"/>
        <w:jc w:val="both"/>
        <w:outlineLvl w:val="9"/>
        <w:rPr>
          <w:rFonts w:hint="eastAsia" w:ascii="仿宋" w:hAnsi="仿宋" w:eastAsia="仿宋" w:cs="仿宋"/>
          <w:b/>
          <w:bCs/>
          <w:color w:val="auto"/>
          <w:kern w:val="2"/>
          <w:sz w:val="21"/>
          <w:szCs w:val="21"/>
          <w:highlight w:val="none"/>
          <w:lang w:val="en-US" w:eastAsia="zh-CN" w:bidi="ar-SA"/>
        </w:rPr>
      </w:pPr>
    </w:p>
    <w:p w14:paraId="4A9A418A">
      <w:pPr>
        <w:numPr>
          <w:ilvl w:val="0"/>
          <w:numId w:val="0"/>
        </w:numPr>
        <w:spacing w:line="360" w:lineRule="auto"/>
        <w:ind w:firstLine="2741" w:firstLineChars="1300"/>
        <w:jc w:val="both"/>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金华市监管场所医疗服务评价表</w:t>
      </w:r>
    </w:p>
    <w:p w14:paraId="2B2A9458">
      <w:pPr>
        <w:numPr>
          <w:ilvl w:val="0"/>
          <w:numId w:val="0"/>
        </w:numPr>
        <w:spacing w:line="360" w:lineRule="auto"/>
        <w:ind w:firstLine="420" w:firstLineChars="20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评价阶段：   年   月</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6"/>
        <w:gridCol w:w="1650"/>
        <w:gridCol w:w="1410"/>
        <w:gridCol w:w="1635"/>
      </w:tblGrid>
      <w:tr w14:paraId="5BE1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center"/>
          </w:tcPr>
          <w:p w14:paraId="7E6C45F9">
            <w:pPr>
              <w:numPr>
                <w:ilvl w:val="0"/>
                <w:numId w:val="0"/>
              </w:numPr>
              <w:spacing w:line="360" w:lineRule="auto"/>
              <w:ind w:left="0" w:leftChars="0" w:firstLine="0" w:firstLineChars="0"/>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评价项目</w:t>
            </w:r>
          </w:p>
        </w:tc>
        <w:tc>
          <w:tcPr>
            <w:tcW w:w="1650" w:type="dxa"/>
            <w:noWrap w:val="0"/>
            <w:vAlign w:val="center"/>
          </w:tcPr>
          <w:p w14:paraId="74C244A3">
            <w:pPr>
              <w:numPr>
                <w:ilvl w:val="0"/>
                <w:numId w:val="0"/>
              </w:numPr>
              <w:spacing w:line="360" w:lineRule="auto"/>
              <w:ind w:left="0" w:leftChars="0" w:firstLine="0" w:firstLineChars="0"/>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良好</w:t>
            </w:r>
          </w:p>
        </w:tc>
        <w:tc>
          <w:tcPr>
            <w:tcW w:w="1410" w:type="dxa"/>
            <w:noWrap w:val="0"/>
            <w:vAlign w:val="center"/>
          </w:tcPr>
          <w:p w14:paraId="53FD6DE1">
            <w:pPr>
              <w:numPr>
                <w:ilvl w:val="0"/>
                <w:numId w:val="0"/>
              </w:numPr>
              <w:spacing w:line="360" w:lineRule="auto"/>
              <w:ind w:left="0" w:leftChars="0" w:firstLine="0" w:firstLineChars="0"/>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一般</w:t>
            </w:r>
          </w:p>
        </w:tc>
        <w:tc>
          <w:tcPr>
            <w:tcW w:w="1635" w:type="dxa"/>
            <w:noWrap w:val="0"/>
            <w:vAlign w:val="center"/>
          </w:tcPr>
          <w:p w14:paraId="0A1F18F8">
            <w:pPr>
              <w:numPr>
                <w:ilvl w:val="0"/>
                <w:numId w:val="0"/>
              </w:numPr>
              <w:spacing w:line="360" w:lineRule="auto"/>
              <w:ind w:left="0" w:leftChars="0" w:firstLine="0" w:firstLineChars="0"/>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差</w:t>
            </w:r>
          </w:p>
        </w:tc>
      </w:tr>
      <w:tr w14:paraId="62F6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56F64AD2">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医务人员到岗情况</w:t>
            </w:r>
          </w:p>
        </w:tc>
        <w:tc>
          <w:tcPr>
            <w:tcW w:w="1650" w:type="dxa"/>
            <w:noWrap w:val="0"/>
            <w:vAlign w:val="top"/>
          </w:tcPr>
          <w:p w14:paraId="606BCCE2">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739F3EDB">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4568BDD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640D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071D55DD">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入监体检影响健康的因素筛查</w:t>
            </w:r>
          </w:p>
        </w:tc>
        <w:tc>
          <w:tcPr>
            <w:tcW w:w="1650" w:type="dxa"/>
            <w:noWrap w:val="0"/>
            <w:vAlign w:val="top"/>
          </w:tcPr>
          <w:p w14:paraId="081B1630">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00C3FD3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3BFE070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6CBF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24EE588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健康档案的建立</w:t>
            </w:r>
          </w:p>
        </w:tc>
        <w:tc>
          <w:tcPr>
            <w:tcW w:w="1650" w:type="dxa"/>
            <w:noWrap w:val="0"/>
            <w:vAlign w:val="top"/>
          </w:tcPr>
          <w:p w14:paraId="6A55C844">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65351DE9">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010F48F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0A9B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0361DFBB">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监区巡诊落实</w:t>
            </w:r>
          </w:p>
        </w:tc>
        <w:tc>
          <w:tcPr>
            <w:tcW w:w="1650" w:type="dxa"/>
            <w:noWrap w:val="0"/>
            <w:vAlign w:val="top"/>
          </w:tcPr>
          <w:p w14:paraId="301E3583">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0E09C36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5EEC87E3">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64E9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036" w:type="dxa"/>
            <w:noWrap w:val="0"/>
            <w:vAlign w:val="top"/>
          </w:tcPr>
          <w:p w14:paraId="449957E0">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急诊报告处置</w:t>
            </w:r>
          </w:p>
        </w:tc>
        <w:tc>
          <w:tcPr>
            <w:tcW w:w="1650" w:type="dxa"/>
            <w:noWrap w:val="0"/>
            <w:vAlign w:val="top"/>
          </w:tcPr>
          <w:p w14:paraId="256A5EA8">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35C4ADE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0EA4722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7D09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4C8C3C82">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慢性病和危重病患者掌控</w:t>
            </w:r>
          </w:p>
        </w:tc>
        <w:tc>
          <w:tcPr>
            <w:tcW w:w="1650" w:type="dxa"/>
            <w:noWrap w:val="0"/>
            <w:vAlign w:val="top"/>
          </w:tcPr>
          <w:p w14:paraId="41E97816">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71463F60">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61495340">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7F5F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0C7BFA1B">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监督用药</w:t>
            </w:r>
          </w:p>
        </w:tc>
        <w:tc>
          <w:tcPr>
            <w:tcW w:w="1650" w:type="dxa"/>
            <w:noWrap w:val="0"/>
            <w:vAlign w:val="top"/>
          </w:tcPr>
          <w:p w14:paraId="5D04599B">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0700C5D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44514F3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0E94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1C723DEE">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健康教育</w:t>
            </w:r>
          </w:p>
        </w:tc>
        <w:tc>
          <w:tcPr>
            <w:tcW w:w="1650" w:type="dxa"/>
            <w:noWrap w:val="0"/>
            <w:vAlign w:val="top"/>
          </w:tcPr>
          <w:p w14:paraId="7036E090">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4CF9F61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0457F0F6">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5CC0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63D134E5">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到医院诊治、住院顺畅情况</w:t>
            </w:r>
          </w:p>
        </w:tc>
        <w:tc>
          <w:tcPr>
            <w:tcW w:w="1650" w:type="dxa"/>
            <w:noWrap w:val="0"/>
            <w:vAlign w:val="top"/>
          </w:tcPr>
          <w:p w14:paraId="198C8DC2">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69646F4D">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2373437D">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03AC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4F47F726">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医疗建议</w:t>
            </w:r>
          </w:p>
        </w:tc>
        <w:tc>
          <w:tcPr>
            <w:tcW w:w="1650" w:type="dxa"/>
            <w:noWrap w:val="0"/>
            <w:vAlign w:val="top"/>
          </w:tcPr>
          <w:p w14:paraId="31A19A99">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1EF36E47">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73199CF4">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r w14:paraId="40D4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6" w:type="dxa"/>
            <w:noWrap w:val="0"/>
            <w:vAlign w:val="top"/>
          </w:tcPr>
          <w:p w14:paraId="2B5CCF4A">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遵守监管场所规定</w:t>
            </w:r>
          </w:p>
        </w:tc>
        <w:tc>
          <w:tcPr>
            <w:tcW w:w="1650" w:type="dxa"/>
            <w:noWrap w:val="0"/>
            <w:vAlign w:val="top"/>
          </w:tcPr>
          <w:p w14:paraId="0C93B784">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410" w:type="dxa"/>
            <w:noWrap w:val="0"/>
            <w:vAlign w:val="top"/>
          </w:tcPr>
          <w:p w14:paraId="12182E59">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c>
          <w:tcPr>
            <w:tcW w:w="1635" w:type="dxa"/>
            <w:noWrap w:val="0"/>
            <w:vAlign w:val="top"/>
          </w:tcPr>
          <w:p w14:paraId="3DE3CA01">
            <w:pPr>
              <w:numPr>
                <w:ilvl w:val="0"/>
                <w:numId w:val="0"/>
              </w:numPr>
              <w:spacing w:line="360" w:lineRule="auto"/>
              <w:ind w:left="0" w:leftChars="0" w:firstLine="0" w:firstLineChars="0"/>
              <w:outlineLvl w:val="9"/>
              <w:rPr>
                <w:rFonts w:hint="eastAsia" w:ascii="仿宋" w:hAnsi="仿宋" w:eastAsia="仿宋" w:cs="仿宋"/>
                <w:color w:val="auto"/>
                <w:kern w:val="2"/>
                <w:sz w:val="21"/>
                <w:szCs w:val="21"/>
                <w:highlight w:val="none"/>
                <w:lang w:val="en-US" w:eastAsia="zh-CN" w:bidi="ar-SA"/>
              </w:rPr>
            </w:pPr>
          </w:p>
        </w:tc>
      </w:tr>
    </w:tbl>
    <w:p w14:paraId="1B48A1CC">
      <w:pPr>
        <w:numPr>
          <w:ilvl w:val="0"/>
          <w:numId w:val="0"/>
        </w:numPr>
        <w:spacing w:line="360" w:lineRule="auto"/>
        <w:ind w:firstLine="420" w:firstLineChars="20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看守所成立评价小组，每月底进行一次评价。此评价作为医疗社会化项目费用支付的凭证之一。</w:t>
      </w:r>
    </w:p>
    <w:p w14:paraId="06824742">
      <w:pPr>
        <w:numPr>
          <w:ilvl w:val="0"/>
          <w:numId w:val="0"/>
        </w:numPr>
        <w:spacing w:line="360" w:lineRule="auto"/>
        <w:ind w:firstLine="420" w:firstLineChars="200"/>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评价小组人员：</w:t>
      </w:r>
    </w:p>
    <w:p w14:paraId="41C21F1F">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32"/>
          <w:szCs w:val="32"/>
          <w:highlight w:val="none"/>
        </w:rPr>
        <w:t xml:space="preserve">第四部分  </w:t>
      </w:r>
      <w:bookmarkStart w:id="27" w:name="_Toc184314436"/>
      <w:bookmarkEnd w:id="27"/>
      <w:bookmarkStart w:id="28" w:name="_Toc184312114"/>
      <w:bookmarkEnd w:id="28"/>
      <w:bookmarkStart w:id="29" w:name="_Toc184314442"/>
      <w:bookmarkEnd w:id="29"/>
      <w:bookmarkStart w:id="30" w:name="_Toc184314428"/>
      <w:bookmarkEnd w:id="30"/>
      <w:bookmarkStart w:id="31" w:name="_Toc184312125"/>
      <w:bookmarkEnd w:id="31"/>
      <w:bookmarkStart w:id="32" w:name="_Toc184308061"/>
      <w:bookmarkEnd w:id="32"/>
      <w:bookmarkStart w:id="33" w:name="_Toc184312112"/>
      <w:bookmarkEnd w:id="33"/>
      <w:bookmarkStart w:id="34" w:name="_Toc184310338"/>
      <w:bookmarkEnd w:id="34"/>
      <w:bookmarkStart w:id="35" w:name="_Toc184314444"/>
      <w:bookmarkEnd w:id="35"/>
      <w:bookmarkStart w:id="36" w:name="_Toc184308039"/>
      <w:bookmarkEnd w:id="36"/>
      <w:bookmarkStart w:id="37" w:name="_Toc184313243"/>
      <w:bookmarkEnd w:id="37"/>
      <w:bookmarkStart w:id="38" w:name="_Toc184314471"/>
      <w:bookmarkEnd w:id="38"/>
      <w:bookmarkStart w:id="39" w:name="_Toc184314447"/>
      <w:bookmarkEnd w:id="39"/>
      <w:bookmarkStart w:id="40" w:name="_Toc184312091"/>
      <w:bookmarkEnd w:id="40"/>
      <w:bookmarkStart w:id="41" w:name="_Toc184312132"/>
      <w:bookmarkEnd w:id="41"/>
      <w:bookmarkStart w:id="42" w:name="_Toc184310304"/>
      <w:bookmarkEnd w:id="42"/>
      <w:bookmarkStart w:id="43" w:name="_Toc184310285"/>
      <w:bookmarkEnd w:id="43"/>
      <w:bookmarkStart w:id="44" w:name="_Toc184308049"/>
      <w:bookmarkEnd w:id="44"/>
      <w:bookmarkStart w:id="45" w:name="_Toc184313250"/>
      <w:bookmarkEnd w:id="45"/>
      <w:bookmarkStart w:id="46" w:name="_Toc184313267"/>
      <w:bookmarkEnd w:id="46"/>
      <w:bookmarkStart w:id="47" w:name="_Toc184310272"/>
      <w:bookmarkEnd w:id="47"/>
      <w:bookmarkStart w:id="48" w:name="_Toc184312138"/>
      <w:bookmarkEnd w:id="48"/>
      <w:bookmarkStart w:id="49" w:name="_Toc184313273"/>
      <w:bookmarkEnd w:id="49"/>
      <w:bookmarkStart w:id="50" w:name="_Toc184312122"/>
      <w:bookmarkEnd w:id="50"/>
      <w:bookmarkStart w:id="51" w:name="_Toc184314443"/>
      <w:bookmarkEnd w:id="51"/>
      <w:bookmarkStart w:id="52" w:name="_Toc184314445"/>
      <w:bookmarkEnd w:id="52"/>
      <w:bookmarkStart w:id="53" w:name="_Toc184310307"/>
      <w:bookmarkEnd w:id="53"/>
      <w:bookmarkStart w:id="54" w:name="_Toc184312136"/>
      <w:bookmarkEnd w:id="54"/>
      <w:bookmarkStart w:id="55" w:name="_Toc184312072"/>
      <w:bookmarkEnd w:id="55"/>
      <w:bookmarkStart w:id="56" w:name="_Toc184312082"/>
      <w:bookmarkEnd w:id="56"/>
      <w:bookmarkStart w:id="57" w:name="_Toc184310327"/>
      <w:bookmarkEnd w:id="57"/>
      <w:bookmarkStart w:id="58" w:name="_Toc184308044"/>
      <w:bookmarkEnd w:id="58"/>
      <w:bookmarkStart w:id="59" w:name="_Toc184310328"/>
      <w:bookmarkEnd w:id="59"/>
      <w:bookmarkStart w:id="60" w:name="_Toc184312139"/>
      <w:bookmarkEnd w:id="60"/>
      <w:bookmarkStart w:id="61" w:name="_Toc184310324"/>
      <w:bookmarkEnd w:id="61"/>
      <w:bookmarkStart w:id="62" w:name="_Toc184313287"/>
      <w:bookmarkEnd w:id="62"/>
      <w:bookmarkStart w:id="63" w:name="_Toc184313275"/>
      <w:bookmarkEnd w:id="63"/>
      <w:bookmarkStart w:id="64" w:name="_Toc184312085"/>
      <w:bookmarkEnd w:id="64"/>
      <w:bookmarkStart w:id="65" w:name="_Toc184310294"/>
      <w:bookmarkEnd w:id="65"/>
      <w:bookmarkStart w:id="66" w:name="_Toc184308055"/>
      <w:bookmarkEnd w:id="66"/>
      <w:bookmarkStart w:id="67" w:name="_Toc184314455"/>
      <w:bookmarkEnd w:id="67"/>
      <w:bookmarkStart w:id="68" w:name="_Toc184312116"/>
      <w:bookmarkEnd w:id="68"/>
      <w:bookmarkStart w:id="69" w:name="_Toc184312068"/>
      <w:bookmarkEnd w:id="69"/>
      <w:bookmarkStart w:id="70" w:name="_Toc184310298"/>
      <w:bookmarkEnd w:id="70"/>
      <w:bookmarkStart w:id="71" w:name="_Toc184310288"/>
      <w:bookmarkEnd w:id="71"/>
      <w:bookmarkStart w:id="72" w:name="_Toc184314466"/>
      <w:bookmarkEnd w:id="72"/>
      <w:bookmarkStart w:id="73" w:name="_Toc184313294"/>
      <w:bookmarkEnd w:id="73"/>
      <w:bookmarkStart w:id="74" w:name="_Toc184312083"/>
      <w:bookmarkEnd w:id="74"/>
      <w:bookmarkStart w:id="75" w:name="_Toc184313293"/>
      <w:bookmarkEnd w:id="75"/>
      <w:bookmarkStart w:id="76" w:name="_Toc184313262"/>
      <w:bookmarkEnd w:id="76"/>
      <w:bookmarkStart w:id="77" w:name="_Toc184310278"/>
      <w:bookmarkEnd w:id="77"/>
      <w:bookmarkStart w:id="78" w:name="_Toc184312075"/>
      <w:bookmarkEnd w:id="78"/>
      <w:bookmarkStart w:id="79" w:name="_Toc184310299"/>
      <w:bookmarkEnd w:id="79"/>
      <w:bookmarkStart w:id="80" w:name="_Toc184314418"/>
      <w:bookmarkEnd w:id="80"/>
      <w:bookmarkStart w:id="81" w:name="_Toc184308045"/>
      <w:bookmarkEnd w:id="81"/>
      <w:bookmarkStart w:id="82" w:name="_Toc184308042"/>
      <w:bookmarkEnd w:id="82"/>
      <w:bookmarkStart w:id="83" w:name="_Toc184308054"/>
      <w:bookmarkEnd w:id="83"/>
      <w:bookmarkStart w:id="84" w:name="_Toc184310331"/>
      <w:bookmarkEnd w:id="84"/>
      <w:bookmarkStart w:id="85" w:name="_Toc184313308"/>
      <w:bookmarkEnd w:id="85"/>
      <w:bookmarkStart w:id="86" w:name="_Toc184310305"/>
      <w:bookmarkEnd w:id="86"/>
      <w:bookmarkStart w:id="87" w:name="_Toc184310310"/>
      <w:bookmarkEnd w:id="87"/>
      <w:bookmarkStart w:id="88" w:name="_Toc184310313"/>
      <w:bookmarkEnd w:id="88"/>
      <w:bookmarkStart w:id="89" w:name="_Toc184308097"/>
      <w:bookmarkEnd w:id="89"/>
      <w:bookmarkStart w:id="90" w:name="_Toc184314431"/>
      <w:bookmarkEnd w:id="90"/>
      <w:bookmarkStart w:id="91" w:name="_Toc184312101"/>
      <w:bookmarkEnd w:id="91"/>
      <w:bookmarkStart w:id="92" w:name="_Toc184310282"/>
      <w:bookmarkEnd w:id="92"/>
      <w:bookmarkStart w:id="93" w:name="_Toc184314457"/>
      <w:bookmarkEnd w:id="93"/>
      <w:bookmarkStart w:id="94" w:name="_Toc184312128"/>
      <w:bookmarkEnd w:id="94"/>
      <w:bookmarkStart w:id="95" w:name="_Toc184314429"/>
      <w:bookmarkEnd w:id="95"/>
      <w:bookmarkStart w:id="96" w:name="_Toc184310275"/>
      <w:bookmarkEnd w:id="96"/>
      <w:bookmarkStart w:id="97" w:name="_Toc184313254"/>
      <w:bookmarkEnd w:id="97"/>
      <w:bookmarkStart w:id="98" w:name="_Toc184312119"/>
      <w:bookmarkEnd w:id="98"/>
      <w:bookmarkStart w:id="99" w:name="_Toc184313286"/>
      <w:bookmarkEnd w:id="99"/>
      <w:bookmarkStart w:id="100" w:name="_Toc184308036"/>
      <w:bookmarkEnd w:id="100"/>
      <w:bookmarkStart w:id="101" w:name="_Toc184313278"/>
      <w:bookmarkEnd w:id="101"/>
      <w:bookmarkStart w:id="102" w:name="_Toc184308104"/>
      <w:bookmarkEnd w:id="102"/>
      <w:bookmarkStart w:id="103" w:name="_Toc184308041"/>
      <w:bookmarkEnd w:id="103"/>
      <w:bookmarkStart w:id="104" w:name="_Toc184308096"/>
      <w:bookmarkEnd w:id="104"/>
      <w:bookmarkStart w:id="105" w:name="_Toc184314422"/>
      <w:bookmarkEnd w:id="105"/>
      <w:bookmarkStart w:id="106" w:name="_Toc184314479"/>
      <w:bookmarkEnd w:id="106"/>
      <w:bookmarkStart w:id="107" w:name="_Toc184313268"/>
      <w:bookmarkEnd w:id="107"/>
      <w:bookmarkStart w:id="108" w:name="_Toc184310302"/>
      <w:bookmarkEnd w:id="108"/>
      <w:bookmarkStart w:id="109" w:name="_Toc184308047"/>
      <w:bookmarkEnd w:id="109"/>
      <w:bookmarkStart w:id="110" w:name="_Toc184314453"/>
      <w:bookmarkEnd w:id="110"/>
      <w:bookmarkStart w:id="111" w:name="_Toc184314470"/>
      <w:bookmarkEnd w:id="111"/>
      <w:bookmarkStart w:id="112" w:name="_Toc184308053"/>
      <w:bookmarkEnd w:id="112"/>
      <w:bookmarkStart w:id="113" w:name="_Toc184308037"/>
      <w:bookmarkEnd w:id="113"/>
      <w:bookmarkStart w:id="114" w:name="_Toc184314435"/>
      <w:bookmarkEnd w:id="114"/>
      <w:bookmarkStart w:id="115" w:name="_Toc184310314"/>
      <w:bookmarkEnd w:id="115"/>
      <w:bookmarkStart w:id="116" w:name="_Toc184313238"/>
      <w:bookmarkEnd w:id="116"/>
      <w:bookmarkStart w:id="117" w:name="_Toc184314423"/>
      <w:bookmarkEnd w:id="117"/>
      <w:bookmarkStart w:id="118" w:name="_Toc184310293"/>
      <w:bookmarkEnd w:id="118"/>
      <w:bookmarkStart w:id="119" w:name="_Toc184310301"/>
      <w:bookmarkEnd w:id="119"/>
      <w:bookmarkStart w:id="120" w:name="_Toc184308105"/>
      <w:bookmarkEnd w:id="120"/>
      <w:bookmarkStart w:id="121" w:name="_Toc184314415"/>
      <w:bookmarkEnd w:id="121"/>
      <w:bookmarkStart w:id="122" w:name="_Toc184308085"/>
      <w:bookmarkEnd w:id="122"/>
      <w:bookmarkStart w:id="123" w:name="_Toc184313309"/>
      <w:bookmarkEnd w:id="123"/>
      <w:bookmarkStart w:id="124" w:name="_Toc184312108"/>
      <w:bookmarkEnd w:id="124"/>
      <w:bookmarkStart w:id="125" w:name="_Toc184313259"/>
      <w:bookmarkEnd w:id="125"/>
      <w:bookmarkStart w:id="126" w:name="_Toc184313289"/>
      <w:bookmarkEnd w:id="126"/>
      <w:bookmarkStart w:id="127" w:name="_Toc184308066"/>
      <w:bookmarkEnd w:id="127"/>
      <w:bookmarkStart w:id="128" w:name="_Toc184308052"/>
      <w:bookmarkEnd w:id="128"/>
      <w:bookmarkStart w:id="129" w:name="_Toc184313303"/>
      <w:bookmarkEnd w:id="129"/>
      <w:bookmarkStart w:id="130" w:name="_Toc184312107"/>
      <w:bookmarkEnd w:id="130"/>
      <w:bookmarkStart w:id="131" w:name="_Toc184314430"/>
      <w:bookmarkEnd w:id="131"/>
      <w:bookmarkStart w:id="132" w:name="_Toc184312079"/>
      <w:bookmarkEnd w:id="132"/>
      <w:bookmarkStart w:id="133" w:name="_Toc184308088"/>
      <w:bookmarkEnd w:id="133"/>
      <w:bookmarkStart w:id="134" w:name="_Toc184312110"/>
      <w:bookmarkEnd w:id="134"/>
      <w:bookmarkStart w:id="135" w:name="_Toc184310319"/>
      <w:bookmarkEnd w:id="135"/>
      <w:bookmarkStart w:id="136" w:name="_Toc184314432"/>
      <w:bookmarkEnd w:id="136"/>
      <w:bookmarkStart w:id="137" w:name="_Toc184310330"/>
      <w:bookmarkEnd w:id="137"/>
      <w:bookmarkStart w:id="138" w:name="_Toc184310318"/>
      <w:bookmarkEnd w:id="138"/>
      <w:bookmarkStart w:id="139" w:name="_Toc184308058"/>
      <w:bookmarkEnd w:id="139"/>
      <w:bookmarkStart w:id="140" w:name="_Toc184314463"/>
      <w:bookmarkEnd w:id="140"/>
      <w:bookmarkStart w:id="141" w:name="_Toc184310316"/>
      <w:bookmarkEnd w:id="141"/>
      <w:bookmarkStart w:id="142" w:name="_Toc184313256"/>
      <w:bookmarkEnd w:id="142"/>
      <w:bookmarkStart w:id="143" w:name="_Toc184310343"/>
      <w:bookmarkEnd w:id="143"/>
      <w:bookmarkStart w:id="144" w:name="_Toc184308083"/>
      <w:bookmarkEnd w:id="144"/>
      <w:bookmarkStart w:id="145" w:name="_Toc184312106"/>
      <w:bookmarkEnd w:id="145"/>
      <w:bookmarkStart w:id="146" w:name="_Toc184310290"/>
      <w:bookmarkEnd w:id="146"/>
      <w:bookmarkStart w:id="147" w:name="_Toc184313263"/>
      <w:bookmarkEnd w:id="147"/>
      <w:bookmarkStart w:id="148" w:name="_Toc184313242"/>
      <w:bookmarkEnd w:id="148"/>
      <w:bookmarkStart w:id="149" w:name="_Toc184308071"/>
      <w:bookmarkEnd w:id="149"/>
      <w:bookmarkStart w:id="150" w:name="_Toc184313282"/>
      <w:bookmarkEnd w:id="150"/>
      <w:bookmarkStart w:id="151" w:name="_Toc184308103"/>
      <w:bookmarkEnd w:id="151"/>
      <w:bookmarkStart w:id="152" w:name="_Toc184310273"/>
      <w:bookmarkEnd w:id="152"/>
      <w:bookmarkStart w:id="153" w:name="_Toc184308102"/>
      <w:bookmarkEnd w:id="153"/>
      <w:bookmarkStart w:id="154" w:name="_Toc184313261"/>
      <w:bookmarkEnd w:id="154"/>
      <w:bookmarkStart w:id="155" w:name="_Toc184308067"/>
      <w:bookmarkEnd w:id="155"/>
      <w:bookmarkStart w:id="156" w:name="_Toc184308048"/>
      <w:bookmarkEnd w:id="156"/>
      <w:bookmarkStart w:id="157" w:name="_Toc184312096"/>
      <w:bookmarkEnd w:id="157"/>
      <w:bookmarkStart w:id="158" w:name="_Toc184314437"/>
      <w:bookmarkEnd w:id="158"/>
      <w:bookmarkStart w:id="159" w:name="_Toc184310335"/>
      <w:bookmarkEnd w:id="159"/>
      <w:bookmarkStart w:id="160" w:name="_Toc184313269"/>
      <w:bookmarkEnd w:id="160"/>
      <w:bookmarkStart w:id="161" w:name="_Toc184313305"/>
      <w:bookmarkEnd w:id="161"/>
      <w:bookmarkStart w:id="162" w:name="_Toc184313288"/>
      <w:bookmarkEnd w:id="162"/>
      <w:bookmarkStart w:id="163" w:name="_Toc184314413"/>
      <w:bookmarkEnd w:id="163"/>
      <w:bookmarkStart w:id="164" w:name="_Toc184314467"/>
      <w:bookmarkEnd w:id="164"/>
      <w:bookmarkStart w:id="165" w:name="_Toc184312115"/>
      <w:bookmarkEnd w:id="165"/>
      <w:bookmarkStart w:id="166" w:name="_Toc184314482"/>
      <w:bookmarkEnd w:id="166"/>
      <w:bookmarkStart w:id="167" w:name="_Toc184310281"/>
      <w:bookmarkEnd w:id="167"/>
      <w:bookmarkStart w:id="168" w:name="_Toc184313258"/>
      <w:bookmarkEnd w:id="168"/>
      <w:bookmarkStart w:id="169" w:name="_Toc184312076"/>
      <w:bookmarkEnd w:id="169"/>
      <w:bookmarkStart w:id="170" w:name="_Toc184308093"/>
      <w:bookmarkEnd w:id="170"/>
      <w:bookmarkStart w:id="171" w:name="_Toc184310297"/>
      <w:bookmarkEnd w:id="171"/>
      <w:bookmarkStart w:id="172" w:name="_Toc184312102"/>
      <w:bookmarkEnd w:id="172"/>
      <w:bookmarkStart w:id="173" w:name="_Toc184308078"/>
      <w:bookmarkEnd w:id="173"/>
      <w:bookmarkStart w:id="174" w:name="_Toc184314480"/>
      <w:bookmarkEnd w:id="174"/>
      <w:bookmarkStart w:id="175" w:name="_Toc184313240"/>
      <w:bookmarkEnd w:id="175"/>
      <w:bookmarkStart w:id="176" w:name="_Toc184308063"/>
      <w:bookmarkEnd w:id="176"/>
      <w:bookmarkStart w:id="177" w:name="_Toc184313248"/>
      <w:bookmarkEnd w:id="177"/>
      <w:bookmarkStart w:id="178" w:name="_Toc184312103"/>
      <w:bookmarkEnd w:id="178"/>
      <w:bookmarkStart w:id="179" w:name="_Toc184310295"/>
      <w:bookmarkEnd w:id="179"/>
      <w:bookmarkStart w:id="180" w:name="_Toc184314417"/>
      <w:bookmarkEnd w:id="180"/>
      <w:bookmarkStart w:id="181" w:name="_Toc184313279"/>
      <w:bookmarkEnd w:id="181"/>
      <w:bookmarkStart w:id="182" w:name="_Toc184310306"/>
      <w:bookmarkEnd w:id="182"/>
      <w:bookmarkStart w:id="183" w:name="_Toc184310323"/>
      <w:bookmarkEnd w:id="183"/>
      <w:bookmarkStart w:id="184" w:name="_Toc184310283"/>
      <w:bookmarkEnd w:id="184"/>
      <w:bookmarkStart w:id="185" w:name="_Toc184312071"/>
      <w:bookmarkEnd w:id="185"/>
      <w:bookmarkStart w:id="186" w:name="_Toc184310334"/>
      <w:bookmarkEnd w:id="186"/>
      <w:bookmarkStart w:id="187" w:name="_Toc184314468"/>
      <w:bookmarkEnd w:id="187"/>
      <w:bookmarkStart w:id="188" w:name="_Toc184313257"/>
      <w:bookmarkEnd w:id="188"/>
      <w:bookmarkStart w:id="189" w:name="_Toc184308060"/>
      <w:bookmarkEnd w:id="189"/>
      <w:bookmarkStart w:id="190" w:name="_Toc184314450"/>
      <w:bookmarkEnd w:id="190"/>
      <w:bookmarkStart w:id="191" w:name="_Toc184313306"/>
      <w:bookmarkEnd w:id="191"/>
      <w:bookmarkStart w:id="192" w:name="_Toc184308046"/>
      <w:bookmarkEnd w:id="192"/>
      <w:bookmarkStart w:id="193" w:name="_Toc184310286"/>
      <w:bookmarkEnd w:id="193"/>
      <w:bookmarkStart w:id="194" w:name="_Toc184313300"/>
      <w:bookmarkEnd w:id="194"/>
      <w:bookmarkStart w:id="195" w:name="_Toc184312084"/>
      <w:bookmarkEnd w:id="195"/>
      <w:bookmarkStart w:id="196" w:name="_Toc184314478"/>
      <w:bookmarkEnd w:id="196"/>
      <w:bookmarkStart w:id="197" w:name="_Toc184312069"/>
      <w:bookmarkEnd w:id="197"/>
      <w:bookmarkStart w:id="198" w:name="_Toc184312117"/>
      <w:bookmarkEnd w:id="198"/>
      <w:bookmarkStart w:id="199" w:name="_Toc184313252"/>
      <w:bookmarkEnd w:id="199"/>
      <w:bookmarkStart w:id="200" w:name="_Toc184312080"/>
      <w:bookmarkEnd w:id="200"/>
      <w:bookmarkStart w:id="201" w:name="_Toc184314411"/>
      <w:bookmarkEnd w:id="201"/>
      <w:bookmarkStart w:id="202" w:name="_Toc184308092"/>
      <w:bookmarkEnd w:id="202"/>
      <w:bookmarkStart w:id="203" w:name="_Toc184314449"/>
      <w:bookmarkEnd w:id="203"/>
      <w:bookmarkStart w:id="204" w:name="_Toc184310326"/>
      <w:bookmarkEnd w:id="204"/>
      <w:bookmarkStart w:id="205" w:name="_Toc184310312"/>
      <w:bookmarkEnd w:id="205"/>
      <w:bookmarkStart w:id="206" w:name="_Toc184312098"/>
      <w:bookmarkEnd w:id="206"/>
      <w:bookmarkStart w:id="207" w:name="_Toc184312070"/>
      <w:bookmarkEnd w:id="207"/>
      <w:bookmarkStart w:id="208" w:name="_Toc184310321"/>
      <w:bookmarkEnd w:id="208"/>
      <w:bookmarkStart w:id="209" w:name="_Toc184312105"/>
      <w:bookmarkEnd w:id="209"/>
      <w:bookmarkStart w:id="210" w:name="_Toc184313241"/>
      <w:bookmarkEnd w:id="210"/>
      <w:bookmarkStart w:id="211" w:name="_Toc184308074"/>
      <w:bookmarkEnd w:id="211"/>
      <w:bookmarkStart w:id="212" w:name="_Toc184313302"/>
      <w:bookmarkEnd w:id="212"/>
      <w:bookmarkStart w:id="213" w:name="_Toc184310344"/>
      <w:bookmarkEnd w:id="213"/>
      <w:bookmarkStart w:id="214" w:name="_Toc184314433"/>
      <w:bookmarkEnd w:id="214"/>
      <w:bookmarkStart w:id="215" w:name="_Toc184312118"/>
      <w:bookmarkEnd w:id="215"/>
      <w:bookmarkStart w:id="216" w:name="_Toc184312088"/>
      <w:bookmarkEnd w:id="216"/>
      <w:bookmarkStart w:id="217" w:name="_Toc184314410"/>
      <w:bookmarkEnd w:id="217"/>
      <w:bookmarkStart w:id="218" w:name="_Toc184313246"/>
      <w:bookmarkEnd w:id="218"/>
      <w:bookmarkStart w:id="219" w:name="_Toc184308062"/>
      <w:bookmarkEnd w:id="219"/>
      <w:bookmarkStart w:id="220" w:name="_Toc184313271"/>
      <w:bookmarkEnd w:id="220"/>
      <w:bookmarkStart w:id="221" w:name="_Toc184312111"/>
      <w:bookmarkEnd w:id="221"/>
      <w:bookmarkStart w:id="222" w:name="_Toc184313264"/>
      <w:bookmarkEnd w:id="222"/>
      <w:bookmarkStart w:id="223" w:name="_Toc184310325"/>
      <w:bookmarkEnd w:id="223"/>
      <w:bookmarkStart w:id="224" w:name="_Toc184308091"/>
      <w:bookmarkEnd w:id="224"/>
      <w:bookmarkStart w:id="225" w:name="_Toc184313280"/>
      <w:bookmarkEnd w:id="225"/>
      <w:bookmarkStart w:id="226" w:name="_Toc184312120"/>
      <w:bookmarkEnd w:id="226"/>
      <w:bookmarkStart w:id="227" w:name="_Toc184312097"/>
      <w:bookmarkEnd w:id="227"/>
      <w:bookmarkStart w:id="228" w:name="_Toc184308040"/>
      <w:bookmarkEnd w:id="228"/>
      <w:bookmarkStart w:id="229" w:name="_Toc184313285"/>
      <w:bookmarkEnd w:id="229"/>
      <w:bookmarkStart w:id="230" w:name="_Toc184314462"/>
      <w:bookmarkEnd w:id="230"/>
      <w:bookmarkStart w:id="231" w:name="_Toc184308084"/>
      <w:bookmarkEnd w:id="231"/>
      <w:bookmarkStart w:id="232" w:name="_Toc184308064"/>
      <w:bookmarkEnd w:id="232"/>
      <w:bookmarkStart w:id="233" w:name="_Toc184310337"/>
      <w:bookmarkEnd w:id="233"/>
      <w:bookmarkStart w:id="234" w:name="_Toc184314459"/>
      <w:bookmarkEnd w:id="234"/>
      <w:bookmarkStart w:id="235" w:name="_Toc184313245"/>
      <w:bookmarkEnd w:id="235"/>
      <w:bookmarkStart w:id="236" w:name="_Toc184310342"/>
      <w:bookmarkEnd w:id="236"/>
      <w:bookmarkStart w:id="237" w:name="_Toc184310320"/>
      <w:bookmarkEnd w:id="237"/>
      <w:bookmarkStart w:id="238" w:name="_Toc184312089"/>
      <w:bookmarkEnd w:id="238"/>
      <w:bookmarkStart w:id="239" w:name="_Toc184308059"/>
      <w:bookmarkEnd w:id="239"/>
      <w:bookmarkStart w:id="240" w:name="_Toc184310308"/>
      <w:bookmarkEnd w:id="240"/>
      <w:bookmarkStart w:id="241" w:name="_Toc184308038"/>
      <w:bookmarkEnd w:id="241"/>
      <w:bookmarkStart w:id="242" w:name="_Toc184313298"/>
      <w:bookmarkEnd w:id="242"/>
      <w:bookmarkStart w:id="243" w:name="_Toc184314426"/>
      <w:bookmarkEnd w:id="243"/>
      <w:bookmarkStart w:id="244" w:name="_Toc184312135"/>
      <w:bookmarkEnd w:id="244"/>
      <w:bookmarkStart w:id="245" w:name="_Toc184313297"/>
      <w:bookmarkEnd w:id="245"/>
      <w:bookmarkStart w:id="246" w:name="_Toc184314448"/>
      <w:bookmarkEnd w:id="246"/>
      <w:bookmarkStart w:id="247" w:name="_Toc184310277"/>
      <w:bookmarkEnd w:id="247"/>
      <w:bookmarkStart w:id="248" w:name="_Toc184314477"/>
      <w:bookmarkEnd w:id="248"/>
      <w:bookmarkStart w:id="249" w:name="_Toc184308089"/>
      <w:bookmarkEnd w:id="249"/>
      <w:bookmarkStart w:id="250" w:name="_Toc184310317"/>
      <w:bookmarkEnd w:id="250"/>
      <w:bookmarkStart w:id="251" w:name="_Toc184308086"/>
      <w:bookmarkEnd w:id="251"/>
      <w:bookmarkStart w:id="252" w:name="_Toc184310291"/>
      <w:bookmarkEnd w:id="252"/>
      <w:bookmarkStart w:id="253" w:name="_Toc184308079"/>
      <w:bookmarkEnd w:id="253"/>
      <w:bookmarkStart w:id="254" w:name="_Toc184310289"/>
      <w:bookmarkEnd w:id="254"/>
      <w:bookmarkStart w:id="255" w:name="_Toc184313266"/>
      <w:bookmarkEnd w:id="255"/>
      <w:bookmarkStart w:id="256" w:name="_Toc184313284"/>
      <w:bookmarkEnd w:id="256"/>
      <w:bookmarkStart w:id="257" w:name="_Toc184313276"/>
      <w:bookmarkEnd w:id="257"/>
      <w:bookmarkStart w:id="258" w:name="_Toc184308051"/>
      <w:bookmarkEnd w:id="258"/>
      <w:bookmarkStart w:id="259" w:name="_Toc184310333"/>
      <w:bookmarkEnd w:id="259"/>
      <w:bookmarkStart w:id="260" w:name="_Toc184308087"/>
      <w:bookmarkEnd w:id="260"/>
      <w:bookmarkStart w:id="261" w:name="_Toc184308043"/>
      <w:bookmarkEnd w:id="261"/>
      <w:bookmarkStart w:id="262" w:name="_Toc184312073"/>
      <w:bookmarkEnd w:id="262"/>
      <w:bookmarkStart w:id="263" w:name="_Toc184313253"/>
      <w:bookmarkEnd w:id="263"/>
      <w:bookmarkStart w:id="264" w:name="_Toc184310292"/>
      <w:bookmarkEnd w:id="264"/>
      <w:bookmarkStart w:id="265" w:name="_Toc184312109"/>
      <w:bookmarkEnd w:id="265"/>
      <w:bookmarkStart w:id="266" w:name="_Toc184313274"/>
      <w:bookmarkEnd w:id="266"/>
      <w:bookmarkStart w:id="267" w:name="_Toc184310315"/>
      <w:bookmarkEnd w:id="267"/>
      <w:bookmarkStart w:id="268" w:name="_Toc184313292"/>
      <w:bookmarkEnd w:id="268"/>
      <w:bookmarkStart w:id="269" w:name="_Toc184312092"/>
      <w:bookmarkEnd w:id="269"/>
      <w:bookmarkStart w:id="270" w:name="_Toc184313299"/>
      <w:bookmarkEnd w:id="270"/>
      <w:bookmarkStart w:id="271" w:name="_Toc184312123"/>
      <w:bookmarkEnd w:id="271"/>
      <w:bookmarkStart w:id="272" w:name="_Toc184310300"/>
      <w:bookmarkEnd w:id="272"/>
      <w:bookmarkStart w:id="273" w:name="_Toc184308070"/>
      <w:bookmarkEnd w:id="273"/>
      <w:bookmarkStart w:id="274" w:name="_Toc184314465"/>
      <w:bookmarkEnd w:id="274"/>
      <w:bookmarkStart w:id="275" w:name="_Toc184312100"/>
      <w:bookmarkEnd w:id="275"/>
      <w:bookmarkStart w:id="276" w:name="_Toc184310276"/>
      <w:bookmarkEnd w:id="276"/>
      <w:bookmarkStart w:id="277" w:name="_Toc184308090"/>
      <w:bookmarkEnd w:id="277"/>
      <w:bookmarkStart w:id="278" w:name="_Toc184313239"/>
      <w:bookmarkEnd w:id="278"/>
      <w:bookmarkStart w:id="279" w:name="_Toc184313270"/>
      <w:bookmarkEnd w:id="279"/>
      <w:bookmarkStart w:id="280" w:name="_Toc184314439"/>
      <w:bookmarkEnd w:id="280"/>
      <w:bookmarkStart w:id="281" w:name="_Toc184312087"/>
      <w:bookmarkEnd w:id="281"/>
      <w:bookmarkStart w:id="282" w:name="_Toc184310311"/>
      <w:bookmarkEnd w:id="282"/>
      <w:bookmarkStart w:id="283" w:name="_Toc184308076"/>
      <w:bookmarkEnd w:id="283"/>
      <w:bookmarkStart w:id="284" w:name="_Toc184313249"/>
      <w:bookmarkEnd w:id="284"/>
      <w:bookmarkStart w:id="285" w:name="_Toc184310287"/>
      <w:bookmarkEnd w:id="285"/>
      <w:bookmarkStart w:id="286" w:name="_Toc184310322"/>
      <w:bookmarkEnd w:id="286"/>
      <w:bookmarkStart w:id="287" w:name="_Toc184313272"/>
      <w:bookmarkEnd w:id="287"/>
      <w:bookmarkStart w:id="288" w:name="_Toc184310279"/>
      <w:bookmarkEnd w:id="288"/>
      <w:bookmarkStart w:id="289" w:name="_Toc184312113"/>
      <w:bookmarkEnd w:id="289"/>
      <w:bookmarkStart w:id="290" w:name="_Toc184308057"/>
      <w:bookmarkEnd w:id="290"/>
      <w:bookmarkStart w:id="291" w:name="_Toc184310284"/>
      <w:bookmarkEnd w:id="291"/>
      <w:bookmarkStart w:id="292" w:name="_Toc184308095"/>
      <w:bookmarkEnd w:id="292"/>
      <w:bookmarkStart w:id="293" w:name="_Toc184314425"/>
      <w:bookmarkEnd w:id="293"/>
      <w:bookmarkStart w:id="294" w:name="_Toc184308069"/>
      <w:bookmarkEnd w:id="294"/>
      <w:bookmarkStart w:id="295" w:name="_Toc184308107"/>
      <w:bookmarkEnd w:id="295"/>
      <w:bookmarkStart w:id="296" w:name="_Toc184314441"/>
      <w:bookmarkEnd w:id="296"/>
      <w:bookmarkStart w:id="297" w:name="_Toc184308082"/>
      <w:bookmarkEnd w:id="297"/>
      <w:bookmarkStart w:id="298" w:name="_Toc184314412"/>
      <w:bookmarkEnd w:id="298"/>
      <w:bookmarkStart w:id="299" w:name="_Toc184308073"/>
      <w:bookmarkEnd w:id="299"/>
      <w:bookmarkStart w:id="300" w:name="_Toc184312095"/>
      <w:bookmarkEnd w:id="300"/>
      <w:bookmarkStart w:id="301" w:name="_Toc184310329"/>
      <w:bookmarkEnd w:id="301"/>
      <w:bookmarkStart w:id="302" w:name="_Toc184312081"/>
      <w:bookmarkEnd w:id="302"/>
      <w:bookmarkStart w:id="303" w:name="_Toc184308081"/>
      <w:bookmarkEnd w:id="303"/>
      <w:bookmarkStart w:id="304" w:name="_Toc184314460"/>
      <w:bookmarkEnd w:id="304"/>
      <w:bookmarkStart w:id="305" w:name="_Toc184314458"/>
      <w:bookmarkEnd w:id="305"/>
      <w:bookmarkStart w:id="306" w:name="_Toc184308068"/>
      <w:bookmarkEnd w:id="306"/>
      <w:bookmarkStart w:id="307" w:name="_Toc184308106"/>
      <w:bookmarkEnd w:id="307"/>
      <w:bookmarkStart w:id="308" w:name="_Toc184312137"/>
      <w:bookmarkEnd w:id="308"/>
      <w:bookmarkStart w:id="309" w:name="_Toc184313260"/>
      <w:bookmarkEnd w:id="309"/>
      <w:bookmarkStart w:id="310" w:name="_Toc184314438"/>
      <w:bookmarkEnd w:id="310"/>
      <w:bookmarkStart w:id="311" w:name="_Toc184314452"/>
      <w:bookmarkEnd w:id="311"/>
      <w:bookmarkStart w:id="312" w:name="_Toc184312126"/>
      <w:bookmarkEnd w:id="312"/>
      <w:bookmarkStart w:id="313" w:name="_Toc184310341"/>
      <w:bookmarkEnd w:id="313"/>
      <w:bookmarkStart w:id="314" w:name="_Toc184314434"/>
      <w:bookmarkEnd w:id="314"/>
      <w:bookmarkStart w:id="315" w:name="_Toc184314469"/>
      <w:bookmarkEnd w:id="315"/>
      <w:bookmarkStart w:id="316" w:name="_Toc184314421"/>
      <w:bookmarkEnd w:id="316"/>
      <w:bookmarkStart w:id="317" w:name="_Toc184312067"/>
      <w:bookmarkEnd w:id="317"/>
      <w:bookmarkStart w:id="318" w:name="_Toc184312121"/>
      <w:bookmarkEnd w:id="318"/>
      <w:bookmarkStart w:id="319" w:name="_Toc184310280"/>
      <w:bookmarkEnd w:id="319"/>
      <w:bookmarkStart w:id="320" w:name="_Toc184308099"/>
      <w:bookmarkEnd w:id="320"/>
      <w:bookmarkStart w:id="321" w:name="_Toc184313296"/>
      <w:bookmarkEnd w:id="321"/>
      <w:bookmarkStart w:id="322" w:name="_Toc184314440"/>
      <w:bookmarkEnd w:id="322"/>
      <w:bookmarkStart w:id="323" w:name="_Toc184314473"/>
      <w:bookmarkEnd w:id="323"/>
      <w:bookmarkStart w:id="324" w:name="_Toc184312133"/>
      <w:bookmarkEnd w:id="324"/>
      <w:bookmarkStart w:id="325" w:name="_Toc184312078"/>
      <w:bookmarkEnd w:id="325"/>
      <w:bookmarkStart w:id="326" w:name="_Toc184314427"/>
      <w:bookmarkEnd w:id="326"/>
      <w:bookmarkStart w:id="327" w:name="_Toc184312099"/>
      <w:bookmarkEnd w:id="327"/>
      <w:bookmarkStart w:id="328" w:name="_Toc184308056"/>
      <w:bookmarkEnd w:id="328"/>
      <w:bookmarkStart w:id="329" w:name="_Toc184314416"/>
      <w:bookmarkEnd w:id="329"/>
      <w:bookmarkStart w:id="330" w:name="_Toc184308098"/>
      <w:bookmarkEnd w:id="330"/>
      <w:bookmarkStart w:id="331" w:name="_Toc184313244"/>
      <w:bookmarkEnd w:id="331"/>
      <w:bookmarkStart w:id="332" w:name="_Toc184314472"/>
      <w:bookmarkEnd w:id="332"/>
      <w:bookmarkStart w:id="333" w:name="_Toc184312074"/>
      <w:bookmarkEnd w:id="333"/>
      <w:bookmarkStart w:id="334" w:name="_Toc184312104"/>
      <w:bookmarkEnd w:id="334"/>
      <w:bookmarkStart w:id="335" w:name="_Toc184313304"/>
      <w:bookmarkEnd w:id="335"/>
      <w:bookmarkStart w:id="336" w:name="_Toc184313247"/>
      <w:bookmarkEnd w:id="336"/>
      <w:bookmarkStart w:id="337" w:name="_Toc184312130"/>
      <w:bookmarkEnd w:id="337"/>
      <w:bookmarkStart w:id="338" w:name="_Toc184314481"/>
      <w:bookmarkEnd w:id="338"/>
      <w:bookmarkStart w:id="339" w:name="_Toc184314446"/>
      <w:bookmarkEnd w:id="339"/>
      <w:bookmarkStart w:id="340" w:name="_Toc184314419"/>
      <w:bookmarkEnd w:id="340"/>
      <w:bookmarkStart w:id="341" w:name="_Toc184310332"/>
      <w:bookmarkEnd w:id="341"/>
      <w:bookmarkStart w:id="342" w:name="_Toc184308094"/>
      <w:bookmarkEnd w:id="342"/>
      <w:bookmarkStart w:id="343" w:name="_Toc184310303"/>
      <w:bookmarkEnd w:id="343"/>
      <w:bookmarkStart w:id="344" w:name="_Toc184314456"/>
      <w:bookmarkEnd w:id="344"/>
      <w:bookmarkStart w:id="345" w:name="_Toc184314420"/>
      <w:bookmarkEnd w:id="345"/>
      <w:bookmarkStart w:id="346" w:name="_Toc184313255"/>
      <w:bookmarkEnd w:id="346"/>
      <w:bookmarkStart w:id="347" w:name="_Toc184314451"/>
      <w:bookmarkEnd w:id="347"/>
      <w:bookmarkStart w:id="348" w:name="_Toc184314476"/>
      <w:bookmarkEnd w:id="348"/>
      <w:bookmarkStart w:id="349" w:name="_Toc184310296"/>
      <w:bookmarkEnd w:id="349"/>
      <w:bookmarkStart w:id="350" w:name="_Toc184314454"/>
      <w:bookmarkEnd w:id="350"/>
      <w:bookmarkStart w:id="351" w:name="_Toc184313251"/>
      <w:bookmarkEnd w:id="351"/>
      <w:bookmarkStart w:id="352" w:name="_Toc184308065"/>
      <w:bookmarkEnd w:id="352"/>
      <w:bookmarkStart w:id="353" w:name="_Toc184310274"/>
      <w:bookmarkEnd w:id="353"/>
      <w:bookmarkStart w:id="354" w:name="_Toc184314474"/>
      <w:bookmarkEnd w:id="354"/>
      <w:bookmarkStart w:id="355" w:name="_Toc184310339"/>
      <w:bookmarkEnd w:id="355"/>
      <w:bookmarkStart w:id="356" w:name="_Toc184314461"/>
      <w:bookmarkEnd w:id="356"/>
      <w:bookmarkStart w:id="357" w:name="_Toc184310309"/>
      <w:bookmarkEnd w:id="357"/>
      <w:bookmarkStart w:id="358" w:name="_Toc184308101"/>
      <w:bookmarkEnd w:id="358"/>
      <w:bookmarkStart w:id="359" w:name="_Toc184313291"/>
      <w:bookmarkEnd w:id="359"/>
      <w:bookmarkStart w:id="360" w:name="_Toc184312131"/>
      <w:bookmarkEnd w:id="360"/>
      <w:bookmarkStart w:id="361" w:name="_Toc184313283"/>
      <w:bookmarkEnd w:id="361"/>
      <w:bookmarkStart w:id="362" w:name="_Toc184312077"/>
      <w:bookmarkEnd w:id="362"/>
      <w:bookmarkStart w:id="363" w:name="_Toc184312086"/>
      <w:bookmarkEnd w:id="363"/>
      <w:bookmarkStart w:id="364" w:name="_Toc184312094"/>
      <w:bookmarkEnd w:id="364"/>
      <w:bookmarkStart w:id="365" w:name="_Toc184308080"/>
      <w:bookmarkEnd w:id="365"/>
      <w:bookmarkStart w:id="366" w:name="_Toc184308077"/>
      <w:bookmarkEnd w:id="366"/>
      <w:bookmarkStart w:id="367" w:name="_Toc184312127"/>
      <w:bookmarkEnd w:id="367"/>
      <w:bookmarkStart w:id="368" w:name="_Toc184313265"/>
      <w:bookmarkEnd w:id="368"/>
      <w:bookmarkStart w:id="369" w:name="_Toc184310336"/>
      <w:bookmarkEnd w:id="369"/>
      <w:bookmarkStart w:id="370" w:name="_Toc184314475"/>
      <w:bookmarkEnd w:id="370"/>
      <w:bookmarkStart w:id="371" w:name="_Toc184313295"/>
      <w:bookmarkEnd w:id="371"/>
      <w:bookmarkStart w:id="372" w:name="_Toc184308075"/>
      <w:bookmarkEnd w:id="372"/>
      <w:bookmarkStart w:id="373" w:name="_Toc184308100"/>
      <w:bookmarkEnd w:id="373"/>
      <w:bookmarkStart w:id="374" w:name="_Toc184308072"/>
      <w:bookmarkEnd w:id="374"/>
      <w:bookmarkStart w:id="375" w:name="_Toc184310340"/>
      <w:bookmarkEnd w:id="375"/>
      <w:bookmarkStart w:id="376" w:name="_Toc184313290"/>
      <w:bookmarkEnd w:id="376"/>
      <w:bookmarkStart w:id="377" w:name="_Toc184308108"/>
      <w:bookmarkEnd w:id="377"/>
      <w:bookmarkStart w:id="378" w:name="_Toc184313310"/>
      <w:bookmarkEnd w:id="378"/>
      <w:bookmarkStart w:id="379" w:name="_Toc184313301"/>
      <w:bookmarkEnd w:id="379"/>
      <w:bookmarkStart w:id="380" w:name="_Toc184312129"/>
      <w:bookmarkEnd w:id="380"/>
      <w:bookmarkStart w:id="381" w:name="_Toc184312124"/>
      <w:bookmarkEnd w:id="381"/>
      <w:bookmarkStart w:id="382" w:name="_Toc184313281"/>
      <w:bookmarkEnd w:id="382"/>
      <w:bookmarkStart w:id="383" w:name="_Toc184312090"/>
      <w:bookmarkEnd w:id="383"/>
      <w:bookmarkStart w:id="384" w:name="_Toc184313277"/>
      <w:bookmarkEnd w:id="384"/>
      <w:bookmarkStart w:id="385" w:name="_Toc184312134"/>
      <w:bookmarkEnd w:id="385"/>
      <w:bookmarkStart w:id="386" w:name="_Toc184308050"/>
      <w:bookmarkEnd w:id="386"/>
      <w:bookmarkStart w:id="387" w:name="_Toc184314464"/>
      <w:bookmarkEnd w:id="387"/>
      <w:bookmarkStart w:id="388" w:name="_Toc184313307"/>
      <w:bookmarkEnd w:id="388"/>
      <w:bookmarkStart w:id="389" w:name="_Toc184314424"/>
      <w:bookmarkEnd w:id="389"/>
      <w:bookmarkStart w:id="390" w:name="_Toc184314414"/>
      <w:bookmarkEnd w:id="390"/>
      <w:bookmarkStart w:id="391" w:name="_Toc184312093"/>
      <w:bookmarkEnd w:id="391"/>
      <w:r>
        <w:rPr>
          <w:rFonts w:hint="eastAsia" w:ascii="仿宋" w:hAnsi="仿宋" w:eastAsia="仿宋" w:cs="仿宋"/>
          <w:b/>
          <w:color w:val="auto"/>
          <w:sz w:val="32"/>
          <w:szCs w:val="32"/>
          <w:highlight w:val="none"/>
        </w:rPr>
        <w:t>评标办法</w:t>
      </w:r>
    </w:p>
    <w:p w14:paraId="0A4D41C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评标办法前附表</w:t>
      </w:r>
    </w:p>
    <w:p w14:paraId="542B788E">
      <w:pPr>
        <w:pStyle w:val="2"/>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一、商务技术分</w:t>
      </w:r>
      <w:r>
        <w:rPr>
          <w:rFonts w:hint="eastAsia" w:ascii="仿宋" w:eastAsia="仿宋" w:cs="仿宋"/>
          <w:b/>
          <w:color w:val="auto"/>
          <w:sz w:val="24"/>
          <w:szCs w:val="24"/>
          <w:highlight w:val="none"/>
          <w:lang w:val="en-US" w:eastAsia="zh-CN"/>
        </w:rPr>
        <w:t>（90分）</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19"/>
        <w:gridCol w:w="7111"/>
        <w:gridCol w:w="433"/>
        <w:gridCol w:w="470"/>
      </w:tblGrid>
      <w:tr w14:paraId="4262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3" w:type="dxa"/>
            <w:shd w:val="clear" w:color="auto" w:fill="auto"/>
            <w:vAlign w:val="center"/>
          </w:tcPr>
          <w:p w14:paraId="170019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rPr>
              <w:t>序号</w:t>
            </w:r>
          </w:p>
        </w:tc>
        <w:tc>
          <w:tcPr>
            <w:tcW w:w="819" w:type="dxa"/>
            <w:shd w:val="clear" w:color="auto" w:fill="auto"/>
            <w:vAlign w:val="center"/>
          </w:tcPr>
          <w:p w14:paraId="4A6407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rPr>
              <w:t>项目</w:t>
            </w:r>
          </w:p>
        </w:tc>
        <w:tc>
          <w:tcPr>
            <w:tcW w:w="7111" w:type="dxa"/>
            <w:shd w:val="clear" w:color="auto" w:fill="auto"/>
            <w:vAlign w:val="center"/>
          </w:tcPr>
          <w:p w14:paraId="3BA8FA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rPr>
              <w:t>具体描述</w:t>
            </w:r>
          </w:p>
        </w:tc>
        <w:tc>
          <w:tcPr>
            <w:tcW w:w="433" w:type="dxa"/>
            <w:shd w:val="clear" w:color="auto" w:fill="auto"/>
            <w:vAlign w:val="center"/>
          </w:tcPr>
          <w:p w14:paraId="6FB92D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分值</w:t>
            </w:r>
          </w:p>
        </w:tc>
        <w:tc>
          <w:tcPr>
            <w:tcW w:w="470" w:type="dxa"/>
            <w:shd w:val="clear" w:color="auto" w:fill="auto"/>
            <w:vAlign w:val="center"/>
          </w:tcPr>
          <w:p w14:paraId="7EF104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属性</w:t>
            </w:r>
          </w:p>
        </w:tc>
      </w:tr>
      <w:tr w14:paraId="3CE7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453" w:type="dxa"/>
            <w:shd w:val="clear" w:color="auto" w:fill="auto"/>
            <w:vAlign w:val="center"/>
          </w:tcPr>
          <w:p w14:paraId="414326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p>
        </w:tc>
        <w:tc>
          <w:tcPr>
            <w:tcW w:w="819" w:type="dxa"/>
            <w:vMerge w:val="restart"/>
            <w:shd w:val="clear" w:color="auto" w:fill="auto"/>
            <w:vAlign w:val="center"/>
          </w:tcPr>
          <w:p w14:paraId="5914CD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技术分</w:t>
            </w:r>
          </w:p>
        </w:tc>
        <w:tc>
          <w:tcPr>
            <w:tcW w:w="7111" w:type="dxa"/>
            <w:shd w:val="clear" w:color="auto" w:fill="auto"/>
            <w:vAlign w:val="center"/>
          </w:tcPr>
          <w:p w14:paraId="12E2609E">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投标人对本项目的概况、特点、功能布局的认识与理解：对本项目的概况、特点、功能布局熟悉并充分理解的得5分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表述不清晰或者不合理或者有内容有欠缺的每处扣1分，累计扣完本项项分值为止。</w:t>
            </w:r>
          </w:p>
        </w:tc>
        <w:tc>
          <w:tcPr>
            <w:tcW w:w="433" w:type="dxa"/>
            <w:shd w:val="clear" w:color="auto" w:fill="auto"/>
            <w:vAlign w:val="center"/>
          </w:tcPr>
          <w:p w14:paraId="4087A3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5</w:t>
            </w:r>
          </w:p>
        </w:tc>
        <w:tc>
          <w:tcPr>
            <w:tcW w:w="470" w:type="dxa"/>
            <w:shd w:val="clear" w:color="auto" w:fill="auto"/>
            <w:vAlign w:val="center"/>
          </w:tcPr>
          <w:p w14:paraId="315133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主观分</w:t>
            </w:r>
          </w:p>
        </w:tc>
      </w:tr>
      <w:tr w14:paraId="7BDE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53" w:type="dxa"/>
            <w:shd w:val="clear" w:color="auto" w:fill="auto"/>
            <w:vAlign w:val="center"/>
          </w:tcPr>
          <w:p w14:paraId="63A354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9" w:type="dxa"/>
            <w:vMerge w:val="continue"/>
            <w:shd w:val="clear" w:color="auto" w:fill="auto"/>
            <w:vAlign w:val="center"/>
          </w:tcPr>
          <w:p w14:paraId="2F07F7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p>
        </w:tc>
        <w:tc>
          <w:tcPr>
            <w:tcW w:w="7111" w:type="dxa"/>
            <w:shd w:val="clear" w:color="auto" w:fill="auto"/>
            <w:vAlign w:val="center"/>
          </w:tcPr>
          <w:p w14:paraId="4E296BBE">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投标人对本项目服务需求</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不含</w:t>
            </w:r>
            <w:r>
              <w:rPr>
                <w:rFonts w:hint="eastAsia" w:ascii="仿宋" w:hAnsi="仿宋" w:eastAsia="仿宋" w:cs="仿宋"/>
                <w:color w:val="auto"/>
                <w:sz w:val="21"/>
                <w:szCs w:val="21"/>
                <w:highlight w:val="none"/>
              </w:rPr>
              <w:t>驻点医务人员的配备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的响应程度</w:t>
            </w:r>
          </w:p>
          <w:p w14:paraId="1C12BAE9">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招标需求中所有明确的服务需求均满足，没有正负偏离的，得</w:t>
            </w:r>
            <w:r>
              <w:rPr>
                <w:rFonts w:hint="eastAsia" w:ascii="仿宋" w:hAnsi="仿宋" w:eastAsia="仿宋" w:cs="仿宋"/>
                <w:color w:val="auto"/>
                <w:sz w:val="21"/>
                <w:szCs w:val="21"/>
                <w:highlight w:val="none"/>
                <w:lang w:val="en-US" w:eastAsia="zh-CN"/>
              </w:rPr>
              <w:t>28</w:t>
            </w:r>
            <w:r>
              <w:rPr>
                <w:rFonts w:hint="eastAsia" w:ascii="仿宋" w:hAnsi="仿宋" w:eastAsia="仿宋" w:cs="仿宋"/>
                <w:color w:val="auto"/>
                <w:sz w:val="21"/>
                <w:szCs w:val="21"/>
                <w:highlight w:val="none"/>
              </w:rPr>
              <w:t>分；承诺的服务指标低于招标需求（存在负偏离）的，根据负偏离程度每项扣</w:t>
            </w:r>
            <w:r>
              <w:rPr>
                <w:rFonts w:hint="eastAsia" w:ascii="仿宋" w:hAnsi="仿宋" w:eastAsia="仿宋" w:cs="仿宋"/>
                <w:color w:val="auto"/>
                <w:sz w:val="21"/>
                <w:szCs w:val="21"/>
                <w:highlight w:val="none"/>
                <w:lang w:val="en-US" w:eastAsia="zh-CN"/>
              </w:rPr>
              <w:t>0.1</w:t>
            </w:r>
            <w:r>
              <w:rPr>
                <w:rFonts w:hint="eastAsia" w:ascii="仿宋" w:hAnsi="仿宋" w:eastAsia="仿宋" w:cs="仿宋"/>
                <w:color w:val="auto"/>
                <w:sz w:val="21"/>
                <w:szCs w:val="21"/>
                <w:highlight w:val="none"/>
              </w:rPr>
              <w:t>分，扣完本项分值为止。（正、负偏离程度由评标专家组根据项目需求和投标人的响应程度进行具体认定）。</w:t>
            </w:r>
          </w:p>
        </w:tc>
        <w:tc>
          <w:tcPr>
            <w:tcW w:w="433" w:type="dxa"/>
            <w:shd w:val="clear" w:color="auto" w:fill="auto"/>
            <w:vAlign w:val="center"/>
          </w:tcPr>
          <w:p w14:paraId="7C4A54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28</w:t>
            </w:r>
          </w:p>
        </w:tc>
        <w:tc>
          <w:tcPr>
            <w:tcW w:w="470" w:type="dxa"/>
            <w:shd w:val="clear" w:color="auto" w:fill="auto"/>
            <w:vAlign w:val="center"/>
          </w:tcPr>
          <w:p w14:paraId="3E43A9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主观分</w:t>
            </w:r>
          </w:p>
        </w:tc>
      </w:tr>
      <w:tr w14:paraId="3CFA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53" w:type="dxa"/>
            <w:shd w:val="clear" w:color="auto" w:fill="auto"/>
            <w:vAlign w:val="center"/>
          </w:tcPr>
          <w:p w14:paraId="68B083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819" w:type="dxa"/>
            <w:vMerge w:val="continue"/>
            <w:shd w:val="clear" w:color="auto" w:fill="auto"/>
            <w:vAlign w:val="center"/>
          </w:tcPr>
          <w:p w14:paraId="1242DA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sz w:val="21"/>
                <w:szCs w:val="21"/>
                <w:highlight w:val="none"/>
              </w:rPr>
            </w:pPr>
          </w:p>
        </w:tc>
        <w:tc>
          <w:tcPr>
            <w:tcW w:w="7111" w:type="dxa"/>
            <w:shd w:val="clear" w:color="auto" w:fill="auto"/>
            <w:vAlign w:val="center"/>
          </w:tcPr>
          <w:p w14:paraId="6E09BD0C">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医疗服务的组织实施方案</w:t>
            </w:r>
          </w:p>
          <w:p w14:paraId="5FB19FF6">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对本项目医疗服务（包括：①体检服务；②疾病诊治服务；③其他医疗服务，包括每天对在押人员巡检，对民警及被监管人员健康宣教、协助药品采购、医疗废物处理及对药品采购流程进行指导等）的组织实施方案的实用性、系统性、完整性以及服务承诺：对本项目医疗服务目标明确，实施方案</w:t>
            </w:r>
            <w:r>
              <w:rPr>
                <w:rFonts w:hint="eastAsia" w:ascii="仿宋" w:hAnsi="仿宋" w:eastAsia="仿宋" w:cs="仿宋"/>
                <w:color w:val="auto"/>
                <w:sz w:val="21"/>
                <w:szCs w:val="21"/>
                <w:highlight w:val="none"/>
                <w:lang w:val="en-US" w:eastAsia="zh-CN"/>
              </w:rPr>
              <w:t>明确、合理</w:t>
            </w:r>
            <w:r>
              <w:rPr>
                <w:rFonts w:hint="eastAsia" w:ascii="仿宋" w:hAnsi="仿宋" w:eastAsia="仿宋" w:cs="仿宋"/>
                <w:color w:val="auto"/>
                <w:sz w:val="21"/>
                <w:szCs w:val="21"/>
                <w:highlight w:val="none"/>
              </w:rPr>
              <w:t>、系统、完整的得6分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表述不清晰或者不合理或者有内容有欠缺的每处扣1分，累计扣完本项项分值为止。</w:t>
            </w:r>
          </w:p>
        </w:tc>
        <w:tc>
          <w:tcPr>
            <w:tcW w:w="433" w:type="dxa"/>
            <w:shd w:val="clear" w:color="auto" w:fill="auto"/>
            <w:vAlign w:val="center"/>
          </w:tcPr>
          <w:p w14:paraId="7E04BE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470" w:type="dxa"/>
            <w:shd w:val="clear" w:color="auto" w:fill="auto"/>
            <w:vAlign w:val="center"/>
          </w:tcPr>
          <w:p w14:paraId="2F06DD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主观分</w:t>
            </w:r>
          </w:p>
        </w:tc>
      </w:tr>
      <w:tr w14:paraId="5AC5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dxa"/>
            <w:shd w:val="clear" w:color="auto" w:fill="auto"/>
            <w:vAlign w:val="center"/>
          </w:tcPr>
          <w:p w14:paraId="630F63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9" w:type="dxa"/>
            <w:vMerge w:val="continue"/>
            <w:shd w:val="clear" w:color="auto" w:fill="auto"/>
            <w:vAlign w:val="center"/>
          </w:tcPr>
          <w:p w14:paraId="3F59AB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p>
        </w:tc>
        <w:tc>
          <w:tcPr>
            <w:tcW w:w="7111" w:type="dxa"/>
            <w:shd w:val="clear" w:color="auto" w:fill="auto"/>
            <w:vAlign w:val="center"/>
          </w:tcPr>
          <w:p w14:paraId="053CCBCD">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驻点医务人员的配备</w:t>
            </w:r>
          </w:p>
          <w:p w14:paraId="39EA86F4">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完全响应招标文件“第二章 招标需求”之“监管场所服务区域的设定”中的要求配备驻点医务人员（包括医务人员人数、执业资格、职称、专业等）的得26分；较要求的专业职称高配的，每一人加1分，最多加4分；医务人员人数配置不足的，每少一人扣3分，执业资格、职称、专业等不符合要求（负偏离）的，每人每一负偏离因素扣1分，扣完为止。</w:t>
            </w:r>
          </w:p>
        </w:tc>
        <w:tc>
          <w:tcPr>
            <w:tcW w:w="433" w:type="dxa"/>
            <w:shd w:val="clear" w:color="auto" w:fill="auto"/>
            <w:vAlign w:val="center"/>
          </w:tcPr>
          <w:p w14:paraId="121360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470" w:type="dxa"/>
            <w:shd w:val="clear" w:color="auto" w:fill="auto"/>
            <w:vAlign w:val="center"/>
          </w:tcPr>
          <w:p w14:paraId="74A6EF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客观分</w:t>
            </w:r>
          </w:p>
        </w:tc>
      </w:tr>
      <w:tr w14:paraId="22D9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453" w:type="dxa"/>
            <w:shd w:val="clear" w:color="auto" w:fill="auto"/>
            <w:vAlign w:val="center"/>
          </w:tcPr>
          <w:p w14:paraId="4BDB68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9" w:type="dxa"/>
            <w:vMerge w:val="continue"/>
            <w:shd w:val="clear" w:color="auto" w:fill="auto"/>
            <w:vAlign w:val="center"/>
          </w:tcPr>
          <w:p w14:paraId="2505B7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p>
        </w:tc>
        <w:tc>
          <w:tcPr>
            <w:tcW w:w="7111" w:type="dxa"/>
            <w:shd w:val="clear" w:color="auto" w:fill="auto"/>
            <w:vAlign w:val="center"/>
          </w:tcPr>
          <w:p w14:paraId="67948534">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根据服务对象的特点，提出更合理的专业医生配备方案并承诺根据招标人的采纳情况去执行的，由评标专家委员会和采购人代表根据合理化建议的合理性打分。</w:t>
            </w:r>
            <w:r>
              <w:rPr>
                <w:rFonts w:hint="eastAsia" w:ascii="仿宋" w:hAnsi="仿宋" w:eastAsia="仿宋" w:cs="仿宋"/>
                <w:color w:val="auto"/>
                <w:sz w:val="21"/>
                <w:szCs w:val="21"/>
                <w:highlight w:val="none"/>
                <w:lang w:val="en-US" w:eastAsia="zh-CN"/>
              </w:rPr>
              <w:t>内容全面、表述清晰、合理且可行的得3分，表述不清晰或者不合理或者有内容有欠缺的每处扣1分，累计扣完本项项分值为止。</w:t>
            </w:r>
          </w:p>
        </w:tc>
        <w:tc>
          <w:tcPr>
            <w:tcW w:w="433" w:type="dxa"/>
            <w:shd w:val="clear" w:color="auto" w:fill="auto"/>
            <w:vAlign w:val="center"/>
          </w:tcPr>
          <w:p w14:paraId="3E361C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p>
        </w:tc>
        <w:tc>
          <w:tcPr>
            <w:tcW w:w="470" w:type="dxa"/>
            <w:shd w:val="clear" w:color="auto" w:fill="auto"/>
            <w:vAlign w:val="center"/>
          </w:tcPr>
          <w:p w14:paraId="0E3677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主观分</w:t>
            </w:r>
          </w:p>
        </w:tc>
      </w:tr>
      <w:tr w14:paraId="780E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53" w:type="dxa"/>
            <w:shd w:val="clear" w:color="auto" w:fill="auto"/>
            <w:vAlign w:val="center"/>
          </w:tcPr>
          <w:p w14:paraId="51E17D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9" w:type="dxa"/>
            <w:vMerge w:val="continue"/>
            <w:shd w:val="clear" w:color="auto" w:fill="auto"/>
            <w:vAlign w:val="center"/>
          </w:tcPr>
          <w:p w14:paraId="138783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sz w:val="21"/>
                <w:szCs w:val="21"/>
                <w:highlight w:val="none"/>
                <w:lang w:val="en-US" w:eastAsia="zh-CN"/>
              </w:rPr>
            </w:pPr>
          </w:p>
        </w:tc>
        <w:tc>
          <w:tcPr>
            <w:tcW w:w="7111" w:type="dxa"/>
            <w:shd w:val="clear" w:color="auto" w:fill="auto"/>
            <w:vAlign w:val="center"/>
          </w:tcPr>
          <w:p w14:paraId="5D37E312">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工作制度及保障措施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根据各投标人针对本项目制定的工作制度（包括员工管理、工作程序、工作标准）和保障措施的合理性、有效性进行打分。工作制度健全、规范，保障措施有力、有效的得6分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表述不清晰或者不合理或者有内容有欠缺的每处扣1分，累计扣完本项项分值为止。</w:t>
            </w:r>
          </w:p>
        </w:tc>
        <w:tc>
          <w:tcPr>
            <w:tcW w:w="433" w:type="dxa"/>
            <w:shd w:val="clear" w:color="auto" w:fill="auto"/>
            <w:vAlign w:val="center"/>
          </w:tcPr>
          <w:p w14:paraId="530F24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6</w:t>
            </w:r>
          </w:p>
        </w:tc>
        <w:tc>
          <w:tcPr>
            <w:tcW w:w="470" w:type="dxa"/>
            <w:shd w:val="clear" w:color="auto" w:fill="auto"/>
            <w:vAlign w:val="center"/>
          </w:tcPr>
          <w:p w14:paraId="4C6329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主观分</w:t>
            </w:r>
          </w:p>
        </w:tc>
      </w:tr>
      <w:tr w14:paraId="6EC3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453" w:type="dxa"/>
            <w:shd w:val="clear" w:color="auto" w:fill="auto"/>
            <w:vAlign w:val="center"/>
          </w:tcPr>
          <w:p w14:paraId="0D5689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9" w:type="dxa"/>
            <w:shd w:val="clear" w:color="auto" w:fill="auto"/>
            <w:vAlign w:val="center"/>
          </w:tcPr>
          <w:p w14:paraId="44114E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医疗应急响应能力</w:t>
            </w:r>
          </w:p>
        </w:tc>
        <w:tc>
          <w:tcPr>
            <w:tcW w:w="7111" w:type="dxa"/>
            <w:shd w:val="clear" w:color="auto" w:fill="auto"/>
            <w:vAlign w:val="center"/>
          </w:tcPr>
          <w:p w14:paraId="661D48C9">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医疗应急响应方案：根据投标人对突发医疗需求的调配人数、快速响应时间与处理方案的合理性、周全性进行评分。</w:t>
            </w:r>
          </w:p>
          <w:p w14:paraId="57DFE2BE">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1、方案整体框架清晰，阐述内容主次分明，方案可操作性、可行性强的得</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p>
          <w:p w14:paraId="2C7ED990">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2、方案整体框架较清晰，阐述内容主次较为分明，方案具有一定的可操作性、可行性较强的得</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14:paraId="16BE08FC">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3、方案整体框架不够清晰，阐述内容主次不分，方案可操作性、可行性差的得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p w14:paraId="58D498A5">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4、未提供相关内容阐述的不得分。</w:t>
            </w:r>
          </w:p>
        </w:tc>
        <w:tc>
          <w:tcPr>
            <w:tcW w:w="433" w:type="dxa"/>
            <w:shd w:val="clear" w:color="auto" w:fill="auto"/>
            <w:vAlign w:val="center"/>
          </w:tcPr>
          <w:p w14:paraId="11DA6E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470" w:type="dxa"/>
            <w:shd w:val="clear" w:color="auto" w:fill="auto"/>
            <w:vAlign w:val="center"/>
          </w:tcPr>
          <w:p w14:paraId="37F9CE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主观分</w:t>
            </w:r>
          </w:p>
        </w:tc>
      </w:tr>
      <w:tr w14:paraId="34A0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53" w:type="dxa"/>
            <w:shd w:val="clear" w:color="auto" w:fill="auto"/>
            <w:vAlign w:val="center"/>
          </w:tcPr>
          <w:p w14:paraId="01A326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9" w:type="dxa"/>
            <w:shd w:val="clear" w:color="auto" w:fill="auto"/>
            <w:vAlign w:val="center"/>
          </w:tcPr>
          <w:p w14:paraId="3E94D3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业绩</w:t>
            </w:r>
          </w:p>
        </w:tc>
        <w:tc>
          <w:tcPr>
            <w:tcW w:w="7111" w:type="dxa"/>
            <w:shd w:val="clear" w:color="auto" w:fill="auto"/>
            <w:vAlign w:val="center"/>
          </w:tcPr>
          <w:p w14:paraId="331EEE3E">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年1月1日以来承担过同类服务项目的，每个合同业绩0.5分，本项最高得1 分。须提供合同复印件，是否同类项目由评委会认定。</w:t>
            </w:r>
          </w:p>
        </w:tc>
        <w:tc>
          <w:tcPr>
            <w:tcW w:w="433" w:type="dxa"/>
            <w:shd w:val="clear" w:color="auto" w:fill="auto"/>
            <w:vAlign w:val="center"/>
          </w:tcPr>
          <w:p w14:paraId="33F5F1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p>
        </w:tc>
        <w:tc>
          <w:tcPr>
            <w:tcW w:w="470" w:type="dxa"/>
            <w:shd w:val="clear" w:color="auto" w:fill="auto"/>
            <w:vAlign w:val="center"/>
          </w:tcPr>
          <w:p w14:paraId="00BB90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客观分</w:t>
            </w:r>
          </w:p>
        </w:tc>
      </w:tr>
      <w:tr w14:paraId="6B9E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453" w:type="dxa"/>
            <w:shd w:val="clear" w:color="auto" w:fill="auto"/>
            <w:vAlign w:val="center"/>
          </w:tcPr>
          <w:p w14:paraId="0BD27C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9" w:type="dxa"/>
            <w:shd w:val="clear" w:color="auto" w:fill="auto"/>
            <w:vAlign w:val="center"/>
          </w:tcPr>
          <w:p w14:paraId="69F6D4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投标人的资质及荣誉</w:t>
            </w:r>
          </w:p>
        </w:tc>
        <w:tc>
          <w:tcPr>
            <w:tcW w:w="7111" w:type="dxa"/>
            <w:shd w:val="clear" w:color="auto" w:fill="auto"/>
            <w:vAlign w:val="center"/>
          </w:tcPr>
          <w:p w14:paraId="231C5026">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年1月1日以来荣获与医疗服务相关荣誉或奖项的每项可得</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 xml:space="preserve"> 分，最高不超过</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分。（提供证书复印件）</w:t>
            </w:r>
          </w:p>
        </w:tc>
        <w:tc>
          <w:tcPr>
            <w:tcW w:w="433" w:type="dxa"/>
            <w:shd w:val="clear" w:color="auto" w:fill="auto"/>
            <w:vAlign w:val="center"/>
          </w:tcPr>
          <w:p w14:paraId="781CEB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470" w:type="dxa"/>
            <w:shd w:val="clear" w:color="auto" w:fill="auto"/>
            <w:vAlign w:val="center"/>
          </w:tcPr>
          <w:p w14:paraId="597325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客观分</w:t>
            </w:r>
          </w:p>
        </w:tc>
      </w:tr>
      <w:tr w14:paraId="6FCD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3" w:type="dxa"/>
            <w:shd w:val="clear" w:color="auto" w:fill="auto"/>
            <w:vAlign w:val="center"/>
          </w:tcPr>
          <w:p w14:paraId="5E97AD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9" w:type="dxa"/>
            <w:shd w:val="clear" w:color="auto" w:fill="auto"/>
            <w:vAlign w:val="center"/>
          </w:tcPr>
          <w:p w14:paraId="24D5AE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政策分</w:t>
            </w:r>
          </w:p>
        </w:tc>
        <w:tc>
          <w:tcPr>
            <w:tcW w:w="7111" w:type="dxa"/>
            <w:shd w:val="clear" w:color="auto" w:fill="auto"/>
            <w:vAlign w:val="center"/>
          </w:tcPr>
          <w:p w14:paraId="3B62ED31">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符合《政府采购货物和服务招标投标管理办法》第五条规定，属“节约能源、保护环境、扶持不发达地区和少数民族地区等”政府采购政策扶持对象的（注：“促进中小企业发展”等政府采购政策评审时将在“价格分”中进行政策性价格扣除的类目，此处不予以计分），提供相关证明材料和政策依据，每符合一项得1 分，最高可得2 分；未提供相关证明材料的不得分。</w:t>
            </w:r>
          </w:p>
        </w:tc>
        <w:tc>
          <w:tcPr>
            <w:tcW w:w="433" w:type="dxa"/>
            <w:shd w:val="clear" w:color="auto" w:fill="auto"/>
            <w:vAlign w:val="center"/>
          </w:tcPr>
          <w:p w14:paraId="2F3985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p>
        </w:tc>
        <w:tc>
          <w:tcPr>
            <w:tcW w:w="470" w:type="dxa"/>
            <w:shd w:val="clear" w:color="auto" w:fill="auto"/>
            <w:vAlign w:val="center"/>
          </w:tcPr>
          <w:p w14:paraId="2EE59D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客观分</w:t>
            </w:r>
          </w:p>
        </w:tc>
      </w:tr>
    </w:tbl>
    <w:p w14:paraId="4F6BBF62">
      <w:pPr>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w:t>
      </w:r>
      <w:r>
        <w:rPr>
          <w:rFonts w:hint="eastAsia" w:ascii="仿宋" w:hAnsi="仿宋" w:eastAsia="仿宋" w:cs="仿宋"/>
          <w:b/>
          <w:color w:val="auto"/>
          <w:sz w:val="21"/>
          <w:szCs w:val="21"/>
          <w:highlight w:val="none"/>
        </w:rPr>
        <w:t>备注：</w:t>
      </w:r>
      <w:r>
        <w:rPr>
          <w:rFonts w:hint="eastAsia" w:ascii="仿宋" w:hAnsi="仿宋" w:eastAsia="仿宋" w:cs="仿宋"/>
          <w:color w:val="auto"/>
          <w:sz w:val="21"/>
          <w:szCs w:val="21"/>
          <w:highlight w:val="none"/>
        </w:rPr>
        <w:t>供应商编制响应文件（商务技术文件部分）时，建议按此目录（序号和内容）提供评审标准相应的商务技术资料。</w:t>
      </w:r>
    </w:p>
    <w:p w14:paraId="7E421086">
      <w:pPr>
        <w:pStyle w:val="2"/>
        <w:numPr>
          <w:ilvl w:val="0"/>
          <w:numId w:val="1"/>
        </w:num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价格分（</w:t>
      </w:r>
      <w:r>
        <w:rPr>
          <w:rFonts w:hint="eastAsia" w:asci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t>0分）</w:t>
      </w:r>
    </w:p>
    <w:p w14:paraId="38E08184">
      <w:pPr>
        <w:keepNext w:val="0"/>
        <w:keepLines w:val="0"/>
        <w:pageBreakBefore w:val="0"/>
        <w:widowControl w:val="0"/>
        <w:kinsoku/>
        <w:wordWrap/>
        <w:overflowPunct/>
        <w:topLinePunct w:val="0"/>
        <w:autoSpaceDE/>
        <w:autoSpaceDN/>
        <w:bidi w:val="0"/>
        <w:adjustRightInd/>
        <w:spacing w:line="360" w:lineRule="auto"/>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1、价格分采用低价优先法计算，即：以满足招标文件要求且进行了政策性价格扣除后，以评审价格的最低价者定为评标基准价，其价格分为满分。其他投标人的价格分统一按照下列公式计算：</w:t>
      </w:r>
    </w:p>
    <w:p w14:paraId="46F3BA00">
      <w:pPr>
        <w:keepNext w:val="0"/>
        <w:keepLines w:val="0"/>
        <w:pageBreakBefore w:val="0"/>
        <w:widowControl w:val="0"/>
        <w:kinsoku/>
        <w:wordWrap/>
        <w:overflowPunct/>
        <w:topLinePunct w:val="0"/>
        <w:autoSpaceDE/>
        <w:autoSpaceDN/>
        <w:bidi w:val="0"/>
        <w:adjustRightInd/>
        <w:spacing w:line="360" w:lineRule="auto"/>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其他投标人的价格分=（评标基准价/评审价格）×10%×100</w:t>
      </w:r>
    </w:p>
    <w:p w14:paraId="7196456B">
      <w:pPr>
        <w:keepNext w:val="0"/>
        <w:keepLines w:val="0"/>
        <w:pageBreakBefore w:val="0"/>
        <w:widowControl w:val="0"/>
        <w:kinsoku/>
        <w:wordWrap/>
        <w:overflowPunct/>
        <w:topLinePunct w:val="0"/>
        <w:autoSpaceDE/>
        <w:autoSpaceDN/>
        <w:bidi w:val="0"/>
        <w:adjustRightInd/>
        <w:spacing w:line="360" w:lineRule="auto"/>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价格评审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在有效投标人数满足法定人数的前提下，评标委员会依次确定满足招标文件要求且进行了政策性价格扣除后评审价格最低的有效投标报价为评标基准价。</w:t>
      </w:r>
    </w:p>
    <w:p w14:paraId="572F6B03">
      <w:pPr>
        <w:keepNext w:val="0"/>
        <w:keepLines w:val="0"/>
        <w:pageBreakBefore w:val="0"/>
        <w:widowControl w:val="0"/>
        <w:kinsoku/>
        <w:wordWrap/>
        <w:overflowPunct/>
        <w:topLinePunct w:val="0"/>
        <w:autoSpaceDE/>
        <w:autoSpaceDN/>
        <w:bidi w:val="0"/>
        <w:adjustRightInd/>
        <w:spacing w:line="360" w:lineRule="auto"/>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2、投标人的投标报价超过招标人设定的上限价(不另设上限价的以预算价作为上限价)，按投标无效处理。</w:t>
      </w:r>
    </w:p>
    <w:p w14:paraId="2784E869">
      <w:pPr>
        <w:keepNext w:val="0"/>
        <w:keepLines w:val="0"/>
        <w:pageBreakBefore w:val="0"/>
        <w:widowControl w:val="0"/>
        <w:kinsoku/>
        <w:wordWrap/>
        <w:overflowPunct/>
        <w:topLinePunct w:val="0"/>
        <w:autoSpaceDE/>
        <w:autoSpaceDN/>
        <w:bidi w:val="0"/>
        <w:adjustRightInd/>
        <w:spacing w:line="360" w:lineRule="auto"/>
        <w:ind w:firstLine="422" w:firstLineChars="200"/>
        <w:jc w:val="both"/>
        <w:textAlignment w:val="auto"/>
        <w:rPr>
          <w:rFonts w:hint="eastAsia" w:ascii="仿宋" w:hAnsi="仿宋" w:eastAsia="仿宋" w:cs="仿宋"/>
          <w:b/>
          <w:bCs/>
          <w:color w:val="auto"/>
          <w:sz w:val="21"/>
          <w:szCs w:val="21"/>
          <w:highlight w:val="none"/>
        </w:rPr>
      </w:pPr>
      <w:r>
        <w:rPr>
          <w:rFonts w:hint="eastAsia" w:ascii="仿宋" w:hAnsi="仿宋" w:eastAsia="仿宋" w:cs="仿宋"/>
          <w:b/>
          <w:color w:val="auto"/>
          <w:sz w:val="21"/>
          <w:szCs w:val="21"/>
          <w:highlight w:val="none"/>
        </w:rPr>
        <w:t>3.</w:t>
      </w:r>
      <w:r>
        <w:rPr>
          <w:rFonts w:hint="eastAsia" w:ascii="仿宋" w:hAnsi="仿宋" w:eastAsia="仿宋" w:cs="仿宋"/>
          <w:b/>
          <w:bCs/>
          <w:color w:val="auto"/>
          <w:sz w:val="21"/>
          <w:szCs w:val="21"/>
          <w:highlight w:val="none"/>
        </w:rPr>
        <w:t>依照《政府采购促进中小企业发展管理办法》、《国务院关于印发扎实稳住经济一揽子政策措施的通知》、《浙江省财政厅关于进一步发挥政府采购政策功能全力推动经济稳进提质的通知》、《财政部 民政部 中国残疾人联合会关于促进残疾人就业政府采购政策的通知》（财库〔2017〕141号）、《财政部、司法部关于政府采购支持监狱企业发展有关问题的通知》（财库〔2014〕68号）的规定，对符合相关要求的有效投标人，按照以下比例给予相应的价格扣除，以确定该投标人的报价评审价格：</w:t>
      </w:r>
    </w:p>
    <w:tbl>
      <w:tblPr>
        <w:tblStyle w:val="62"/>
        <w:tblW w:w="0" w:type="auto"/>
        <w:jc w:val="center"/>
        <w:tblLayout w:type="fixed"/>
        <w:tblCellMar>
          <w:top w:w="0" w:type="dxa"/>
          <w:left w:w="108" w:type="dxa"/>
          <w:bottom w:w="0" w:type="dxa"/>
          <w:right w:w="108" w:type="dxa"/>
        </w:tblCellMar>
      </w:tblPr>
      <w:tblGrid>
        <w:gridCol w:w="728"/>
        <w:gridCol w:w="4615"/>
        <w:gridCol w:w="970"/>
        <w:gridCol w:w="2852"/>
      </w:tblGrid>
      <w:tr w14:paraId="4E439E7A">
        <w:tblPrEx>
          <w:tblCellMar>
            <w:top w:w="0" w:type="dxa"/>
            <w:left w:w="108" w:type="dxa"/>
            <w:bottom w:w="0" w:type="dxa"/>
            <w:right w:w="108" w:type="dxa"/>
          </w:tblCellMar>
        </w:tblPrEx>
        <w:trPr>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1F2726E3">
            <w:pPr>
              <w:keepNext w:val="0"/>
              <w:keepLines w:val="0"/>
              <w:pageBreakBefore w:val="0"/>
              <w:widowControl w:val="0"/>
              <w:kinsoku/>
              <w:wordWrap/>
              <w:overflowPunct/>
              <w:topLinePunct w:val="0"/>
              <w:autoSpaceDE/>
              <w:autoSpaceDN/>
              <w:bidi w:val="0"/>
              <w:adjustRightInd w:val="0"/>
              <w:snapToGrid w:val="0"/>
              <w:spacing w:line="240" w:lineRule="auto"/>
              <w:ind w:left="149"/>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1"/>
                <w:sz w:val="21"/>
                <w:szCs w:val="21"/>
                <w:highlight w:val="none"/>
              </w:rPr>
              <w:t>序号</w:t>
            </w:r>
          </w:p>
        </w:tc>
        <w:tc>
          <w:tcPr>
            <w:tcW w:w="4615"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27928C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1"/>
                <w:sz w:val="21"/>
                <w:szCs w:val="21"/>
                <w:highlight w:val="none"/>
              </w:rPr>
              <w:t>情形</w:t>
            </w:r>
          </w:p>
        </w:tc>
        <w:tc>
          <w:tcPr>
            <w:tcW w:w="970"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78730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1"/>
                <w:sz w:val="21"/>
                <w:szCs w:val="21"/>
                <w:highlight w:val="none"/>
              </w:rPr>
              <w:t>评审价格扣除比例</w:t>
            </w:r>
          </w:p>
        </w:tc>
        <w:tc>
          <w:tcPr>
            <w:tcW w:w="2852"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4E005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1"/>
                <w:sz w:val="21"/>
                <w:szCs w:val="21"/>
                <w:highlight w:val="none"/>
              </w:rPr>
              <w:t>计算公式</w:t>
            </w:r>
          </w:p>
        </w:tc>
      </w:tr>
      <w:tr w14:paraId="5992BF42">
        <w:tblPrEx>
          <w:tblCellMar>
            <w:top w:w="0" w:type="dxa"/>
            <w:left w:w="108" w:type="dxa"/>
            <w:bottom w:w="0" w:type="dxa"/>
            <w:right w:w="108" w:type="dxa"/>
          </w:tblCellMar>
        </w:tblPrEx>
        <w:trPr>
          <w:jc w:val="center"/>
        </w:trPr>
        <w:tc>
          <w:tcPr>
            <w:tcW w:w="72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16647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1"/>
                <w:sz w:val="21"/>
                <w:szCs w:val="21"/>
                <w:highlight w:val="none"/>
                <w:lang w:eastAsia="zh-CN"/>
              </w:rPr>
            </w:pPr>
            <w:r>
              <w:rPr>
                <w:rFonts w:hint="eastAsia" w:ascii="仿宋" w:hAnsi="仿宋" w:eastAsia="仿宋" w:cs="仿宋"/>
                <w:color w:val="auto"/>
                <w:spacing w:val="-1"/>
                <w:sz w:val="21"/>
                <w:szCs w:val="21"/>
                <w:highlight w:val="none"/>
                <w:lang w:val="en-US" w:eastAsia="zh-CN"/>
              </w:rPr>
              <w:t>1</w:t>
            </w:r>
          </w:p>
        </w:tc>
        <w:tc>
          <w:tcPr>
            <w:tcW w:w="4615"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0A866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1"/>
                <w:kern w:val="2"/>
                <w:sz w:val="21"/>
                <w:szCs w:val="21"/>
                <w:highlight w:val="none"/>
              </w:rPr>
            </w:pPr>
            <w:r>
              <w:rPr>
                <w:rFonts w:hint="eastAsia" w:ascii="仿宋" w:hAnsi="仿宋" w:eastAsia="仿宋" w:cs="仿宋"/>
                <w:color w:val="auto"/>
                <w:spacing w:val="-1"/>
                <w:sz w:val="21"/>
                <w:szCs w:val="21"/>
                <w:highlight w:val="none"/>
              </w:rPr>
              <w:t>服务全部</w:t>
            </w:r>
            <w:r>
              <w:rPr>
                <w:rFonts w:hint="eastAsia" w:ascii="仿宋" w:hAnsi="仿宋" w:eastAsia="仿宋" w:cs="仿宋"/>
                <w:color w:val="auto"/>
                <w:sz w:val="21"/>
                <w:szCs w:val="21"/>
                <w:highlight w:val="none"/>
              </w:rPr>
              <w:t>由小微企业承担</w:t>
            </w:r>
          </w:p>
        </w:tc>
        <w:tc>
          <w:tcPr>
            <w:tcW w:w="970"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2DE66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10%</w:t>
            </w:r>
          </w:p>
        </w:tc>
        <w:tc>
          <w:tcPr>
            <w:tcW w:w="2852"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1C1BF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评审价格＝投标报价×(1-1</w:t>
            </w:r>
            <w:bookmarkStart w:id="404" w:name="_GoBack"/>
            <w:bookmarkEnd w:id="404"/>
            <w:r>
              <w:rPr>
                <w:rFonts w:hint="eastAsia" w:ascii="仿宋" w:hAnsi="仿宋" w:eastAsia="仿宋" w:cs="仿宋"/>
                <w:color w:val="auto"/>
                <w:spacing w:val="-1"/>
                <w:sz w:val="21"/>
                <w:szCs w:val="21"/>
                <w:highlight w:val="none"/>
              </w:rPr>
              <w:t>0%)</w:t>
            </w:r>
          </w:p>
        </w:tc>
      </w:tr>
    </w:tbl>
    <w:p w14:paraId="08728D36">
      <w:pPr>
        <w:keepNext w:val="0"/>
        <w:keepLines w:val="0"/>
        <w:pageBreakBefore w:val="0"/>
        <w:widowControl w:val="0"/>
        <w:kinsoku/>
        <w:wordWrap/>
        <w:overflowPunct/>
        <w:topLinePunct w:val="0"/>
        <w:autoSpaceDE/>
        <w:autoSpaceDN/>
        <w:bidi w:val="0"/>
        <w:adjustRightInd/>
        <w:spacing w:line="360" w:lineRule="auto"/>
        <w:ind w:firstLine="420" w:firstLineChars="200"/>
        <w:jc w:val="both"/>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注：①“中小企业”是指在中华人民共和国境内依法设立，依据国务院批准的中小企业划分标准确定的中型企业、小型企业和微型企业，但与大企业的负责人为同一人，或者与大企业存在直接控股、管理关系的除外；本项目采购标的对应的中小企业划分标准所属行业为中小企业划型标准规定（工信部联企业〔2011〕300号）中的</w:t>
      </w:r>
      <w:r>
        <w:rPr>
          <w:rFonts w:hint="eastAsia" w:ascii="仿宋" w:hAnsi="仿宋" w:eastAsia="仿宋" w:cs="仿宋"/>
          <w:color w:val="auto"/>
          <w:kern w:val="2"/>
          <w:sz w:val="21"/>
          <w:szCs w:val="21"/>
          <w:highlight w:val="none"/>
        </w:rPr>
        <w:t xml:space="preserve"> “</w:t>
      </w:r>
      <w:r>
        <w:rPr>
          <w:rFonts w:hint="eastAsia" w:ascii="仿宋" w:hAnsi="仿宋" w:eastAsia="仿宋" w:cs="仿宋"/>
          <w:color w:val="auto"/>
          <w:sz w:val="21"/>
          <w:szCs w:val="21"/>
          <w:highlight w:val="none"/>
        </w:rPr>
        <w:t>其他未列明行业</w:t>
      </w:r>
      <w:r>
        <w:rPr>
          <w:rFonts w:hint="eastAsia" w:ascii="仿宋" w:hAnsi="仿宋" w:eastAsia="仿宋" w:cs="仿宋"/>
          <w:color w:val="auto"/>
          <w:kern w:val="2"/>
          <w:sz w:val="21"/>
          <w:szCs w:val="21"/>
          <w:highlight w:val="none"/>
        </w:rPr>
        <w:t>”</w:t>
      </w:r>
      <w:r>
        <w:rPr>
          <w:rFonts w:hint="eastAsia" w:ascii="仿宋" w:hAnsi="仿宋" w:eastAsia="仿宋" w:cs="仿宋"/>
          <w:color w:val="auto"/>
          <w:sz w:val="21"/>
          <w:szCs w:val="21"/>
          <w:highlight w:val="none"/>
        </w:rPr>
        <w:t>行业；②符合中小企业划分标准的个体工商户，在本项目采购活动中视同中小企业；③残疾人福利性单位或监狱企业视同小型、微型企业执行。</w:t>
      </w:r>
    </w:p>
    <w:p w14:paraId="032E918D">
      <w:pPr>
        <w:spacing w:line="360" w:lineRule="auto"/>
        <w:ind w:firstLine="3654" w:firstLineChars="13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一、评标方法</w:t>
      </w:r>
    </w:p>
    <w:p w14:paraId="3101FB4B">
      <w:pPr>
        <w:adjustRightInd/>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1.本项目采用综合评分法。</w:t>
      </w:r>
      <w:r>
        <w:rPr>
          <w:rFonts w:hint="eastAsia" w:ascii="仿宋" w:hAnsi="仿宋" w:eastAsia="仿宋" w:cs="仿宋"/>
          <w:color w:val="auto"/>
          <w:kern w:val="0"/>
          <w:sz w:val="21"/>
          <w:szCs w:val="21"/>
          <w:highlight w:val="none"/>
        </w:rPr>
        <w:t>综合评分法，是指投标文件满足招标文件全部实质性要求，且按照评审因素的量化指标评审得分最高的投标人为中标候选人的评标方法。</w:t>
      </w:r>
    </w:p>
    <w:p w14:paraId="54EF34FF">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二、评标标准</w:t>
      </w:r>
    </w:p>
    <w:p w14:paraId="4602839D">
      <w:pPr>
        <w:spacing w:line="360" w:lineRule="auto"/>
        <w:ind w:firstLine="413" w:firstLineChars="196"/>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2.评标标准：</w:t>
      </w:r>
      <w:r>
        <w:rPr>
          <w:rFonts w:hint="eastAsia" w:ascii="仿宋" w:hAnsi="仿宋" w:eastAsia="仿宋" w:cs="仿宋"/>
          <w:color w:val="auto"/>
          <w:kern w:val="0"/>
          <w:sz w:val="21"/>
          <w:szCs w:val="21"/>
          <w:highlight w:val="none"/>
        </w:rPr>
        <w:t>见评标办法前附表。</w:t>
      </w:r>
    </w:p>
    <w:p w14:paraId="05744903">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三、评标程序</w:t>
      </w:r>
    </w:p>
    <w:p w14:paraId="3F7A9E48">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3.1符合性审查。</w:t>
      </w:r>
      <w:r>
        <w:rPr>
          <w:rFonts w:hint="eastAsia" w:ascii="仿宋" w:hAnsi="仿宋" w:eastAsia="仿宋" w:cs="仿宋"/>
          <w:color w:val="auto"/>
          <w:kern w:val="0"/>
          <w:sz w:val="21"/>
          <w:szCs w:val="21"/>
          <w:highlight w:val="none"/>
        </w:rPr>
        <w:t>评标委员会应当对符合资格的投标人的投标文件进行符合性审查，以确定其是否满足招标文件的实质性要求。不满足招标文件的实质性要求的，投标无效。</w:t>
      </w:r>
    </w:p>
    <w:p w14:paraId="41625767">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3.2 比较与评价。</w:t>
      </w:r>
      <w:r>
        <w:rPr>
          <w:rFonts w:hint="eastAsia" w:ascii="仿宋" w:hAnsi="仿宋" w:eastAsia="仿宋" w:cs="仿宋"/>
          <w:color w:val="auto"/>
          <w:kern w:val="0"/>
          <w:sz w:val="21"/>
          <w:szCs w:val="21"/>
          <w:highlight w:val="none"/>
        </w:rPr>
        <w:t>评标委员会应当按照招标文件中规定的评标方法和标准，对符合性审查合格的投标文件进行商务和技术评估，综合比较与评价。</w:t>
      </w:r>
    </w:p>
    <w:p w14:paraId="13A4FAB6">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3.3汇总商务技术得分。</w:t>
      </w:r>
      <w:r>
        <w:rPr>
          <w:rFonts w:hint="eastAsia" w:ascii="仿宋" w:hAnsi="仿宋" w:eastAsia="仿宋" w:cs="仿宋"/>
          <w:color w:val="auto"/>
          <w:kern w:val="0"/>
          <w:sz w:val="21"/>
          <w:szCs w:val="21"/>
          <w:highlight w:val="none"/>
        </w:rPr>
        <w:t>评标委员会各成员应当独立对每个投标人的商务和技术文件进行评价，并汇总商务技术得分情况。</w:t>
      </w:r>
    </w:p>
    <w:p w14:paraId="7DEAA2C8">
      <w:pPr>
        <w:spacing w:line="360" w:lineRule="auto"/>
        <w:ind w:firstLine="413" w:firstLineChars="196"/>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3.4报价评审。</w:t>
      </w:r>
    </w:p>
    <w:p w14:paraId="024AC8B2">
      <w:pPr>
        <w:pStyle w:val="132"/>
        <w:spacing w:before="0" w:line="360" w:lineRule="auto"/>
        <w:ind w:firstLine="445" w:firstLineChars="212"/>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3.4.1投标文件报价出现前后不一致的，按照下列规定修正：</w:t>
      </w:r>
    </w:p>
    <w:p w14:paraId="244F7FD1">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3.4.1.1投标文件中开标一览表(报价表)内容与投标文件中相应内容不一致的，以开标一览表(报价表)为准;</w:t>
      </w:r>
    </w:p>
    <w:p w14:paraId="1CA23163">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3.4.1.2大写金额和小写金额不一致的，以大写金额为准;</w:t>
      </w:r>
    </w:p>
    <w:p w14:paraId="3D706D98">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3.4.1.3单价金额小数点或者百分比有明显错位的，以开标一览表的总价为准，并修改单价;</w:t>
      </w:r>
    </w:p>
    <w:p w14:paraId="446EB55B">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3.4.1.4总价金额与按单价汇总金额不一致的，以单价金额计算结果为准。</w:t>
      </w:r>
    </w:p>
    <w:p w14:paraId="19BA7D0E">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208A0AA1">
      <w:pPr>
        <w:snapToGrid w:val="0"/>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3.4.2投标文件出现不是唯一的、有选择性投标报价的，投标无效。</w:t>
      </w:r>
    </w:p>
    <w:p w14:paraId="4DF302B6">
      <w:pPr>
        <w:snapToGrid w:val="0"/>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3.4.3投标报价超过招标文件中规定的预算金额或者最高限价的，投标无效。</w:t>
      </w:r>
    </w:p>
    <w:p w14:paraId="7473610C">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3EF98D8">
      <w:pPr>
        <w:pStyle w:val="132"/>
        <w:spacing w:before="0" w:line="360" w:lineRule="auto"/>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3.4.5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C4A370B">
      <w:pPr>
        <w:spacing w:line="360" w:lineRule="auto"/>
        <w:ind w:firstLine="422" w:firstLineChars="200"/>
        <w:rPr>
          <w:rFonts w:hint="eastAsia" w:ascii="仿宋" w:hAnsi="仿宋" w:eastAsia="仿宋" w:cs="仿宋"/>
          <w:color w:val="auto"/>
          <w:kern w:val="0"/>
          <w:sz w:val="21"/>
          <w:szCs w:val="21"/>
          <w:highlight w:val="none"/>
          <w:lang w:eastAsia="zh-CN"/>
        </w:rPr>
      </w:pPr>
      <w:r>
        <w:rPr>
          <w:rFonts w:hint="eastAsia" w:ascii="仿宋" w:hAnsi="仿宋" w:eastAsia="仿宋" w:cs="仿宋"/>
          <w:b/>
          <w:color w:val="auto"/>
          <w:kern w:val="0"/>
          <w:sz w:val="21"/>
          <w:szCs w:val="21"/>
          <w:highlight w:val="none"/>
        </w:rPr>
        <w:t>3.5排序与推荐。</w:t>
      </w:r>
      <w:r>
        <w:rPr>
          <w:rFonts w:hint="eastAsia" w:ascii="仿宋" w:hAnsi="仿宋" w:eastAsia="仿宋" w:cs="仿宋"/>
          <w:color w:val="auto"/>
          <w:kern w:val="0"/>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DC70E2A">
      <w:pPr>
        <w:spacing w:line="360" w:lineRule="auto"/>
        <w:ind w:firstLine="420" w:firstLineChars="200"/>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CEFBA23">
      <w:pPr>
        <w:spacing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3.6编写评标报告。</w:t>
      </w:r>
      <w:r>
        <w:rPr>
          <w:rFonts w:hint="eastAsia" w:ascii="仿宋" w:hAnsi="仿宋" w:eastAsia="仿宋" w:cs="仿宋"/>
          <w:color w:val="auto"/>
          <w:kern w:val="0"/>
          <w:sz w:val="21"/>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505402F">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四、评标中的其他事项</w:t>
      </w:r>
    </w:p>
    <w:p w14:paraId="03D75460">
      <w:pPr>
        <w:pStyle w:val="132"/>
        <w:spacing w:before="0" w:line="360" w:lineRule="auto"/>
        <w:ind w:firstLine="413" w:firstLineChars="196"/>
        <w:rPr>
          <w:rFonts w:hint="eastAsia" w:ascii="仿宋" w:hAnsi="仿宋" w:eastAsia="仿宋" w:cs="仿宋"/>
          <w:color w:val="auto"/>
          <w:kern w:val="0"/>
          <w:sz w:val="21"/>
          <w:szCs w:val="21"/>
          <w:highlight w:val="none"/>
        </w:rPr>
      </w:pPr>
      <w:r>
        <w:rPr>
          <w:rFonts w:hint="eastAsia" w:ascii="仿宋" w:hAnsi="仿宋" w:eastAsia="仿宋" w:cs="仿宋"/>
          <w:b/>
          <w:color w:val="auto"/>
          <w:kern w:val="0"/>
          <w:sz w:val="21"/>
          <w:szCs w:val="21"/>
          <w:highlight w:val="none"/>
        </w:rPr>
        <w:t>4.1投标人澄清、说明或者补正。</w:t>
      </w:r>
      <w:r>
        <w:rPr>
          <w:rFonts w:hint="eastAsia" w:ascii="仿宋" w:hAnsi="仿宋" w:eastAsia="仿宋" w:cs="仿宋"/>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0924F49">
      <w:pPr>
        <w:pStyle w:val="6"/>
        <w:spacing w:line="360" w:lineRule="auto"/>
        <w:ind w:left="954" w:leftChars="226" w:hanging="479" w:firstLineChars="0"/>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4.2投标无效。</w:t>
      </w:r>
      <w:r>
        <w:rPr>
          <w:rFonts w:hint="eastAsia" w:ascii="仿宋" w:hAnsi="仿宋" w:eastAsia="仿宋" w:cs="仿宋"/>
          <w:color w:val="auto"/>
          <w:sz w:val="21"/>
          <w:szCs w:val="21"/>
          <w:highlight w:val="none"/>
        </w:rPr>
        <w:t>有下列情形之一的，投标无效：</w:t>
      </w:r>
    </w:p>
    <w:p w14:paraId="7C00BE58">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4.2.1投标人不具备招标文件中规定的资格要求的（投标人未提供有效的资格文件的，视为投标人不具备招标文件中规定的资格要求）；</w:t>
      </w:r>
    </w:p>
    <w:p w14:paraId="076E6104">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4.2.2投标文件未按照招标文件要求签署、盖章的；</w:t>
      </w:r>
    </w:p>
    <w:p w14:paraId="300CA410">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4.2.3采购人拟采购的产品属于政府强制采购的节能产品品目清单范围的，投标人相应的投标产品未获得国家确定的认证机构出具的、处于有效期之内的节能产品认证证书的；</w:t>
      </w:r>
    </w:p>
    <w:p w14:paraId="5BA86CC8">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4.2.4投标文件含有采购人不能接受的附加条件的；</w:t>
      </w:r>
    </w:p>
    <w:p w14:paraId="4D516242">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4.2.5投标文件中承诺的投标有效期少于招标文件中载明的投标有效期的；</w:t>
      </w:r>
    </w:p>
    <w:p w14:paraId="4CD5991C">
      <w:pPr>
        <w:snapToGrid w:val="0"/>
        <w:spacing w:line="360" w:lineRule="auto"/>
        <w:ind w:firstLine="105" w:firstLineChars="5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4.2.6投标文件出现不是唯一的、有选择性投标报价的;</w:t>
      </w:r>
    </w:p>
    <w:p w14:paraId="00AF189C">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4.2.7投标报价超过招标文件中规定的预算金额或者最高限价</w:t>
      </w:r>
      <w:r>
        <w:rPr>
          <w:rFonts w:hint="eastAsia" w:ascii="仿宋" w:hAnsi="仿宋" w:eastAsia="仿宋" w:cs="仿宋"/>
          <w:color w:val="auto"/>
          <w:kern w:val="0"/>
          <w:sz w:val="21"/>
          <w:szCs w:val="21"/>
          <w:highlight w:val="none"/>
          <w:lang w:val="en-US" w:eastAsia="zh-CN"/>
        </w:rPr>
        <w:t>或折扣范围</w:t>
      </w:r>
      <w:r>
        <w:rPr>
          <w:rFonts w:hint="eastAsia" w:ascii="仿宋" w:hAnsi="仿宋" w:eastAsia="仿宋" w:cs="仿宋"/>
          <w:color w:val="auto"/>
          <w:kern w:val="0"/>
          <w:sz w:val="21"/>
          <w:szCs w:val="21"/>
          <w:highlight w:val="none"/>
        </w:rPr>
        <w:t>的;</w:t>
      </w:r>
    </w:p>
    <w:p w14:paraId="59E76722">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4.2.8报价明显低于其他通过符合性审查投标人的报价，有可能影响产品质量或者不能诚信履约的，未能按要求提供书面说明或者提交相关证明材料，不能证明其报价合理性的;</w:t>
      </w:r>
    </w:p>
    <w:p w14:paraId="04822516">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4.2.9投标人对根据修正原则修正后的报价不确认的；</w:t>
      </w:r>
    </w:p>
    <w:p w14:paraId="55B595F5">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4.2.10投标人提供虚假材料投标的；</w:t>
      </w:r>
    </w:p>
    <w:p w14:paraId="4088CAD5">
      <w:pPr>
        <w:spacing w:line="360" w:lineRule="auto"/>
        <w:ind w:firstLine="210" w:firstLineChars="1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4.2.11投标人有恶意串通、妨碍其他投标人的竞争行为、损害采购人或者其他投标人的合法权益情形的；</w:t>
      </w:r>
    </w:p>
    <w:p w14:paraId="32E2D18F">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4.2.12投标人仅提交备份投标文件，未在电子交易平台传输递交投标文件的，投标无效；</w:t>
      </w:r>
    </w:p>
    <w:p w14:paraId="1A05F912">
      <w:pPr>
        <w:spacing w:line="360" w:lineRule="auto"/>
        <w:ind w:firstLine="420" w:firstLineChars="200"/>
        <w:rPr>
          <w:rFonts w:hint="eastAsia"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rPr>
        <w:t>4.2.13 投标文件不满足招标文件的其它实质性要求的；</w:t>
      </w:r>
    </w:p>
    <w:p w14:paraId="5A4BDBF3">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4.2.14法律、法规、规章（适用本市的）及省级以上规范性文件（适用本市的）规定的其他无效情形。</w:t>
      </w:r>
    </w:p>
    <w:p w14:paraId="5FDBAD41">
      <w:pPr>
        <w:pStyle w:val="6"/>
        <w:snapToGrid w:val="0"/>
        <w:spacing w:line="360" w:lineRule="auto"/>
        <w:ind w:firstLine="413" w:firstLineChars="196"/>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5.废标。</w:t>
      </w:r>
      <w:r>
        <w:rPr>
          <w:rFonts w:hint="eastAsia" w:ascii="仿宋" w:hAnsi="仿宋" w:eastAsia="仿宋" w:cs="仿宋"/>
          <w:color w:val="auto"/>
          <w:sz w:val="21"/>
          <w:szCs w:val="21"/>
          <w:highlight w:val="none"/>
        </w:rPr>
        <w:t>根据《中华人民共和国政府采购法》第三十六条之规定，在采购中，出现下列情形之一的，应予废标：</w:t>
      </w:r>
    </w:p>
    <w:p w14:paraId="23B8BD4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5.1符合专业条件的供应商或者对招标文件作实质响应的供应商不足3家的；</w:t>
      </w:r>
    </w:p>
    <w:p w14:paraId="17F58F7E">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5.2出现影响采购公正的违法、违规行为的；</w:t>
      </w:r>
    </w:p>
    <w:p w14:paraId="544A5D7A">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5.3投标人的报价均超过了采购预算，采购人不能支付的；</w:t>
      </w:r>
    </w:p>
    <w:p w14:paraId="54267C9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5.4因重大变故，采购任务取消的。</w:t>
      </w:r>
    </w:p>
    <w:p w14:paraId="7222C0D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废标后，</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应当将废标理由通知所有投标人。</w:t>
      </w:r>
    </w:p>
    <w:p w14:paraId="5DF3A365">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6.修改招标文件，重新组织采购活动。</w:t>
      </w:r>
      <w:r>
        <w:rPr>
          <w:rFonts w:hint="eastAsia" w:ascii="仿宋" w:hAnsi="仿宋" w:eastAsia="仿宋" w:cs="仿宋"/>
          <w:color w:val="auto"/>
          <w:sz w:val="21"/>
          <w:szCs w:val="21"/>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沟通并作书面记录。采购人、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确认后，将修改招标文件，重新组织采购活动。</w:t>
      </w:r>
    </w:p>
    <w:p w14:paraId="05FD993B">
      <w:pPr>
        <w:pStyle w:val="6"/>
        <w:snapToGrid w:val="0"/>
        <w:spacing w:line="360" w:lineRule="auto"/>
        <w:ind w:firstLine="482"/>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7.重新开展采购。</w:t>
      </w:r>
      <w:r>
        <w:rPr>
          <w:rFonts w:hint="eastAsia" w:ascii="仿宋" w:hAnsi="仿宋" w:eastAsia="仿宋" w:cs="仿宋"/>
          <w:color w:val="auto"/>
          <w:sz w:val="21"/>
          <w:szCs w:val="21"/>
          <w:highlight w:val="none"/>
        </w:rPr>
        <w:t>有政府采购法第七十一条、第七十二条规定的违法行为之一，影响或者可能影响中标结果的，依照下列规定处理：</w:t>
      </w:r>
    </w:p>
    <w:p w14:paraId="4AB15681">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7.1未确定中标供应商的，终止本次</w:t>
      </w:r>
      <w:r>
        <w:rPr>
          <w:rFonts w:hint="eastAsia" w:ascii="仿宋" w:hAnsi="仿宋" w:eastAsia="仿宋" w:cs="仿宋"/>
          <w:color w:val="auto"/>
          <w:sz w:val="21"/>
          <w:szCs w:val="21"/>
          <w:highlight w:val="none"/>
          <w:lang w:eastAsia="zh-CN"/>
        </w:rPr>
        <w:t>采购活动</w:t>
      </w:r>
      <w:r>
        <w:rPr>
          <w:rFonts w:hint="eastAsia" w:ascii="仿宋" w:hAnsi="仿宋" w:eastAsia="仿宋" w:cs="仿宋"/>
          <w:color w:val="auto"/>
          <w:sz w:val="21"/>
          <w:szCs w:val="21"/>
          <w:highlight w:val="none"/>
        </w:rPr>
        <w:t>，重新开展采购活动。</w:t>
      </w:r>
    </w:p>
    <w:p w14:paraId="5361C282">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7.2已确定中标供应商但尚未签订采购合同的，中标结果无效，从合格的中标候选人中另行确定中标供应商；没有合格的中标候选人的，重新开展采购活动。</w:t>
      </w:r>
    </w:p>
    <w:p w14:paraId="38AEC000">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w:t>
      </w:r>
      <w:r>
        <w:rPr>
          <w:rFonts w:hint="eastAsia" w:ascii="仿宋" w:hAnsi="仿宋" w:eastAsia="仿宋" w:cs="仿宋"/>
          <w:color w:val="auto"/>
          <w:sz w:val="21"/>
          <w:szCs w:val="21"/>
          <w:highlight w:val="none"/>
          <w:lang w:eastAsia="zh-CN"/>
        </w:rPr>
        <w:t>采购合同</w:t>
      </w:r>
      <w:r>
        <w:rPr>
          <w:rFonts w:hint="eastAsia" w:ascii="仿宋" w:hAnsi="仿宋" w:eastAsia="仿宋" w:cs="仿宋"/>
          <w:color w:val="auto"/>
          <w:sz w:val="21"/>
          <w:szCs w:val="21"/>
          <w:highlight w:val="none"/>
        </w:rPr>
        <w:t>已签订但尚未履行的，撤销合同，从合格的中标候选人中另行确定中标供应商；没有合格的中标候选人的，重新开展采购活动。</w:t>
      </w:r>
    </w:p>
    <w:p w14:paraId="311D0953">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7.4采购合同已经履行，给采购人、供应商造成损失的，由责任人承担赔偿责任。</w:t>
      </w:r>
    </w:p>
    <w:p w14:paraId="1A1EE47C">
      <w:pPr>
        <w:pStyle w:val="6"/>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7.5采购当事人有其他违反政府采购法或者政府采购法实施条例等法律法规规定的行为，经改正后仍然影响或者可能影响中标结果或者依法被认定为中标无效的，依照7.1-7.4规定处理。</w:t>
      </w:r>
      <w:bookmarkEnd w:id="14"/>
      <w:bookmarkStart w:id="392" w:name="第五部分"/>
      <w:bookmarkStart w:id="393" w:name="_Toc86217003"/>
    </w:p>
    <w:p w14:paraId="7FF9939C">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66552C5B">
      <w:pPr>
        <w:widowControl/>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第五部分 拟签订的合同文本</w:t>
      </w:r>
    </w:p>
    <w:p w14:paraId="008CBCD9">
      <w:pPr>
        <w:autoSpaceDE/>
        <w:autoSpaceDN/>
        <w:adjustRightInd/>
        <w:spacing w:line="360" w:lineRule="auto"/>
        <w:jc w:val="center"/>
        <w:textAlignment w:val="auto"/>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（以甲、乙双方签订的正式合同为准）</w:t>
      </w:r>
    </w:p>
    <w:p w14:paraId="0D153A9E">
      <w:pPr>
        <w:autoSpaceDE/>
        <w:autoSpaceDN/>
        <w:adjustRightInd/>
        <w:snapToGrid w:val="0"/>
        <w:spacing w:line="360" w:lineRule="auto"/>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甲方指本招标文件的招标人；</w:t>
      </w:r>
    </w:p>
    <w:p w14:paraId="0989A385">
      <w:pPr>
        <w:autoSpaceDE/>
        <w:autoSpaceDN/>
        <w:adjustRightInd/>
        <w:snapToGrid w:val="0"/>
        <w:spacing w:line="360" w:lineRule="auto"/>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乙方指本招标文件的中标人；</w:t>
      </w:r>
    </w:p>
    <w:p w14:paraId="588AF2BB">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项目名称：                                         </w:t>
      </w:r>
    </w:p>
    <w:p w14:paraId="02DF4716">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项目编号：</w:t>
      </w:r>
    </w:p>
    <w:p w14:paraId="3DD340B3">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w:t>
      </w:r>
    </w:p>
    <w:p w14:paraId="0B1EFC34">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w:t>
      </w:r>
    </w:p>
    <w:p w14:paraId="4762FB0A">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甲、乙双方根据</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公开招标采购的结果，签署本合同。</w:t>
      </w:r>
    </w:p>
    <w:p w14:paraId="72F78F7D">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一、服务内容：</w:t>
      </w:r>
      <w:r>
        <w:rPr>
          <w:rFonts w:hint="eastAsia" w:ascii="仿宋" w:hAnsi="仿宋" w:eastAsia="仿宋" w:cs="仿宋"/>
          <w:b/>
          <w:color w:val="auto"/>
          <w:sz w:val="21"/>
          <w:szCs w:val="21"/>
          <w:highlight w:val="none"/>
          <w:u w:val="single"/>
        </w:rPr>
        <w:t xml:space="preserve">                                             </w:t>
      </w:r>
      <w:r>
        <w:rPr>
          <w:rFonts w:hint="eastAsia" w:ascii="仿宋" w:hAnsi="仿宋" w:eastAsia="仿宋" w:cs="仿宋"/>
          <w:color w:val="auto"/>
          <w:sz w:val="21"/>
          <w:szCs w:val="21"/>
          <w:highlight w:val="none"/>
        </w:rPr>
        <w:t>。</w:t>
      </w:r>
    </w:p>
    <w:p w14:paraId="7C2BABDC">
      <w:pPr>
        <w:spacing w:line="360" w:lineRule="auto"/>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二、合同金额</w:t>
      </w:r>
      <w:r>
        <w:rPr>
          <w:rFonts w:hint="eastAsia" w:ascii="仿宋" w:hAnsi="仿宋" w:eastAsia="仿宋" w:cs="仿宋"/>
          <w:b/>
          <w:color w:val="auto"/>
          <w:sz w:val="21"/>
          <w:szCs w:val="21"/>
          <w:highlight w:val="none"/>
          <w:lang w:val="en-US" w:eastAsia="zh-CN"/>
        </w:rPr>
        <w:t>及结算方式</w:t>
      </w:r>
    </w:p>
    <w:p w14:paraId="14D902FD">
      <w:pPr>
        <w:spacing w:line="360" w:lineRule="auto"/>
        <w:ind w:firstLine="422" w:firstLineChars="20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 xml:space="preserve">2.1 </w:t>
      </w:r>
      <w:r>
        <w:rPr>
          <w:rFonts w:hint="eastAsia" w:ascii="仿宋" w:hAnsi="仿宋" w:eastAsia="仿宋" w:cs="仿宋"/>
          <w:b/>
          <w:bCs/>
          <w:color w:val="auto"/>
          <w:sz w:val="21"/>
          <w:highlight w:val="none"/>
        </w:rPr>
        <w:t>合同金额：</w:t>
      </w:r>
    </w:p>
    <w:p w14:paraId="01FEBB3B">
      <w:pPr>
        <w:spacing w:line="360" w:lineRule="auto"/>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2.2 结算方式：</w:t>
      </w:r>
    </w:p>
    <w:p w14:paraId="6E9ADD04">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三、服务要求：按招标文件及投标承诺执行。</w:t>
      </w:r>
    </w:p>
    <w:p w14:paraId="63523721">
      <w:pPr>
        <w:tabs>
          <w:tab w:val="left" w:pos="0"/>
        </w:tabs>
        <w:snapToGrid w:val="0"/>
        <w:spacing w:line="360" w:lineRule="auto"/>
        <w:ind w:firstLine="422" w:firstLineChars="20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四</w:t>
      </w:r>
      <w:r>
        <w:rPr>
          <w:rFonts w:hint="eastAsia" w:ascii="仿宋" w:hAnsi="仿宋" w:eastAsia="仿宋" w:cs="仿宋"/>
          <w:b/>
          <w:bCs w:val="0"/>
          <w:color w:val="auto"/>
          <w:sz w:val="21"/>
          <w:szCs w:val="21"/>
          <w:highlight w:val="none"/>
        </w:rPr>
        <w:t>、甲方可对乙方配送的</w:t>
      </w:r>
      <w:r>
        <w:rPr>
          <w:rFonts w:hint="eastAsia" w:ascii="仿宋" w:hAnsi="仿宋" w:eastAsia="仿宋" w:cs="仿宋"/>
          <w:b/>
          <w:bCs w:val="0"/>
          <w:color w:val="auto"/>
          <w:sz w:val="21"/>
          <w:szCs w:val="21"/>
          <w:highlight w:val="none"/>
          <w:lang w:val="en-US" w:eastAsia="zh-CN"/>
        </w:rPr>
        <w:t>产品</w:t>
      </w:r>
      <w:r>
        <w:rPr>
          <w:rFonts w:hint="eastAsia" w:ascii="仿宋" w:hAnsi="仿宋" w:eastAsia="仿宋" w:cs="仿宋"/>
          <w:b/>
          <w:bCs w:val="0"/>
          <w:color w:val="auto"/>
          <w:sz w:val="21"/>
          <w:szCs w:val="21"/>
          <w:highlight w:val="none"/>
        </w:rPr>
        <w:t>质量及服务质量进行考核。如乙方存在违约情形的，甲方可扣除其履约保证金；如考核不合格，甲方可单方面撤销其合同。</w:t>
      </w:r>
    </w:p>
    <w:p w14:paraId="738354D3">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五、转包或分包</w:t>
      </w:r>
    </w:p>
    <w:p w14:paraId="0345DC96">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供应商不得向他人转让中标项目，也不得将中标项目肢解后分别向他人转让。也不得将中标项目的部分非主体、非关键性工作分包给他人完成。</w:t>
      </w:r>
    </w:p>
    <w:p w14:paraId="69CEFC89">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六、合同履行时间、履行方式及履行地点</w:t>
      </w:r>
    </w:p>
    <w:p w14:paraId="55554DD7">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 履行时间：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718644D2">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 履行方式：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706C433E">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 履行地点：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2498A011">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七、款项支付</w:t>
      </w:r>
    </w:p>
    <w:p w14:paraId="6CBF702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付款方式：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5E26BB9E">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八、税</w:t>
      </w:r>
    </w:p>
    <w:p w14:paraId="7ADB78BB">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8.1 本合同执行中相关的一切税费均由供方负担。</w:t>
      </w:r>
    </w:p>
    <w:p w14:paraId="4BDEC293">
      <w:pPr>
        <w:spacing w:line="360" w:lineRule="auto"/>
        <w:ind w:firstLine="422" w:firstLineChars="200"/>
        <w:jc w:val="both"/>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九、质量保证服务</w:t>
      </w:r>
    </w:p>
    <w:p w14:paraId="5A4AE951">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9.1 乙方应按采购文件规定向甲方提供服务。</w:t>
      </w:r>
    </w:p>
    <w:p w14:paraId="6CF0B9D1">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9.2 乙方提供的服务达不到要求者，根据实际情况，经双方协商，可按以下办法处理：</w:t>
      </w:r>
    </w:p>
    <w:p w14:paraId="72358B9E">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（1）重做：由乙方承担所发生的全部费用。</w:t>
      </w:r>
    </w:p>
    <w:p w14:paraId="5750E754">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（2）贬值处理：由甲乙双方合议定价。</w:t>
      </w:r>
    </w:p>
    <w:p w14:paraId="3B2E31EA">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（3）解除合同。</w:t>
      </w:r>
    </w:p>
    <w:p w14:paraId="2AB2A1F3">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9.3在履约保证期内，乙方应对出现的质量及安全问题负责处理解决并承担一切费用。</w:t>
      </w:r>
    </w:p>
    <w:p w14:paraId="3D02C51A">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十、违约责任</w:t>
      </w:r>
    </w:p>
    <w:p w14:paraId="52FB0F66">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 甲方无正当理由</w:t>
      </w:r>
      <w:r>
        <w:rPr>
          <w:rFonts w:hint="eastAsia" w:ascii="仿宋" w:hAnsi="仿宋" w:eastAsia="仿宋" w:cs="仿宋"/>
          <w:color w:val="auto"/>
          <w:sz w:val="21"/>
          <w:szCs w:val="21"/>
          <w:highlight w:val="none"/>
          <w:lang w:eastAsia="zh-CN"/>
        </w:rPr>
        <w:t>拒绝接受</w:t>
      </w:r>
      <w:r>
        <w:rPr>
          <w:rFonts w:hint="eastAsia" w:ascii="仿宋" w:hAnsi="仿宋" w:eastAsia="仿宋" w:cs="仿宋"/>
          <w:color w:val="auto"/>
          <w:sz w:val="21"/>
          <w:szCs w:val="21"/>
          <w:highlight w:val="none"/>
        </w:rPr>
        <w:t>服务的，甲方向乙方偿付合同款项</w:t>
      </w:r>
      <w:r>
        <w:rPr>
          <w:rFonts w:hint="eastAsia" w:ascii="仿宋" w:hAnsi="仿宋" w:eastAsia="仿宋" w:cs="仿宋"/>
          <w:color w:val="auto"/>
          <w:sz w:val="21"/>
          <w:szCs w:val="21"/>
          <w:highlight w:val="none"/>
          <w:lang w:eastAsia="zh-CN"/>
        </w:rPr>
        <w:t>5%</w:t>
      </w:r>
      <w:r>
        <w:rPr>
          <w:rFonts w:hint="eastAsia" w:ascii="仿宋" w:hAnsi="仿宋" w:eastAsia="仿宋" w:cs="仿宋"/>
          <w:color w:val="auto"/>
          <w:sz w:val="21"/>
          <w:szCs w:val="21"/>
          <w:highlight w:val="none"/>
        </w:rPr>
        <w:t>作为违约金。</w:t>
      </w:r>
    </w:p>
    <w:p w14:paraId="5F8AF699">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 甲方无故逾期验收和办理款项支付手续的,甲方应按逾期付款总额每日万分之五向乙方支付违约金。</w:t>
      </w:r>
    </w:p>
    <w:p w14:paraId="0D359A05">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10.3 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5B071B5A">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十一、不可抗力事件处理</w:t>
      </w:r>
    </w:p>
    <w:p w14:paraId="58AE1328">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 在合同有效期内，任何一方因不可抗力事件导致不能履行合同，则合同履行期可延长，其延长期与不可抗力影响期相同。</w:t>
      </w:r>
    </w:p>
    <w:p w14:paraId="68F4CE7B">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 不可抗力事件发生后，应立即通知对方，并寄送有关权威机构出具的证明。</w:t>
      </w:r>
    </w:p>
    <w:p w14:paraId="76C7233F">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 不可抗力事件延续120天以上，双方应通过友好协商，确定是否继续履行合同。</w:t>
      </w:r>
    </w:p>
    <w:p w14:paraId="16B1F2E3">
      <w:pPr>
        <w:spacing w:line="360" w:lineRule="auto"/>
        <w:ind w:firstLine="422" w:firstLineChars="200"/>
        <w:jc w:val="both"/>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十二、</w:t>
      </w:r>
      <w:r>
        <w:rPr>
          <w:rFonts w:hint="eastAsia" w:ascii="仿宋" w:hAnsi="仿宋" w:eastAsia="仿宋" w:cs="仿宋"/>
          <w:b/>
          <w:color w:val="auto"/>
          <w:sz w:val="21"/>
          <w:szCs w:val="21"/>
          <w:highlight w:val="none"/>
          <w:lang w:val="en-US" w:eastAsia="zh-CN"/>
        </w:rPr>
        <w:t>仲裁</w:t>
      </w:r>
    </w:p>
    <w:p w14:paraId="4ADA418C">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12.1 双方在执行合同中所发生的一切争议，应通过协商解决。如协商不成，可向金华市仲裁委员会</w:t>
      </w:r>
      <w:r>
        <w:rPr>
          <w:rFonts w:hint="eastAsia" w:ascii="仿宋" w:hAnsi="仿宋" w:eastAsia="仿宋" w:cs="仿宋"/>
          <w:color w:val="auto"/>
          <w:sz w:val="21"/>
          <w:szCs w:val="21"/>
          <w:highlight w:val="none"/>
          <w:lang w:val="en-US" w:eastAsia="zh-CN"/>
        </w:rPr>
        <w:t>申请</w:t>
      </w:r>
      <w:r>
        <w:rPr>
          <w:rFonts w:hint="eastAsia" w:ascii="仿宋" w:hAnsi="仿宋" w:eastAsia="仿宋" w:cs="仿宋"/>
          <w:color w:val="auto"/>
          <w:sz w:val="21"/>
          <w:szCs w:val="21"/>
          <w:highlight w:val="none"/>
        </w:rPr>
        <w:t>仲裁。</w:t>
      </w:r>
    </w:p>
    <w:p w14:paraId="3C527710">
      <w:pPr>
        <w:autoSpaceDE/>
        <w:autoSpaceDN/>
        <w:adjustRightInd/>
        <w:snapToGrid w:val="0"/>
        <w:spacing w:line="360" w:lineRule="auto"/>
        <w:ind w:firstLine="413" w:firstLineChars="196"/>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十三、合同生效及其</w:t>
      </w:r>
      <w:r>
        <w:rPr>
          <w:rFonts w:hint="eastAsia" w:ascii="仿宋" w:hAnsi="仿宋" w:eastAsia="仿宋" w:cs="仿宋"/>
          <w:b/>
          <w:color w:val="auto"/>
          <w:kern w:val="2"/>
          <w:sz w:val="21"/>
          <w:highlight w:val="none"/>
          <w:lang w:eastAsia="zh-CN"/>
        </w:rPr>
        <w:t>他</w:t>
      </w:r>
    </w:p>
    <w:p w14:paraId="7FABECEB">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合同经双方法定代表人或授权委托代理人签字并加盖单位公章后生效。</w:t>
      </w:r>
    </w:p>
    <w:p w14:paraId="3DC9B25A">
      <w:pPr>
        <w:spacing w:line="360" w:lineRule="auto"/>
        <w:ind w:firstLine="420" w:firstLineChars="2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13.2 招标文件、乙方投标文件、</w:t>
      </w:r>
      <w:r>
        <w:rPr>
          <w:rFonts w:hint="eastAsia" w:ascii="仿宋" w:hAnsi="仿宋" w:eastAsia="仿宋" w:cs="仿宋"/>
          <w:bCs/>
          <w:color w:val="auto"/>
          <w:sz w:val="21"/>
          <w:szCs w:val="21"/>
          <w:highlight w:val="none"/>
        </w:rPr>
        <w:t>补充文件为本合同的有效组成部分</w:t>
      </w:r>
      <w:r>
        <w:rPr>
          <w:rFonts w:hint="eastAsia" w:ascii="仿宋" w:hAnsi="仿宋" w:eastAsia="仿宋" w:cs="仿宋"/>
          <w:bCs/>
          <w:color w:val="auto"/>
          <w:sz w:val="21"/>
          <w:szCs w:val="21"/>
          <w:highlight w:val="none"/>
          <w:lang w:eastAsia="zh-CN"/>
        </w:rPr>
        <w:t>。</w:t>
      </w:r>
    </w:p>
    <w:p w14:paraId="1341CC8E">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3 </w:t>
      </w:r>
      <w:r>
        <w:rPr>
          <w:rFonts w:hint="eastAsia" w:ascii="仿宋" w:hAnsi="仿宋" w:eastAsia="仿宋" w:cs="仿宋"/>
          <w:color w:val="auto"/>
          <w:sz w:val="21"/>
          <w:szCs w:val="21"/>
          <w:highlight w:val="none"/>
        </w:rPr>
        <w:t>合同执行中涉及采购内容修改或补充的，须经甲方相关部门审批，并</w:t>
      </w:r>
      <w:r>
        <w:rPr>
          <w:rFonts w:hint="eastAsia" w:ascii="仿宋" w:hAnsi="仿宋" w:eastAsia="仿宋" w:cs="仿宋"/>
          <w:color w:val="auto"/>
          <w:sz w:val="21"/>
          <w:szCs w:val="21"/>
          <w:highlight w:val="none"/>
          <w:lang w:eastAsia="zh-CN"/>
        </w:rPr>
        <w:t>签订</w:t>
      </w:r>
      <w:r>
        <w:rPr>
          <w:rFonts w:hint="eastAsia" w:ascii="仿宋" w:hAnsi="仿宋" w:eastAsia="仿宋" w:cs="仿宋"/>
          <w:color w:val="auto"/>
          <w:sz w:val="21"/>
          <w:szCs w:val="21"/>
          <w:highlight w:val="none"/>
        </w:rPr>
        <w:t>书面补充协议，方可作为主合同不可分割的一部分。</w:t>
      </w:r>
    </w:p>
    <w:p w14:paraId="6ADEFC79">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 xml:space="preserve"> 本合同未尽事宜，遵照《中华人民共和国民法典》有关条文执行。</w:t>
      </w:r>
    </w:p>
    <w:p w14:paraId="61FCAA7E">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5 </w:t>
      </w:r>
      <w:r>
        <w:rPr>
          <w:rFonts w:hint="eastAsia" w:ascii="仿宋" w:hAnsi="仿宋" w:eastAsia="仿宋" w:cs="仿宋"/>
          <w:color w:val="auto"/>
          <w:kern w:val="2"/>
          <w:sz w:val="21"/>
          <w:highlight w:val="none"/>
        </w:rPr>
        <w:t>本合同一式六份，甲乙双方各执二份，代理机构二份</w:t>
      </w:r>
      <w:r>
        <w:rPr>
          <w:rFonts w:hint="eastAsia" w:ascii="仿宋" w:hAnsi="仿宋" w:eastAsia="仿宋" w:cs="仿宋"/>
          <w:color w:val="auto"/>
          <w:sz w:val="21"/>
          <w:szCs w:val="21"/>
          <w:highlight w:val="none"/>
        </w:rPr>
        <w:t>。</w:t>
      </w:r>
    </w:p>
    <w:tbl>
      <w:tblPr>
        <w:tblStyle w:val="6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6"/>
        <w:gridCol w:w="3407"/>
        <w:gridCol w:w="2907"/>
      </w:tblGrid>
      <w:tr w14:paraId="4E9F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5" w:hRule="atLeast"/>
        </w:trPr>
        <w:tc>
          <w:tcPr>
            <w:tcW w:w="3406" w:type="dxa"/>
            <w:tcBorders>
              <w:top w:val="single" w:color="auto" w:sz="4" w:space="0"/>
              <w:left w:val="single" w:color="auto" w:sz="4" w:space="0"/>
              <w:right w:val="single" w:color="auto" w:sz="4" w:space="0"/>
            </w:tcBorders>
            <w:noWrap w:val="0"/>
            <w:vAlign w:val="top"/>
          </w:tcPr>
          <w:p w14:paraId="27E06598">
            <w:pPr>
              <w:spacing w:line="360" w:lineRule="auto"/>
              <w:ind w:right="-105" w:rightChars="-50"/>
              <w:rPr>
                <w:rFonts w:hint="eastAsia" w:ascii="仿宋" w:hAnsi="仿宋" w:eastAsia="仿宋" w:cs="仿宋"/>
                <w:bCs/>
                <w:color w:val="auto"/>
                <w:sz w:val="21"/>
                <w:szCs w:val="21"/>
                <w:highlight w:val="none"/>
              </w:rPr>
            </w:pPr>
          </w:p>
          <w:p w14:paraId="54FDE978">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甲方单位名称（章）：</w:t>
            </w:r>
          </w:p>
          <w:p w14:paraId="4A777E45">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42A36C0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579ED1F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24D20F51">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474BE9C9">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3AFFAFF3">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1BA2BF0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3407" w:type="dxa"/>
            <w:tcBorders>
              <w:top w:val="single" w:color="auto" w:sz="4" w:space="0"/>
              <w:left w:val="single" w:color="auto" w:sz="4" w:space="0"/>
              <w:right w:val="single" w:color="auto" w:sz="4" w:space="0"/>
            </w:tcBorders>
            <w:noWrap w:val="0"/>
            <w:vAlign w:val="top"/>
          </w:tcPr>
          <w:p w14:paraId="092BA59D">
            <w:pPr>
              <w:spacing w:line="360" w:lineRule="auto"/>
              <w:ind w:right="-105" w:rightChars="-50"/>
              <w:rPr>
                <w:rFonts w:hint="eastAsia" w:ascii="仿宋" w:hAnsi="仿宋" w:eastAsia="仿宋" w:cs="仿宋"/>
                <w:bCs/>
                <w:color w:val="auto"/>
                <w:sz w:val="21"/>
                <w:szCs w:val="21"/>
                <w:highlight w:val="none"/>
              </w:rPr>
            </w:pPr>
          </w:p>
          <w:p w14:paraId="4BF272EC">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乙方单位名称（章）：</w:t>
            </w:r>
          </w:p>
          <w:p w14:paraId="7FF47DDB">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1AE57BE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0EBD446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7F86FFFF">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3938B67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511D288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7B3A610E">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2907" w:type="dxa"/>
            <w:tcBorders>
              <w:top w:val="single" w:color="auto" w:sz="4" w:space="0"/>
              <w:left w:val="single" w:color="auto" w:sz="4" w:space="0"/>
              <w:bottom w:val="single" w:color="auto" w:sz="4" w:space="0"/>
              <w:right w:val="single" w:color="auto" w:sz="4" w:space="0"/>
            </w:tcBorders>
            <w:noWrap w:val="0"/>
            <w:vAlign w:val="top"/>
          </w:tcPr>
          <w:p w14:paraId="706BFD56">
            <w:pPr>
              <w:spacing w:line="360" w:lineRule="auto"/>
              <w:ind w:right="-105" w:rightChars="-50"/>
              <w:rPr>
                <w:rFonts w:hint="eastAsia" w:ascii="仿宋" w:hAnsi="仿宋" w:eastAsia="仿宋" w:cs="仿宋"/>
                <w:bCs/>
                <w:color w:val="auto"/>
                <w:sz w:val="21"/>
                <w:szCs w:val="21"/>
                <w:highlight w:val="none"/>
              </w:rPr>
            </w:pPr>
          </w:p>
          <w:p w14:paraId="3B95AEF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采购代理机构意见：</w:t>
            </w:r>
          </w:p>
          <w:p w14:paraId="64B14855">
            <w:pPr>
              <w:spacing w:line="360" w:lineRule="auto"/>
              <w:ind w:right="-105" w:rightChars="-50"/>
              <w:rPr>
                <w:rFonts w:hint="eastAsia" w:ascii="仿宋" w:hAnsi="仿宋" w:eastAsia="仿宋" w:cs="仿宋"/>
                <w:bCs/>
                <w:color w:val="auto"/>
                <w:sz w:val="21"/>
                <w:szCs w:val="21"/>
                <w:highlight w:val="none"/>
              </w:rPr>
            </w:pPr>
          </w:p>
          <w:p w14:paraId="031F8026">
            <w:pPr>
              <w:spacing w:line="360" w:lineRule="auto"/>
              <w:ind w:right="-105" w:rightChars="-50"/>
              <w:rPr>
                <w:rFonts w:hint="eastAsia" w:ascii="仿宋" w:hAnsi="仿宋" w:eastAsia="仿宋" w:cs="仿宋"/>
                <w:bCs/>
                <w:color w:val="auto"/>
                <w:sz w:val="21"/>
                <w:szCs w:val="21"/>
                <w:highlight w:val="none"/>
              </w:rPr>
            </w:pPr>
          </w:p>
          <w:p w14:paraId="6CEA3F40">
            <w:pPr>
              <w:spacing w:line="360" w:lineRule="auto"/>
              <w:ind w:right="-105" w:rightChars="-50"/>
              <w:rPr>
                <w:rFonts w:hint="eastAsia" w:ascii="仿宋" w:hAnsi="仿宋" w:eastAsia="仿宋" w:cs="仿宋"/>
                <w:bCs/>
                <w:color w:val="auto"/>
                <w:sz w:val="21"/>
                <w:szCs w:val="21"/>
                <w:highlight w:val="none"/>
              </w:rPr>
            </w:pPr>
          </w:p>
          <w:p w14:paraId="35855677">
            <w:pPr>
              <w:spacing w:line="360" w:lineRule="auto"/>
              <w:ind w:right="-105" w:rightChars="-50"/>
              <w:rPr>
                <w:rFonts w:hint="eastAsia" w:ascii="仿宋" w:hAnsi="仿宋" w:eastAsia="仿宋" w:cs="仿宋"/>
                <w:bCs/>
                <w:color w:val="auto"/>
                <w:sz w:val="21"/>
                <w:szCs w:val="21"/>
                <w:highlight w:val="none"/>
              </w:rPr>
            </w:pPr>
          </w:p>
          <w:p w14:paraId="1128DF2F">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0A56BE35">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6269B2FD">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6ECE9091">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0EF5023F">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5FF0DC3D">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3BC291FC">
            <w:pPr>
              <w:spacing w:line="360" w:lineRule="auto"/>
              <w:ind w:right="-105" w:rightChars="-50" w:firstLine="210" w:firstLineChars="100"/>
              <w:jc w:val="righ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年  月  日</w:t>
            </w:r>
          </w:p>
        </w:tc>
      </w:tr>
    </w:tbl>
    <w:p w14:paraId="226A782A">
      <w:pPr>
        <w:autoSpaceDE/>
        <w:autoSpaceDN/>
        <w:adjustRightInd/>
        <w:spacing w:line="360" w:lineRule="auto"/>
        <w:ind w:firstLine="420" w:firstLineChars="200"/>
        <w:jc w:val="both"/>
        <w:textAlignment w:val="auto"/>
        <w:rPr>
          <w:rFonts w:hint="eastAsia" w:ascii="仿宋" w:hAnsi="仿宋" w:eastAsia="仿宋" w:cs="仿宋"/>
          <w:bCs/>
          <w:color w:val="auto"/>
          <w:sz w:val="21"/>
          <w:szCs w:val="21"/>
          <w:highlight w:val="none"/>
        </w:rPr>
      </w:pPr>
    </w:p>
    <w:p w14:paraId="4737B26C">
      <w:pPr>
        <w:autoSpaceDE/>
        <w:autoSpaceDN/>
        <w:adjustRightInd/>
        <w:spacing w:line="360" w:lineRule="auto"/>
        <w:ind w:firstLine="420" w:firstLineChars="200"/>
        <w:jc w:val="both"/>
        <w:textAlignment w:val="auto"/>
        <w:rPr>
          <w:rFonts w:hint="eastAsia" w:ascii="仿宋" w:hAnsi="仿宋" w:eastAsia="仿宋" w:cs="仿宋"/>
          <w:bCs/>
          <w:color w:val="auto"/>
          <w:sz w:val="21"/>
          <w:szCs w:val="21"/>
          <w:highlight w:val="none"/>
        </w:rPr>
      </w:pPr>
    </w:p>
    <w:p w14:paraId="1BA0596E">
      <w:pPr>
        <w:spacing w:line="360" w:lineRule="auto"/>
        <w:ind w:left="-420" w:leftChars="-200" w:right="-420" w:rightChars="-200" w:firstLine="422" w:firstLineChars="200"/>
        <w:rPr>
          <w:rFonts w:hint="eastAsia" w:ascii="仿宋" w:hAnsi="仿宋" w:eastAsia="仿宋" w:cs="仿宋"/>
          <w:color w:val="auto"/>
          <w:sz w:val="24"/>
          <w:highlight w:val="none"/>
        </w:rPr>
      </w:pPr>
      <w:r>
        <w:rPr>
          <w:rFonts w:hint="eastAsia" w:ascii="仿宋" w:hAnsi="仿宋" w:eastAsia="仿宋" w:cs="仿宋"/>
          <w:b/>
          <w:color w:val="auto"/>
          <w:sz w:val="21"/>
          <w:szCs w:val="21"/>
          <w:highlight w:val="none"/>
        </w:rPr>
        <w:t>注：此合同样本仅作参考，</w:t>
      </w:r>
      <w:r>
        <w:rPr>
          <w:rFonts w:hint="eastAsia" w:ascii="仿宋" w:hAnsi="仿宋" w:eastAsia="仿宋" w:cs="仿宋"/>
          <w:b/>
          <w:color w:val="auto"/>
          <w:sz w:val="21"/>
          <w:szCs w:val="21"/>
          <w:highlight w:val="none"/>
          <w:lang w:val="en-US" w:eastAsia="zh-CN"/>
        </w:rPr>
        <w:t>招标人</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中标人</w:t>
      </w:r>
      <w:r>
        <w:rPr>
          <w:rFonts w:hint="eastAsia" w:ascii="仿宋" w:hAnsi="仿宋" w:eastAsia="仿宋" w:cs="仿宋"/>
          <w:b/>
          <w:color w:val="auto"/>
          <w:sz w:val="21"/>
          <w:szCs w:val="21"/>
          <w:highlight w:val="none"/>
        </w:rPr>
        <w:t>可根据采购项目的实际情况进行修改。</w:t>
      </w:r>
    </w:p>
    <w:p w14:paraId="74A5F4B2">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D443301">
      <w:pPr>
        <w:widowControl/>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第六部分</w:t>
      </w:r>
      <w:bookmarkEnd w:id="392"/>
      <w:r>
        <w:rPr>
          <w:rFonts w:hint="eastAsia" w:ascii="仿宋" w:hAnsi="仿宋" w:eastAsia="仿宋" w:cs="仿宋"/>
          <w:b/>
          <w:color w:val="auto"/>
          <w:sz w:val="32"/>
          <w:szCs w:val="32"/>
          <w:highlight w:val="none"/>
        </w:rPr>
        <w:t xml:space="preserve"> </w:t>
      </w:r>
      <w:bookmarkEnd w:id="393"/>
      <w:r>
        <w:rPr>
          <w:rFonts w:hint="eastAsia" w:ascii="仿宋" w:hAnsi="仿宋" w:eastAsia="仿宋" w:cs="仿宋"/>
          <w:b/>
          <w:color w:val="auto"/>
          <w:sz w:val="32"/>
          <w:szCs w:val="32"/>
          <w:highlight w:val="none"/>
        </w:rPr>
        <w:t>应提交的有关格式范例</w:t>
      </w:r>
    </w:p>
    <w:p w14:paraId="39B7AB89">
      <w:pPr>
        <w:spacing w:line="360" w:lineRule="auto"/>
        <w:jc w:val="center"/>
        <w:outlineLvl w:val="9"/>
        <w:rPr>
          <w:rFonts w:hint="eastAsia" w:ascii="仿宋" w:hAnsi="仿宋" w:eastAsia="仿宋" w:cs="仿宋"/>
          <w:b/>
          <w:color w:val="auto"/>
          <w:kern w:val="0"/>
          <w:sz w:val="36"/>
          <w:szCs w:val="36"/>
          <w:highlight w:val="none"/>
        </w:rPr>
      </w:pPr>
    </w:p>
    <w:p w14:paraId="3A18C6BA">
      <w:pPr>
        <w:spacing w:line="360" w:lineRule="auto"/>
        <w:jc w:val="center"/>
        <w:outlineLvl w:val="9"/>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08F7C71">
      <w:pPr>
        <w:spacing w:line="360" w:lineRule="auto"/>
        <w:jc w:val="center"/>
        <w:outlineLvl w:val="9"/>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4B6FB0B">
      <w:pPr>
        <w:spacing w:line="360" w:lineRule="auto"/>
        <w:jc w:val="center"/>
        <w:outlineLvl w:val="9"/>
        <w:rPr>
          <w:rFonts w:hint="eastAsia" w:ascii="仿宋" w:hAnsi="仿宋" w:eastAsia="仿宋" w:cs="仿宋"/>
          <w:b/>
          <w:color w:val="auto"/>
          <w:kern w:val="0"/>
          <w:sz w:val="36"/>
          <w:szCs w:val="36"/>
          <w:highlight w:val="none"/>
        </w:rPr>
      </w:pPr>
    </w:p>
    <w:p w14:paraId="3C138DEE">
      <w:pPr>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highlight w:val="none"/>
        </w:rPr>
        <w:t>有效期内的营业执照副本扫描件或复印件…………………………（页码）</w:t>
      </w:r>
    </w:p>
    <w:p w14:paraId="31304368">
      <w:pPr>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highlight w:val="none"/>
        </w:rPr>
        <w:t>符合参加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应当具备的一般条件的承诺函…………………（页码）</w:t>
      </w:r>
    </w:p>
    <w:p w14:paraId="12B9974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54821F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73881A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F109C6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w:t>
      </w:r>
      <w:r>
        <w:rPr>
          <w:rFonts w:hint="eastAsia" w:ascii="仿宋" w:hAnsi="仿宋" w:eastAsia="仿宋" w:cs="仿宋"/>
          <w:b/>
          <w:color w:val="auto"/>
          <w:kern w:val="0"/>
          <w:sz w:val="32"/>
          <w:szCs w:val="32"/>
          <w:highlight w:val="none"/>
          <w:lang w:eastAsia="zh-CN"/>
        </w:rPr>
        <w:t>采购活动</w:t>
      </w:r>
      <w:r>
        <w:rPr>
          <w:rFonts w:hint="eastAsia" w:ascii="仿宋" w:hAnsi="仿宋" w:eastAsia="仿宋" w:cs="仿宋"/>
          <w:b/>
          <w:color w:val="auto"/>
          <w:kern w:val="0"/>
          <w:sz w:val="32"/>
          <w:szCs w:val="32"/>
          <w:highlight w:val="none"/>
        </w:rPr>
        <w:t>应当具备的一般条件的承诺函</w:t>
      </w:r>
    </w:p>
    <w:p w14:paraId="2C29C4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p>
    <w:p w14:paraId="5B083E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，郑重承诺：</w:t>
      </w:r>
    </w:p>
    <w:p w14:paraId="099758C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CBA7C9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77D963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FDEA5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22F3C6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85D89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前三年内，在经营活动中没有重大违法记录；</w:t>
      </w:r>
    </w:p>
    <w:p w14:paraId="67D9D25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F874A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3E34E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B98FB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的；</w:t>
      </w:r>
    </w:p>
    <w:p w14:paraId="3B3B410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C65BCB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705A8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B5DAF56">
      <w:pPr>
        <w:snapToGrid w:val="0"/>
        <w:spacing w:line="360" w:lineRule="auto"/>
        <w:ind w:right="480"/>
        <w:jc w:val="center"/>
        <w:rPr>
          <w:rFonts w:hint="eastAsia" w:ascii="仿宋" w:hAnsi="仿宋" w:eastAsia="仿宋" w:cs="仿宋"/>
          <w:b/>
          <w:color w:val="auto"/>
          <w:kern w:val="0"/>
          <w:sz w:val="32"/>
          <w:szCs w:val="32"/>
          <w:highlight w:val="none"/>
        </w:rPr>
      </w:pPr>
    </w:p>
    <w:p w14:paraId="0B82D97C">
      <w:pPr>
        <w:snapToGrid w:val="0"/>
        <w:spacing w:line="360" w:lineRule="auto"/>
        <w:ind w:right="480"/>
        <w:jc w:val="center"/>
        <w:rPr>
          <w:rFonts w:hint="eastAsia" w:ascii="仿宋" w:hAnsi="仿宋" w:eastAsia="仿宋" w:cs="仿宋"/>
          <w:b/>
          <w:color w:val="auto"/>
          <w:kern w:val="0"/>
          <w:sz w:val="32"/>
          <w:szCs w:val="32"/>
          <w:highlight w:val="none"/>
        </w:rPr>
      </w:pPr>
    </w:p>
    <w:p w14:paraId="1425738C">
      <w:pPr>
        <w:snapToGrid w:val="0"/>
        <w:spacing w:line="360" w:lineRule="auto"/>
        <w:ind w:right="480"/>
        <w:jc w:val="center"/>
        <w:rPr>
          <w:rFonts w:hint="eastAsia" w:ascii="仿宋" w:hAnsi="仿宋" w:eastAsia="仿宋" w:cs="仿宋"/>
          <w:b/>
          <w:color w:val="auto"/>
          <w:kern w:val="0"/>
          <w:sz w:val="32"/>
          <w:szCs w:val="32"/>
          <w:highlight w:val="none"/>
        </w:rPr>
      </w:pPr>
    </w:p>
    <w:p w14:paraId="083A8373">
      <w:pPr>
        <w:spacing w:line="360" w:lineRule="auto"/>
        <w:rPr>
          <w:rFonts w:hint="eastAsia" w:ascii="仿宋" w:hAnsi="仿宋" w:eastAsia="仿宋" w:cs="仿宋"/>
          <w:color w:val="auto"/>
          <w:highlight w:val="none"/>
        </w:rPr>
      </w:pPr>
    </w:p>
    <w:p w14:paraId="7A7538C4">
      <w:pPr>
        <w:snapToGrid w:val="0"/>
        <w:spacing w:line="360" w:lineRule="auto"/>
        <w:ind w:right="480"/>
        <w:jc w:val="center"/>
        <w:rPr>
          <w:rFonts w:hint="eastAsia" w:ascii="仿宋" w:hAnsi="仿宋" w:eastAsia="仿宋" w:cs="仿宋"/>
          <w:b/>
          <w:color w:val="auto"/>
          <w:kern w:val="0"/>
          <w:sz w:val="32"/>
          <w:szCs w:val="32"/>
          <w:highlight w:val="none"/>
        </w:rPr>
      </w:pPr>
    </w:p>
    <w:p w14:paraId="36D1E4C8">
      <w:pPr>
        <w:snapToGrid w:val="0"/>
        <w:spacing w:line="360" w:lineRule="auto"/>
        <w:ind w:right="480"/>
        <w:jc w:val="center"/>
        <w:rPr>
          <w:rFonts w:hint="eastAsia" w:ascii="仿宋" w:hAnsi="仿宋" w:eastAsia="仿宋" w:cs="仿宋"/>
          <w:b/>
          <w:color w:val="auto"/>
          <w:kern w:val="0"/>
          <w:sz w:val="32"/>
          <w:szCs w:val="32"/>
          <w:highlight w:val="none"/>
        </w:rPr>
      </w:pPr>
    </w:p>
    <w:p w14:paraId="719B238A">
      <w:pPr>
        <w:snapToGrid w:val="0"/>
        <w:spacing w:line="360" w:lineRule="auto"/>
        <w:ind w:right="480"/>
        <w:jc w:val="center"/>
        <w:rPr>
          <w:rFonts w:hint="eastAsia" w:ascii="仿宋" w:hAnsi="仿宋" w:eastAsia="仿宋" w:cs="仿宋"/>
          <w:b/>
          <w:color w:val="auto"/>
          <w:kern w:val="0"/>
          <w:sz w:val="32"/>
          <w:szCs w:val="32"/>
          <w:highlight w:val="none"/>
        </w:rPr>
      </w:pPr>
    </w:p>
    <w:p w14:paraId="3A7D3EB3">
      <w:pPr>
        <w:widowControl/>
        <w:adjustRightInd/>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87BE5A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w:t>
      </w:r>
      <w:r>
        <w:rPr>
          <w:rFonts w:hint="eastAsia" w:ascii="仿宋" w:hAnsi="仿宋" w:eastAsia="仿宋" w:cs="仿宋"/>
          <w:b/>
          <w:color w:val="auto"/>
          <w:kern w:val="0"/>
          <w:sz w:val="32"/>
          <w:szCs w:val="32"/>
          <w:highlight w:val="none"/>
        </w:rPr>
        <w:t>（如果有）</w:t>
      </w:r>
    </w:p>
    <w:p w14:paraId="3704A08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83BBF0E">
      <w:pPr>
        <w:snapToGrid w:val="0"/>
        <w:spacing w:line="360" w:lineRule="auto"/>
        <w:ind w:right="480"/>
        <w:jc w:val="center"/>
        <w:rPr>
          <w:rFonts w:hint="eastAsia" w:ascii="仿宋" w:hAnsi="仿宋" w:eastAsia="仿宋" w:cs="仿宋"/>
          <w:b/>
          <w:color w:val="auto"/>
          <w:kern w:val="0"/>
          <w:sz w:val="32"/>
          <w:szCs w:val="32"/>
          <w:highlight w:val="none"/>
        </w:rPr>
      </w:pPr>
    </w:p>
    <w:p w14:paraId="6ADF9FB6">
      <w:pPr>
        <w:snapToGrid w:val="0"/>
        <w:spacing w:line="360" w:lineRule="auto"/>
        <w:ind w:right="480"/>
        <w:jc w:val="center"/>
        <w:rPr>
          <w:rFonts w:hint="eastAsia" w:ascii="仿宋" w:hAnsi="仿宋" w:eastAsia="仿宋" w:cs="仿宋"/>
          <w:b/>
          <w:color w:val="auto"/>
          <w:kern w:val="0"/>
          <w:sz w:val="32"/>
          <w:szCs w:val="32"/>
          <w:highlight w:val="none"/>
        </w:rPr>
      </w:pPr>
    </w:p>
    <w:p w14:paraId="00D992F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388A3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98856D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5FC5C6A">
      <w:pPr>
        <w:widowControl/>
        <w:spacing w:line="360" w:lineRule="auto"/>
        <w:ind w:firstLine="480"/>
        <w:jc w:val="left"/>
        <w:rPr>
          <w:rFonts w:hint="eastAsia" w:ascii="仿宋" w:hAnsi="仿宋" w:eastAsia="仿宋" w:cs="仿宋"/>
          <w:color w:val="auto"/>
          <w:sz w:val="24"/>
          <w:highlight w:val="none"/>
        </w:rPr>
      </w:pPr>
    </w:p>
    <w:p w14:paraId="620C242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w:t>
      </w:r>
      <w:r>
        <w:rPr>
          <w:rFonts w:hint="eastAsia" w:ascii="仿宋" w:hAnsi="仿宋" w:eastAsia="仿宋" w:cs="仿宋"/>
          <w:color w:val="auto"/>
          <w:sz w:val="24"/>
          <w:highlight w:val="none"/>
          <w:lang w:eastAsia="zh-CN"/>
        </w:rPr>
        <w:t>采购活动</w:t>
      </w:r>
      <w:r>
        <w:rPr>
          <w:rFonts w:hint="eastAsia" w:ascii="仿宋" w:hAnsi="仿宋" w:eastAsia="仿宋" w:cs="仿宋"/>
          <w:color w:val="auto"/>
          <w:sz w:val="24"/>
          <w:highlight w:val="none"/>
        </w:rPr>
        <w:t>，无需提供联合协议。</w:t>
      </w:r>
    </w:p>
    <w:p w14:paraId="601FD517">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6846CC7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7E3D0FF">
      <w:pPr>
        <w:widowControl/>
        <w:spacing w:line="360" w:lineRule="auto"/>
        <w:ind w:left="150"/>
        <w:jc w:val="center"/>
        <w:rPr>
          <w:rFonts w:hint="eastAsia" w:ascii="仿宋" w:hAnsi="仿宋" w:eastAsia="仿宋" w:cs="仿宋"/>
          <w:b/>
          <w:color w:val="auto"/>
          <w:kern w:val="0"/>
          <w:sz w:val="32"/>
          <w:szCs w:val="32"/>
          <w:highlight w:val="none"/>
        </w:rPr>
      </w:pPr>
    </w:p>
    <w:p w14:paraId="1CFB098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A71653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C02442A">
      <w:pPr>
        <w:spacing w:line="360" w:lineRule="auto"/>
        <w:rPr>
          <w:rFonts w:hint="eastAsia" w:ascii="仿宋" w:hAnsi="仿宋" w:eastAsia="仿宋" w:cs="仿宋"/>
          <w:color w:val="auto"/>
          <w:highlight w:val="none"/>
        </w:rPr>
      </w:pPr>
    </w:p>
    <w:p w14:paraId="19B2142F">
      <w:pPr>
        <w:snapToGrid w:val="0"/>
        <w:spacing w:line="360" w:lineRule="auto"/>
        <w:ind w:right="480"/>
        <w:jc w:val="center"/>
        <w:rPr>
          <w:rFonts w:hint="eastAsia" w:ascii="仿宋" w:hAnsi="仿宋" w:eastAsia="仿宋" w:cs="仿宋"/>
          <w:b/>
          <w:color w:val="auto"/>
          <w:kern w:val="0"/>
          <w:sz w:val="32"/>
          <w:szCs w:val="32"/>
          <w:highlight w:val="none"/>
        </w:rPr>
      </w:pPr>
    </w:p>
    <w:p w14:paraId="212B62AE">
      <w:pPr>
        <w:widowControl/>
        <w:adjustRightInd/>
        <w:spacing w:line="360" w:lineRule="auto"/>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E8244A7">
      <w:pPr>
        <w:spacing w:line="360" w:lineRule="auto"/>
        <w:ind w:right="420" w:firstLine="3253" w:firstLineChars="9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BE7785">
      <w:pPr>
        <w:spacing w:line="360" w:lineRule="auto"/>
        <w:jc w:val="center"/>
        <w:outlineLvl w:val="9"/>
        <w:rPr>
          <w:rFonts w:hint="eastAsia" w:ascii="仿宋" w:hAnsi="仿宋" w:eastAsia="仿宋" w:cs="仿宋"/>
          <w:b/>
          <w:color w:val="auto"/>
          <w:kern w:val="0"/>
          <w:sz w:val="24"/>
          <w:highlight w:val="none"/>
        </w:rPr>
      </w:pPr>
    </w:p>
    <w:p w14:paraId="201171B4">
      <w:pPr>
        <w:spacing w:line="360" w:lineRule="auto"/>
        <w:jc w:val="center"/>
        <w:outlineLvl w:val="9"/>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E0DEE53">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投标函………………………………………………………………………（页码）</w:t>
      </w:r>
    </w:p>
    <w:p w14:paraId="3675C971">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授权委托书或法定代表人（单位负责人、自然人本人）身份证明……（页码）</w:t>
      </w:r>
    </w:p>
    <w:p w14:paraId="7DF685A6">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分包意向协议………………………………………………………………（页码）</w:t>
      </w:r>
    </w:p>
    <w:p w14:paraId="7204D941">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rPr>
        <w:t>符合性审查资料……………………………………………………………（页码）</w:t>
      </w:r>
    </w:p>
    <w:p w14:paraId="7DE03341">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rPr>
        <w:t>评标标准相应的商务技术资料……………………………………………（页码）</w:t>
      </w:r>
    </w:p>
    <w:p w14:paraId="1FFD44B9">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（6）投标标的清单………………………………………………………………（页码）</w:t>
      </w:r>
    </w:p>
    <w:p w14:paraId="0B9704EA">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（7）商务技术偏离表……………………………………………………………（页码）</w:t>
      </w:r>
    </w:p>
    <w:p w14:paraId="7F72E62C">
      <w:pPr>
        <w:numPr>
          <w:ilvl w:val="0"/>
          <w:numId w:val="0"/>
        </w:numPr>
        <w:snapToGrid w:val="0"/>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）供应商廉洁自律承诺书</w:t>
      </w:r>
      <w:r>
        <w:rPr>
          <w:rFonts w:hint="eastAsia" w:ascii="仿宋" w:hAnsi="仿宋" w:eastAsia="仿宋" w:cs="仿宋"/>
          <w:color w:val="auto"/>
          <w:sz w:val="24"/>
          <w:szCs w:val="24"/>
          <w:highlight w:val="none"/>
        </w:rPr>
        <w:t>……………………………………………………（页码）</w:t>
      </w:r>
    </w:p>
    <w:p w14:paraId="3F598BB3">
      <w:pPr>
        <w:widowControl/>
        <w:adjustRightInd/>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6A8470C">
      <w:pPr>
        <w:snapToGrid w:val="0"/>
        <w:spacing w:line="360" w:lineRule="auto"/>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543F3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p>
    <w:p w14:paraId="23826B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】招标的有关活动，并对此项目进行投标。为此：</w:t>
      </w:r>
    </w:p>
    <w:p w14:paraId="459C9D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37B5EB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0F31DE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3CDD6B2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7B3D2B0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394" w:name="_Hlk101257010"/>
      <w:r>
        <w:rPr>
          <w:rFonts w:hint="eastAsia" w:ascii="仿宋" w:hAnsi="仿宋" w:eastAsia="仿宋" w:cs="仿宋"/>
          <w:color w:val="auto"/>
          <w:sz w:val="24"/>
          <w:highlight w:val="none"/>
        </w:rPr>
        <w:t>（如果有)</w:t>
      </w:r>
      <w:bookmarkEnd w:id="394"/>
      <w:r>
        <w:rPr>
          <w:rFonts w:hint="eastAsia" w:ascii="仿宋" w:hAnsi="仿宋" w:eastAsia="仿宋" w:cs="仿宋"/>
          <w:snapToGrid w:val="0"/>
          <w:color w:val="auto"/>
          <w:kern w:val="28"/>
          <w:sz w:val="24"/>
          <w:szCs w:val="20"/>
          <w:highlight w:val="none"/>
        </w:rPr>
        <w:t>；</w:t>
      </w:r>
    </w:p>
    <w:p w14:paraId="279AAAC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4B005978">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626698A3">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25272E66">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3AC6A71">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359C589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w:t>
      </w:r>
      <w:r>
        <w:rPr>
          <w:rFonts w:hint="eastAsia" w:ascii="仿宋" w:hAnsi="仿宋" w:eastAsia="仿宋" w:cs="仿宋"/>
          <w:color w:val="auto"/>
          <w:sz w:val="24"/>
          <w:highlight w:val="none"/>
        </w:rPr>
        <w:t>（如果有)</w:t>
      </w:r>
      <w:r>
        <w:rPr>
          <w:rFonts w:hint="eastAsia" w:ascii="仿宋" w:hAnsi="仿宋" w:eastAsia="仿宋" w:cs="仿宋"/>
          <w:color w:val="auto"/>
          <w:sz w:val="24"/>
          <w:highlight w:val="none"/>
        </w:rPr>
        <w:t>；</w:t>
      </w:r>
    </w:p>
    <w:p w14:paraId="2FE5C42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55D45B5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3152D600">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0FE5E233">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56A7D8A0">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3BEF69C8">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278EE486">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4CFA92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1CEE537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14:paraId="13C5E0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52BFBA9F">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3A3F50E0">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175024D3">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674CFC6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C5C729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CAE679">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506FD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1C432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3989A7F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280365A">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2F865D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12325E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8A8B59F">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1EF876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1E8FC2F1">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1026D48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170F0E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678BE5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4732CD8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1DD81A61">
      <w:pPr>
        <w:snapToGrid w:val="0"/>
        <w:spacing w:line="360" w:lineRule="auto"/>
        <w:rPr>
          <w:rFonts w:hint="eastAsia" w:ascii="仿宋" w:hAnsi="仿宋" w:eastAsia="仿宋" w:cs="仿宋"/>
          <w:color w:val="auto"/>
          <w:sz w:val="24"/>
          <w:highlight w:val="none"/>
        </w:rPr>
      </w:pPr>
    </w:p>
    <w:p w14:paraId="159BB874">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537258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47F3A7EB">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77FF2F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E50E7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8447207">
      <w:pPr>
        <w:spacing w:line="360" w:lineRule="auto"/>
        <w:jc w:val="center"/>
        <w:rPr>
          <w:rFonts w:hint="eastAsia" w:ascii="仿宋" w:hAnsi="仿宋" w:eastAsia="仿宋" w:cs="仿宋"/>
          <w:b/>
          <w:color w:val="auto"/>
          <w:kern w:val="0"/>
          <w:sz w:val="32"/>
          <w:szCs w:val="32"/>
          <w:highlight w:val="none"/>
        </w:rPr>
      </w:pPr>
    </w:p>
    <w:p w14:paraId="51A1A105">
      <w:pPr>
        <w:spacing w:line="360" w:lineRule="auto"/>
        <w:rPr>
          <w:rFonts w:hint="eastAsia" w:ascii="仿宋" w:hAnsi="仿宋" w:eastAsia="仿宋" w:cs="仿宋"/>
          <w:color w:val="auto"/>
          <w:highlight w:val="none"/>
        </w:rPr>
      </w:pPr>
    </w:p>
    <w:p w14:paraId="2EAF6BE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B58D4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B626A9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3D394D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20BB6B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9EC557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43595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5529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6873BB25">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27C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6911A3E">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56192FEF">
            <w:pPr>
              <w:pStyle w:val="150"/>
              <w:adjustRightInd w:val="0"/>
              <w:spacing w:line="360" w:lineRule="auto"/>
              <w:rPr>
                <w:rFonts w:hint="eastAsia" w:ascii="仿宋" w:hAnsi="仿宋" w:eastAsia="仿宋" w:cs="仿宋"/>
                <w:bCs/>
                <w:color w:val="auto"/>
                <w:sz w:val="24"/>
                <w:highlight w:val="none"/>
              </w:rPr>
            </w:pPr>
          </w:p>
        </w:tc>
      </w:tr>
    </w:tbl>
    <w:p w14:paraId="69515F34">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5E0E24D">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35F78912">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4F53246">
      <w:pPr>
        <w:spacing w:line="360" w:lineRule="auto"/>
        <w:jc w:val="center"/>
        <w:rPr>
          <w:rFonts w:hint="eastAsia" w:ascii="仿宋" w:hAnsi="仿宋" w:eastAsia="仿宋" w:cs="仿宋"/>
          <w:b/>
          <w:color w:val="auto"/>
          <w:kern w:val="0"/>
          <w:sz w:val="32"/>
          <w:szCs w:val="32"/>
          <w:highlight w:val="none"/>
        </w:rPr>
      </w:pPr>
    </w:p>
    <w:p w14:paraId="7168E7E1">
      <w:pPr>
        <w:spacing w:line="360" w:lineRule="auto"/>
        <w:jc w:val="center"/>
        <w:rPr>
          <w:rFonts w:hint="eastAsia" w:ascii="仿宋" w:hAnsi="仿宋" w:eastAsia="仿宋" w:cs="仿宋"/>
          <w:b/>
          <w:color w:val="auto"/>
          <w:kern w:val="0"/>
          <w:sz w:val="32"/>
          <w:szCs w:val="32"/>
          <w:highlight w:val="none"/>
        </w:rPr>
      </w:pPr>
    </w:p>
    <w:p w14:paraId="70A6F1D8">
      <w:pPr>
        <w:spacing w:line="360" w:lineRule="auto"/>
        <w:jc w:val="center"/>
        <w:rPr>
          <w:rFonts w:hint="eastAsia" w:ascii="仿宋" w:hAnsi="仿宋" w:eastAsia="仿宋" w:cs="仿宋"/>
          <w:b/>
          <w:color w:val="auto"/>
          <w:kern w:val="0"/>
          <w:sz w:val="32"/>
          <w:szCs w:val="32"/>
          <w:highlight w:val="none"/>
        </w:rPr>
      </w:pPr>
    </w:p>
    <w:p w14:paraId="113072DD">
      <w:pPr>
        <w:spacing w:line="360" w:lineRule="auto"/>
        <w:jc w:val="center"/>
        <w:rPr>
          <w:rFonts w:hint="eastAsia" w:ascii="仿宋" w:hAnsi="仿宋" w:eastAsia="仿宋" w:cs="仿宋"/>
          <w:b/>
          <w:color w:val="auto"/>
          <w:kern w:val="0"/>
          <w:sz w:val="32"/>
          <w:szCs w:val="32"/>
          <w:highlight w:val="none"/>
        </w:rPr>
      </w:pPr>
    </w:p>
    <w:p w14:paraId="1BD32EC6">
      <w:pPr>
        <w:spacing w:line="360" w:lineRule="auto"/>
        <w:jc w:val="center"/>
        <w:rPr>
          <w:rFonts w:hint="eastAsia" w:ascii="仿宋" w:hAnsi="仿宋" w:eastAsia="仿宋" w:cs="仿宋"/>
          <w:b/>
          <w:color w:val="auto"/>
          <w:kern w:val="0"/>
          <w:sz w:val="32"/>
          <w:szCs w:val="32"/>
          <w:highlight w:val="none"/>
        </w:rPr>
      </w:pPr>
    </w:p>
    <w:p w14:paraId="3D0557DB">
      <w:pPr>
        <w:snapToGrid w:val="0"/>
        <w:spacing w:line="360" w:lineRule="auto"/>
        <w:ind w:right="480"/>
        <w:rPr>
          <w:rFonts w:hint="eastAsia" w:ascii="仿宋" w:hAnsi="仿宋" w:eastAsia="仿宋" w:cs="仿宋"/>
          <w:b/>
          <w:color w:val="auto"/>
          <w:kern w:val="0"/>
          <w:sz w:val="32"/>
          <w:szCs w:val="32"/>
          <w:highlight w:val="none"/>
        </w:rPr>
        <w:sectPr>
          <w:footerReference r:id="rId9" w:type="first"/>
          <w:footerReference r:id="rId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4D2F139">
      <w:pPr>
        <w:snapToGrid w:val="0"/>
        <w:spacing w:line="360" w:lineRule="auto"/>
        <w:ind w:firstLine="3213" w:firstLineChars="10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w:t>
      </w:r>
      <w:r>
        <w:rPr>
          <w:rFonts w:hint="eastAsia" w:ascii="仿宋" w:hAnsi="仿宋" w:eastAsia="仿宋" w:cs="仿宋"/>
          <w:b/>
          <w:color w:val="auto"/>
          <w:kern w:val="0"/>
          <w:sz w:val="32"/>
          <w:szCs w:val="32"/>
          <w:highlight w:val="none"/>
        </w:rPr>
        <w:t>（如果有）</w:t>
      </w:r>
    </w:p>
    <w:p w14:paraId="4C4FBA0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5A06043">
      <w:pPr>
        <w:snapToGrid w:val="0"/>
        <w:spacing w:line="360" w:lineRule="auto"/>
        <w:rPr>
          <w:rFonts w:hint="eastAsia" w:ascii="仿宋" w:hAnsi="仿宋" w:eastAsia="仿宋" w:cs="仿宋"/>
          <w:color w:val="auto"/>
          <w:kern w:val="0"/>
          <w:sz w:val="24"/>
          <w:highlight w:val="none"/>
        </w:rPr>
      </w:pPr>
    </w:p>
    <w:p w14:paraId="728BB72E">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4A4C5845">
      <w:pPr>
        <w:spacing w:line="360" w:lineRule="auto"/>
        <w:jc w:val="center"/>
        <w:rPr>
          <w:rFonts w:hint="eastAsia" w:ascii="仿宋" w:hAnsi="仿宋" w:eastAsia="仿宋" w:cs="仿宋"/>
          <w:b/>
          <w:color w:val="auto"/>
          <w:kern w:val="0"/>
          <w:sz w:val="32"/>
          <w:szCs w:val="32"/>
          <w:highlight w:val="none"/>
        </w:rPr>
      </w:pPr>
    </w:p>
    <w:tbl>
      <w:tblPr>
        <w:tblStyle w:val="62"/>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020"/>
        <w:gridCol w:w="2604"/>
        <w:gridCol w:w="2196"/>
      </w:tblGrid>
      <w:tr w14:paraId="45FF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13" w:type="dxa"/>
            <w:vAlign w:val="center"/>
          </w:tcPr>
          <w:p w14:paraId="31BEFCE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020" w:type="dxa"/>
            <w:vAlign w:val="center"/>
          </w:tcPr>
          <w:p w14:paraId="083C45C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604" w:type="dxa"/>
            <w:vAlign w:val="center"/>
          </w:tcPr>
          <w:p w14:paraId="22EEDEBC">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2196" w:type="dxa"/>
            <w:vAlign w:val="center"/>
          </w:tcPr>
          <w:p w14:paraId="4ABF05B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0F6E99F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14F6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713" w:type="dxa"/>
            <w:vAlign w:val="center"/>
          </w:tcPr>
          <w:p w14:paraId="2BE2EF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020" w:type="dxa"/>
          </w:tcPr>
          <w:p w14:paraId="3BE9C883">
            <w:pPr>
              <w:spacing w:line="360" w:lineRule="auto"/>
              <w:rPr>
                <w:rFonts w:hint="eastAsia" w:ascii="仿宋" w:hAnsi="仿宋" w:eastAsia="仿宋" w:cs="仿宋"/>
                <w:color w:val="auto"/>
                <w:sz w:val="24"/>
                <w:highlight w:val="none"/>
              </w:rPr>
            </w:pPr>
          </w:p>
          <w:p w14:paraId="5E6221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604" w:type="dxa"/>
            <w:vAlign w:val="center"/>
          </w:tcPr>
          <w:p w14:paraId="18AB7A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2196" w:type="dxa"/>
          </w:tcPr>
          <w:p w14:paraId="1FA89DBB">
            <w:pPr>
              <w:spacing w:line="360" w:lineRule="auto"/>
              <w:rPr>
                <w:rFonts w:hint="eastAsia" w:ascii="仿宋" w:hAnsi="仿宋" w:eastAsia="仿宋" w:cs="仿宋"/>
                <w:color w:val="auto"/>
                <w:sz w:val="24"/>
                <w:highlight w:val="none"/>
              </w:rPr>
            </w:pPr>
          </w:p>
          <w:p w14:paraId="354F75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1A4A4ECB">
            <w:pPr>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E00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2C99B6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020" w:type="dxa"/>
          </w:tcPr>
          <w:p w14:paraId="7A5B8B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604" w:type="dxa"/>
            <w:vAlign w:val="center"/>
          </w:tcPr>
          <w:p w14:paraId="330639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2196" w:type="dxa"/>
          </w:tcPr>
          <w:p w14:paraId="185346F6">
            <w:pPr>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7026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5A82A4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020" w:type="dxa"/>
          </w:tcPr>
          <w:p w14:paraId="57BEE338">
            <w:pPr>
              <w:spacing w:line="360" w:lineRule="auto"/>
              <w:rPr>
                <w:rFonts w:hint="eastAsia" w:ascii="仿宋" w:hAnsi="仿宋" w:eastAsia="仿宋" w:cs="仿宋"/>
                <w:color w:val="auto"/>
                <w:sz w:val="24"/>
                <w:highlight w:val="none"/>
              </w:rPr>
            </w:pPr>
          </w:p>
          <w:p w14:paraId="70BA9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604" w:type="dxa"/>
            <w:vAlign w:val="center"/>
          </w:tcPr>
          <w:p w14:paraId="0EBFE832">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系指实质性要求条款，招标文件无其它实质性要求的，无需提供）</w:t>
            </w:r>
          </w:p>
        </w:tc>
        <w:tc>
          <w:tcPr>
            <w:tcW w:w="2196" w:type="dxa"/>
          </w:tcPr>
          <w:p w14:paraId="18B4F746">
            <w:pPr>
              <w:spacing w:line="360" w:lineRule="auto"/>
              <w:rPr>
                <w:rFonts w:hint="eastAsia" w:ascii="仿宋" w:hAnsi="仿宋" w:eastAsia="仿宋" w:cs="仿宋"/>
                <w:color w:val="auto"/>
                <w:sz w:val="24"/>
                <w:highlight w:val="none"/>
              </w:rPr>
            </w:pPr>
          </w:p>
          <w:p w14:paraId="018AE962">
            <w:pPr>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29C5084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A7A5EE5">
      <w:pPr>
        <w:spacing w:line="360" w:lineRule="auto"/>
        <w:jc w:val="center"/>
        <w:rPr>
          <w:rFonts w:hint="eastAsia" w:ascii="仿宋" w:hAnsi="仿宋" w:eastAsia="仿宋" w:cs="仿宋"/>
          <w:b/>
          <w:color w:val="auto"/>
          <w:kern w:val="0"/>
          <w:sz w:val="32"/>
          <w:szCs w:val="32"/>
          <w:highlight w:val="none"/>
        </w:rPr>
      </w:pPr>
    </w:p>
    <w:p w14:paraId="7ADB264D">
      <w:pPr>
        <w:spacing w:line="360" w:lineRule="auto"/>
        <w:jc w:val="center"/>
        <w:rPr>
          <w:rFonts w:hint="eastAsia" w:ascii="仿宋" w:hAnsi="仿宋" w:eastAsia="仿宋" w:cs="仿宋"/>
          <w:b/>
          <w:color w:val="auto"/>
          <w:kern w:val="0"/>
          <w:sz w:val="32"/>
          <w:szCs w:val="32"/>
          <w:highlight w:val="none"/>
        </w:rPr>
      </w:pPr>
    </w:p>
    <w:p w14:paraId="66B24C91">
      <w:pPr>
        <w:spacing w:line="360" w:lineRule="auto"/>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51A7E879">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13CF62AD">
      <w:pPr>
        <w:spacing w:line="360" w:lineRule="auto"/>
        <w:jc w:val="center"/>
        <w:rPr>
          <w:rFonts w:hint="eastAsia" w:ascii="仿宋" w:hAnsi="仿宋" w:eastAsia="仿宋" w:cs="仿宋"/>
          <w:b/>
          <w:color w:val="auto"/>
          <w:kern w:val="0"/>
          <w:sz w:val="32"/>
          <w:szCs w:val="32"/>
          <w:highlight w:val="none"/>
        </w:rPr>
      </w:pPr>
    </w:p>
    <w:p w14:paraId="5BA58ED0">
      <w:pPr>
        <w:spacing w:line="360" w:lineRule="auto"/>
        <w:jc w:val="center"/>
        <w:rPr>
          <w:rFonts w:hint="eastAsia" w:ascii="仿宋" w:hAnsi="仿宋" w:eastAsia="仿宋" w:cs="仿宋"/>
          <w:b/>
          <w:color w:val="auto"/>
          <w:kern w:val="0"/>
          <w:sz w:val="32"/>
          <w:szCs w:val="32"/>
          <w:highlight w:val="none"/>
        </w:rPr>
      </w:pPr>
    </w:p>
    <w:p w14:paraId="3821BC10">
      <w:pPr>
        <w:spacing w:line="360" w:lineRule="auto"/>
        <w:jc w:val="center"/>
        <w:rPr>
          <w:rFonts w:hint="eastAsia" w:ascii="仿宋" w:hAnsi="仿宋" w:eastAsia="仿宋" w:cs="仿宋"/>
          <w:b/>
          <w:color w:val="auto"/>
          <w:kern w:val="0"/>
          <w:sz w:val="32"/>
          <w:szCs w:val="32"/>
          <w:highlight w:val="none"/>
        </w:rPr>
      </w:pPr>
    </w:p>
    <w:p w14:paraId="6696CF4E">
      <w:pPr>
        <w:spacing w:line="360" w:lineRule="auto"/>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53"/>
        <w:gridCol w:w="1430"/>
        <w:gridCol w:w="1582"/>
        <w:gridCol w:w="1908"/>
        <w:gridCol w:w="1284"/>
        <w:gridCol w:w="1717"/>
      </w:tblGrid>
      <w:tr w14:paraId="0C7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46BD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053" w:type="dxa"/>
            <w:tcBorders>
              <w:top w:val="single" w:color="auto" w:sz="4" w:space="0"/>
              <w:left w:val="single" w:color="auto" w:sz="4" w:space="0"/>
              <w:bottom w:val="single" w:color="auto" w:sz="4" w:space="0"/>
              <w:right w:val="single" w:color="auto" w:sz="4" w:space="0"/>
            </w:tcBorders>
            <w:vAlign w:val="center"/>
          </w:tcPr>
          <w:p w14:paraId="28BBB3D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30" w:type="dxa"/>
            <w:tcBorders>
              <w:top w:val="single" w:color="auto" w:sz="4" w:space="0"/>
              <w:left w:val="single" w:color="auto" w:sz="4" w:space="0"/>
              <w:bottom w:val="single" w:color="auto" w:sz="4" w:space="0"/>
              <w:right w:val="single" w:color="auto" w:sz="4" w:space="0"/>
            </w:tcBorders>
            <w:vAlign w:val="center"/>
          </w:tcPr>
          <w:p w14:paraId="572F4687">
            <w:pPr>
              <w:spacing w:line="360" w:lineRule="auto"/>
              <w:ind w:firstLine="241" w:firstLineChars="100"/>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582" w:type="dxa"/>
            <w:tcBorders>
              <w:top w:val="single" w:color="auto" w:sz="4" w:space="0"/>
              <w:left w:val="single" w:color="auto" w:sz="4" w:space="0"/>
              <w:bottom w:val="single" w:color="auto" w:sz="4" w:space="0"/>
              <w:right w:val="single" w:color="auto" w:sz="4" w:space="0"/>
            </w:tcBorders>
            <w:vAlign w:val="center"/>
          </w:tcPr>
          <w:p w14:paraId="779F326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8" w:type="dxa"/>
            <w:tcBorders>
              <w:top w:val="single" w:color="auto" w:sz="4" w:space="0"/>
              <w:left w:val="single" w:color="auto" w:sz="4" w:space="0"/>
              <w:bottom w:val="single" w:color="auto" w:sz="4" w:space="0"/>
              <w:right w:val="single" w:color="auto" w:sz="4" w:space="0"/>
            </w:tcBorders>
            <w:vAlign w:val="center"/>
          </w:tcPr>
          <w:p w14:paraId="3DF9B5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284" w:type="dxa"/>
            <w:tcBorders>
              <w:top w:val="single" w:color="auto" w:sz="4" w:space="0"/>
              <w:left w:val="single" w:color="auto" w:sz="4" w:space="0"/>
              <w:bottom w:val="single" w:color="auto" w:sz="4" w:space="0"/>
              <w:right w:val="single" w:color="auto" w:sz="4" w:space="0"/>
            </w:tcBorders>
            <w:vAlign w:val="center"/>
          </w:tcPr>
          <w:p w14:paraId="5436232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17" w:type="dxa"/>
            <w:tcBorders>
              <w:top w:val="single" w:color="auto" w:sz="4" w:space="0"/>
              <w:left w:val="single" w:color="auto" w:sz="4" w:space="0"/>
              <w:bottom w:val="single" w:color="auto" w:sz="4" w:space="0"/>
              <w:right w:val="single" w:color="auto" w:sz="4" w:space="0"/>
            </w:tcBorders>
            <w:vAlign w:val="center"/>
          </w:tcPr>
          <w:p w14:paraId="7344278D">
            <w:pPr>
              <w:spacing w:line="360" w:lineRule="auto"/>
              <w:jc w:val="center"/>
              <w:rPr>
                <w:rFonts w:hint="eastAsia" w:ascii="仿宋" w:hAnsi="仿宋" w:eastAsia="仿宋" w:cs="仿宋"/>
                <w:b/>
                <w:color w:val="auto"/>
                <w:sz w:val="24"/>
                <w:highlight w:val="none"/>
              </w:rPr>
            </w:pPr>
          </w:p>
          <w:p w14:paraId="45AF78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B6DB044">
            <w:pPr>
              <w:spacing w:line="360" w:lineRule="auto"/>
              <w:jc w:val="center"/>
              <w:rPr>
                <w:rFonts w:hint="eastAsia" w:ascii="仿宋" w:hAnsi="仿宋" w:eastAsia="仿宋" w:cs="仿宋"/>
                <w:b/>
                <w:color w:val="auto"/>
                <w:sz w:val="24"/>
                <w:highlight w:val="none"/>
              </w:rPr>
            </w:pPr>
          </w:p>
        </w:tc>
      </w:tr>
      <w:tr w14:paraId="636F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CBA6D8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053" w:type="dxa"/>
            <w:tcBorders>
              <w:top w:val="single" w:color="auto" w:sz="4" w:space="0"/>
              <w:left w:val="single" w:color="auto" w:sz="4" w:space="0"/>
              <w:bottom w:val="single" w:color="auto" w:sz="4" w:space="0"/>
              <w:right w:val="single" w:color="auto" w:sz="4" w:space="0"/>
            </w:tcBorders>
            <w:vAlign w:val="center"/>
          </w:tcPr>
          <w:p w14:paraId="5229FA9E">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04A0C2A2">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D48F626">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299B6DDD">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55A77B03">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0B4BDDE9">
            <w:pPr>
              <w:spacing w:line="360" w:lineRule="auto"/>
              <w:jc w:val="center"/>
              <w:rPr>
                <w:rFonts w:hint="eastAsia" w:ascii="仿宋" w:hAnsi="仿宋" w:eastAsia="仿宋" w:cs="仿宋"/>
                <w:color w:val="auto"/>
                <w:sz w:val="24"/>
                <w:highlight w:val="none"/>
              </w:rPr>
            </w:pPr>
          </w:p>
        </w:tc>
      </w:tr>
      <w:tr w14:paraId="127A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32B75B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053" w:type="dxa"/>
            <w:tcBorders>
              <w:top w:val="single" w:color="auto" w:sz="4" w:space="0"/>
              <w:left w:val="single" w:color="auto" w:sz="4" w:space="0"/>
              <w:bottom w:val="single" w:color="auto" w:sz="4" w:space="0"/>
              <w:right w:val="single" w:color="auto" w:sz="4" w:space="0"/>
            </w:tcBorders>
            <w:vAlign w:val="center"/>
          </w:tcPr>
          <w:p w14:paraId="6259A21C">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57826AB9">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3E8EBB4">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6A615F3B">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06F24D8E">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2E878EA4">
            <w:pPr>
              <w:spacing w:line="360" w:lineRule="auto"/>
              <w:jc w:val="center"/>
              <w:rPr>
                <w:rFonts w:hint="eastAsia" w:ascii="仿宋" w:hAnsi="仿宋" w:eastAsia="仿宋" w:cs="仿宋"/>
                <w:color w:val="auto"/>
                <w:sz w:val="24"/>
                <w:highlight w:val="none"/>
              </w:rPr>
            </w:pPr>
          </w:p>
        </w:tc>
      </w:tr>
      <w:tr w14:paraId="5C01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722C94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053" w:type="dxa"/>
            <w:tcBorders>
              <w:top w:val="single" w:color="auto" w:sz="4" w:space="0"/>
              <w:left w:val="single" w:color="auto" w:sz="4" w:space="0"/>
              <w:bottom w:val="single" w:color="auto" w:sz="4" w:space="0"/>
              <w:right w:val="single" w:color="auto" w:sz="4" w:space="0"/>
            </w:tcBorders>
            <w:vAlign w:val="center"/>
          </w:tcPr>
          <w:p w14:paraId="7DDD34C7">
            <w:pPr>
              <w:snapToGrid w:val="0"/>
              <w:spacing w:line="360" w:lineRule="auto"/>
              <w:jc w:val="center"/>
              <w:rPr>
                <w:rFonts w:hint="eastAsia" w:ascii="仿宋" w:hAnsi="仿宋" w:eastAsia="仿宋" w:cs="仿宋"/>
                <w:color w:val="auto"/>
                <w:sz w:val="24"/>
                <w:highlight w:val="none"/>
              </w:rPr>
            </w:pPr>
          </w:p>
        </w:tc>
        <w:tc>
          <w:tcPr>
            <w:tcW w:w="1430" w:type="dxa"/>
            <w:tcBorders>
              <w:top w:val="single" w:color="auto" w:sz="4" w:space="0"/>
              <w:left w:val="single" w:color="auto" w:sz="4" w:space="0"/>
              <w:bottom w:val="single" w:color="auto" w:sz="4" w:space="0"/>
              <w:right w:val="single" w:color="auto" w:sz="4" w:space="0"/>
            </w:tcBorders>
            <w:vAlign w:val="center"/>
          </w:tcPr>
          <w:p w14:paraId="5B5E352E">
            <w:pPr>
              <w:snapToGrid w:val="0"/>
              <w:spacing w:line="360" w:lineRule="auto"/>
              <w:jc w:val="center"/>
              <w:rPr>
                <w:rFonts w:hint="eastAsia" w:ascii="仿宋" w:hAnsi="仿宋" w:eastAsia="仿宋" w:cs="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487BE9C">
            <w:pPr>
              <w:snapToGrid w:val="0"/>
              <w:spacing w:line="360" w:lineRule="auto"/>
              <w:jc w:val="center"/>
              <w:rPr>
                <w:rFonts w:hint="eastAsia" w:ascii="仿宋" w:hAnsi="仿宋" w:eastAsia="仿宋" w:cs="仿宋"/>
                <w:color w:val="auto"/>
                <w:sz w:val="24"/>
                <w:highlight w:val="none"/>
              </w:rPr>
            </w:pPr>
          </w:p>
        </w:tc>
        <w:tc>
          <w:tcPr>
            <w:tcW w:w="1908" w:type="dxa"/>
            <w:tcBorders>
              <w:top w:val="single" w:color="auto" w:sz="4" w:space="0"/>
              <w:left w:val="single" w:color="auto" w:sz="4" w:space="0"/>
              <w:bottom w:val="single" w:color="auto" w:sz="4" w:space="0"/>
              <w:right w:val="single" w:color="auto" w:sz="4" w:space="0"/>
            </w:tcBorders>
            <w:vAlign w:val="center"/>
          </w:tcPr>
          <w:p w14:paraId="0E23E035">
            <w:pPr>
              <w:spacing w:line="360" w:lineRule="auto"/>
              <w:jc w:val="center"/>
              <w:rPr>
                <w:rFonts w:hint="eastAsia" w:ascii="仿宋" w:hAnsi="仿宋" w:eastAsia="仿宋" w:cs="仿宋"/>
                <w:color w:val="auto"/>
                <w:sz w:val="24"/>
                <w:highlight w:val="none"/>
              </w:rPr>
            </w:pPr>
          </w:p>
        </w:tc>
        <w:tc>
          <w:tcPr>
            <w:tcW w:w="1284" w:type="dxa"/>
            <w:tcBorders>
              <w:top w:val="single" w:color="auto" w:sz="4" w:space="0"/>
              <w:left w:val="single" w:color="auto" w:sz="4" w:space="0"/>
              <w:bottom w:val="single" w:color="auto" w:sz="4" w:space="0"/>
              <w:right w:val="single" w:color="auto" w:sz="4" w:space="0"/>
            </w:tcBorders>
            <w:vAlign w:val="center"/>
          </w:tcPr>
          <w:p w14:paraId="0C098262">
            <w:pPr>
              <w:spacing w:line="360" w:lineRule="auto"/>
              <w:jc w:val="center"/>
              <w:rPr>
                <w:rFonts w:hint="eastAsia" w:ascii="仿宋" w:hAnsi="仿宋" w:eastAsia="仿宋" w:cs="仿宋"/>
                <w:color w:val="auto"/>
                <w:sz w:val="24"/>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761D6698">
            <w:pPr>
              <w:spacing w:line="360" w:lineRule="auto"/>
              <w:jc w:val="center"/>
              <w:rPr>
                <w:rFonts w:hint="eastAsia" w:ascii="仿宋" w:hAnsi="仿宋" w:eastAsia="仿宋" w:cs="仿宋"/>
                <w:color w:val="auto"/>
                <w:sz w:val="24"/>
                <w:highlight w:val="none"/>
              </w:rPr>
            </w:pPr>
          </w:p>
        </w:tc>
      </w:tr>
    </w:tbl>
    <w:p w14:paraId="30C8A7C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F4E9854">
      <w:pPr>
        <w:spacing w:line="360" w:lineRule="auto"/>
        <w:jc w:val="center"/>
        <w:rPr>
          <w:rFonts w:hint="eastAsia" w:ascii="仿宋" w:hAnsi="仿宋" w:eastAsia="仿宋" w:cs="仿宋"/>
          <w:b/>
          <w:color w:val="auto"/>
          <w:kern w:val="0"/>
          <w:sz w:val="32"/>
          <w:szCs w:val="32"/>
          <w:highlight w:val="none"/>
        </w:rPr>
      </w:pPr>
    </w:p>
    <w:p w14:paraId="79B9A51F">
      <w:pPr>
        <w:spacing w:line="360" w:lineRule="auto"/>
        <w:jc w:val="center"/>
        <w:rPr>
          <w:rFonts w:hint="eastAsia" w:ascii="仿宋" w:hAnsi="仿宋" w:eastAsia="仿宋" w:cs="仿宋"/>
          <w:b/>
          <w:color w:val="auto"/>
          <w:kern w:val="0"/>
          <w:sz w:val="32"/>
          <w:szCs w:val="32"/>
          <w:highlight w:val="none"/>
        </w:rPr>
      </w:pPr>
    </w:p>
    <w:p w14:paraId="523C595C">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02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80183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3AC8B6B">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C79882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F956417">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7E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4BF135">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7299A2">
            <w:pPr>
              <w:spacing w:line="360" w:lineRule="auto"/>
              <w:jc w:val="center"/>
              <w:rPr>
                <w:rFonts w:hint="eastAsia" w:ascii="仿宋" w:hAnsi="仿宋" w:eastAsia="仿宋" w:cs="仿宋"/>
                <w:b/>
                <w:color w:val="auto"/>
                <w:kern w:val="0"/>
                <w:sz w:val="32"/>
                <w:szCs w:val="32"/>
                <w:highlight w:val="none"/>
              </w:rPr>
            </w:pPr>
          </w:p>
        </w:tc>
        <w:tc>
          <w:tcPr>
            <w:tcW w:w="3546" w:type="dxa"/>
          </w:tcPr>
          <w:p w14:paraId="36469A1D">
            <w:pPr>
              <w:spacing w:line="360" w:lineRule="auto"/>
              <w:jc w:val="center"/>
              <w:rPr>
                <w:rFonts w:hint="eastAsia" w:ascii="仿宋" w:hAnsi="仿宋" w:eastAsia="仿宋" w:cs="仿宋"/>
                <w:b/>
                <w:color w:val="auto"/>
                <w:kern w:val="0"/>
                <w:sz w:val="32"/>
                <w:szCs w:val="32"/>
                <w:highlight w:val="none"/>
              </w:rPr>
            </w:pPr>
          </w:p>
        </w:tc>
        <w:tc>
          <w:tcPr>
            <w:tcW w:w="1276" w:type="dxa"/>
          </w:tcPr>
          <w:p w14:paraId="01579053">
            <w:pPr>
              <w:spacing w:line="360" w:lineRule="auto"/>
              <w:jc w:val="center"/>
              <w:rPr>
                <w:rFonts w:hint="eastAsia" w:ascii="仿宋" w:hAnsi="仿宋" w:eastAsia="仿宋" w:cs="仿宋"/>
                <w:b/>
                <w:color w:val="auto"/>
                <w:kern w:val="0"/>
                <w:sz w:val="32"/>
                <w:szCs w:val="32"/>
                <w:highlight w:val="none"/>
              </w:rPr>
            </w:pPr>
          </w:p>
        </w:tc>
      </w:tr>
      <w:tr w14:paraId="531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C24126">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9D71004">
            <w:pPr>
              <w:spacing w:line="360" w:lineRule="auto"/>
              <w:jc w:val="center"/>
              <w:rPr>
                <w:rFonts w:hint="eastAsia" w:ascii="仿宋" w:hAnsi="仿宋" w:eastAsia="仿宋" w:cs="仿宋"/>
                <w:b/>
                <w:color w:val="auto"/>
                <w:kern w:val="0"/>
                <w:sz w:val="32"/>
                <w:szCs w:val="32"/>
                <w:highlight w:val="none"/>
              </w:rPr>
            </w:pPr>
          </w:p>
        </w:tc>
        <w:tc>
          <w:tcPr>
            <w:tcW w:w="3546" w:type="dxa"/>
          </w:tcPr>
          <w:p w14:paraId="57336922">
            <w:pPr>
              <w:spacing w:line="360" w:lineRule="auto"/>
              <w:jc w:val="center"/>
              <w:rPr>
                <w:rFonts w:hint="eastAsia" w:ascii="仿宋" w:hAnsi="仿宋" w:eastAsia="仿宋" w:cs="仿宋"/>
                <w:b/>
                <w:color w:val="auto"/>
                <w:kern w:val="0"/>
                <w:sz w:val="32"/>
                <w:szCs w:val="32"/>
                <w:highlight w:val="none"/>
              </w:rPr>
            </w:pPr>
          </w:p>
        </w:tc>
        <w:tc>
          <w:tcPr>
            <w:tcW w:w="1276" w:type="dxa"/>
          </w:tcPr>
          <w:p w14:paraId="63FF4278">
            <w:pPr>
              <w:spacing w:line="360" w:lineRule="auto"/>
              <w:jc w:val="center"/>
              <w:rPr>
                <w:rFonts w:hint="eastAsia" w:ascii="仿宋" w:hAnsi="仿宋" w:eastAsia="仿宋" w:cs="仿宋"/>
                <w:b/>
                <w:color w:val="auto"/>
                <w:kern w:val="0"/>
                <w:sz w:val="32"/>
                <w:szCs w:val="32"/>
                <w:highlight w:val="none"/>
              </w:rPr>
            </w:pPr>
          </w:p>
        </w:tc>
      </w:tr>
      <w:tr w14:paraId="51DD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2CBFE">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E606E88">
            <w:pPr>
              <w:spacing w:line="360" w:lineRule="auto"/>
              <w:jc w:val="center"/>
              <w:rPr>
                <w:rFonts w:hint="eastAsia" w:ascii="仿宋" w:hAnsi="仿宋" w:eastAsia="仿宋" w:cs="仿宋"/>
                <w:b/>
                <w:color w:val="auto"/>
                <w:kern w:val="0"/>
                <w:sz w:val="32"/>
                <w:szCs w:val="32"/>
                <w:highlight w:val="none"/>
              </w:rPr>
            </w:pPr>
          </w:p>
        </w:tc>
        <w:tc>
          <w:tcPr>
            <w:tcW w:w="3546" w:type="dxa"/>
          </w:tcPr>
          <w:p w14:paraId="2E10B0ED">
            <w:pPr>
              <w:spacing w:line="360" w:lineRule="auto"/>
              <w:jc w:val="center"/>
              <w:rPr>
                <w:rFonts w:hint="eastAsia" w:ascii="仿宋" w:hAnsi="仿宋" w:eastAsia="仿宋" w:cs="仿宋"/>
                <w:b/>
                <w:color w:val="auto"/>
                <w:kern w:val="0"/>
                <w:sz w:val="32"/>
                <w:szCs w:val="32"/>
                <w:highlight w:val="none"/>
              </w:rPr>
            </w:pPr>
          </w:p>
        </w:tc>
        <w:tc>
          <w:tcPr>
            <w:tcW w:w="1276" w:type="dxa"/>
          </w:tcPr>
          <w:p w14:paraId="312F2067">
            <w:pPr>
              <w:spacing w:line="360" w:lineRule="auto"/>
              <w:jc w:val="center"/>
              <w:rPr>
                <w:rFonts w:hint="eastAsia" w:ascii="仿宋" w:hAnsi="仿宋" w:eastAsia="仿宋" w:cs="仿宋"/>
                <w:b/>
                <w:color w:val="auto"/>
                <w:kern w:val="0"/>
                <w:sz w:val="32"/>
                <w:szCs w:val="32"/>
                <w:highlight w:val="none"/>
              </w:rPr>
            </w:pPr>
          </w:p>
        </w:tc>
      </w:tr>
    </w:tbl>
    <w:p w14:paraId="07D1BFDE">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F49A61">
      <w:pPr>
        <w:spacing w:line="360" w:lineRule="auto"/>
        <w:jc w:val="center"/>
        <w:rPr>
          <w:rFonts w:hint="eastAsia" w:ascii="仿宋" w:hAnsi="仿宋" w:eastAsia="仿宋" w:cs="仿宋"/>
          <w:b/>
          <w:color w:val="auto"/>
          <w:kern w:val="0"/>
          <w:sz w:val="32"/>
          <w:szCs w:val="32"/>
          <w:highlight w:val="none"/>
        </w:rPr>
      </w:pPr>
    </w:p>
    <w:p w14:paraId="0BFCAD9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C2FA8A0">
      <w:pPr>
        <w:spacing w:line="360" w:lineRule="auto"/>
        <w:ind w:firstLine="1911" w:firstLineChars="595"/>
        <w:rPr>
          <w:rFonts w:hint="eastAsia" w:ascii="仿宋" w:hAnsi="仿宋" w:eastAsia="仿宋" w:cs="仿宋"/>
          <w:b/>
          <w:bCs/>
          <w:color w:val="auto"/>
          <w:sz w:val="32"/>
          <w:szCs w:val="32"/>
          <w:highlight w:val="none"/>
        </w:rPr>
      </w:pPr>
    </w:p>
    <w:p w14:paraId="6A37F4EC">
      <w:pPr>
        <w:spacing w:line="360" w:lineRule="auto"/>
        <w:ind w:firstLine="1911" w:firstLineChars="595"/>
        <w:rPr>
          <w:rFonts w:hint="eastAsia" w:ascii="仿宋" w:hAnsi="仿宋" w:eastAsia="仿宋" w:cs="仿宋"/>
          <w:b/>
          <w:bCs/>
          <w:color w:val="auto"/>
          <w:sz w:val="32"/>
          <w:szCs w:val="32"/>
          <w:highlight w:val="none"/>
        </w:rPr>
      </w:pPr>
    </w:p>
    <w:p w14:paraId="5C05D8CD">
      <w:pPr>
        <w:spacing w:line="360" w:lineRule="auto"/>
        <w:ind w:firstLine="1911" w:firstLineChars="595"/>
        <w:rPr>
          <w:rFonts w:hint="eastAsia" w:ascii="仿宋" w:hAnsi="仿宋" w:eastAsia="仿宋" w:cs="仿宋"/>
          <w:b/>
          <w:bCs/>
          <w:color w:val="auto"/>
          <w:sz w:val="32"/>
          <w:szCs w:val="32"/>
          <w:highlight w:val="none"/>
        </w:rPr>
      </w:pPr>
    </w:p>
    <w:p w14:paraId="1508A848">
      <w:pPr>
        <w:widowControl/>
        <w:adjustRightInd/>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50B4DB06">
      <w:pPr>
        <w:spacing w:line="360" w:lineRule="auto"/>
        <w:ind w:firstLine="2872" w:firstLineChars="894"/>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14:paraId="412F69C3">
      <w:pPr>
        <w:snapToGrid w:val="0"/>
        <w:spacing w:line="360" w:lineRule="auto"/>
        <w:rPr>
          <w:rFonts w:hint="eastAsia" w:ascii="仿宋" w:hAnsi="仿宋" w:eastAsia="仿宋" w:cs="仿宋"/>
          <w:color w:val="auto"/>
          <w:sz w:val="24"/>
          <w:highlight w:val="none"/>
        </w:rPr>
      </w:pPr>
    </w:p>
    <w:p w14:paraId="41D1FB0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05CE7F8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68C7DC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9FD237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8804C9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1DCCDF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9F5042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02CB5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27F583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82DD5D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8B5D13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EE867D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699D5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BB0660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2C26D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ED7879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4DE22A6">
      <w:pPr>
        <w:spacing w:line="360" w:lineRule="auto"/>
        <w:jc w:val="center"/>
        <w:rPr>
          <w:rFonts w:hint="eastAsia" w:ascii="仿宋" w:hAnsi="仿宋" w:eastAsia="仿宋" w:cs="仿宋"/>
          <w:b/>
          <w:bCs/>
          <w:color w:val="auto"/>
          <w:sz w:val="24"/>
          <w:highlight w:val="none"/>
        </w:rPr>
      </w:pPr>
    </w:p>
    <w:p w14:paraId="38EC456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4DECD7">
      <w:pPr>
        <w:spacing w:line="360" w:lineRule="auto"/>
        <w:jc w:val="center"/>
        <w:rPr>
          <w:rFonts w:hint="eastAsia" w:ascii="仿宋" w:hAnsi="仿宋" w:eastAsia="仿宋" w:cs="仿宋"/>
          <w:b/>
          <w:bCs/>
          <w:color w:val="auto"/>
          <w:sz w:val="24"/>
          <w:highlight w:val="none"/>
        </w:rPr>
        <w:sectPr>
          <w:footerReference r:id="rId11" w:type="firs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6A7B1D0">
      <w:pPr>
        <w:spacing w:line="360" w:lineRule="auto"/>
        <w:jc w:val="center"/>
        <w:outlineLvl w:val="9"/>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C5DB39F">
      <w:pPr>
        <w:spacing w:line="360" w:lineRule="auto"/>
        <w:jc w:val="center"/>
        <w:outlineLvl w:val="9"/>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3AE3637">
      <w:pPr>
        <w:spacing w:line="360" w:lineRule="auto"/>
        <w:jc w:val="center"/>
        <w:outlineLvl w:val="9"/>
        <w:rPr>
          <w:rFonts w:hint="eastAsia" w:ascii="仿宋" w:hAnsi="仿宋" w:eastAsia="仿宋" w:cs="仿宋"/>
          <w:b/>
          <w:color w:val="auto"/>
          <w:kern w:val="0"/>
          <w:sz w:val="36"/>
          <w:szCs w:val="36"/>
          <w:highlight w:val="none"/>
        </w:rPr>
      </w:pPr>
    </w:p>
    <w:p w14:paraId="3CAD93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36751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5036E94">
      <w:pPr>
        <w:snapToGrid w:val="0"/>
        <w:spacing w:line="360" w:lineRule="auto"/>
        <w:ind w:right="480"/>
        <w:jc w:val="center"/>
        <w:rPr>
          <w:rFonts w:hint="eastAsia" w:ascii="仿宋" w:hAnsi="仿宋" w:eastAsia="仿宋" w:cs="仿宋"/>
          <w:b/>
          <w:color w:val="auto"/>
          <w:kern w:val="0"/>
          <w:sz w:val="32"/>
          <w:szCs w:val="32"/>
          <w:highlight w:val="none"/>
        </w:rPr>
      </w:pPr>
    </w:p>
    <w:p w14:paraId="4BE7F852">
      <w:pPr>
        <w:snapToGrid w:val="0"/>
        <w:spacing w:line="360" w:lineRule="auto"/>
        <w:ind w:right="480"/>
        <w:jc w:val="center"/>
        <w:rPr>
          <w:rFonts w:hint="eastAsia" w:ascii="仿宋" w:hAnsi="仿宋" w:eastAsia="仿宋" w:cs="仿宋"/>
          <w:b/>
          <w:color w:val="auto"/>
          <w:kern w:val="0"/>
          <w:sz w:val="32"/>
          <w:szCs w:val="32"/>
          <w:highlight w:val="none"/>
        </w:rPr>
      </w:pPr>
    </w:p>
    <w:p w14:paraId="376F6245">
      <w:pPr>
        <w:snapToGrid w:val="0"/>
        <w:spacing w:line="360" w:lineRule="auto"/>
        <w:ind w:right="480"/>
        <w:jc w:val="center"/>
        <w:rPr>
          <w:rFonts w:hint="eastAsia" w:ascii="仿宋" w:hAnsi="仿宋" w:eastAsia="仿宋" w:cs="仿宋"/>
          <w:b/>
          <w:color w:val="auto"/>
          <w:kern w:val="0"/>
          <w:sz w:val="32"/>
          <w:szCs w:val="32"/>
          <w:highlight w:val="none"/>
        </w:rPr>
      </w:pPr>
    </w:p>
    <w:p w14:paraId="64B194FF">
      <w:pPr>
        <w:snapToGrid w:val="0"/>
        <w:spacing w:line="360" w:lineRule="auto"/>
        <w:ind w:right="480"/>
        <w:jc w:val="center"/>
        <w:rPr>
          <w:rFonts w:hint="eastAsia" w:ascii="仿宋" w:hAnsi="仿宋" w:eastAsia="仿宋" w:cs="仿宋"/>
          <w:b/>
          <w:color w:val="auto"/>
          <w:kern w:val="0"/>
          <w:sz w:val="32"/>
          <w:szCs w:val="32"/>
          <w:highlight w:val="none"/>
        </w:rPr>
      </w:pPr>
    </w:p>
    <w:p w14:paraId="6B23A5C3">
      <w:pPr>
        <w:snapToGrid w:val="0"/>
        <w:spacing w:line="360" w:lineRule="auto"/>
        <w:ind w:right="480"/>
        <w:jc w:val="center"/>
        <w:rPr>
          <w:rFonts w:hint="eastAsia" w:ascii="仿宋" w:hAnsi="仿宋" w:eastAsia="仿宋" w:cs="仿宋"/>
          <w:b/>
          <w:color w:val="auto"/>
          <w:kern w:val="0"/>
          <w:sz w:val="32"/>
          <w:szCs w:val="32"/>
          <w:highlight w:val="none"/>
        </w:rPr>
      </w:pPr>
    </w:p>
    <w:p w14:paraId="33828430">
      <w:pPr>
        <w:snapToGrid w:val="0"/>
        <w:spacing w:line="360" w:lineRule="auto"/>
        <w:ind w:right="480"/>
        <w:jc w:val="center"/>
        <w:rPr>
          <w:rFonts w:hint="eastAsia" w:ascii="仿宋" w:hAnsi="仿宋" w:eastAsia="仿宋" w:cs="仿宋"/>
          <w:b/>
          <w:color w:val="auto"/>
          <w:kern w:val="0"/>
          <w:sz w:val="32"/>
          <w:szCs w:val="32"/>
          <w:highlight w:val="none"/>
        </w:rPr>
      </w:pPr>
    </w:p>
    <w:p w14:paraId="0B4DDA54">
      <w:pPr>
        <w:snapToGrid w:val="0"/>
        <w:spacing w:line="360" w:lineRule="auto"/>
        <w:ind w:right="480"/>
        <w:jc w:val="center"/>
        <w:rPr>
          <w:rFonts w:hint="eastAsia" w:ascii="仿宋" w:hAnsi="仿宋" w:eastAsia="仿宋" w:cs="仿宋"/>
          <w:b/>
          <w:color w:val="auto"/>
          <w:kern w:val="0"/>
          <w:sz w:val="32"/>
          <w:szCs w:val="32"/>
          <w:highlight w:val="none"/>
        </w:rPr>
      </w:pPr>
    </w:p>
    <w:p w14:paraId="3889B546">
      <w:pPr>
        <w:snapToGrid w:val="0"/>
        <w:spacing w:line="360" w:lineRule="auto"/>
        <w:ind w:right="480"/>
        <w:jc w:val="center"/>
        <w:rPr>
          <w:rFonts w:hint="eastAsia" w:ascii="仿宋" w:hAnsi="仿宋" w:eastAsia="仿宋" w:cs="仿宋"/>
          <w:b/>
          <w:color w:val="auto"/>
          <w:kern w:val="0"/>
          <w:sz w:val="32"/>
          <w:szCs w:val="32"/>
          <w:highlight w:val="none"/>
        </w:rPr>
      </w:pPr>
    </w:p>
    <w:p w14:paraId="3037A008">
      <w:pPr>
        <w:snapToGrid w:val="0"/>
        <w:spacing w:line="360" w:lineRule="auto"/>
        <w:ind w:right="480"/>
        <w:jc w:val="center"/>
        <w:rPr>
          <w:rFonts w:hint="eastAsia" w:ascii="仿宋" w:hAnsi="仿宋" w:eastAsia="仿宋" w:cs="仿宋"/>
          <w:b/>
          <w:color w:val="auto"/>
          <w:kern w:val="0"/>
          <w:sz w:val="32"/>
          <w:szCs w:val="32"/>
          <w:highlight w:val="none"/>
        </w:rPr>
      </w:pPr>
    </w:p>
    <w:p w14:paraId="14041DAC">
      <w:pPr>
        <w:snapToGrid w:val="0"/>
        <w:spacing w:line="360" w:lineRule="auto"/>
        <w:ind w:right="480"/>
        <w:jc w:val="center"/>
        <w:rPr>
          <w:rFonts w:hint="eastAsia" w:ascii="仿宋" w:hAnsi="仿宋" w:eastAsia="仿宋" w:cs="仿宋"/>
          <w:b/>
          <w:color w:val="auto"/>
          <w:kern w:val="0"/>
          <w:sz w:val="32"/>
          <w:szCs w:val="32"/>
          <w:highlight w:val="none"/>
        </w:rPr>
      </w:pPr>
    </w:p>
    <w:p w14:paraId="68632727">
      <w:pPr>
        <w:snapToGrid w:val="0"/>
        <w:spacing w:line="360" w:lineRule="auto"/>
        <w:ind w:right="480"/>
        <w:jc w:val="center"/>
        <w:rPr>
          <w:rFonts w:hint="eastAsia" w:ascii="仿宋" w:hAnsi="仿宋" w:eastAsia="仿宋" w:cs="仿宋"/>
          <w:b/>
          <w:color w:val="auto"/>
          <w:kern w:val="0"/>
          <w:sz w:val="32"/>
          <w:szCs w:val="32"/>
          <w:highlight w:val="none"/>
        </w:rPr>
      </w:pPr>
    </w:p>
    <w:p w14:paraId="39453B79">
      <w:pPr>
        <w:snapToGrid w:val="0"/>
        <w:spacing w:line="360" w:lineRule="auto"/>
        <w:ind w:right="480"/>
        <w:jc w:val="center"/>
        <w:rPr>
          <w:rFonts w:hint="eastAsia" w:ascii="仿宋" w:hAnsi="仿宋" w:eastAsia="仿宋" w:cs="仿宋"/>
          <w:b/>
          <w:color w:val="auto"/>
          <w:kern w:val="0"/>
          <w:sz w:val="32"/>
          <w:szCs w:val="32"/>
          <w:highlight w:val="none"/>
        </w:rPr>
      </w:pPr>
    </w:p>
    <w:p w14:paraId="56267C6F">
      <w:pPr>
        <w:snapToGrid w:val="0"/>
        <w:spacing w:line="360" w:lineRule="auto"/>
        <w:ind w:right="480"/>
        <w:jc w:val="center"/>
        <w:rPr>
          <w:rFonts w:hint="eastAsia" w:ascii="仿宋" w:hAnsi="仿宋" w:eastAsia="仿宋" w:cs="仿宋"/>
          <w:b/>
          <w:color w:val="auto"/>
          <w:kern w:val="0"/>
          <w:sz w:val="32"/>
          <w:szCs w:val="32"/>
          <w:highlight w:val="none"/>
        </w:rPr>
      </w:pPr>
    </w:p>
    <w:p w14:paraId="233B4610">
      <w:pPr>
        <w:snapToGrid w:val="0"/>
        <w:spacing w:line="360" w:lineRule="auto"/>
        <w:ind w:right="480"/>
        <w:jc w:val="center"/>
        <w:rPr>
          <w:rFonts w:hint="eastAsia" w:ascii="仿宋" w:hAnsi="仿宋" w:eastAsia="仿宋" w:cs="仿宋"/>
          <w:b/>
          <w:color w:val="auto"/>
          <w:kern w:val="0"/>
          <w:sz w:val="32"/>
          <w:szCs w:val="32"/>
          <w:highlight w:val="none"/>
        </w:rPr>
      </w:pPr>
    </w:p>
    <w:p w14:paraId="5930BE03">
      <w:pPr>
        <w:snapToGrid w:val="0"/>
        <w:spacing w:line="360" w:lineRule="auto"/>
        <w:ind w:right="480"/>
        <w:jc w:val="center"/>
        <w:rPr>
          <w:rFonts w:hint="eastAsia" w:ascii="仿宋" w:hAnsi="仿宋" w:eastAsia="仿宋" w:cs="仿宋"/>
          <w:b/>
          <w:color w:val="auto"/>
          <w:kern w:val="0"/>
          <w:sz w:val="32"/>
          <w:szCs w:val="32"/>
          <w:highlight w:val="none"/>
        </w:rPr>
      </w:pPr>
    </w:p>
    <w:p w14:paraId="0F0DCB66">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kern w:val="2"/>
          <w:sz w:val="32"/>
          <w:szCs w:val="32"/>
          <w:highlight w:val="none"/>
        </w:rPr>
        <w:sectPr>
          <w:footerReference r:id="rId13" w:type="firs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FCFDCC5">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0DD380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50C1F72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5A20D1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w:t>
      </w:r>
      <w:r>
        <w:rPr>
          <w:rFonts w:hint="eastAsia" w:ascii="仿宋" w:hAnsi="仿宋" w:eastAsia="仿宋" w:cs="仿宋"/>
          <w:b/>
          <w:color w:val="auto"/>
          <w:kern w:val="0"/>
          <w:sz w:val="24"/>
          <w:highlight w:val="none"/>
          <w:lang w:val="en-US" w:eastAsia="zh-CN"/>
        </w:rPr>
        <w:t>元</w:t>
      </w:r>
      <w:r>
        <w:rPr>
          <w:rFonts w:hint="eastAsia" w:ascii="仿宋" w:hAnsi="仿宋" w:eastAsia="仿宋" w:cs="仿宋"/>
          <w:b/>
          <w:color w:val="auto"/>
          <w:kern w:val="0"/>
          <w:sz w:val="24"/>
          <w:highlight w:val="none"/>
          <w:lang w:val="zh-CN"/>
        </w:rPr>
        <w:t>)</w:t>
      </w:r>
    </w:p>
    <w:tbl>
      <w:tblPr>
        <w:tblStyle w:val="62"/>
        <w:tblW w:w="8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38"/>
        <w:gridCol w:w="4162"/>
      </w:tblGrid>
      <w:tr w14:paraId="325F2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blHeader/>
          <w:jc w:val="center"/>
        </w:trPr>
        <w:tc>
          <w:tcPr>
            <w:tcW w:w="4738" w:type="dxa"/>
            <w:tcBorders>
              <w:top w:val="single" w:color="auto" w:sz="4" w:space="0"/>
              <w:left w:val="single" w:color="auto" w:sz="4" w:space="0"/>
              <w:right w:val="single" w:color="auto" w:sz="4" w:space="0"/>
            </w:tcBorders>
            <w:noWrap w:val="0"/>
            <w:vAlign w:val="center"/>
          </w:tcPr>
          <w:p w14:paraId="53954DFF">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项目名称</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3F19D8FE">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投标报价（</w:t>
            </w:r>
            <w:r>
              <w:rPr>
                <w:rFonts w:hint="eastAsia" w:ascii="仿宋" w:hAnsi="仿宋" w:eastAsia="仿宋" w:cs="仿宋"/>
                <w:b/>
                <w:i w:val="0"/>
                <w:iCs w:val="0"/>
                <w:color w:val="auto"/>
                <w:kern w:val="0"/>
                <w:sz w:val="24"/>
                <w:szCs w:val="20"/>
                <w:highlight w:val="none"/>
                <w:lang w:val="en-US" w:eastAsia="zh-CN"/>
              </w:rPr>
              <w:t>元</w:t>
            </w:r>
            <w:r>
              <w:rPr>
                <w:rFonts w:hint="eastAsia" w:ascii="仿宋" w:hAnsi="仿宋" w:eastAsia="仿宋" w:cs="仿宋"/>
                <w:b/>
                <w:i w:val="0"/>
                <w:iCs w:val="0"/>
                <w:color w:val="auto"/>
                <w:kern w:val="0"/>
                <w:sz w:val="24"/>
                <w:szCs w:val="20"/>
                <w:highlight w:val="none"/>
                <w:lang w:val="en-GB"/>
              </w:rPr>
              <w:t>）</w:t>
            </w:r>
          </w:p>
        </w:tc>
      </w:tr>
      <w:tr w14:paraId="34DC9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4738" w:type="dxa"/>
            <w:tcBorders>
              <w:top w:val="single" w:color="auto" w:sz="6" w:space="0"/>
              <w:left w:val="single" w:color="auto" w:sz="4" w:space="0"/>
              <w:bottom w:val="single" w:color="auto" w:sz="6" w:space="0"/>
              <w:right w:val="single" w:color="auto" w:sz="4" w:space="0"/>
            </w:tcBorders>
            <w:noWrap w:val="0"/>
            <w:vAlign w:val="center"/>
          </w:tcPr>
          <w:p w14:paraId="0614FDBF">
            <w:pPr>
              <w:spacing w:line="360" w:lineRule="auto"/>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XXX</w:t>
            </w:r>
          </w:p>
        </w:tc>
        <w:tc>
          <w:tcPr>
            <w:tcW w:w="4162" w:type="dxa"/>
            <w:tcBorders>
              <w:top w:val="single" w:color="auto" w:sz="6" w:space="0"/>
              <w:left w:val="single" w:color="auto" w:sz="4" w:space="0"/>
              <w:bottom w:val="single" w:color="auto" w:sz="6" w:space="0"/>
              <w:right w:val="single" w:color="auto" w:sz="4" w:space="0"/>
            </w:tcBorders>
            <w:noWrap w:val="0"/>
            <w:vAlign w:val="center"/>
          </w:tcPr>
          <w:p w14:paraId="29A0150F">
            <w:pPr>
              <w:spacing w:line="360" w:lineRule="auto"/>
              <w:jc w:val="center"/>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val="en-US" w:eastAsia="zh-CN"/>
              </w:rPr>
              <w:t>大写：</w:t>
            </w:r>
            <w:r>
              <w:rPr>
                <w:rFonts w:hint="eastAsia" w:ascii="仿宋" w:hAnsi="仿宋" w:eastAsia="仿宋" w:cs="仿宋"/>
                <w:i w:val="0"/>
                <w:iCs w:val="0"/>
                <w:color w:val="auto"/>
                <w:sz w:val="24"/>
                <w:highlight w:val="none"/>
                <w:u w:val="single"/>
                <w:lang w:eastAsia="zh-CN"/>
              </w:rPr>
              <w:t xml:space="preserve">             </w:t>
            </w:r>
            <w:r>
              <w:rPr>
                <w:rFonts w:hint="eastAsia" w:ascii="仿宋" w:hAnsi="仿宋" w:eastAsia="仿宋" w:cs="仿宋"/>
                <w:i w:val="0"/>
                <w:iCs w:val="0"/>
                <w:color w:val="auto"/>
                <w:sz w:val="24"/>
                <w:highlight w:val="none"/>
                <w:lang w:eastAsia="zh-CN"/>
              </w:rPr>
              <w:t>。</w:t>
            </w:r>
          </w:p>
          <w:p w14:paraId="5F192FAE">
            <w:pPr>
              <w:spacing w:line="360" w:lineRule="auto"/>
              <w:ind w:firstLine="720" w:firstLineChars="300"/>
              <w:jc w:val="both"/>
              <w:rPr>
                <w:rFonts w:hint="default" w:ascii="仿宋" w:hAnsi="仿宋" w:eastAsia="仿宋" w:cs="仿宋"/>
                <w:i w:val="0"/>
                <w:iCs w:val="0"/>
                <w:color w:val="auto"/>
                <w:sz w:val="24"/>
                <w:highlight w:val="none"/>
                <w:u w:val="single"/>
                <w:lang w:val="en-US" w:eastAsia="zh-CN"/>
              </w:rPr>
            </w:pPr>
            <w:r>
              <w:rPr>
                <w:rFonts w:hint="eastAsia" w:ascii="仿宋" w:hAnsi="仿宋" w:eastAsia="仿宋" w:cs="仿宋"/>
                <w:i w:val="0"/>
                <w:iCs w:val="0"/>
                <w:color w:val="auto"/>
                <w:sz w:val="24"/>
                <w:highlight w:val="none"/>
                <w:lang w:val="en-US" w:eastAsia="zh-CN"/>
              </w:rPr>
              <w:t>小写：</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none"/>
                <w:lang w:val="en-US" w:eastAsia="zh-CN"/>
              </w:rPr>
              <w:t>。</w:t>
            </w:r>
          </w:p>
        </w:tc>
      </w:tr>
    </w:tbl>
    <w:p w14:paraId="5E7679A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32094DE">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AF4800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90A744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561B90">
      <w:pPr>
        <w:spacing w:line="360" w:lineRule="auto"/>
        <w:ind w:firstLine="482" w:firstLineChars="200"/>
        <w:rPr>
          <w:rFonts w:hint="eastAsia" w:ascii="仿宋" w:hAnsi="仿宋" w:eastAsia="仿宋" w:cs="仿宋"/>
          <w:b/>
          <w:color w:val="auto"/>
          <w:kern w:val="0"/>
          <w:sz w:val="24"/>
          <w:highlight w:val="none"/>
        </w:rPr>
      </w:pPr>
    </w:p>
    <w:p w14:paraId="35C9B655">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kern w:val="2"/>
          <w:sz w:val="32"/>
          <w:szCs w:val="32"/>
          <w:highlight w:val="none"/>
        </w:rPr>
      </w:pPr>
    </w:p>
    <w:p w14:paraId="25692FD9">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4C572E52">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6CA1687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F9CE8F">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b w:val="0"/>
          <w:color w:val="auto"/>
          <w:sz w:val="32"/>
          <w:szCs w:val="32"/>
          <w:highlight w:val="none"/>
        </w:rPr>
      </w:pPr>
    </w:p>
    <w:p w14:paraId="0A8486EC">
      <w:pPr>
        <w:spacing w:line="360" w:lineRule="auto"/>
        <w:ind w:right="420" w:firstLine="3614" w:firstLineChars="1000"/>
        <w:rPr>
          <w:rFonts w:hint="eastAsia" w:ascii="仿宋" w:hAnsi="仿宋" w:eastAsia="仿宋" w:cs="仿宋"/>
          <w:b/>
          <w:color w:val="auto"/>
          <w:kern w:val="0"/>
          <w:sz w:val="36"/>
          <w:szCs w:val="36"/>
          <w:highlight w:val="none"/>
        </w:rPr>
      </w:pPr>
    </w:p>
    <w:p w14:paraId="612E0475">
      <w:pPr>
        <w:spacing w:line="360" w:lineRule="auto"/>
        <w:ind w:right="420" w:firstLine="3614" w:firstLineChars="1000"/>
        <w:rPr>
          <w:rFonts w:hint="eastAsia" w:ascii="仿宋" w:hAnsi="仿宋" w:eastAsia="仿宋" w:cs="仿宋"/>
          <w:b/>
          <w:color w:val="auto"/>
          <w:kern w:val="0"/>
          <w:sz w:val="36"/>
          <w:szCs w:val="36"/>
          <w:highlight w:val="none"/>
        </w:rPr>
      </w:pPr>
    </w:p>
    <w:p w14:paraId="1394FD04">
      <w:pPr>
        <w:spacing w:line="360" w:lineRule="auto"/>
        <w:ind w:right="420" w:firstLine="3614" w:firstLineChars="1000"/>
        <w:rPr>
          <w:rFonts w:hint="eastAsia" w:ascii="仿宋" w:hAnsi="仿宋" w:eastAsia="仿宋" w:cs="仿宋"/>
          <w:b/>
          <w:color w:val="auto"/>
          <w:kern w:val="0"/>
          <w:sz w:val="36"/>
          <w:szCs w:val="36"/>
          <w:highlight w:val="none"/>
        </w:rPr>
      </w:pPr>
    </w:p>
    <w:p w14:paraId="52BCFA9D">
      <w:pPr>
        <w:spacing w:line="360" w:lineRule="auto"/>
        <w:ind w:right="420" w:firstLine="3614" w:firstLineChars="1000"/>
        <w:rPr>
          <w:rFonts w:hint="eastAsia" w:ascii="仿宋" w:hAnsi="仿宋" w:eastAsia="仿宋" w:cs="仿宋"/>
          <w:b/>
          <w:color w:val="auto"/>
          <w:kern w:val="0"/>
          <w:sz w:val="36"/>
          <w:szCs w:val="36"/>
          <w:highlight w:val="none"/>
        </w:rPr>
      </w:pPr>
    </w:p>
    <w:p w14:paraId="3609B1B1">
      <w:pPr>
        <w:spacing w:line="360" w:lineRule="auto"/>
        <w:ind w:right="420" w:firstLine="3614" w:firstLineChars="1000"/>
        <w:rPr>
          <w:rFonts w:hint="eastAsia" w:ascii="仿宋" w:hAnsi="仿宋" w:eastAsia="仿宋" w:cs="仿宋"/>
          <w:b/>
          <w:color w:val="auto"/>
          <w:kern w:val="0"/>
          <w:sz w:val="36"/>
          <w:szCs w:val="36"/>
          <w:highlight w:val="none"/>
        </w:rPr>
      </w:pPr>
    </w:p>
    <w:p w14:paraId="4A65B879">
      <w:pPr>
        <w:spacing w:line="360" w:lineRule="auto"/>
        <w:ind w:right="420" w:firstLine="3614" w:firstLineChars="1000"/>
        <w:rPr>
          <w:rFonts w:hint="eastAsia" w:ascii="仿宋" w:hAnsi="仿宋" w:eastAsia="仿宋" w:cs="仿宋"/>
          <w:b/>
          <w:color w:val="auto"/>
          <w:kern w:val="0"/>
          <w:sz w:val="36"/>
          <w:szCs w:val="36"/>
          <w:highlight w:val="none"/>
        </w:rPr>
      </w:pPr>
    </w:p>
    <w:p w14:paraId="05C54F62">
      <w:pPr>
        <w:spacing w:line="360" w:lineRule="auto"/>
        <w:ind w:right="420" w:firstLine="3614" w:firstLineChars="1000"/>
        <w:rPr>
          <w:rFonts w:hint="eastAsia" w:ascii="仿宋" w:hAnsi="仿宋" w:eastAsia="仿宋" w:cs="仿宋"/>
          <w:b/>
          <w:color w:val="auto"/>
          <w:kern w:val="0"/>
          <w:sz w:val="36"/>
          <w:szCs w:val="36"/>
          <w:highlight w:val="none"/>
        </w:rPr>
      </w:pPr>
    </w:p>
    <w:p w14:paraId="23A8196E">
      <w:pPr>
        <w:spacing w:line="360" w:lineRule="auto"/>
        <w:ind w:right="420" w:firstLine="3614" w:firstLineChars="1000"/>
        <w:rPr>
          <w:rFonts w:hint="eastAsia" w:ascii="仿宋" w:hAnsi="仿宋" w:eastAsia="仿宋" w:cs="仿宋"/>
          <w:b/>
          <w:color w:val="auto"/>
          <w:kern w:val="0"/>
          <w:sz w:val="36"/>
          <w:szCs w:val="36"/>
          <w:highlight w:val="none"/>
        </w:rPr>
      </w:pPr>
    </w:p>
    <w:p w14:paraId="0BD090C3">
      <w:pPr>
        <w:spacing w:line="360" w:lineRule="auto"/>
        <w:ind w:right="420" w:firstLine="3614" w:firstLineChars="1000"/>
        <w:rPr>
          <w:rFonts w:hint="eastAsia" w:ascii="仿宋" w:hAnsi="仿宋" w:eastAsia="仿宋" w:cs="仿宋"/>
          <w:b/>
          <w:color w:val="auto"/>
          <w:kern w:val="0"/>
          <w:sz w:val="36"/>
          <w:szCs w:val="36"/>
          <w:highlight w:val="none"/>
        </w:rPr>
      </w:pPr>
    </w:p>
    <w:p w14:paraId="617F0FB1">
      <w:pPr>
        <w:spacing w:line="360" w:lineRule="auto"/>
        <w:ind w:right="420" w:firstLine="3614" w:firstLineChars="1000"/>
        <w:rPr>
          <w:rFonts w:hint="eastAsia" w:ascii="仿宋" w:hAnsi="仿宋" w:eastAsia="仿宋" w:cs="仿宋"/>
          <w:b/>
          <w:color w:val="auto"/>
          <w:kern w:val="0"/>
          <w:sz w:val="36"/>
          <w:szCs w:val="36"/>
          <w:highlight w:val="none"/>
        </w:rPr>
      </w:pPr>
    </w:p>
    <w:p w14:paraId="3095CB91">
      <w:pPr>
        <w:spacing w:line="360" w:lineRule="auto"/>
        <w:ind w:right="420" w:firstLine="3614" w:firstLineChars="1000"/>
        <w:rPr>
          <w:rFonts w:hint="eastAsia" w:ascii="仿宋" w:hAnsi="仿宋" w:eastAsia="仿宋" w:cs="仿宋"/>
          <w:b/>
          <w:color w:val="auto"/>
          <w:kern w:val="0"/>
          <w:sz w:val="36"/>
          <w:szCs w:val="36"/>
          <w:highlight w:val="none"/>
        </w:rPr>
      </w:pPr>
    </w:p>
    <w:p w14:paraId="28D11DD8">
      <w:pPr>
        <w:spacing w:line="360" w:lineRule="auto"/>
        <w:ind w:right="420" w:firstLine="3614" w:firstLineChars="1000"/>
        <w:rPr>
          <w:rFonts w:hint="eastAsia" w:ascii="仿宋" w:hAnsi="仿宋" w:eastAsia="仿宋" w:cs="仿宋"/>
          <w:b/>
          <w:color w:val="auto"/>
          <w:kern w:val="0"/>
          <w:sz w:val="36"/>
          <w:szCs w:val="36"/>
          <w:highlight w:val="none"/>
        </w:rPr>
      </w:pPr>
    </w:p>
    <w:p w14:paraId="0E4E6C35">
      <w:pPr>
        <w:spacing w:line="360" w:lineRule="auto"/>
        <w:ind w:right="420" w:firstLine="3614" w:firstLineChars="1000"/>
        <w:rPr>
          <w:rFonts w:hint="eastAsia" w:ascii="仿宋" w:hAnsi="仿宋" w:eastAsia="仿宋" w:cs="仿宋"/>
          <w:b/>
          <w:color w:val="auto"/>
          <w:kern w:val="0"/>
          <w:sz w:val="36"/>
          <w:szCs w:val="36"/>
          <w:highlight w:val="none"/>
        </w:rPr>
      </w:pPr>
    </w:p>
    <w:p w14:paraId="24541397">
      <w:pPr>
        <w:spacing w:line="360" w:lineRule="auto"/>
        <w:ind w:right="420" w:firstLine="3614" w:firstLineChars="1000"/>
        <w:rPr>
          <w:rFonts w:hint="eastAsia" w:ascii="仿宋" w:hAnsi="仿宋" w:eastAsia="仿宋" w:cs="仿宋"/>
          <w:b/>
          <w:color w:val="auto"/>
          <w:kern w:val="0"/>
          <w:sz w:val="36"/>
          <w:szCs w:val="36"/>
          <w:highlight w:val="none"/>
        </w:rPr>
      </w:pPr>
    </w:p>
    <w:p w14:paraId="1242D02C">
      <w:pPr>
        <w:spacing w:line="360" w:lineRule="auto"/>
        <w:ind w:right="420" w:firstLine="3614" w:firstLineChars="1000"/>
        <w:rPr>
          <w:rFonts w:hint="eastAsia" w:ascii="仿宋" w:hAnsi="仿宋" w:eastAsia="仿宋" w:cs="仿宋"/>
          <w:b/>
          <w:color w:val="auto"/>
          <w:kern w:val="0"/>
          <w:sz w:val="36"/>
          <w:szCs w:val="36"/>
          <w:highlight w:val="none"/>
        </w:rPr>
      </w:pPr>
    </w:p>
    <w:p w14:paraId="3323DB79">
      <w:pPr>
        <w:spacing w:line="360" w:lineRule="auto"/>
        <w:ind w:right="420" w:firstLine="3614" w:firstLineChars="1000"/>
        <w:rPr>
          <w:rFonts w:hint="eastAsia" w:ascii="仿宋" w:hAnsi="仿宋" w:eastAsia="仿宋" w:cs="仿宋"/>
          <w:b/>
          <w:color w:val="auto"/>
          <w:kern w:val="0"/>
          <w:sz w:val="36"/>
          <w:szCs w:val="36"/>
          <w:highlight w:val="none"/>
        </w:rPr>
      </w:pPr>
    </w:p>
    <w:p w14:paraId="458A77F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0276F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779C5AF8">
      <w:pPr>
        <w:spacing w:line="360" w:lineRule="auto"/>
        <w:jc w:val="center"/>
        <w:rPr>
          <w:rFonts w:hint="eastAsia" w:ascii="仿宋" w:hAnsi="仿宋" w:eastAsia="仿宋" w:cs="仿宋"/>
          <w:b/>
          <w:color w:val="auto"/>
          <w:spacing w:val="6"/>
          <w:sz w:val="32"/>
          <w:szCs w:val="32"/>
          <w:highlight w:val="none"/>
        </w:rPr>
      </w:pPr>
      <w:bookmarkStart w:id="395" w:name="OLE_LINK13"/>
      <w:bookmarkStart w:id="396" w:name="OLE_LINK14"/>
      <w:r>
        <w:rPr>
          <w:rFonts w:hint="eastAsia" w:ascii="仿宋" w:hAnsi="仿宋" w:eastAsia="仿宋" w:cs="仿宋"/>
          <w:b/>
          <w:color w:val="auto"/>
          <w:spacing w:val="6"/>
          <w:sz w:val="32"/>
          <w:szCs w:val="32"/>
          <w:highlight w:val="none"/>
        </w:rPr>
        <w:t>残疾人福利性单位声明函</w:t>
      </w:r>
    </w:p>
    <w:bookmarkEnd w:id="395"/>
    <w:bookmarkEnd w:id="396"/>
    <w:p w14:paraId="141813D3">
      <w:pPr>
        <w:spacing w:line="360" w:lineRule="auto"/>
        <w:rPr>
          <w:rFonts w:hint="eastAsia" w:ascii="仿宋" w:hAnsi="仿宋" w:eastAsia="仿宋" w:cs="仿宋"/>
          <w:b/>
          <w:color w:val="auto"/>
          <w:spacing w:val="6"/>
          <w:sz w:val="30"/>
          <w:szCs w:val="30"/>
          <w:highlight w:val="none"/>
        </w:rPr>
      </w:pPr>
    </w:p>
    <w:p w14:paraId="7368BA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w:t>
      </w:r>
      <w:r>
        <w:rPr>
          <w:rFonts w:hint="eastAsia" w:ascii="仿宋" w:hAnsi="仿宋" w:eastAsia="仿宋" w:cs="仿宋"/>
          <w:color w:val="auto"/>
          <w:sz w:val="24"/>
          <w:highlight w:val="none"/>
        </w:rPr>
        <w:t>_项目采购活动提供本单位制造的货物（由本单位承担工程/提供服务），或者提供其他残疾人福利性单位制造的货物（不包括使用非残疾人福利性单位注册商标的货物）。</w:t>
      </w:r>
    </w:p>
    <w:p w14:paraId="2ED763C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845B564">
      <w:pPr>
        <w:spacing w:line="360" w:lineRule="auto"/>
        <w:ind w:firstLine="480" w:firstLineChars="200"/>
        <w:rPr>
          <w:rFonts w:hint="eastAsia" w:ascii="仿宋" w:hAnsi="仿宋" w:eastAsia="仿宋" w:cs="仿宋"/>
          <w:color w:val="auto"/>
          <w:sz w:val="24"/>
          <w:highlight w:val="none"/>
        </w:rPr>
      </w:pPr>
    </w:p>
    <w:p w14:paraId="5B1F24AB">
      <w:pPr>
        <w:spacing w:line="360" w:lineRule="auto"/>
        <w:ind w:firstLine="480" w:firstLineChars="200"/>
        <w:rPr>
          <w:rFonts w:hint="eastAsia" w:ascii="仿宋" w:hAnsi="仿宋" w:eastAsia="仿宋" w:cs="仿宋"/>
          <w:color w:val="auto"/>
          <w:sz w:val="24"/>
          <w:highlight w:val="none"/>
        </w:rPr>
      </w:pPr>
    </w:p>
    <w:p w14:paraId="32C4652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7500D3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82FB642">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50A03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6E0FBA2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5AFE4E8">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CEA59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DC54D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DDADD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CFFBF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89A52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D4CA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4284BC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7B726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D1B9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DABF7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B3BE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73C439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CD202C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04E34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53DD2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C3059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94258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1DF19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29043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536941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09E78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84A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23D44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0863EE9">
      <w:pPr>
        <w:spacing w:line="360" w:lineRule="auto"/>
        <w:jc w:val="center"/>
        <w:rPr>
          <w:rFonts w:hint="eastAsia" w:ascii="仿宋" w:hAnsi="仿宋" w:eastAsia="仿宋" w:cs="仿宋"/>
          <w:b/>
          <w:bCs/>
          <w:color w:val="auto"/>
          <w:sz w:val="24"/>
          <w:highlight w:val="none"/>
        </w:rPr>
      </w:pPr>
    </w:p>
    <w:p w14:paraId="02011551">
      <w:pPr>
        <w:spacing w:line="360" w:lineRule="auto"/>
        <w:rPr>
          <w:rFonts w:hint="eastAsia" w:ascii="仿宋" w:hAnsi="仿宋" w:eastAsia="仿宋" w:cs="仿宋"/>
          <w:b/>
          <w:color w:val="auto"/>
          <w:sz w:val="24"/>
          <w:highlight w:val="none"/>
        </w:rPr>
      </w:pPr>
    </w:p>
    <w:p w14:paraId="5A698F4A">
      <w:pPr>
        <w:spacing w:line="360" w:lineRule="auto"/>
        <w:rPr>
          <w:rFonts w:hint="eastAsia" w:ascii="仿宋" w:hAnsi="仿宋" w:eastAsia="仿宋" w:cs="仿宋"/>
          <w:b/>
          <w:color w:val="auto"/>
          <w:sz w:val="24"/>
          <w:highlight w:val="none"/>
        </w:rPr>
      </w:pPr>
    </w:p>
    <w:p w14:paraId="1308122D">
      <w:pPr>
        <w:spacing w:line="360" w:lineRule="auto"/>
        <w:rPr>
          <w:rFonts w:hint="eastAsia" w:ascii="仿宋" w:hAnsi="仿宋" w:eastAsia="仿宋" w:cs="仿宋"/>
          <w:b/>
          <w:color w:val="auto"/>
          <w:sz w:val="24"/>
          <w:highlight w:val="none"/>
        </w:rPr>
      </w:pPr>
    </w:p>
    <w:p w14:paraId="5CC8A1A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F60FB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555BE5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63164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9C7AEB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C466A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F1FA2D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044ABB0">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CE8521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3AAF8E20">
      <w:pPr>
        <w:spacing w:line="360" w:lineRule="auto"/>
        <w:jc w:val="center"/>
        <w:rPr>
          <w:rFonts w:hint="eastAsia" w:ascii="仿宋" w:hAnsi="仿宋" w:eastAsia="仿宋" w:cs="仿宋"/>
          <w:b/>
          <w:color w:val="auto"/>
          <w:sz w:val="24"/>
          <w:highlight w:val="none"/>
        </w:rPr>
      </w:pPr>
    </w:p>
    <w:p w14:paraId="4C61EEE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BC161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7C646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82E0E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49099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04FC3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7CA8E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501E9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9C4CE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0C51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6AE6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10F5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11F1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6F5E9C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17D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0E6A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FF5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333810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397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FA533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7283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9A9D6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FE4C7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DFBB0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3A31F4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85CDD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F017F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A5D79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8B41D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BFDE2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E4119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3EE8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64FF1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6667C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D968F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E44DB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92567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1A899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890B2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F81CB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792B0F8">
      <w:pPr>
        <w:spacing w:line="360" w:lineRule="auto"/>
        <w:rPr>
          <w:rFonts w:hint="eastAsia" w:ascii="仿宋" w:hAnsi="仿宋" w:eastAsia="仿宋" w:cs="仿宋"/>
          <w:b/>
          <w:color w:val="auto"/>
          <w:sz w:val="24"/>
          <w:highlight w:val="none"/>
        </w:rPr>
      </w:pPr>
    </w:p>
    <w:p w14:paraId="4C89D5D4">
      <w:pPr>
        <w:spacing w:line="360" w:lineRule="auto"/>
        <w:rPr>
          <w:rFonts w:hint="eastAsia" w:ascii="仿宋" w:hAnsi="仿宋" w:eastAsia="仿宋" w:cs="仿宋"/>
          <w:b/>
          <w:color w:val="auto"/>
          <w:sz w:val="24"/>
          <w:highlight w:val="none"/>
        </w:rPr>
      </w:pPr>
    </w:p>
    <w:p w14:paraId="08BED55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9102C3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C437C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D0778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A7181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43DF6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E33EC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A2DBC3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C98400">
      <w:pPr>
        <w:spacing w:line="360" w:lineRule="auto"/>
        <w:rPr>
          <w:rFonts w:hint="eastAsia" w:ascii="仿宋" w:hAnsi="仿宋" w:eastAsia="仿宋" w:cs="仿宋"/>
          <w:b/>
          <w:color w:val="auto"/>
          <w:sz w:val="24"/>
          <w:highlight w:val="none"/>
        </w:rPr>
      </w:pPr>
    </w:p>
    <w:p w14:paraId="3734B95E">
      <w:pPr>
        <w:autoSpaceDE w:val="0"/>
        <w:autoSpaceDN w:val="0"/>
        <w:spacing w:line="360" w:lineRule="auto"/>
        <w:jc w:val="center"/>
        <w:rPr>
          <w:rFonts w:hint="eastAsia" w:ascii="仿宋" w:hAnsi="仿宋" w:eastAsia="仿宋" w:cs="仿宋"/>
          <w:b/>
          <w:color w:val="auto"/>
          <w:spacing w:val="6"/>
          <w:sz w:val="32"/>
          <w:szCs w:val="32"/>
          <w:highlight w:val="none"/>
        </w:rPr>
      </w:pPr>
    </w:p>
    <w:p w14:paraId="0693525B">
      <w:pPr>
        <w:autoSpaceDE w:val="0"/>
        <w:autoSpaceDN w:val="0"/>
        <w:spacing w:line="360" w:lineRule="auto"/>
        <w:jc w:val="center"/>
        <w:rPr>
          <w:rFonts w:hint="eastAsia" w:ascii="仿宋" w:hAnsi="仿宋" w:eastAsia="仿宋" w:cs="仿宋"/>
          <w:b/>
          <w:color w:val="auto"/>
          <w:spacing w:val="6"/>
          <w:sz w:val="32"/>
          <w:szCs w:val="32"/>
          <w:highlight w:val="none"/>
        </w:rPr>
      </w:pPr>
    </w:p>
    <w:p w14:paraId="76B5EB88">
      <w:pPr>
        <w:autoSpaceDE w:val="0"/>
        <w:autoSpaceDN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284BBBEA">
      <w:pPr>
        <w:spacing w:line="360" w:lineRule="auto"/>
        <w:rPr>
          <w:rFonts w:hint="eastAsia" w:ascii="仿宋" w:hAnsi="仿宋" w:eastAsia="仿宋" w:cs="仿宋"/>
          <w:color w:val="auto"/>
          <w:sz w:val="24"/>
          <w:highlight w:val="none"/>
          <w:u w:val="single"/>
        </w:rPr>
      </w:pPr>
    </w:p>
    <w:p w14:paraId="184923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u w:val="single"/>
        </w:rPr>
        <w:t>、（采购代理机构）：</w:t>
      </w:r>
    </w:p>
    <w:p w14:paraId="5F55C8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19B9E3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E5719E9">
      <w:pPr>
        <w:spacing w:line="360" w:lineRule="auto"/>
        <w:ind w:firstLine="494"/>
        <w:rPr>
          <w:rFonts w:hint="eastAsia" w:ascii="仿宋" w:hAnsi="仿宋" w:eastAsia="仿宋" w:cs="仿宋"/>
          <w:color w:val="auto"/>
          <w:sz w:val="24"/>
          <w:highlight w:val="none"/>
        </w:rPr>
      </w:pPr>
    </w:p>
    <w:p w14:paraId="53819A05">
      <w:pPr>
        <w:spacing w:line="360" w:lineRule="auto"/>
        <w:ind w:firstLine="494"/>
        <w:rPr>
          <w:rFonts w:hint="eastAsia" w:ascii="仿宋" w:hAnsi="仿宋" w:eastAsia="仿宋" w:cs="仿宋"/>
          <w:color w:val="auto"/>
          <w:sz w:val="24"/>
          <w:highlight w:val="none"/>
        </w:rPr>
      </w:pPr>
    </w:p>
    <w:p w14:paraId="12EC0FE3">
      <w:pPr>
        <w:spacing w:line="360" w:lineRule="auto"/>
        <w:ind w:firstLine="494"/>
        <w:rPr>
          <w:rFonts w:hint="eastAsia" w:ascii="仿宋" w:hAnsi="仿宋" w:eastAsia="仿宋" w:cs="仿宋"/>
          <w:color w:val="auto"/>
          <w:sz w:val="24"/>
          <w:highlight w:val="none"/>
        </w:rPr>
      </w:pPr>
    </w:p>
    <w:p w14:paraId="78B713F4">
      <w:pPr>
        <w:spacing w:line="360" w:lineRule="auto"/>
        <w:ind w:firstLine="494"/>
        <w:rPr>
          <w:rFonts w:hint="eastAsia" w:ascii="仿宋" w:hAnsi="仿宋" w:eastAsia="仿宋" w:cs="仿宋"/>
          <w:color w:val="auto"/>
          <w:sz w:val="24"/>
          <w:highlight w:val="none"/>
        </w:rPr>
      </w:pPr>
    </w:p>
    <w:p w14:paraId="62390C1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C8DFB2">
      <w:pPr>
        <w:spacing w:line="360" w:lineRule="auto"/>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E1BA12">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890DD0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496759">
      <w:pPr>
        <w:autoSpaceDE w:val="0"/>
        <w:autoSpaceDN w:val="0"/>
        <w:spacing w:line="360" w:lineRule="auto"/>
        <w:jc w:val="center"/>
        <w:rPr>
          <w:rFonts w:hint="eastAsia" w:ascii="仿宋" w:hAnsi="仿宋" w:eastAsia="仿宋" w:cs="仿宋"/>
          <w:b/>
          <w:color w:val="auto"/>
          <w:spacing w:val="6"/>
          <w:sz w:val="32"/>
          <w:szCs w:val="32"/>
          <w:highlight w:val="none"/>
        </w:rPr>
      </w:pPr>
    </w:p>
    <w:p w14:paraId="5627A386">
      <w:pPr>
        <w:autoSpaceDE w:val="0"/>
        <w:autoSpaceDN w:val="0"/>
        <w:spacing w:line="360" w:lineRule="auto"/>
        <w:jc w:val="center"/>
        <w:rPr>
          <w:rFonts w:hint="eastAsia" w:ascii="仿宋" w:hAnsi="仿宋" w:eastAsia="仿宋" w:cs="仿宋"/>
          <w:b/>
          <w:color w:val="auto"/>
          <w:spacing w:val="6"/>
          <w:sz w:val="32"/>
          <w:szCs w:val="32"/>
          <w:highlight w:val="none"/>
        </w:rPr>
      </w:pPr>
    </w:p>
    <w:p w14:paraId="7FC97A43">
      <w:pPr>
        <w:autoSpaceDE w:val="0"/>
        <w:autoSpaceDN w:val="0"/>
        <w:spacing w:line="360" w:lineRule="auto"/>
        <w:jc w:val="center"/>
        <w:rPr>
          <w:rFonts w:hint="eastAsia" w:ascii="仿宋" w:hAnsi="仿宋" w:eastAsia="仿宋" w:cs="仿宋"/>
          <w:b/>
          <w:color w:val="auto"/>
          <w:spacing w:val="6"/>
          <w:sz w:val="32"/>
          <w:szCs w:val="32"/>
          <w:highlight w:val="none"/>
        </w:rPr>
      </w:pPr>
    </w:p>
    <w:p w14:paraId="652EA5D3">
      <w:pPr>
        <w:autoSpaceDE w:val="0"/>
        <w:autoSpaceDN w:val="0"/>
        <w:spacing w:line="360" w:lineRule="auto"/>
        <w:jc w:val="center"/>
        <w:rPr>
          <w:rFonts w:hint="eastAsia" w:ascii="仿宋" w:hAnsi="仿宋" w:eastAsia="仿宋" w:cs="仿宋"/>
          <w:b/>
          <w:color w:val="auto"/>
          <w:spacing w:val="6"/>
          <w:sz w:val="32"/>
          <w:szCs w:val="32"/>
          <w:highlight w:val="none"/>
        </w:rPr>
      </w:pPr>
    </w:p>
    <w:p w14:paraId="1F56EB0E">
      <w:pPr>
        <w:autoSpaceDE w:val="0"/>
        <w:autoSpaceDN w:val="0"/>
        <w:spacing w:line="360" w:lineRule="auto"/>
        <w:jc w:val="center"/>
        <w:rPr>
          <w:rFonts w:hint="eastAsia" w:ascii="仿宋" w:hAnsi="仿宋" w:eastAsia="仿宋" w:cs="仿宋"/>
          <w:b/>
          <w:color w:val="auto"/>
          <w:spacing w:val="6"/>
          <w:sz w:val="32"/>
          <w:szCs w:val="32"/>
          <w:highlight w:val="none"/>
        </w:rPr>
      </w:pPr>
    </w:p>
    <w:p w14:paraId="3EA3CD5A">
      <w:pPr>
        <w:autoSpaceDE w:val="0"/>
        <w:autoSpaceDN w:val="0"/>
        <w:spacing w:line="360" w:lineRule="auto"/>
        <w:jc w:val="center"/>
        <w:rPr>
          <w:rFonts w:hint="eastAsia" w:ascii="仿宋" w:hAnsi="仿宋" w:eastAsia="仿宋" w:cs="仿宋"/>
          <w:b/>
          <w:color w:val="auto"/>
          <w:spacing w:val="6"/>
          <w:sz w:val="32"/>
          <w:szCs w:val="32"/>
          <w:highlight w:val="none"/>
        </w:rPr>
      </w:pPr>
    </w:p>
    <w:p w14:paraId="3944D4DA">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5D939B2">
      <w:pPr>
        <w:autoSpaceDE w:val="0"/>
        <w:autoSpaceDN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262AE9C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0576F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008B33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02913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3C9E6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C95D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347CE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8BB9C6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77E0D6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C460DB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397" w:name="_Hlk101131882"/>
      <w:r>
        <w:rPr>
          <w:rFonts w:hint="eastAsia" w:ascii="仿宋" w:hAnsi="仿宋" w:eastAsia="仿宋" w:cs="仿宋"/>
          <w:color w:val="auto"/>
          <w:kern w:val="0"/>
          <w:sz w:val="24"/>
          <w:highlight w:val="none"/>
          <w:u w:val="single"/>
        </w:rPr>
        <w:t>联合体成员X,……</w:t>
      </w:r>
      <w:bookmarkEnd w:id="39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39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398"/>
      <w:r>
        <w:rPr>
          <w:rFonts w:hint="eastAsia" w:ascii="仿宋" w:hAnsi="仿宋" w:eastAsia="仿宋" w:cs="仿宋"/>
          <w:b/>
          <w:color w:val="auto"/>
          <w:kern w:val="0"/>
          <w:sz w:val="24"/>
          <w:highlight w:val="none"/>
          <w:lang w:val="zh-CN"/>
        </w:rPr>
        <w:t>）</w:t>
      </w:r>
    </w:p>
    <w:p w14:paraId="7F638F4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39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399"/>
    </w:p>
    <w:p w14:paraId="35B9A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F88DA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3345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7881C22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786EF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237223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DC34CA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557B5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926D86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8640DC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ED5172">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27FA536">
      <w:pPr>
        <w:snapToGrid w:val="0"/>
        <w:spacing w:line="360" w:lineRule="auto"/>
        <w:ind w:firstLine="2666" w:firstLineChars="8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4BC9EED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BB1B45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C7A2D6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DD46A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E5152B1">
      <w:pPr>
        <w:tabs>
          <w:tab w:val="left" w:pos="432"/>
        </w:tabs>
        <w:spacing w:line="360" w:lineRule="auto"/>
        <w:ind w:left="664" w:leftChars="316" w:firstLine="228" w:firstLineChars="95"/>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0F9FBFB">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FDC3D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39F0A7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3C329D">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5125FD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ED0083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E49A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03E73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8203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5FA1BA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73FC7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48DEE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7846E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2D8BEF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DC3C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472C333">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C41138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A57F40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EC7B1B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6961CA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7E3658">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9A79982">
      <w:pPr>
        <w:spacing w:line="360" w:lineRule="auto"/>
        <w:jc w:val="left"/>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14:paraId="07953909">
      <w:pPr>
        <w:spacing w:line="360" w:lineRule="auto"/>
        <w:jc w:val="center"/>
        <w:rPr>
          <w:rFonts w:hint="eastAsia" w:ascii="仿宋" w:hAnsi="仿宋" w:eastAsia="仿宋" w:cs="仿宋"/>
          <w:color w:val="auto"/>
          <w:sz w:val="24"/>
          <w:highlight w:val="none"/>
          <w:u w:val="single"/>
        </w:rPr>
      </w:pPr>
    </w:p>
    <w:p w14:paraId="3455D02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0BD9D51">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val="en-US" w:eastAsia="zh-CN"/>
        </w:rPr>
        <w:t>金华市看守所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2025-2026年度金华市看守所购买医疗服务项目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highlight w:val="none"/>
        </w:rPr>
        <w:t>。相关企业（含联合体中的中小企业、签订分包意向协议的中小企业）的具体情况如下：</w:t>
      </w:r>
    </w:p>
    <w:p w14:paraId="0C2E222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2025-2026年度金华市看守所购买医疗服务项目</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其他未列明行业</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承建（承接）</w:t>
      </w:r>
      <w:r>
        <w:rPr>
          <w:rFonts w:hint="eastAsia" w:ascii="仿宋" w:hAnsi="仿宋" w:eastAsia="仿宋" w:cs="仿宋"/>
          <w:color w:val="auto"/>
          <w:sz w:val="24"/>
          <w:highlight w:val="none"/>
        </w:rPr>
        <w:t xml:space="preserve">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9112DB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承建（承接）</w:t>
      </w:r>
      <w:r>
        <w:rPr>
          <w:rFonts w:hint="eastAsia" w:ascii="仿宋" w:hAnsi="仿宋" w:eastAsia="仿宋" w:cs="仿宋"/>
          <w:color w:val="auto"/>
          <w:sz w:val="24"/>
          <w:highlight w:val="none"/>
        </w:rPr>
        <w:t xml:space="preserve">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433BC0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4D937D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AC54AC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0E782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投标人名称（电子签名）：</w:t>
      </w:r>
    </w:p>
    <w:p w14:paraId="779E8D49">
      <w:pPr>
        <w:spacing w:line="360" w:lineRule="auto"/>
        <w:ind w:right="1120"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FD65687">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2C52DCC">
      <w:pPr>
        <w:spacing w:line="360" w:lineRule="auto"/>
        <w:ind w:right="420"/>
        <w:rPr>
          <w:rFonts w:hint="eastAsia" w:ascii="仿宋" w:hAnsi="仿宋" w:eastAsia="仿宋" w:cs="仿宋"/>
          <w:color w:val="auto"/>
          <w:sz w:val="24"/>
          <w:highlight w:val="none"/>
        </w:rPr>
      </w:pPr>
    </w:p>
    <w:p w14:paraId="6A60C42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B1B9E7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4CF79D4">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）的规定，投标人提供由省级以上监狱管理局、戒毒管理局（含新疆生产建设兵团）出具的属于监狱企业证明文件的，视同为小型和微型企业。</w:t>
      </w:r>
    </w:p>
    <w:p w14:paraId="66E670D2">
      <w:pPr>
        <w:pStyle w:val="2"/>
        <w:spacing w:line="360" w:lineRule="auto"/>
        <w:rPr>
          <w:rFonts w:hint="eastAsia" w:ascii="仿宋" w:hAnsi="仿宋" w:eastAsia="仿宋" w:cs="仿宋"/>
          <w:color w:val="auto"/>
          <w:highlight w:val="none"/>
          <w:lang w:val="en-US"/>
        </w:rPr>
        <w:sectPr>
          <w:footerReference r:id="rId16" w:type="firs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tbl>
      <w:tblPr>
        <w:tblStyle w:val="62"/>
        <w:tblpPr w:leftFromText="180" w:rightFromText="180" w:vertAnchor="page" w:horzAnchor="page" w:tblpX="992" w:tblpY="1561"/>
        <w:tblW w:w="15225" w:type="dxa"/>
        <w:tblInd w:w="0" w:type="dxa"/>
        <w:tblLayout w:type="fixed"/>
        <w:tblCellMar>
          <w:top w:w="0" w:type="dxa"/>
          <w:left w:w="108" w:type="dxa"/>
          <w:bottom w:w="0" w:type="dxa"/>
          <w:right w:w="108" w:type="dxa"/>
        </w:tblCellMar>
      </w:tblPr>
      <w:tblGrid>
        <w:gridCol w:w="2283"/>
        <w:gridCol w:w="1452"/>
        <w:gridCol w:w="1740"/>
        <w:gridCol w:w="1729"/>
        <w:gridCol w:w="1240"/>
        <w:gridCol w:w="1480"/>
        <w:gridCol w:w="1520"/>
        <w:gridCol w:w="1285"/>
        <w:gridCol w:w="1275"/>
        <w:gridCol w:w="1221"/>
      </w:tblGrid>
      <w:tr w14:paraId="6490BE6E">
        <w:tblPrEx>
          <w:tblCellMar>
            <w:top w:w="0" w:type="dxa"/>
            <w:left w:w="108" w:type="dxa"/>
            <w:bottom w:w="0" w:type="dxa"/>
            <w:right w:w="108" w:type="dxa"/>
          </w:tblCellMar>
        </w:tblPrEx>
        <w:trPr>
          <w:trHeight w:val="255" w:hRule="atLeast"/>
        </w:trPr>
        <w:tc>
          <w:tcPr>
            <w:tcW w:w="15225" w:type="dxa"/>
            <w:gridSpan w:val="10"/>
            <w:tcBorders>
              <w:top w:val="nil"/>
              <w:left w:val="nil"/>
              <w:bottom w:val="nil"/>
              <w:right w:val="nil"/>
            </w:tcBorders>
            <w:noWrap w:val="0"/>
            <w:vAlign w:val="bottom"/>
          </w:tcPr>
          <w:p w14:paraId="1C9C091A">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2"/>
                <w:szCs w:val="22"/>
                <w:highlight w:val="none"/>
              </w:rPr>
              <w:t>中小微行业划型标准规定（根据工信部联企业〔2011〕300号制定）</w:t>
            </w:r>
          </w:p>
        </w:tc>
      </w:tr>
      <w:tr w14:paraId="03791130">
        <w:tblPrEx>
          <w:tblCellMar>
            <w:top w:w="0" w:type="dxa"/>
            <w:left w:w="108" w:type="dxa"/>
            <w:bottom w:w="0" w:type="dxa"/>
            <w:right w:w="108" w:type="dxa"/>
          </w:tblCellMar>
        </w:tblPrEx>
        <w:trPr>
          <w:trHeight w:val="465" w:hRule="atLeast"/>
        </w:trPr>
        <w:tc>
          <w:tcPr>
            <w:tcW w:w="2283" w:type="dxa"/>
            <w:vMerge w:val="restart"/>
            <w:tcBorders>
              <w:top w:val="single" w:color="auto" w:sz="8" w:space="0"/>
              <w:left w:val="single" w:color="auto" w:sz="8" w:space="0"/>
              <w:bottom w:val="single" w:color="000000" w:sz="4" w:space="0"/>
              <w:right w:val="single" w:color="auto" w:sz="8" w:space="0"/>
            </w:tcBorders>
            <w:noWrap w:val="0"/>
            <w:vAlign w:val="center"/>
          </w:tcPr>
          <w:p w14:paraId="2E84D911">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14:paraId="5D266E7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中型企业</w:t>
            </w:r>
          </w:p>
        </w:tc>
        <w:tc>
          <w:tcPr>
            <w:tcW w:w="4240" w:type="dxa"/>
            <w:gridSpan w:val="3"/>
            <w:tcBorders>
              <w:top w:val="single" w:color="auto" w:sz="8" w:space="0"/>
              <w:left w:val="nil"/>
              <w:bottom w:val="single" w:color="auto" w:sz="4" w:space="0"/>
              <w:right w:val="single" w:color="000000" w:sz="8" w:space="0"/>
            </w:tcBorders>
            <w:noWrap w:val="0"/>
            <w:vAlign w:val="bottom"/>
          </w:tcPr>
          <w:p w14:paraId="23412DB0">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小型企业</w:t>
            </w:r>
          </w:p>
        </w:tc>
        <w:tc>
          <w:tcPr>
            <w:tcW w:w="3781" w:type="dxa"/>
            <w:gridSpan w:val="3"/>
            <w:tcBorders>
              <w:top w:val="single" w:color="auto" w:sz="8" w:space="0"/>
              <w:left w:val="nil"/>
              <w:bottom w:val="single" w:color="auto" w:sz="4" w:space="0"/>
              <w:right w:val="single" w:color="000000" w:sz="8" w:space="0"/>
            </w:tcBorders>
            <w:noWrap w:val="0"/>
            <w:vAlign w:val="bottom"/>
          </w:tcPr>
          <w:p w14:paraId="4F9329D8">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微型企业</w:t>
            </w:r>
          </w:p>
        </w:tc>
      </w:tr>
      <w:tr w14:paraId="023A2D2C">
        <w:tblPrEx>
          <w:tblCellMar>
            <w:top w:w="0" w:type="dxa"/>
            <w:left w:w="108" w:type="dxa"/>
            <w:bottom w:w="0" w:type="dxa"/>
            <w:right w:w="108" w:type="dxa"/>
          </w:tblCellMar>
        </w:tblPrEx>
        <w:trPr>
          <w:trHeight w:val="525" w:hRule="atLeast"/>
        </w:trPr>
        <w:tc>
          <w:tcPr>
            <w:tcW w:w="2283" w:type="dxa"/>
            <w:vMerge w:val="continue"/>
            <w:tcBorders>
              <w:top w:val="single" w:color="auto" w:sz="8" w:space="0"/>
              <w:left w:val="single" w:color="auto" w:sz="8" w:space="0"/>
              <w:bottom w:val="single" w:color="000000" w:sz="4" w:space="0"/>
              <w:right w:val="single" w:color="auto" w:sz="8" w:space="0"/>
            </w:tcBorders>
            <w:noWrap w:val="0"/>
            <w:vAlign w:val="center"/>
          </w:tcPr>
          <w:p w14:paraId="758A6EF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b/>
                <w:bCs/>
                <w:color w:val="auto"/>
                <w:kern w:val="0"/>
                <w:sz w:val="20"/>
                <w:szCs w:val="20"/>
                <w:highlight w:val="none"/>
              </w:rPr>
            </w:pPr>
          </w:p>
        </w:tc>
        <w:tc>
          <w:tcPr>
            <w:tcW w:w="1452" w:type="dxa"/>
            <w:tcBorders>
              <w:top w:val="nil"/>
              <w:left w:val="nil"/>
              <w:bottom w:val="single" w:color="auto" w:sz="4" w:space="0"/>
              <w:right w:val="single" w:color="auto" w:sz="4" w:space="0"/>
            </w:tcBorders>
            <w:noWrap w:val="0"/>
            <w:vAlign w:val="bottom"/>
          </w:tcPr>
          <w:p w14:paraId="1A49E1CA">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740" w:type="dxa"/>
            <w:tcBorders>
              <w:top w:val="nil"/>
              <w:left w:val="nil"/>
              <w:bottom w:val="single" w:color="auto" w:sz="4" w:space="0"/>
              <w:right w:val="single" w:color="auto" w:sz="4" w:space="0"/>
            </w:tcBorders>
            <w:noWrap w:val="0"/>
            <w:vAlign w:val="bottom"/>
          </w:tcPr>
          <w:p w14:paraId="147A45FA">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w:t>
            </w:r>
          </w:p>
          <w:p w14:paraId="3F69B1E3">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729" w:type="dxa"/>
            <w:tcBorders>
              <w:top w:val="nil"/>
              <w:left w:val="nil"/>
              <w:bottom w:val="single" w:color="auto" w:sz="4" w:space="0"/>
              <w:right w:val="single" w:color="auto" w:sz="8" w:space="0"/>
            </w:tcBorders>
            <w:noWrap w:val="0"/>
            <w:vAlign w:val="bottom"/>
          </w:tcPr>
          <w:p w14:paraId="61EF3F6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w:t>
            </w:r>
          </w:p>
          <w:p w14:paraId="15F3B19C">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240" w:type="dxa"/>
            <w:tcBorders>
              <w:top w:val="nil"/>
              <w:left w:val="nil"/>
              <w:bottom w:val="single" w:color="auto" w:sz="4" w:space="0"/>
              <w:right w:val="single" w:color="auto" w:sz="4" w:space="0"/>
            </w:tcBorders>
            <w:noWrap w:val="0"/>
            <w:vAlign w:val="bottom"/>
          </w:tcPr>
          <w:p w14:paraId="2C5EF844">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480" w:type="dxa"/>
            <w:tcBorders>
              <w:top w:val="nil"/>
              <w:left w:val="nil"/>
              <w:bottom w:val="single" w:color="auto" w:sz="4" w:space="0"/>
              <w:right w:val="single" w:color="auto" w:sz="4" w:space="0"/>
            </w:tcBorders>
            <w:noWrap w:val="0"/>
            <w:vAlign w:val="bottom"/>
          </w:tcPr>
          <w:p w14:paraId="7CDC34D1">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w:t>
            </w:r>
          </w:p>
          <w:p w14:paraId="47277052">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520" w:type="dxa"/>
            <w:tcBorders>
              <w:top w:val="nil"/>
              <w:left w:val="nil"/>
              <w:bottom w:val="single" w:color="auto" w:sz="4" w:space="0"/>
              <w:right w:val="single" w:color="auto" w:sz="8" w:space="0"/>
            </w:tcBorders>
            <w:noWrap w:val="0"/>
            <w:vAlign w:val="bottom"/>
          </w:tcPr>
          <w:p w14:paraId="29CE892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w:t>
            </w:r>
          </w:p>
          <w:p w14:paraId="6FADA554">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285" w:type="dxa"/>
            <w:tcBorders>
              <w:top w:val="nil"/>
              <w:left w:val="nil"/>
              <w:bottom w:val="single" w:color="auto" w:sz="4" w:space="0"/>
              <w:right w:val="single" w:color="auto" w:sz="4" w:space="0"/>
            </w:tcBorders>
            <w:noWrap w:val="0"/>
            <w:vAlign w:val="bottom"/>
          </w:tcPr>
          <w:p w14:paraId="0D06916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275" w:type="dxa"/>
            <w:tcBorders>
              <w:top w:val="nil"/>
              <w:left w:val="nil"/>
              <w:bottom w:val="single" w:color="auto" w:sz="4" w:space="0"/>
              <w:right w:val="single" w:color="auto" w:sz="4" w:space="0"/>
            </w:tcBorders>
            <w:noWrap w:val="0"/>
            <w:vAlign w:val="bottom"/>
          </w:tcPr>
          <w:p w14:paraId="48FE8E5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营业收入Y（万元）</w:t>
            </w:r>
          </w:p>
        </w:tc>
        <w:tc>
          <w:tcPr>
            <w:tcW w:w="1221" w:type="dxa"/>
            <w:tcBorders>
              <w:top w:val="nil"/>
              <w:left w:val="nil"/>
              <w:bottom w:val="single" w:color="auto" w:sz="4" w:space="0"/>
              <w:right w:val="single" w:color="auto" w:sz="8" w:space="0"/>
            </w:tcBorders>
            <w:noWrap w:val="0"/>
            <w:vAlign w:val="bottom"/>
          </w:tcPr>
          <w:p w14:paraId="2C0A0E76">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资产总额Z（万元）</w:t>
            </w:r>
          </w:p>
        </w:tc>
      </w:tr>
      <w:tr w14:paraId="1D8C5F61">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3CEFF35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1、农林牧渔业</w:t>
            </w:r>
          </w:p>
        </w:tc>
        <w:tc>
          <w:tcPr>
            <w:tcW w:w="1452" w:type="dxa"/>
            <w:tcBorders>
              <w:top w:val="nil"/>
              <w:left w:val="nil"/>
              <w:bottom w:val="single" w:color="auto" w:sz="4" w:space="0"/>
              <w:right w:val="single" w:color="auto" w:sz="4" w:space="0"/>
            </w:tcBorders>
            <w:noWrap w:val="0"/>
            <w:vAlign w:val="bottom"/>
          </w:tcPr>
          <w:p w14:paraId="334AFAE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42C3C6E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500≤Y＜20000</w:t>
            </w:r>
          </w:p>
        </w:tc>
        <w:tc>
          <w:tcPr>
            <w:tcW w:w="1729" w:type="dxa"/>
            <w:tcBorders>
              <w:top w:val="nil"/>
              <w:left w:val="nil"/>
              <w:bottom w:val="single" w:color="auto" w:sz="4" w:space="0"/>
              <w:right w:val="single" w:color="auto" w:sz="8" w:space="0"/>
            </w:tcBorders>
            <w:noWrap w:val="0"/>
            <w:vAlign w:val="bottom"/>
          </w:tcPr>
          <w:p w14:paraId="16A8E64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343E2E9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3C7402F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50≤Y＜500</w:t>
            </w:r>
          </w:p>
        </w:tc>
        <w:tc>
          <w:tcPr>
            <w:tcW w:w="1520" w:type="dxa"/>
            <w:tcBorders>
              <w:top w:val="nil"/>
              <w:left w:val="nil"/>
              <w:bottom w:val="single" w:color="auto" w:sz="4" w:space="0"/>
              <w:right w:val="single" w:color="auto" w:sz="8" w:space="0"/>
            </w:tcBorders>
            <w:noWrap w:val="0"/>
            <w:vAlign w:val="bottom"/>
          </w:tcPr>
          <w:p w14:paraId="173BD90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417DBC1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5090E58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w:t>
            </w:r>
          </w:p>
        </w:tc>
        <w:tc>
          <w:tcPr>
            <w:tcW w:w="1221" w:type="dxa"/>
            <w:tcBorders>
              <w:top w:val="nil"/>
              <w:left w:val="nil"/>
              <w:bottom w:val="single" w:color="auto" w:sz="4" w:space="0"/>
              <w:right w:val="single" w:color="auto" w:sz="8" w:space="0"/>
            </w:tcBorders>
            <w:noWrap w:val="0"/>
            <w:vAlign w:val="bottom"/>
          </w:tcPr>
          <w:p w14:paraId="10F6F74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6120580">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0339452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2、工业</w:t>
            </w:r>
          </w:p>
        </w:tc>
        <w:tc>
          <w:tcPr>
            <w:tcW w:w="1452" w:type="dxa"/>
            <w:tcBorders>
              <w:top w:val="nil"/>
              <w:left w:val="nil"/>
              <w:bottom w:val="single" w:color="auto" w:sz="4" w:space="0"/>
              <w:right w:val="single" w:color="auto" w:sz="4" w:space="0"/>
            </w:tcBorders>
            <w:noWrap w:val="0"/>
            <w:vAlign w:val="bottom"/>
          </w:tcPr>
          <w:p w14:paraId="3FAC35D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0F08D6E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2000≤Y＜40000</w:t>
            </w:r>
          </w:p>
        </w:tc>
        <w:tc>
          <w:tcPr>
            <w:tcW w:w="1729" w:type="dxa"/>
            <w:tcBorders>
              <w:top w:val="nil"/>
              <w:left w:val="nil"/>
              <w:bottom w:val="single" w:color="auto" w:sz="4" w:space="0"/>
              <w:right w:val="single" w:color="auto" w:sz="8" w:space="0"/>
            </w:tcBorders>
            <w:noWrap w:val="0"/>
            <w:vAlign w:val="bottom"/>
          </w:tcPr>
          <w:p w14:paraId="68A9C73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6EEDD6A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7F7C6DE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300≤Y＜2000</w:t>
            </w:r>
          </w:p>
        </w:tc>
        <w:tc>
          <w:tcPr>
            <w:tcW w:w="1520" w:type="dxa"/>
            <w:tcBorders>
              <w:top w:val="nil"/>
              <w:left w:val="nil"/>
              <w:bottom w:val="single" w:color="auto" w:sz="4" w:space="0"/>
              <w:right w:val="single" w:color="auto" w:sz="8" w:space="0"/>
            </w:tcBorders>
            <w:noWrap w:val="0"/>
            <w:vAlign w:val="bottom"/>
          </w:tcPr>
          <w:p w14:paraId="44C560A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7C1DB83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3F9D94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Y＜300</w:t>
            </w:r>
          </w:p>
        </w:tc>
        <w:tc>
          <w:tcPr>
            <w:tcW w:w="1221" w:type="dxa"/>
            <w:tcBorders>
              <w:top w:val="nil"/>
              <w:left w:val="nil"/>
              <w:bottom w:val="single" w:color="auto" w:sz="4" w:space="0"/>
              <w:right w:val="single" w:color="auto" w:sz="8" w:space="0"/>
            </w:tcBorders>
            <w:noWrap w:val="0"/>
            <w:vAlign w:val="bottom"/>
          </w:tcPr>
          <w:p w14:paraId="1F9D145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F3B3F88">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7D2825F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3、建筑业</w:t>
            </w:r>
          </w:p>
        </w:tc>
        <w:tc>
          <w:tcPr>
            <w:tcW w:w="1452" w:type="dxa"/>
            <w:tcBorders>
              <w:top w:val="nil"/>
              <w:left w:val="nil"/>
              <w:bottom w:val="single" w:color="auto" w:sz="4" w:space="0"/>
              <w:right w:val="single" w:color="auto" w:sz="4" w:space="0"/>
            </w:tcBorders>
            <w:noWrap w:val="0"/>
            <w:vAlign w:val="bottom"/>
          </w:tcPr>
          <w:p w14:paraId="47E3199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36DDAF2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6000≤Y＜80000</w:t>
            </w:r>
          </w:p>
        </w:tc>
        <w:tc>
          <w:tcPr>
            <w:tcW w:w="1729" w:type="dxa"/>
            <w:tcBorders>
              <w:top w:val="nil"/>
              <w:left w:val="nil"/>
              <w:bottom w:val="single" w:color="auto" w:sz="4" w:space="0"/>
              <w:right w:val="single" w:color="auto" w:sz="8" w:space="0"/>
            </w:tcBorders>
            <w:noWrap w:val="0"/>
            <w:vAlign w:val="bottom"/>
          </w:tcPr>
          <w:p w14:paraId="18EFE0B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5000≤Z＜80000</w:t>
            </w:r>
          </w:p>
        </w:tc>
        <w:tc>
          <w:tcPr>
            <w:tcW w:w="1240" w:type="dxa"/>
            <w:tcBorders>
              <w:top w:val="nil"/>
              <w:left w:val="nil"/>
              <w:bottom w:val="single" w:color="auto" w:sz="4" w:space="0"/>
              <w:right w:val="single" w:color="auto" w:sz="4" w:space="0"/>
            </w:tcBorders>
            <w:noWrap w:val="0"/>
            <w:vAlign w:val="bottom"/>
          </w:tcPr>
          <w:p w14:paraId="2F031E0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3E329EA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300≤Y＜6000</w:t>
            </w:r>
          </w:p>
        </w:tc>
        <w:tc>
          <w:tcPr>
            <w:tcW w:w="1520" w:type="dxa"/>
            <w:tcBorders>
              <w:top w:val="nil"/>
              <w:left w:val="nil"/>
              <w:bottom w:val="single" w:color="auto" w:sz="4" w:space="0"/>
              <w:right w:val="single" w:color="auto" w:sz="8" w:space="0"/>
            </w:tcBorders>
            <w:noWrap w:val="0"/>
            <w:vAlign w:val="bottom"/>
          </w:tcPr>
          <w:p w14:paraId="65DD51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300≤Z＜5000</w:t>
            </w:r>
          </w:p>
        </w:tc>
        <w:tc>
          <w:tcPr>
            <w:tcW w:w="1285" w:type="dxa"/>
            <w:tcBorders>
              <w:top w:val="nil"/>
              <w:left w:val="nil"/>
              <w:bottom w:val="single" w:color="auto" w:sz="4" w:space="0"/>
              <w:right w:val="single" w:color="auto" w:sz="4" w:space="0"/>
            </w:tcBorders>
            <w:noWrap w:val="0"/>
            <w:vAlign w:val="bottom"/>
          </w:tcPr>
          <w:p w14:paraId="0A733FF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53685C4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Y＜300</w:t>
            </w:r>
          </w:p>
        </w:tc>
        <w:tc>
          <w:tcPr>
            <w:tcW w:w="1221" w:type="dxa"/>
            <w:tcBorders>
              <w:top w:val="nil"/>
              <w:left w:val="nil"/>
              <w:bottom w:val="single" w:color="auto" w:sz="4" w:space="0"/>
              <w:right w:val="single" w:color="auto" w:sz="8" w:space="0"/>
            </w:tcBorders>
            <w:noWrap w:val="0"/>
            <w:vAlign w:val="bottom"/>
          </w:tcPr>
          <w:p w14:paraId="26B58D5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Z＜300</w:t>
            </w:r>
          </w:p>
        </w:tc>
      </w:tr>
      <w:tr w14:paraId="517DDD9B">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B4FA1E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4、批发业</w:t>
            </w:r>
          </w:p>
        </w:tc>
        <w:tc>
          <w:tcPr>
            <w:tcW w:w="1452" w:type="dxa"/>
            <w:tcBorders>
              <w:top w:val="nil"/>
              <w:left w:val="nil"/>
              <w:bottom w:val="single" w:color="auto" w:sz="4" w:space="0"/>
              <w:right w:val="single" w:color="auto" w:sz="4" w:space="0"/>
            </w:tcBorders>
            <w:noWrap w:val="0"/>
            <w:vAlign w:val="bottom"/>
          </w:tcPr>
          <w:p w14:paraId="2F3B3F5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20≤X＜200</w:t>
            </w:r>
          </w:p>
        </w:tc>
        <w:tc>
          <w:tcPr>
            <w:tcW w:w="1740" w:type="dxa"/>
            <w:tcBorders>
              <w:top w:val="nil"/>
              <w:left w:val="nil"/>
              <w:bottom w:val="single" w:color="auto" w:sz="4" w:space="0"/>
              <w:right w:val="single" w:color="auto" w:sz="4" w:space="0"/>
            </w:tcBorders>
            <w:noWrap w:val="0"/>
            <w:vAlign w:val="bottom"/>
          </w:tcPr>
          <w:p w14:paraId="497921A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5000≤Y＜40000</w:t>
            </w:r>
          </w:p>
        </w:tc>
        <w:tc>
          <w:tcPr>
            <w:tcW w:w="1729" w:type="dxa"/>
            <w:tcBorders>
              <w:top w:val="nil"/>
              <w:left w:val="nil"/>
              <w:bottom w:val="single" w:color="auto" w:sz="4" w:space="0"/>
              <w:right w:val="single" w:color="auto" w:sz="8" w:space="0"/>
            </w:tcBorders>
            <w:noWrap w:val="0"/>
            <w:vAlign w:val="bottom"/>
          </w:tcPr>
          <w:p w14:paraId="1FA134E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056DD55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5≤X＜20</w:t>
            </w:r>
          </w:p>
        </w:tc>
        <w:tc>
          <w:tcPr>
            <w:tcW w:w="1480" w:type="dxa"/>
            <w:tcBorders>
              <w:top w:val="nil"/>
              <w:left w:val="nil"/>
              <w:bottom w:val="single" w:color="auto" w:sz="4" w:space="0"/>
              <w:right w:val="single" w:color="auto" w:sz="4" w:space="0"/>
            </w:tcBorders>
            <w:noWrap w:val="0"/>
            <w:vAlign w:val="bottom"/>
          </w:tcPr>
          <w:p w14:paraId="0B56328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1000≤Y＜5000</w:t>
            </w:r>
          </w:p>
        </w:tc>
        <w:tc>
          <w:tcPr>
            <w:tcW w:w="1520" w:type="dxa"/>
            <w:tcBorders>
              <w:top w:val="nil"/>
              <w:left w:val="nil"/>
              <w:bottom w:val="single" w:color="auto" w:sz="4" w:space="0"/>
              <w:right w:val="single" w:color="auto" w:sz="8" w:space="0"/>
            </w:tcBorders>
            <w:noWrap w:val="0"/>
            <w:vAlign w:val="bottom"/>
          </w:tcPr>
          <w:p w14:paraId="3338A27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12942A9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X＜5</w:t>
            </w:r>
          </w:p>
        </w:tc>
        <w:tc>
          <w:tcPr>
            <w:tcW w:w="1275" w:type="dxa"/>
            <w:tcBorders>
              <w:top w:val="nil"/>
              <w:left w:val="nil"/>
              <w:bottom w:val="single" w:color="auto" w:sz="4" w:space="0"/>
              <w:right w:val="single" w:color="auto" w:sz="4" w:space="0"/>
            </w:tcBorders>
            <w:noWrap w:val="0"/>
            <w:vAlign w:val="bottom"/>
          </w:tcPr>
          <w:p w14:paraId="7B42AA2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Y＜1000</w:t>
            </w:r>
          </w:p>
        </w:tc>
        <w:tc>
          <w:tcPr>
            <w:tcW w:w="1221" w:type="dxa"/>
            <w:tcBorders>
              <w:top w:val="nil"/>
              <w:left w:val="nil"/>
              <w:bottom w:val="single" w:color="auto" w:sz="4" w:space="0"/>
              <w:right w:val="single" w:color="auto" w:sz="8" w:space="0"/>
            </w:tcBorders>
            <w:noWrap w:val="0"/>
            <w:vAlign w:val="bottom"/>
          </w:tcPr>
          <w:p w14:paraId="6D8CE05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0DCD9214">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2BC1271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5、零售业</w:t>
            </w:r>
          </w:p>
        </w:tc>
        <w:tc>
          <w:tcPr>
            <w:tcW w:w="1452" w:type="dxa"/>
            <w:tcBorders>
              <w:top w:val="nil"/>
              <w:left w:val="nil"/>
              <w:bottom w:val="single" w:color="auto" w:sz="4" w:space="0"/>
              <w:right w:val="single" w:color="auto" w:sz="4" w:space="0"/>
            </w:tcBorders>
            <w:noWrap w:val="0"/>
            <w:vAlign w:val="bottom"/>
          </w:tcPr>
          <w:p w14:paraId="4FDFE6D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50≤X＜300</w:t>
            </w:r>
          </w:p>
        </w:tc>
        <w:tc>
          <w:tcPr>
            <w:tcW w:w="1740" w:type="dxa"/>
            <w:tcBorders>
              <w:top w:val="nil"/>
              <w:left w:val="nil"/>
              <w:bottom w:val="single" w:color="auto" w:sz="4" w:space="0"/>
              <w:right w:val="single" w:color="auto" w:sz="4" w:space="0"/>
            </w:tcBorders>
            <w:noWrap w:val="0"/>
            <w:vAlign w:val="bottom"/>
          </w:tcPr>
          <w:p w14:paraId="10D3875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500≤Y＜20000</w:t>
            </w:r>
          </w:p>
        </w:tc>
        <w:tc>
          <w:tcPr>
            <w:tcW w:w="1729" w:type="dxa"/>
            <w:tcBorders>
              <w:top w:val="nil"/>
              <w:left w:val="nil"/>
              <w:bottom w:val="single" w:color="auto" w:sz="4" w:space="0"/>
              <w:right w:val="single" w:color="auto" w:sz="8" w:space="0"/>
            </w:tcBorders>
            <w:noWrap w:val="0"/>
            <w:vAlign w:val="bottom"/>
          </w:tcPr>
          <w:p w14:paraId="640D1AF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6F9F4E1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10≤X＜50</w:t>
            </w:r>
          </w:p>
        </w:tc>
        <w:tc>
          <w:tcPr>
            <w:tcW w:w="1480" w:type="dxa"/>
            <w:tcBorders>
              <w:top w:val="nil"/>
              <w:left w:val="nil"/>
              <w:bottom w:val="single" w:color="auto" w:sz="4" w:space="0"/>
              <w:right w:val="single" w:color="auto" w:sz="4" w:space="0"/>
            </w:tcBorders>
            <w:noWrap w:val="0"/>
            <w:vAlign w:val="bottom"/>
          </w:tcPr>
          <w:p w14:paraId="4783BC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100≤Y＜500</w:t>
            </w:r>
          </w:p>
        </w:tc>
        <w:tc>
          <w:tcPr>
            <w:tcW w:w="1520" w:type="dxa"/>
            <w:tcBorders>
              <w:top w:val="nil"/>
              <w:left w:val="nil"/>
              <w:bottom w:val="single" w:color="auto" w:sz="4" w:space="0"/>
              <w:right w:val="single" w:color="auto" w:sz="8" w:space="0"/>
            </w:tcBorders>
            <w:noWrap w:val="0"/>
            <w:vAlign w:val="bottom"/>
          </w:tcPr>
          <w:p w14:paraId="0358827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25FA015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1968B66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090EDCF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63DB6985">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9A6BA1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6、交通运输业</w:t>
            </w:r>
          </w:p>
        </w:tc>
        <w:tc>
          <w:tcPr>
            <w:tcW w:w="1452" w:type="dxa"/>
            <w:tcBorders>
              <w:top w:val="nil"/>
              <w:left w:val="nil"/>
              <w:bottom w:val="single" w:color="auto" w:sz="4" w:space="0"/>
              <w:right w:val="single" w:color="auto" w:sz="4" w:space="0"/>
            </w:tcBorders>
            <w:noWrap w:val="0"/>
            <w:vAlign w:val="bottom"/>
          </w:tcPr>
          <w:p w14:paraId="5C63254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1F9BF7E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3000≤Y＜30000</w:t>
            </w:r>
          </w:p>
        </w:tc>
        <w:tc>
          <w:tcPr>
            <w:tcW w:w="1729" w:type="dxa"/>
            <w:tcBorders>
              <w:top w:val="nil"/>
              <w:left w:val="nil"/>
              <w:bottom w:val="single" w:color="auto" w:sz="4" w:space="0"/>
              <w:right w:val="single" w:color="auto" w:sz="8" w:space="0"/>
            </w:tcBorders>
            <w:noWrap w:val="0"/>
            <w:vAlign w:val="bottom"/>
          </w:tcPr>
          <w:p w14:paraId="538E9E9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2468E70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05C7351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200≤Y＜3000</w:t>
            </w:r>
          </w:p>
        </w:tc>
        <w:tc>
          <w:tcPr>
            <w:tcW w:w="1520" w:type="dxa"/>
            <w:tcBorders>
              <w:top w:val="nil"/>
              <w:left w:val="nil"/>
              <w:bottom w:val="single" w:color="auto" w:sz="4" w:space="0"/>
              <w:right w:val="single" w:color="auto" w:sz="8" w:space="0"/>
            </w:tcBorders>
            <w:noWrap w:val="0"/>
            <w:vAlign w:val="bottom"/>
          </w:tcPr>
          <w:p w14:paraId="4C4BB2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7FA76D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4820BE7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V＜200</w:t>
            </w:r>
          </w:p>
        </w:tc>
        <w:tc>
          <w:tcPr>
            <w:tcW w:w="1221" w:type="dxa"/>
            <w:tcBorders>
              <w:top w:val="nil"/>
              <w:left w:val="nil"/>
              <w:bottom w:val="single" w:color="auto" w:sz="4" w:space="0"/>
              <w:right w:val="single" w:color="auto" w:sz="8" w:space="0"/>
            </w:tcBorders>
            <w:noWrap w:val="0"/>
            <w:vAlign w:val="bottom"/>
          </w:tcPr>
          <w:p w14:paraId="3BF5414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20733328">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60C6528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7、仓储业</w:t>
            </w:r>
          </w:p>
        </w:tc>
        <w:tc>
          <w:tcPr>
            <w:tcW w:w="1452" w:type="dxa"/>
            <w:tcBorders>
              <w:top w:val="nil"/>
              <w:left w:val="nil"/>
              <w:bottom w:val="single" w:color="auto" w:sz="4" w:space="0"/>
              <w:right w:val="single" w:color="auto" w:sz="4" w:space="0"/>
            </w:tcBorders>
            <w:noWrap w:val="0"/>
            <w:vAlign w:val="bottom"/>
          </w:tcPr>
          <w:p w14:paraId="727CA4F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100≤X＜200</w:t>
            </w:r>
          </w:p>
        </w:tc>
        <w:tc>
          <w:tcPr>
            <w:tcW w:w="1740" w:type="dxa"/>
            <w:tcBorders>
              <w:top w:val="nil"/>
              <w:left w:val="nil"/>
              <w:bottom w:val="single" w:color="auto" w:sz="4" w:space="0"/>
              <w:right w:val="single" w:color="auto" w:sz="4" w:space="0"/>
            </w:tcBorders>
            <w:noWrap w:val="0"/>
            <w:vAlign w:val="bottom"/>
          </w:tcPr>
          <w:p w14:paraId="69A9FB1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1000≤Y＜30000</w:t>
            </w:r>
          </w:p>
        </w:tc>
        <w:tc>
          <w:tcPr>
            <w:tcW w:w="1729" w:type="dxa"/>
            <w:tcBorders>
              <w:top w:val="nil"/>
              <w:left w:val="nil"/>
              <w:bottom w:val="single" w:color="auto" w:sz="4" w:space="0"/>
              <w:right w:val="single" w:color="auto" w:sz="8" w:space="0"/>
            </w:tcBorders>
            <w:noWrap w:val="0"/>
            <w:vAlign w:val="bottom"/>
          </w:tcPr>
          <w:p w14:paraId="326B1FB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665033C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20≤X＜100</w:t>
            </w:r>
          </w:p>
        </w:tc>
        <w:tc>
          <w:tcPr>
            <w:tcW w:w="1480" w:type="dxa"/>
            <w:tcBorders>
              <w:top w:val="nil"/>
              <w:left w:val="nil"/>
              <w:bottom w:val="single" w:color="auto" w:sz="4" w:space="0"/>
              <w:right w:val="single" w:color="auto" w:sz="4" w:space="0"/>
            </w:tcBorders>
            <w:noWrap w:val="0"/>
            <w:vAlign w:val="bottom"/>
          </w:tcPr>
          <w:p w14:paraId="284F554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27E87C3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57BC841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1AEB9BE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643FD9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747AEFF4">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D5E6D8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8、邮政业</w:t>
            </w:r>
          </w:p>
        </w:tc>
        <w:tc>
          <w:tcPr>
            <w:tcW w:w="1452" w:type="dxa"/>
            <w:tcBorders>
              <w:top w:val="nil"/>
              <w:left w:val="nil"/>
              <w:bottom w:val="single" w:color="auto" w:sz="4" w:space="0"/>
              <w:right w:val="single" w:color="auto" w:sz="4" w:space="0"/>
            </w:tcBorders>
            <w:noWrap w:val="0"/>
            <w:vAlign w:val="bottom"/>
          </w:tcPr>
          <w:p w14:paraId="531D763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4ED4BF0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2000≤Y＜30000</w:t>
            </w:r>
          </w:p>
        </w:tc>
        <w:tc>
          <w:tcPr>
            <w:tcW w:w="1729" w:type="dxa"/>
            <w:tcBorders>
              <w:top w:val="nil"/>
              <w:left w:val="nil"/>
              <w:bottom w:val="single" w:color="auto" w:sz="4" w:space="0"/>
              <w:right w:val="single" w:color="auto" w:sz="8" w:space="0"/>
            </w:tcBorders>
            <w:noWrap w:val="0"/>
            <w:vAlign w:val="bottom"/>
          </w:tcPr>
          <w:p w14:paraId="50DB992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387FB95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581C6A9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22EA1D0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13A2BAB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3A3641C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2EFB97B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31E63429">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0F6124E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9、住宿业</w:t>
            </w:r>
          </w:p>
        </w:tc>
        <w:tc>
          <w:tcPr>
            <w:tcW w:w="1452" w:type="dxa"/>
            <w:tcBorders>
              <w:top w:val="nil"/>
              <w:left w:val="nil"/>
              <w:bottom w:val="single" w:color="auto" w:sz="4" w:space="0"/>
              <w:right w:val="single" w:color="auto" w:sz="4" w:space="0"/>
            </w:tcBorders>
            <w:noWrap w:val="0"/>
            <w:vAlign w:val="bottom"/>
          </w:tcPr>
          <w:p w14:paraId="6401736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0B70501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2000≤Y＜10000</w:t>
            </w:r>
          </w:p>
        </w:tc>
        <w:tc>
          <w:tcPr>
            <w:tcW w:w="1729" w:type="dxa"/>
            <w:tcBorders>
              <w:top w:val="nil"/>
              <w:left w:val="nil"/>
              <w:bottom w:val="single" w:color="auto" w:sz="4" w:space="0"/>
              <w:right w:val="single" w:color="auto" w:sz="8" w:space="0"/>
            </w:tcBorders>
            <w:noWrap w:val="0"/>
            <w:vAlign w:val="bottom"/>
          </w:tcPr>
          <w:p w14:paraId="71CB1D1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605AC2A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1249EE3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0114247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4632349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32FE5BF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24A67AA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0A1A08D5">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78A22D5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10、餐饮业</w:t>
            </w:r>
          </w:p>
        </w:tc>
        <w:tc>
          <w:tcPr>
            <w:tcW w:w="1452" w:type="dxa"/>
            <w:tcBorders>
              <w:top w:val="nil"/>
              <w:left w:val="nil"/>
              <w:bottom w:val="single" w:color="auto" w:sz="4" w:space="0"/>
              <w:right w:val="single" w:color="auto" w:sz="4" w:space="0"/>
            </w:tcBorders>
            <w:noWrap w:val="0"/>
            <w:vAlign w:val="bottom"/>
          </w:tcPr>
          <w:p w14:paraId="747D679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4A2C749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2000≤Y＜10000</w:t>
            </w:r>
          </w:p>
        </w:tc>
        <w:tc>
          <w:tcPr>
            <w:tcW w:w="1729" w:type="dxa"/>
            <w:tcBorders>
              <w:top w:val="nil"/>
              <w:left w:val="nil"/>
              <w:bottom w:val="single" w:color="auto" w:sz="4" w:space="0"/>
              <w:right w:val="single" w:color="auto" w:sz="8" w:space="0"/>
            </w:tcBorders>
            <w:noWrap w:val="0"/>
            <w:vAlign w:val="bottom"/>
          </w:tcPr>
          <w:p w14:paraId="0D6D3D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40E49A3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2791970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4FEFB50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3A0F963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49DB4FE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V＜100</w:t>
            </w:r>
          </w:p>
        </w:tc>
        <w:tc>
          <w:tcPr>
            <w:tcW w:w="1221" w:type="dxa"/>
            <w:tcBorders>
              <w:top w:val="nil"/>
              <w:left w:val="nil"/>
              <w:bottom w:val="single" w:color="auto" w:sz="4" w:space="0"/>
              <w:right w:val="single" w:color="auto" w:sz="8" w:space="0"/>
            </w:tcBorders>
            <w:noWrap w:val="0"/>
            <w:vAlign w:val="bottom"/>
          </w:tcPr>
          <w:p w14:paraId="7BAC870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2DD02573">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66ED152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11、信息传输业</w:t>
            </w:r>
          </w:p>
        </w:tc>
        <w:tc>
          <w:tcPr>
            <w:tcW w:w="1452" w:type="dxa"/>
            <w:tcBorders>
              <w:top w:val="nil"/>
              <w:left w:val="nil"/>
              <w:bottom w:val="single" w:color="auto" w:sz="4" w:space="0"/>
              <w:right w:val="single" w:color="auto" w:sz="4" w:space="0"/>
            </w:tcBorders>
            <w:noWrap w:val="0"/>
            <w:vAlign w:val="bottom"/>
          </w:tcPr>
          <w:p w14:paraId="6130241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100≤X＜2000</w:t>
            </w:r>
          </w:p>
        </w:tc>
        <w:tc>
          <w:tcPr>
            <w:tcW w:w="1740" w:type="dxa"/>
            <w:tcBorders>
              <w:top w:val="nil"/>
              <w:left w:val="nil"/>
              <w:bottom w:val="single" w:color="auto" w:sz="4" w:space="0"/>
              <w:right w:val="single" w:color="auto" w:sz="4" w:space="0"/>
            </w:tcBorders>
            <w:noWrap w:val="0"/>
            <w:vAlign w:val="bottom"/>
          </w:tcPr>
          <w:p w14:paraId="4CB7BD3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1000≤Y＜100000</w:t>
            </w:r>
          </w:p>
        </w:tc>
        <w:tc>
          <w:tcPr>
            <w:tcW w:w="1729" w:type="dxa"/>
            <w:tcBorders>
              <w:top w:val="nil"/>
              <w:left w:val="nil"/>
              <w:bottom w:val="single" w:color="auto" w:sz="4" w:space="0"/>
              <w:right w:val="single" w:color="auto" w:sz="8" w:space="0"/>
            </w:tcBorders>
            <w:noWrap w:val="0"/>
            <w:vAlign w:val="bottom"/>
          </w:tcPr>
          <w:p w14:paraId="460C902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6784980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184D18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0C5B3DC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3559DD3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08F72CB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57967C0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425499CF">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2F1A258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12、软件和信息技术服务业</w:t>
            </w:r>
          </w:p>
        </w:tc>
        <w:tc>
          <w:tcPr>
            <w:tcW w:w="1452" w:type="dxa"/>
            <w:tcBorders>
              <w:top w:val="nil"/>
              <w:left w:val="nil"/>
              <w:bottom w:val="single" w:color="auto" w:sz="4" w:space="0"/>
              <w:right w:val="single" w:color="auto" w:sz="4" w:space="0"/>
            </w:tcBorders>
            <w:noWrap w:val="0"/>
            <w:vAlign w:val="bottom"/>
          </w:tcPr>
          <w:p w14:paraId="1FA0FD6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63D0060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1000≤Y＜10000</w:t>
            </w:r>
          </w:p>
        </w:tc>
        <w:tc>
          <w:tcPr>
            <w:tcW w:w="1729" w:type="dxa"/>
            <w:tcBorders>
              <w:top w:val="nil"/>
              <w:left w:val="nil"/>
              <w:bottom w:val="single" w:color="auto" w:sz="4" w:space="0"/>
              <w:right w:val="single" w:color="auto" w:sz="8" w:space="0"/>
            </w:tcBorders>
            <w:noWrap w:val="0"/>
            <w:vAlign w:val="bottom"/>
          </w:tcPr>
          <w:p w14:paraId="103195F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416DB2C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64BCD84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50≤Y＜1000</w:t>
            </w:r>
          </w:p>
        </w:tc>
        <w:tc>
          <w:tcPr>
            <w:tcW w:w="1520" w:type="dxa"/>
            <w:tcBorders>
              <w:top w:val="nil"/>
              <w:left w:val="nil"/>
              <w:bottom w:val="single" w:color="auto" w:sz="4" w:space="0"/>
              <w:right w:val="single" w:color="auto" w:sz="8" w:space="0"/>
            </w:tcBorders>
            <w:noWrap w:val="0"/>
            <w:vAlign w:val="bottom"/>
          </w:tcPr>
          <w:p w14:paraId="27CFDA9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1F5968A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11147C9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w:t>
            </w:r>
          </w:p>
        </w:tc>
        <w:tc>
          <w:tcPr>
            <w:tcW w:w="1221" w:type="dxa"/>
            <w:tcBorders>
              <w:top w:val="nil"/>
              <w:left w:val="nil"/>
              <w:bottom w:val="single" w:color="auto" w:sz="4" w:space="0"/>
              <w:right w:val="single" w:color="auto" w:sz="8" w:space="0"/>
            </w:tcBorders>
            <w:noWrap w:val="0"/>
            <w:vAlign w:val="bottom"/>
          </w:tcPr>
          <w:p w14:paraId="7168CC6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17C91BD8">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218807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13、房地产开发经营</w:t>
            </w:r>
          </w:p>
        </w:tc>
        <w:tc>
          <w:tcPr>
            <w:tcW w:w="1452" w:type="dxa"/>
            <w:tcBorders>
              <w:top w:val="nil"/>
              <w:left w:val="nil"/>
              <w:bottom w:val="single" w:color="auto" w:sz="4" w:space="0"/>
              <w:right w:val="single" w:color="auto" w:sz="4" w:space="0"/>
            </w:tcBorders>
            <w:noWrap w:val="0"/>
            <w:vAlign w:val="bottom"/>
          </w:tcPr>
          <w:p w14:paraId="02FD69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0929F7D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1000≤Y＜200000</w:t>
            </w:r>
          </w:p>
        </w:tc>
        <w:tc>
          <w:tcPr>
            <w:tcW w:w="1729" w:type="dxa"/>
            <w:tcBorders>
              <w:top w:val="nil"/>
              <w:left w:val="nil"/>
              <w:bottom w:val="single" w:color="auto" w:sz="4" w:space="0"/>
              <w:right w:val="single" w:color="auto" w:sz="8" w:space="0"/>
            </w:tcBorders>
            <w:noWrap w:val="0"/>
            <w:vAlign w:val="bottom"/>
          </w:tcPr>
          <w:p w14:paraId="35B3374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5000≤Z＜10000</w:t>
            </w:r>
          </w:p>
        </w:tc>
        <w:tc>
          <w:tcPr>
            <w:tcW w:w="1240" w:type="dxa"/>
            <w:tcBorders>
              <w:top w:val="nil"/>
              <w:left w:val="nil"/>
              <w:bottom w:val="single" w:color="auto" w:sz="4" w:space="0"/>
              <w:right w:val="single" w:color="auto" w:sz="4" w:space="0"/>
            </w:tcBorders>
            <w:noWrap w:val="0"/>
            <w:vAlign w:val="bottom"/>
          </w:tcPr>
          <w:p w14:paraId="53558BA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63AF324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1B07DD8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2000≤Z＜5000</w:t>
            </w:r>
          </w:p>
        </w:tc>
        <w:tc>
          <w:tcPr>
            <w:tcW w:w="1285" w:type="dxa"/>
            <w:tcBorders>
              <w:top w:val="nil"/>
              <w:left w:val="nil"/>
              <w:bottom w:val="single" w:color="auto" w:sz="4" w:space="0"/>
              <w:right w:val="single" w:color="auto" w:sz="4" w:space="0"/>
            </w:tcBorders>
            <w:noWrap w:val="0"/>
            <w:vAlign w:val="bottom"/>
          </w:tcPr>
          <w:p w14:paraId="705A169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3FAC042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2676AB5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Z＜2000</w:t>
            </w:r>
          </w:p>
        </w:tc>
      </w:tr>
      <w:tr w14:paraId="586953E8">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022ADBD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14、物业管理</w:t>
            </w:r>
          </w:p>
        </w:tc>
        <w:tc>
          <w:tcPr>
            <w:tcW w:w="1452" w:type="dxa"/>
            <w:tcBorders>
              <w:top w:val="nil"/>
              <w:left w:val="nil"/>
              <w:bottom w:val="single" w:color="auto" w:sz="4" w:space="0"/>
              <w:right w:val="single" w:color="auto" w:sz="4" w:space="0"/>
            </w:tcBorders>
            <w:noWrap w:val="0"/>
            <w:vAlign w:val="bottom"/>
          </w:tcPr>
          <w:p w14:paraId="16256DC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146E34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1000≤Y＜5000</w:t>
            </w:r>
          </w:p>
        </w:tc>
        <w:tc>
          <w:tcPr>
            <w:tcW w:w="1729" w:type="dxa"/>
            <w:tcBorders>
              <w:top w:val="nil"/>
              <w:left w:val="nil"/>
              <w:bottom w:val="single" w:color="auto" w:sz="4" w:space="0"/>
              <w:right w:val="single" w:color="auto" w:sz="8" w:space="0"/>
            </w:tcBorders>
            <w:noWrap w:val="0"/>
            <w:vAlign w:val="bottom"/>
          </w:tcPr>
          <w:p w14:paraId="3F5D37E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CDC7DF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480" w:type="dxa"/>
            <w:tcBorders>
              <w:top w:val="nil"/>
              <w:left w:val="nil"/>
              <w:bottom w:val="single" w:color="auto" w:sz="4" w:space="0"/>
              <w:right w:val="single" w:color="auto" w:sz="4" w:space="0"/>
            </w:tcBorders>
            <w:noWrap w:val="0"/>
            <w:vAlign w:val="bottom"/>
          </w:tcPr>
          <w:p w14:paraId="7DF138B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500≤Y＜1000</w:t>
            </w:r>
          </w:p>
        </w:tc>
        <w:tc>
          <w:tcPr>
            <w:tcW w:w="1520" w:type="dxa"/>
            <w:tcBorders>
              <w:top w:val="nil"/>
              <w:left w:val="nil"/>
              <w:bottom w:val="single" w:color="auto" w:sz="4" w:space="0"/>
              <w:right w:val="single" w:color="auto" w:sz="8" w:space="0"/>
            </w:tcBorders>
            <w:noWrap w:val="0"/>
            <w:vAlign w:val="bottom"/>
          </w:tcPr>
          <w:p w14:paraId="3BA4719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2AF7712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X＜100</w:t>
            </w:r>
          </w:p>
        </w:tc>
        <w:tc>
          <w:tcPr>
            <w:tcW w:w="1275" w:type="dxa"/>
            <w:tcBorders>
              <w:top w:val="nil"/>
              <w:left w:val="nil"/>
              <w:bottom w:val="single" w:color="auto" w:sz="4" w:space="0"/>
              <w:right w:val="single" w:color="auto" w:sz="4" w:space="0"/>
            </w:tcBorders>
            <w:noWrap w:val="0"/>
            <w:vAlign w:val="bottom"/>
          </w:tcPr>
          <w:p w14:paraId="7287236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Y＜500</w:t>
            </w:r>
          </w:p>
        </w:tc>
        <w:tc>
          <w:tcPr>
            <w:tcW w:w="1221" w:type="dxa"/>
            <w:tcBorders>
              <w:top w:val="nil"/>
              <w:left w:val="nil"/>
              <w:bottom w:val="single" w:color="auto" w:sz="4" w:space="0"/>
              <w:right w:val="single" w:color="auto" w:sz="8" w:space="0"/>
            </w:tcBorders>
            <w:noWrap w:val="0"/>
            <w:vAlign w:val="bottom"/>
          </w:tcPr>
          <w:p w14:paraId="7BF395B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267BABD4">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2BC2DDB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15、租赁和商务服务业</w:t>
            </w:r>
          </w:p>
        </w:tc>
        <w:tc>
          <w:tcPr>
            <w:tcW w:w="1452" w:type="dxa"/>
            <w:tcBorders>
              <w:top w:val="nil"/>
              <w:left w:val="nil"/>
              <w:bottom w:val="single" w:color="auto" w:sz="4" w:space="0"/>
              <w:right w:val="single" w:color="auto" w:sz="4" w:space="0"/>
            </w:tcBorders>
            <w:noWrap w:val="0"/>
            <w:vAlign w:val="bottom"/>
          </w:tcPr>
          <w:p w14:paraId="2487DF8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1B8417A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29" w:type="dxa"/>
            <w:tcBorders>
              <w:top w:val="nil"/>
              <w:left w:val="nil"/>
              <w:bottom w:val="single" w:color="auto" w:sz="4" w:space="0"/>
              <w:right w:val="single" w:color="auto" w:sz="8" w:space="0"/>
            </w:tcBorders>
            <w:noWrap w:val="0"/>
            <w:vAlign w:val="bottom"/>
          </w:tcPr>
          <w:p w14:paraId="08278E9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8000≤Z＜120000</w:t>
            </w:r>
          </w:p>
        </w:tc>
        <w:tc>
          <w:tcPr>
            <w:tcW w:w="1240" w:type="dxa"/>
            <w:tcBorders>
              <w:top w:val="nil"/>
              <w:left w:val="nil"/>
              <w:bottom w:val="single" w:color="auto" w:sz="4" w:space="0"/>
              <w:right w:val="single" w:color="auto" w:sz="4" w:space="0"/>
            </w:tcBorders>
            <w:noWrap w:val="0"/>
            <w:vAlign w:val="bottom"/>
          </w:tcPr>
          <w:p w14:paraId="59231FB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1C8E304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520" w:type="dxa"/>
            <w:tcBorders>
              <w:top w:val="nil"/>
              <w:left w:val="nil"/>
              <w:bottom w:val="single" w:color="auto" w:sz="4" w:space="0"/>
              <w:right w:val="single" w:color="auto" w:sz="8" w:space="0"/>
            </w:tcBorders>
            <w:noWrap w:val="0"/>
            <w:vAlign w:val="bottom"/>
          </w:tcPr>
          <w:p w14:paraId="299763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100≤Z＜8000</w:t>
            </w:r>
          </w:p>
        </w:tc>
        <w:tc>
          <w:tcPr>
            <w:tcW w:w="1285" w:type="dxa"/>
            <w:tcBorders>
              <w:top w:val="nil"/>
              <w:left w:val="nil"/>
              <w:bottom w:val="single" w:color="auto" w:sz="4" w:space="0"/>
              <w:right w:val="single" w:color="auto" w:sz="4" w:space="0"/>
            </w:tcBorders>
            <w:noWrap w:val="0"/>
            <w:vAlign w:val="bottom"/>
          </w:tcPr>
          <w:p w14:paraId="5BB35EA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57A735E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21" w:type="dxa"/>
            <w:tcBorders>
              <w:top w:val="nil"/>
              <w:left w:val="nil"/>
              <w:bottom w:val="single" w:color="auto" w:sz="4" w:space="0"/>
              <w:right w:val="single" w:color="auto" w:sz="8" w:space="0"/>
            </w:tcBorders>
            <w:noWrap w:val="0"/>
            <w:vAlign w:val="bottom"/>
          </w:tcPr>
          <w:p w14:paraId="54B4439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Z＜100</w:t>
            </w:r>
          </w:p>
        </w:tc>
      </w:tr>
      <w:tr w14:paraId="1103683C">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8" w:space="0"/>
              <w:right w:val="single" w:color="auto" w:sz="8" w:space="0"/>
            </w:tcBorders>
            <w:noWrap w:val="0"/>
            <w:vAlign w:val="bottom"/>
          </w:tcPr>
          <w:p w14:paraId="4BFA88E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16、其他未列明行业</w:t>
            </w:r>
          </w:p>
        </w:tc>
        <w:tc>
          <w:tcPr>
            <w:tcW w:w="1452" w:type="dxa"/>
            <w:tcBorders>
              <w:top w:val="nil"/>
              <w:left w:val="nil"/>
              <w:bottom w:val="single" w:color="auto" w:sz="8" w:space="0"/>
              <w:right w:val="single" w:color="auto" w:sz="4" w:space="0"/>
            </w:tcBorders>
            <w:noWrap w:val="0"/>
            <w:vAlign w:val="bottom"/>
          </w:tcPr>
          <w:p w14:paraId="663D2CC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8" w:space="0"/>
              <w:right w:val="single" w:color="auto" w:sz="4" w:space="0"/>
            </w:tcBorders>
            <w:noWrap w:val="0"/>
            <w:vAlign w:val="bottom"/>
          </w:tcPr>
          <w:p w14:paraId="409344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29" w:type="dxa"/>
            <w:tcBorders>
              <w:top w:val="nil"/>
              <w:left w:val="nil"/>
              <w:bottom w:val="single" w:color="auto" w:sz="8" w:space="0"/>
              <w:right w:val="single" w:color="auto" w:sz="8" w:space="0"/>
            </w:tcBorders>
            <w:noWrap w:val="0"/>
            <w:vAlign w:val="bottom"/>
          </w:tcPr>
          <w:p w14:paraId="6711BD9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8" w:space="0"/>
              <w:right w:val="single" w:color="auto" w:sz="4" w:space="0"/>
            </w:tcBorders>
            <w:noWrap w:val="0"/>
            <w:vAlign w:val="bottom"/>
          </w:tcPr>
          <w:p w14:paraId="66C66F4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8" w:space="0"/>
              <w:right w:val="single" w:color="auto" w:sz="4" w:space="0"/>
            </w:tcBorders>
            <w:noWrap w:val="0"/>
            <w:vAlign w:val="bottom"/>
          </w:tcPr>
          <w:p w14:paraId="6216F27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520" w:type="dxa"/>
            <w:tcBorders>
              <w:top w:val="nil"/>
              <w:left w:val="nil"/>
              <w:bottom w:val="single" w:color="auto" w:sz="8" w:space="0"/>
              <w:right w:val="single" w:color="auto" w:sz="8" w:space="0"/>
            </w:tcBorders>
            <w:noWrap w:val="0"/>
            <w:vAlign w:val="bottom"/>
          </w:tcPr>
          <w:p w14:paraId="5CD69E0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8" w:space="0"/>
              <w:right w:val="single" w:color="auto" w:sz="4" w:space="0"/>
            </w:tcBorders>
            <w:noWrap w:val="0"/>
            <w:vAlign w:val="bottom"/>
          </w:tcPr>
          <w:p w14:paraId="58E3AF1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8" w:space="0"/>
              <w:right w:val="single" w:color="auto" w:sz="4" w:space="0"/>
            </w:tcBorders>
            <w:noWrap w:val="0"/>
            <w:vAlign w:val="bottom"/>
          </w:tcPr>
          <w:p w14:paraId="6B59F05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21" w:type="dxa"/>
            <w:tcBorders>
              <w:top w:val="nil"/>
              <w:left w:val="nil"/>
              <w:bottom w:val="single" w:color="auto" w:sz="8" w:space="0"/>
              <w:right w:val="single" w:color="auto" w:sz="8" w:space="0"/>
            </w:tcBorders>
            <w:noWrap w:val="0"/>
            <w:vAlign w:val="bottom"/>
          </w:tcPr>
          <w:p w14:paraId="7D6A510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6F813A16">
        <w:tblPrEx>
          <w:tblCellMar>
            <w:top w:w="0" w:type="dxa"/>
            <w:left w:w="108" w:type="dxa"/>
            <w:bottom w:w="0" w:type="dxa"/>
            <w:right w:w="108" w:type="dxa"/>
          </w:tblCellMar>
        </w:tblPrEx>
        <w:trPr>
          <w:trHeight w:val="285" w:hRule="atLeast"/>
        </w:trPr>
        <w:tc>
          <w:tcPr>
            <w:tcW w:w="15225" w:type="dxa"/>
            <w:gridSpan w:val="10"/>
            <w:tcBorders>
              <w:top w:val="nil"/>
              <w:left w:val="nil"/>
              <w:bottom w:val="nil"/>
              <w:right w:val="nil"/>
            </w:tcBorders>
            <w:noWrap w:val="0"/>
            <w:vAlign w:val="bottom"/>
          </w:tcPr>
          <w:p w14:paraId="7F2FE452">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说明　1、企业类型的划分以统计部门的统计数据为依据。</w:t>
            </w:r>
          </w:p>
          <w:p w14:paraId="6312F41F">
            <w:pPr>
              <w:widowControl/>
              <w:ind w:firstLine="600" w:firstLineChars="300"/>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2、个体工商户和本规定以外的行业，参照本规定进行划型。</w:t>
            </w:r>
          </w:p>
          <w:p w14:paraId="609B354F">
            <w:pPr>
              <w:widowControl/>
              <w:ind w:firstLine="600" w:firstLineChars="3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0"/>
                <w:szCs w:val="20"/>
                <w:highlight w:val="none"/>
              </w:rPr>
              <w:t>3、本规定的中型企业标准上限即为大型企业标准的下限。</w:t>
            </w:r>
          </w:p>
        </w:tc>
      </w:tr>
    </w:tbl>
    <w:p w14:paraId="4D94DDF7">
      <w:pPr>
        <w:spacing w:line="360" w:lineRule="auto"/>
        <w:rPr>
          <w:rFonts w:hint="eastAsia" w:ascii="仿宋" w:hAnsi="仿宋" w:eastAsia="仿宋" w:cs="仿宋"/>
          <w:color w:val="auto"/>
          <w:highlight w:val="none"/>
        </w:rPr>
      </w:pPr>
    </w:p>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EBCF1">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0EA2">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9E0F">
    <w:pPr>
      <w:pStyle w:val="38"/>
      <w:framePr w:wrap="around" w:vAnchor="text" w:hAnchor="margin" w:xAlign="right" w:y="1"/>
      <w:rPr>
        <w:rStyle w:val="72"/>
      </w:rPr>
    </w:pPr>
    <w:r>
      <w:fldChar w:fldCharType="begin"/>
    </w:r>
    <w:r>
      <w:rPr>
        <w:rStyle w:val="72"/>
      </w:rPr>
      <w:instrText xml:space="preserve">PAGE  </w:instrText>
    </w:r>
    <w:r>
      <w:fldChar w:fldCharType="end"/>
    </w:r>
  </w:p>
  <w:p w14:paraId="5CFC2A19">
    <w:pPr>
      <w:pStyle w:val="3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276A">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00" w:name="_Toc36110187"/>
    <w:bookmarkStart w:id="401" w:name="_Toc91899912"/>
    <w:bookmarkStart w:id="402" w:name="_Toc131845147"/>
    <w:bookmarkStart w:id="403" w:name="_Toc164085800"/>
    <w:r>
      <w:rPr>
        <w:rFonts w:hint="eastAsia" w:ascii="仿宋_GB2312" w:eastAsia="仿宋_GB2312"/>
        <w:kern w:val="0"/>
        <w:szCs w:val="21"/>
      </w:rPr>
      <w:t xml:space="preserve"> 页</w:t>
    </w:r>
    <w:bookmarkEnd w:id="400"/>
    <w:bookmarkEnd w:id="401"/>
    <w:bookmarkEnd w:id="402"/>
    <w:bookmarkEnd w:id="40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97C3">
    <w:pPr>
      <w:pStyle w:val="38"/>
      <w:framePr w:wrap="around" w:vAnchor="text" w:hAnchor="margin" w:xAlign="right" w:y="1"/>
      <w:rPr>
        <w:rStyle w:val="72"/>
      </w:rPr>
    </w:pPr>
    <w:r>
      <w:fldChar w:fldCharType="begin"/>
    </w:r>
    <w:r>
      <w:rPr>
        <w:rStyle w:val="72"/>
      </w:rPr>
      <w:instrText xml:space="preserve">PAGE  </w:instrText>
    </w:r>
    <w:r>
      <w:fldChar w:fldCharType="end"/>
    </w:r>
  </w:p>
  <w:p w14:paraId="11992A9C">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D2FD9">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109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C0A82D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9E07">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5044D9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547D8">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09D7A5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B4884">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C91EB3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09B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F1A250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26B4">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4BBDD6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A35E">
    <w:pPr>
      <w:pStyle w:val="40"/>
      <w:jc w:val="right"/>
      <w:rPr>
        <w:rFonts w:hint="eastAsia" w:ascii="仿宋" w:hAnsi="仿宋" w:eastAsia="仿宋" w:cs="仿宋"/>
        <w:lang w:val="en-US" w:eastAsia="zh-CN"/>
      </w:rPr>
    </w:pPr>
    <w:r>
      <w:rPr>
        <w:rFonts w:hint="eastAsia" w:ascii="仿宋" w:hAnsi="仿宋" w:eastAsia="仿宋" w:cs="仿宋"/>
        <w:lang w:eastAsia="zh-CN"/>
      </w:rPr>
      <w:t>2025-2026年度金华市看守所购买医疗服务项目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FC318">
    <w:pPr>
      <w:pStyle w:val="40"/>
      <w:pBdr>
        <w:bottom w:val="single" w:color="auto" w:sz="6" w:space="0"/>
      </w:pBdr>
      <w:tabs>
        <w:tab w:val="center" w:pos="4535"/>
        <w:tab w:val="right" w:pos="9070"/>
        <w:tab w:val="clear" w:pos="4153"/>
        <w:tab w:val="clear" w:pos="8306"/>
      </w:tabs>
      <w:jc w:val="right"/>
      <w:rPr>
        <w:rFonts w:hint="eastAsia" w:eastAsia="宋体"/>
        <w:lang w:eastAsia="zh-CN"/>
      </w:rPr>
    </w:pPr>
    <w:r>
      <w:rPr>
        <w:lang w:val="zh-CN"/>
      </w:rPr>
      <w:t></w:t>
    </w:r>
    <w:r>
      <w:tab/>
    </w:r>
    <w:r>
      <w:rPr>
        <w:lang w:val="zh-CN"/>
      </w:rPr>
      <w:t></w:t>
    </w:r>
    <w:r>
      <w:tab/>
    </w:r>
    <w:r>
      <w:rPr>
        <w:rFonts w:hint="eastAsia"/>
        <w:lang w:eastAsia="zh-CN"/>
      </w:rPr>
      <w:t>2025-2026年度金华市看守所购买医疗服务项目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8704F"/>
    <w:multiLevelType w:val="singleLevel"/>
    <w:tmpl w:val="B6D8704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863"/>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2788"/>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1F6"/>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32DE"/>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F2FEA"/>
    <w:rsid w:val="019F7441"/>
    <w:rsid w:val="01B37585"/>
    <w:rsid w:val="01D55165"/>
    <w:rsid w:val="01DF6BF8"/>
    <w:rsid w:val="01E50D53"/>
    <w:rsid w:val="01EC2C57"/>
    <w:rsid w:val="02421D02"/>
    <w:rsid w:val="025F0711"/>
    <w:rsid w:val="026B2E25"/>
    <w:rsid w:val="02824D4D"/>
    <w:rsid w:val="02A936EE"/>
    <w:rsid w:val="02DC4B10"/>
    <w:rsid w:val="02DD76CE"/>
    <w:rsid w:val="02ED42DD"/>
    <w:rsid w:val="02F36323"/>
    <w:rsid w:val="02F5619C"/>
    <w:rsid w:val="0326446A"/>
    <w:rsid w:val="032D5555"/>
    <w:rsid w:val="036634D2"/>
    <w:rsid w:val="03DD35E4"/>
    <w:rsid w:val="03E147EA"/>
    <w:rsid w:val="04076900"/>
    <w:rsid w:val="041A5A3B"/>
    <w:rsid w:val="042311BA"/>
    <w:rsid w:val="042B157A"/>
    <w:rsid w:val="048F763B"/>
    <w:rsid w:val="049F330E"/>
    <w:rsid w:val="04AA775C"/>
    <w:rsid w:val="04AF1889"/>
    <w:rsid w:val="04F66F48"/>
    <w:rsid w:val="04FC3A36"/>
    <w:rsid w:val="05251E14"/>
    <w:rsid w:val="05A16594"/>
    <w:rsid w:val="05A7762D"/>
    <w:rsid w:val="05E547FA"/>
    <w:rsid w:val="060E5941"/>
    <w:rsid w:val="06110FAF"/>
    <w:rsid w:val="06493CA7"/>
    <w:rsid w:val="065A6178"/>
    <w:rsid w:val="066F1CF3"/>
    <w:rsid w:val="06930BB8"/>
    <w:rsid w:val="07245D42"/>
    <w:rsid w:val="07264C62"/>
    <w:rsid w:val="072C2CB5"/>
    <w:rsid w:val="0779354C"/>
    <w:rsid w:val="07D90FE9"/>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7769D"/>
    <w:rsid w:val="0A1C0718"/>
    <w:rsid w:val="0A3E7710"/>
    <w:rsid w:val="0A432EA6"/>
    <w:rsid w:val="0A5B7E63"/>
    <w:rsid w:val="0AA374A5"/>
    <w:rsid w:val="0AAB7649"/>
    <w:rsid w:val="0ABC5606"/>
    <w:rsid w:val="0ADA341F"/>
    <w:rsid w:val="0B30404E"/>
    <w:rsid w:val="0B446DEB"/>
    <w:rsid w:val="0B4C6C14"/>
    <w:rsid w:val="0B547599"/>
    <w:rsid w:val="0B631A88"/>
    <w:rsid w:val="0B683D45"/>
    <w:rsid w:val="0B7F3F11"/>
    <w:rsid w:val="0B884417"/>
    <w:rsid w:val="0BED2CDE"/>
    <w:rsid w:val="0BF6188C"/>
    <w:rsid w:val="0BF73C91"/>
    <w:rsid w:val="0C170175"/>
    <w:rsid w:val="0C571A41"/>
    <w:rsid w:val="0C5C1171"/>
    <w:rsid w:val="0C5E1CBC"/>
    <w:rsid w:val="0C615B50"/>
    <w:rsid w:val="0C8445DA"/>
    <w:rsid w:val="0C87121B"/>
    <w:rsid w:val="0CC007F7"/>
    <w:rsid w:val="0CC617AC"/>
    <w:rsid w:val="0CDE6ACB"/>
    <w:rsid w:val="0CE618DF"/>
    <w:rsid w:val="0CFE707A"/>
    <w:rsid w:val="0D063BDA"/>
    <w:rsid w:val="0D08375F"/>
    <w:rsid w:val="0D184CFB"/>
    <w:rsid w:val="0D352BA9"/>
    <w:rsid w:val="0D4A7419"/>
    <w:rsid w:val="0D827401"/>
    <w:rsid w:val="0D84094E"/>
    <w:rsid w:val="0D8A00E9"/>
    <w:rsid w:val="0D8D589E"/>
    <w:rsid w:val="0DA01C73"/>
    <w:rsid w:val="0DD63300"/>
    <w:rsid w:val="0DF50604"/>
    <w:rsid w:val="0DF702FE"/>
    <w:rsid w:val="0E060E51"/>
    <w:rsid w:val="0E2A646C"/>
    <w:rsid w:val="0E5604B2"/>
    <w:rsid w:val="0E6D5D79"/>
    <w:rsid w:val="0E9D0089"/>
    <w:rsid w:val="0EB803EE"/>
    <w:rsid w:val="0EF94D4B"/>
    <w:rsid w:val="0F4958DC"/>
    <w:rsid w:val="0F515DF7"/>
    <w:rsid w:val="0F534D30"/>
    <w:rsid w:val="0F596BA8"/>
    <w:rsid w:val="0F6248D2"/>
    <w:rsid w:val="0F693536"/>
    <w:rsid w:val="0F7B0511"/>
    <w:rsid w:val="0F7B76D9"/>
    <w:rsid w:val="0F816ACD"/>
    <w:rsid w:val="0F9832DB"/>
    <w:rsid w:val="0FBF3FD2"/>
    <w:rsid w:val="0FBF7FF3"/>
    <w:rsid w:val="0FCE583F"/>
    <w:rsid w:val="10646583"/>
    <w:rsid w:val="107B5383"/>
    <w:rsid w:val="107D4B15"/>
    <w:rsid w:val="108A3C80"/>
    <w:rsid w:val="10C26171"/>
    <w:rsid w:val="10F33360"/>
    <w:rsid w:val="10FC16EA"/>
    <w:rsid w:val="11020FDA"/>
    <w:rsid w:val="110F1D40"/>
    <w:rsid w:val="11266F33"/>
    <w:rsid w:val="118963A1"/>
    <w:rsid w:val="11C6522A"/>
    <w:rsid w:val="11DA1F57"/>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4B10DEC"/>
    <w:rsid w:val="150536C3"/>
    <w:rsid w:val="150C1963"/>
    <w:rsid w:val="151447A0"/>
    <w:rsid w:val="154A6454"/>
    <w:rsid w:val="15762120"/>
    <w:rsid w:val="16154235"/>
    <w:rsid w:val="16A8729C"/>
    <w:rsid w:val="16B33777"/>
    <w:rsid w:val="16BC70A7"/>
    <w:rsid w:val="16C6339E"/>
    <w:rsid w:val="172F2D79"/>
    <w:rsid w:val="17557BEF"/>
    <w:rsid w:val="17D349C1"/>
    <w:rsid w:val="18143457"/>
    <w:rsid w:val="1830729E"/>
    <w:rsid w:val="184E42E7"/>
    <w:rsid w:val="1870062C"/>
    <w:rsid w:val="18817102"/>
    <w:rsid w:val="18830A15"/>
    <w:rsid w:val="18852B28"/>
    <w:rsid w:val="188B5321"/>
    <w:rsid w:val="18F87E24"/>
    <w:rsid w:val="192C06DB"/>
    <w:rsid w:val="19932372"/>
    <w:rsid w:val="19A20DD5"/>
    <w:rsid w:val="19AE03F1"/>
    <w:rsid w:val="1A071A03"/>
    <w:rsid w:val="1A102EA2"/>
    <w:rsid w:val="1A1F16AE"/>
    <w:rsid w:val="1A3B5C77"/>
    <w:rsid w:val="1A8B3DFF"/>
    <w:rsid w:val="1A984BAD"/>
    <w:rsid w:val="1AB8220E"/>
    <w:rsid w:val="1ABC308A"/>
    <w:rsid w:val="1AE4166C"/>
    <w:rsid w:val="1AF06CFB"/>
    <w:rsid w:val="1AF11B8D"/>
    <w:rsid w:val="1B11359C"/>
    <w:rsid w:val="1B2A271F"/>
    <w:rsid w:val="1B530544"/>
    <w:rsid w:val="1B713184"/>
    <w:rsid w:val="1BA209CF"/>
    <w:rsid w:val="1BB4777D"/>
    <w:rsid w:val="1BD75AB8"/>
    <w:rsid w:val="1C0459C2"/>
    <w:rsid w:val="1C1B3B4A"/>
    <w:rsid w:val="1C6F6F10"/>
    <w:rsid w:val="1C88086E"/>
    <w:rsid w:val="1D266CE1"/>
    <w:rsid w:val="1D3963AF"/>
    <w:rsid w:val="1D6A673C"/>
    <w:rsid w:val="1D9247AE"/>
    <w:rsid w:val="1DB567EC"/>
    <w:rsid w:val="1DD8378D"/>
    <w:rsid w:val="1DF51A98"/>
    <w:rsid w:val="1E3D060F"/>
    <w:rsid w:val="1E3F7D2E"/>
    <w:rsid w:val="1E4134E4"/>
    <w:rsid w:val="1E5062B3"/>
    <w:rsid w:val="1E523514"/>
    <w:rsid w:val="1E714A66"/>
    <w:rsid w:val="1E802593"/>
    <w:rsid w:val="1E8B6156"/>
    <w:rsid w:val="1EA703CC"/>
    <w:rsid w:val="1EB7330C"/>
    <w:rsid w:val="1F0A0FF3"/>
    <w:rsid w:val="1F5771FF"/>
    <w:rsid w:val="1FB81CEA"/>
    <w:rsid w:val="1FD52DD5"/>
    <w:rsid w:val="1FE868A9"/>
    <w:rsid w:val="20033DF1"/>
    <w:rsid w:val="20034907"/>
    <w:rsid w:val="20173E4B"/>
    <w:rsid w:val="20345DE6"/>
    <w:rsid w:val="204E48BC"/>
    <w:rsid w:val="208921B3"/>
    <w:rsid w:val="20973DEB"/>
    <w:rsid w:val="20B26522"/>
    <w:rsid w:val="20B44310"/>
    <w:rsid w:val="20C11928"/>
    <w:rsid w:val="211116EB"/>
    <w:rsid w:val="212254AF"/>
    <w:rsid w:val="216133FC"/>
    <w:rsid w:val="21723E7A"/>
    <w:rsid w:val="219043E0"/>
    <w:rsid w:val="21C80F79"/>
    <w:rsid w:val="21D56769"/>
    <w:rsid w:val="21E52EF3"/>
    <w:rsid w:val="21FB5D7B"/>
    <w:rsid w:val="22015E94"/>
    <w:rsid w:val="220B1C3D"/>
    <w:rsid w:val="221D1D20"/>
    <w:rsid w:val="222F3736"/>
    <w:rsid w:val="22334A87"/>
    <w:rsid w:val="223A4C8D"/>
    <w:rsid w:val="22BE6801"/>
    <w:rsid w:val="22F22A0F"/>
    <w:rsid w:val="233500BF"/>
    <w:rsid w:val="23377FF7"/>
    <w:rsid w:val="236B425F"/>
    <w:rsid w:val="23836192"/>
    <w:rsid w:val="23901F29"/>
    <w:rsid w:val="239C0061"/>
    <w:rsid w:val="239E2DA5"/>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790CCB"/>
    <w:rsid w:val="26871DC8"/>
    <w:rsid w:val="26A53EF9"/>
    <w:rsid w:val="26A94201"/>
    <w:rsid w:val="26AC274F"/>
    <w:rsid w:val="26ED5E31"/>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44808"/>
    <w:rsid w:val="29345E77"/>
    <w:rsid w:val="294C65AD"/>
    <w:rsid w:val="29806583"/>
    <w:rsid w:val="298B3C4C"/>
    <w:rsid w:val="29D82F2E"/>
    <w:rsid w:val="29F26D24"/>
    <w:rsid w:val="2A15033F"/>
    <w:rsid w:val="2A1662C1"/>
    <w:rsid w:val="2A1C7367"/>
    <w:rsid w:val="2A2815FA"/>
    <w:rsid w:val="2A6D6092"/>
    <w:rsid w:val="2A7D76B4"/>
    <w:rsid w:val="2B437463"/>
    <w:rsid w:val="2B73271D"/>
    <w:rsid w:val="2B7807EE"/>
    <w:rsid w:val="2B7B7EAF"/>
    <w:rsid w:val="2BA50BF7"/>
    <w:rsid w:val="2BBF00EC"/>
    <w:rsid w:val="2BC37CFD"/>
    <w:rsid w:val="2BD5237F"/>
    <w:rsid w:val="2BE536CE"/>
    <w:rsid w:val="2BE758D9"/>
    <w:rsid w:val="2C09049E"/>
    <w:rsid w:val="2C0A653C"/>
    <w:rsid w:val="2C191F85"/>
    <w:rsid w:val="2C385A42"/>
    <w:rsid w:val="2C601C3C"/>
    <w:rsid w:val="2CE82D6F"/>
    <w:rsid w:val="2D343236"/>
    <w:rsid w:val="2DD15014"/>
    <w:rsid w:val="2DF72DE4"/>
    <w:rsid w:val="2E0220AF"/>
    <w:rsid w:val="2E066B35"/>
    <w:rsid w:val="2E4B082A"/>
    <w:rsid w:val="2E5D4E86"/>
    <w:rsid w:val="2E5D790B"/>
    <w:rsid w:val="2E9A3C18"/>
    <w:rsid w:val="2EBB0FEE"/>
    <w:rsid w:val="2EC603AD"/>
    <w:rsid w:val="2EC63002"/>
    <w:rsid w:val="2ED95618"/>
    <w:rsid w:val="2F0A6B38"/>
    <w:rsid w:val="2F2A7C22"/>
    <w:rsid w:val="2F946CCB"/>
    <w:rsid w:val="2FB344DD"/>
    <w:rsid w:val="2FD25781"/>
    <w:rsid w:val="2FDC745C"/>
    <w:rsid w:val="2FFD7934"/>
    <w:rsid w:val="303D73D3"/>
    <w:rsid w:val="30733ACD"/>
    <w:rsid w:val="308C3862"/>
    <w:rsid w:val="309379D8"/>
    <w:rsid w:val="30A270F7"/>
    <w:rsid w:val="30D95F88"/>
    <w:rsid w:val="30DF1478"/>
    <w:rsid w:val="30EC586F"/>
    <w:rsid w:val="31424559"/>
    <w:rsid w:val="314550B7"/>
    <w:rsid w:val="319C6071"/>
    <w:rsid w:val="31AC537E"/>
    <w:rsid w:val="31E3679B"/>
    <w:rsid w:val="31E732FD"/>
    <w:rsid w:val="31E9143D"/>
    <w:rsid w:val="32517576"/>
    <w:rsid w:val="32660FBD"/>
    <w:rsid w:val="32BE5C2C"/>
    <w:rsid w:val="32FB6478"/>
    <w:rsid w:val="33263B3F"/>
    <w:rsid w:val="33317CF6"/>
    <w:rsid w:val="336963EB"/>
    <w:rsid w:val="33816EEB"/>
    <w:rsid w:val="33EB55CD"/>
    <w:rsid w:val="33EC4C02"/>
    <w:rsid w:val="340D2360"/>
    <w:rsid w:val="3410665D"/>
    <w:rsid w:val="3413348C"/>
    <w:rsid w:val="34211214"/>
    <w:rsid w:val="342E63AB"/>
    <w:rsid w:val="348D1809"/>
    <w:rsid w:val="34950E68"/>
    <w:rsid w:val="34986E94"/>
    <w:rsid w:val="34AF62C9"/>
    <w:rsid w:val="34CB4388"/>
    <w:rsid w:val="34FA6E12"/>
    <w:rsid w:val="354D7158"/>
    <w:rsid w:val="358D5588"/>
    <w:rsid w:val="35AD5109"/>
    <w:rsid w:val="360B20E7"/>
    <w:rsid w:val="363A3B40"/>
    <w:rsid w:val="365302AE"/>
    <w:rsid w:val="36607A0A"/>
    <w:rsid w:val="366E227C"/>
    <w:rsid w:val="366F2E0D"/>
    <w:rsid w:val="367B6A5C"/>
    <w:rsid w:val="36A74ADA"/>
    <w:rsid w:val="36AD60D5"/>
    <w:rsid w:val="36B224F9"/>
    <w:rsid w:val="36EC0CC9"/>
    <w:rsid w:val="373F410B"/>
    <w:rsid w:val="37585723"/>
    <w:rsid w:val="37EE7094"/>
    <w:rsid w:val="38296C89"/>
    <w:rsid w:val="383002EB"/>
    <w:rsid w:val="38586797"/>
    <w:rsid w:val="38BC0149"/>
    <w:rsid w:val="38D87D1C"/>
    <w:rsid w:val="39394D72"/>
    <w:rsid w:val="39636459"/>
    <w:rsid w:val="396B7F6C"/>
    <w:rsid w:val="39701916"/>
    <w:rsid w:val="39B417A9"/>
    <w:rsid w:val="39FC5695"/>
    <w:rsid w:val="3A006D8E"/>
    <w:rsid w:val="3A3651E5"/>
    <w:rsid w:val="3A744481"/>
    <w:rsid w:val="3A8C7BEF"/>
    <w:rsid w:val="3A906246"/>
    <w:rsid w:val="3B2349B7"/>
    <w:rsid w:val="3B616CFF"/>
    <w:rsid w:val="3B6259F6"/>
    <w:rsid w:val="3B804418"/>
    <w:rsid w:val="3B976654"/>
    <w:rsid w:val="3BA50630"/>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31441"/>
    <w:rsid w:val="3E0D48F6"/>
    <w:rsid w:val="3E1868B4"/>
    <w:rsid w:val="3E377251"/>
    <w:rsid w:val="3E42664B"/>
    <w:rsid w:val="3E5A7334"/>
    <w:rsid w:val="3E6006CD"/>
    <w:rsid w:val="3E7B5D6B"/>
    <w:rsid w:val="3E843E66"/>
    <w:rsid w:val="3E8F51FE"/>
    <w:rsid w:val="3E926F87"/>
    <w:rsid w:val="3E9A59DE"/>
    <w:rsid w:val="3EA72B45"/>
    <w:rsid w:val="3EAF4836"/>
    <w:rsid w:val="3EC33DFA"/>
    <w:rsid w:val="3F060E16"/>
    <w:rsid w:val="3F12422F"/>
    <w:rsid w:val="3F1D1096"/>
    <w:rsid w:val="3F2F0234"/>
    <w:rsid w:val="3F6363FE"/>
    <w:rsid w:val="3F756B8F"/>
    <w:rsid w:val="3F95482B"/>
    <w:rsid w:val="3FA37AF9"/>
    <w:rsid w:val="4019356B"/>
    <w:rsid w:val="40592157"/>
    <w:rsid w:val="406E1CAE"/>
    <w:rsid w:val="40A0133A"/>
    <w:rsid w:val="40C31A53"/>
    <w:rsid w:val="40DA0211"/>
    <w:rsid w:val="40FF545D"/>
    <w:rsid w:val="410067C8"/>
    <w:rsid w:val="418F0D2A"/>
    <w:rsid w:val="41D01505"/>
    <w:rsid w:val="41D659E7"/>
    <w:rsid w:val="42291FBB"/>
    <w:rsid w:val="42474939"/>
    <w:rsid w:val="42490F65"/>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F27C2F"/>
    <w:rsid w:val="460E7DA5"/>
    <w:rsid w:val="4614088C"/>
    <w:rsid w:val="463C3796"/>
    <w:rsid w:val="46422483"/>
    <w:rsid w:val="4659254A"/>
    <w:rsid w:val="465B0637"/>
    <w:rsid w:val="465E3F0D"/>
    <w:rsid w:val="466A16E6"/>
    <w:rsid w:val="46893F2B"/>
    <w:rsid w:val="46C4686E"/>
    <w:rsid w:val="47255B16"/>
    <w:rsid w:val="4739279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902920"/>
    <w:rsid w:val="49B64211"/>
    <w:rsid w:val="49E56AF9"/>
    <w:rsid w:val="49F6167F"/>
    <w:rsid w:val="4A064FA0"/>
    <w:rsid w:val="4A16615C"/>
    <w:rsid w:val="4A1E7312"/>
    <w:rsid w:val="4A4424D7"/>
    <w:rsid w:val="4AB82D0F"/>
    <w:rsid w:val="4AE7656F"/>
    <w:rsid w:val="4AEB7664"/>
    <w:rsid w:val="4AFD7C19"/>
    <w:rsid w:val="4B0567D1"/>
    <w:rsid w:val="4B236AAE"/>
    <w:rsid w:val="4B707271"/>
    <w:rsid w:val="4B9739F7"/>
    <w:rsid w:val="4BC0323C"/>
    <w:rsid w:val="4BEE2503"/>
    <w:rsid w:val="4C245A30"/>
    <w:rsid w:val="4CB6685F"/>
    <w:rsid w:val="4CC367FE"/>
    <w:rsid w:val="4D077F3C"/>
    <w:rsid w:val="4D123355"/>
    <w:rsid w:val="4D2A3B31"/>
    <w:rsid w:val="4D312C52"/>
    <w:rsid w:val="4D810EFD"/>
    <w:rsid w:val="4D905305"/>
    <w:rsid w:val="4D964A72"/>
    <w:rsid w:val="4D9C1254"/>
    <w:rsid w:val="4DA16EED"/>
    <w:rsid w:val="4DB16818"/>
    <w:rsid w:val="4E793892"/>
    <w:rsid w:val="4E800872"/>
    <w:rsid w:val="4E9338E5"/>
    <w:rsid w:val="4EA330F5"/>
    <w:rsid w:val="4EA66D9B"/>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483F45"/>
    <w:rsid w:val="52615633"/>
    <w:rsid w:val="526F4DE4"/>
    <w:rsid w:val="527C7EE5"/>
    <w:rsid w:val="52977FD4"/>
    <w:rsid w:val="52A25790"/>
    <w:rsid w:val="52A96B6F"/>
    <w:rsid w:val="52B45975"/>
    <w:rsid w:val="52D94AA4"/>
    <w:rsid w:val="52EA3A62"/>
    <w:rsid w:val="52ED493F"/>
    <w:rsid w:val="52F50BB8"/>
    <w:rsid w:val="53097272"/>
    <w:rsid w:val="53544462"/>
    <w:rsid w:val="5397158E"/>
    <w:rsid w:val="53E64582"/>
    <w:rsid w:val="54013861"/>
    <w:rsid w:val="540957A8"/>
    <w:rsid w:val="54487265"/>
    <w:rsid w:val="544D6070"/>
    <w:rsid w:val="54557A52"/>
    <w:rsid w:val="54605E1E"/>
    <w:rsid w:val="54B3506A"/>
    <w:rsid w:val="54CA0D16"/>
    <w:rsid w:val="54DD4057"/>
    <w:rsid w:val="54E7490F"/>
    <w:rsid w:val="550223C7"/>
    <w:rsid w:val="550764A4"/>
    <w:rsid w:val="550B2BF6"/>
    <w:rsid w:val="55214EB5"/>
    <w:rsid w:val="55364EFD"/>
    <w:rsid w:val="555D4828"/>
    <w:rsid w:val="557A4C8B"/>
    <w:rsid w:val="558931E1"/>
    <w:rsid w:val="55923347"/>
    <w:rsid w:val="55925180"/>
    <w:rsid w:val="55983B1B"/>
    <w:rsid w:val="55A8376B"/>
    <w:rsid w:val="55DC29B6"/>
    <w:rsid w:val="55DD4241"/>
    <w:rsid w:val="561F5757"/>
    <w:rsid w:val="564D4A20"/>
    <w:rsid w:val="566B6D1E"/>
    <w:rsid w:val="56CE64E6"/>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AF567C"/>
    <w:rsid w:val="58B85899"/>
    <w:rsid w:val="58E363A9"/>
    <w:rsid w:val="595E1678"/>
    <w:rsid w:val="596D5BD4"/>
    <w:rsid w:val="597E3DD8"/>
    <w:rsid w:val="59F80043"/>
    <w:rsid w:val="5A09252F"/>
    <w:rsid w:val="5A0B2778"/>
    <w:rsid w:val="5A2A7C7B"/>
    <w:rsid w:val="5A3612C1"/>
    <w:rsid w:val="5A3E2560"/>
    <w:rsid w:val="5A5D3B6E"/>
    <w:rsid w:val="5A637A76"/>
    <w:rsid w:val="5A6D33BA"/>
    <w:rsid w:val="5A792B1F"/>
    <w:rsid w:val="5A874767"/>
    <w:rsid w:val="5A9E3DC2"/>
    <w:rsid w:val="5AA85BE2"/>
    <w:rsid w:val="5AAD6F28"/>
    <w:rsid w:val="5AD63A24"/>
    <w:rsid w:val="5B2E1A1D"/>
    <w:rsid w:val="5B843A1C"/>
    <w:rsid w:val="5B873E3F"/>
    <w:rsid w:val="5C02690E"/>
    <w:rsid w:val="5C111C6B"/>
    <w:rsid w:val="5C196DA7"/>
    <w:rsid w:val="5C2A048C"/>
    <w:rsid w:val="5C4001D5"/>
    <w:rsid w:val="5C80234E"/>
    <w:rsid w:val="5C8A680C"/>
    <w:rsid w:val="5D0C4701"/>
    <w:rsid w:val="5D0F0395"/>
    <w:rsid w:val="5D221076"/>
    <w:rsid w:val="5D397964"/>
    <w:rsid w:val="5D5A391C"/>
    <w:rsid w:val="5D5F10C0"/>
    <w:rsid w:val="5D891B7B"/>
    <w:rsid w:val="5D9C768D"/>
    <w:rsid w:val="5DAD38EE"/>
    <w:rsid w:val="5E006862"/>
    <w:rsid w:val="5E0207B9"/>
    <w:rsid w:val="5E1834A1"/>
    <w:rsid w:val="5E261785"/>
    <w:rsid w:val="5E4016D2"/>
    <w:rsid w:val="5E4A7017"/>
    <w:rsid w:val="5E552BBA"/>
    <w:rsid w:val="5E611C10"/>
    <w:rsid w:val="5E781EA8"/>
    <w:rsid w:val="5E7A0F3F"/>
    <w:rsid w:val="5EFC7377"/>
    <w:rsid w:val="5F06174D"/>
    <w:rsid w:val="5F3A3602"/>
    <w:rsid w:val="5F45733B"/>
    <w:rsid w:val="5F6277C6"/>
    <w:rsid w:val="5F6D0B1D"/>
    <w:rsid w:val="5F7203AF"/>
    <w:rsid w:val="5F8D0B82"/>
    <w:rsid w:val="5F9C1BC7"/>
    <w:rsid w:val="5FCC5339"/>
    <w:rsid w:val="5FE34A5B"/>
    <w:rsid w:val="5FFE1E36"/>
    <w:rsid w:val="60232584"/>
    <w:rsid w:val="607330CE"/>
    <w:rsid w:val="60825176"/>
    <w:rsid w:val="609D5BF6"/>
    <w:rsid w:val="609F2AC4"/>
    <w:rsid w:val="60E40514"/>
    <w:rsid w:val="60FA2EE8"/>
    <w:rsid w:val="61054A27"/>
    <w:rsid w:val="610A52BC"/>
    <w:rsid w:val="611A7247"/>
    <w:rsid w:val="611D2366"/>
    <w:rsid w:val="61421856"/>
    <w:rsid w:val="615227C4"/>
    <w:rsid w:val="61654E3F"/>
    <w:rsid w:val="6182292A"/>
    <w:rsid w:val="619F7F92"/>
    <w:rsid w:val="61F94C26"/>
    <w:rsid w:val="62000E56"/>
    <w:rsid w:val="624F3E49"/>
    <w:rsid w:val="62632286"/>
    <w:rsid w:val="62794B71"/>
    <w:rsid w:val="62885958"/>
    <w:rsid w:val="62F40B65"/>
    <w:rsid w:val="62FC2CFE"/>
    <w:rsid w:val="63024505"/>
    <w:rsid w:val="635600A5"/>
    <w:rsid w:val="635B1DB5"/>
    <w:rsid w:val="63711FED"/>
    <w:rsid w:val="63880DDC"/>
    <w:rsid w:val="638D750D"/>
    <w:rsid w:val="63AC6CC0"/>
    <w:rsid w:val="63BC6393"/>
    <w:rsid w:val="64055776"/>
    <w:rsid w:val="64240056"/>
    <w:rsid w:val="643E143A"/>
    <w:rsid w:val="64491666"/>
    <w:rsid w:val="648B6EEF"/>
    <w:rsid w:val="64C158BF"/>
    <w:rsid w:val="64CE2EAA"/>
    <w:rsid w:val="653C3090"/>
    <w:rsid w:val="657D1B52"/>
    <w:rsid w:val="65854376"/>
    <w:rsid w:val="658767BE"/>
    <w:rsid w:val="65892531"/>
    <w:rsid w:val="66195831"/>
    <w:rsid w:val="662E75B1"/>
    <w:rsid w:val="66342C2E"/>
    <w:rsid w:val="663E784C"/>
    <w:rsid w:val="668B6A45"/>
    <w:rsid w:val="67011F07"/>
    <w:rsid w:val="672F3F24"/>
    <w:rsid w:val="673E055F"/>
    <w:rsid w:val="67551CE3"/>
    <w:rsid w:val="675D6C7F"/>
    <w:rsid w:val="67951406"/>
    <w:rsid w:val="67A22552"/>
    <w:rsid w:val="67B22DCC"/>
    <w:rsid w:val="67BE71AA"/>
    <w:rsid w:val="67D90273"/>
    <w:rsid w:val="67DE5875"/>
    <w:rsid w:val="67E55852"/>
    <w:rsid w:val="67EB1AB4"/>
    <w:rsid w:val="67FA1285"/>
    <w:rsid w:val="68551F4F"/>
    <w:rsid w:val="687354B2"/>
    <w:rsid w:val="687436E1"/>
    <w:rsid w:val="687C10C9"/>
    <w:rsid w:val="68840C16"/>
    <w:rsid w:val="68872541"/>
    <w:rsid w:val="68876EFB"/>
    <w:rsid w:val="68884654"/>
    <w:rsid w:val="68964175"/>
    <w:rsid w:val="689C4BF4"/>
    <w:rsid w:val="689F444F"/>
    <w:rsid w:val="68B96DBB"/>
    <w:rsid w:val="68CA2805"/>
    <w:rsid w:val="68E937A3"/>
    <w:rsid w:val="691664E5"/>
    <w:rsid w:val="693E15D3"/>
    <w:rsid w:val="69627681"/>
    <w:rsid w:val="6977531D"/>
    <w:rsid w:val="69CC2BFF"/>
    <w:rsid w:val="69FD55B8"/>
    <w:rsid w:val="6A0B1C62"/>
    <w:rsid w:val="6A2406C8"/>
    <w:rsid w:val="6A831B37"/>
    <w:rsid w:val="6ADE0BD1"/>
    <w:rsid w:val="6AE96859"/>
    <w:rsid w:val="6B147746"/>
    <w:rsid w:val="6B24787C"/>
    <w:rsid w:val="6B573233"/>
    <w:rsid w:val="6B5B6274"/>
    <w:rsid w:val="6B6932A5"/>
    <w:rsid w:val="6B935D53"/>
    <w:rsid w:val="6BCE7271"/>
    <w:rsid w:val="6C196F71"/>
    <w:rsid w:val="6C226FCB"/>
    <w:rsid w:val="6C31226F"/>
    <w:rsid w:val="6C552F0B"/>
    <w:rsid w:val="6C8C67B7"/>
    <w:rsid w:val="6C9D744C"/>
    <w:rsid w:val="6D167928"/>
    <w:rsid w:val="6D26299B"/>
    <w:rsid w:val="6D4772EC"/>
    <w:rsid w:val="6D723AFA"/>
    <w:rsid w:val="6D9078AF"/>
    <w:rsid w:val="6DAA3FEF"/>
    <w:rsid w:val="6DC0172B"/>
    <w:rsid w:val="6DCB690C"/>
    <w:rsid w:val="6DD41A5B"/>
    <w:rsid w:val="6DF43C2E"/>
    <w:rsid w:val="6DF51CA3"/>
    <w:rsid w:val="6E70494A"/>
    <w:rsid w:val="6E8335BD"/>
    <w:rsid w:val="6E8E12EF"/>
    <w:rsid w:val="6E972936"/>
    <w:rsid w:val="6ED446C5"/>
    <w:rsid w:val="6F2A7D94"/>
    <w:rsid w:val="6F587F1C"/>
    <w:rsid w:val="6F6D42C6"/>
    <w:rsid w:val="6F8331F1"/>
    <w:rsid w:val="6F8E7625"/>
    <w:rsid w:val="6FAE1A09"/>
    <w:rsid w:val="6FCA43D2"/>
    <w:rsid w:val="6FD75BF8"/>
    <w:rsid w:val="6FF675BD"/>
    <w:rsid w:val="707723D0"/>
    <w:rsid w:val="70C64CF5"/>
    <w:rsid w:val="70F5661B"/>
    <w:rsid w:val="71360107"/>
    <w:rsid w:val="713B688E"/>
    <w:rsid w:val="71D43752"/>
    <w:rsid w:val="71F1796A"/>
    <w:rsid w:val="72154626"/>
    <w:rsid w:val="72262B5D"/>
    <w:rsid w:val="72283FF7"/>
    <w:rsid w:val="722E7212"/>
    <w:rsid w:val="722F66B3"/>
    <w:rsid w:val="723A0474"/>
    <w:rsid w:val="725379F6"/>
    <w:rsid w:val="725923E4"/>
    <w:rsid w:val="72864BF7"/>
    <w:rsid w:val="729023FC"/>
    <w:rsid w:val="72C60FDD"/>
    <w:rsid w:val="72E140CA"/>
    <w:rsid w:val="72F0605A"/>
    <w:rsid w:val="73090EC9"/>
    <w:rsid w:val="735D78B7"/>
    <w:rsid w:val="73BA391A"/>
    <w:rsid w:val="73C0646E"/>
    <w:rsid w:val="742222F5"/>
    <w:rsid w:val="74476126"/>
    <w:rsid w:val="74706664"/>
    <w:rsid w:val="747F3682"/>
    <w:rsid w:val="749C4185"/>
    <w:rsid w:val="75067759"/>
    <w:rsid w:val="751D1A49"/>
    <w:rsid w:val="752E6DCD"/>
    <w:rsid w:val="753C15DA"/>
    <w:rsid w:val="7551380D"/>
    <w:rsid w:val="75600BE5"/>
    <w:rsid w:val="7564475C"/>
    <w:rsid w:val="7583797F"/>
    <w:rsid w:val="75D20F1D"/>
    <w:rsid w:val="75DA2C18"/>
    <w:rsid w:val="75F54412"/>
    <w:rsid w:val="761D08E0"/>
    <w:rsid w:val="763E534C"/>
    <w:rsid w:val="765D347C"/>
    <w:rsid w:val="76826699"/>
    <w:rsid w:val="76C87133"/>
    <w:rsid w:val="76CD08D5"/>
    <w:rsid w:val="76DB4B92"/>
    <w:rsid w:val="76FB0E40"/>
    <w:rsid w:val="76FD013A"/>
    <w:rsid w:val="77052AA4"/>
    <w:rsid w:val="77136511"/>
    <w:rsid w:val="77340A39"/>
    <w:rsid w:val="773453A5"/>
    <w:rsid w:val="77351FD0"/>
    <w:rsid w:val="77472422"/>
    <w:rsid w:val="777F31F2"/>
    <w:rsid w:val="777F5BFE"/>
    <w:rsid w:val="77A86F03"/>
    <w:rsid w:val="77D1700D"/>
    <w:rsid w:val="77EC04CC"/>
    <w:rsid w:val="786B7E65"/>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560E98"/>
    <w:rsid w:val="7A615382"/>
    <w:rsid w:val="7A67303B"/>
    <w:rsid w:val="7A810E46"/>
    <w:rsid w:val="7AAB1D04"/>
    <w:rsid w:val="7ABA4368"/>
    <w:rsid w:val="7AD05746"/>
    <w:rsid w:val="7B257FFD"/>
    <w:rsid w:val="7B273D20"/>
    <w:rsid w:val="7B343476"/>
    <w:rsid w:val="7B584CD9"/>
    <w:rsid w:val="7B5A2978"/>
    <w:rsid w:val="7B5A7E4C"/>
    <w:rsid w:val="7B667AF9"/>
    <w:rsid w:val="7B717CD9"/>
    <w:rsid w:val="7B7468F8"/>
    <w:rsid w:val="7BEE0103"/>
    <w:rsid w:val="7BFF035B"/>
    <w:rsid w:val="7C0A0FE4"/>
    <w:rsid w:val="7C254906"/>
    <w:rsid w:val="7C590818"/>
    <w:rsid w:val="7C744746"/>
    <w:rsid w:val="7C7A6994"/>
    <w:rsid w:val="7C7C10F6"/>
    <w:rsid w:val="7C853BEA"/>
    <w:rsid w:val="7C881368"/>
    <w:rsid w:val="7CE27788"/>
    <w:rsid w:val="7D0C32F1"/>
    <w:rsid w:val="7D0F408D"/>
    <w:rsid w:val="7D491C6C"/>
    <w:rsid w:val="7D5429C0"/>
    <w:rsid w:val="7D6E6D43"/>
    <w:rsid w:val="7DB57A34"/>
    <w:rsid w:val="7DDA2CEF"/>
    <w:rsid w:val="7DE60973"/>
    <w:rsid w:val="7DEF0916"/>
    <w:rsid w:val="7E1E5218"/>
    <w:rsid w:val="7E9A4E1F"/>
    <w:rsid w:val="7EA67F14"/>
    <w:rsid w:val="7EA7723A"/>
    <w:rsid w:val="7EF56FBB"/>
    <w:rsid w:val="7F0768EB"/>
    <w:rsid w:val="7F143BEC"/>
    <w:rsid w:val="7F715AF2"/>
    <w:rsid w:val="7F886E69"/>
    <w:rsid w:val="7FEC184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link w:val="265"/>
    <w:autoRedefine/>
    <w:qFormat/>
    <w:uiPriority w:val="0"/>
    <w:pPr>
      <w:spacing w:line="480" w:lineRule="exact"/>
      <w:ind w:firstLine="480" w:firstLineChars="200"/>
    </w:pPr>
    <w:rPr>
      <w:rFonts w:ascii="宋体" w:hAnsi="宋体"/>
      <w:sz w:val="24"/>
    </w:r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Date"/>
    <w:basedOn w:val="1"/>
    <w:next w:val="1"/>
    <w:link w:val="182"/>
    <w:autoRedefine/>
    <w:qFormat/>
    <w:uiPriority w:val="0"/>
    <w:pPr>
      <w:ind w:left="100" w:leftChars="2500"/>
    </w:pPr>
    <w:rPr>
      <w:rFonts w:ascii="宋体"/>
      <w:sz w:val="24"/>
      <w:szCs w:val="21"/>
      <w:lang w:val="zh-CN"/>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6">
    <w:name w:val="endnote text"/>
    <w:basedOn w:val="1"/>
    <w:link w:val="932"/>
    <w:autoRedefine/>
    <w:qFormat/>
    <w:uiPriority w:val="0"/>
    <w:rPr>
      <w:lang w:val="zh-CN"/>
    </w:rPr>
  </w:style>
  <w:style w:type="paragraph" w:styleId="37">
    <w:name w:val="Balloon Text"/>
    <w:basedOn w:val="1"/>
    <w:link w:val="189"/>
    <w:autoRedefine/>
    <w:qFormat/>
    <w:uiPriority w:val="0"/>
    <w:rPr>
      <w:sz w:val="18"/>
      <w:szCs w:val="18"/>
    </w:rPr>
  </w:style>
  <w:style w:type="paragraph" w:styleId="38">
    <w:name w:val="footer"/>
    <w:basedOn w:val="1"/>
    <w:link w:val="383"/>
    <w:autoRedefine/>
    <w:qFormat/>
    <w:uiPriority w:val="99"/>
    <w:pPr>
      <w:tabs>
        <w:tab w:val="center" w:pos="4153"/>
        <w:tab w:val="right" w:pos="8306"/>
      </w:tabs>
      <w:snapToGrid w:val="0"/>
      <w:jc w:val="left"/>
    </w:pPr>
    <w:rPr>
      <w:sz w:val="18"/>
      <w:szCs w:val="18"/>
    </w:rPr>
  </w:style>
  <w:style w:type="paragraph" w:styleId="39">
    <w:name w:val="envelope return"/>
    <w:basedOn w:val="1"/>
    <w:qFormat/>
    <w:uiPriority w:val="0"/>
    <w:pPr>
      <w:snapToGrid w:val="0"/>
    </w:pPr>
    <w:rPr>
      <w:rFonts w:ascii="Arial" w:hAnsi="Arial"/>
    </w:rPr>
  </w:style>
  <w:style w:type="paragraph" w:styleId="40">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5"/>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2"/>
    <w:autoRedefine/>
    <w:qFormat/>
    <w:uiPriority w:val="0"/>
    <w:pPr>
      <w:spacing w:after="120" w:line="480" w:lineRule="auto"/>
    </w:pPr>
  </w:style>
  <w:style w:type="paragraph" w:styleId="56">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next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autoRedefine/>
    <w:qFormat/>
    <w:uiPriority w:val="0"/>
    <w:rPr>
      <w:b/>
      <w:bCs/>
    </w:rPr>
  </w:style>
  <w:style w:type="paragraph" w:styleId="60">
    <w:name w:val="Body Text First Indent"/>
    <w:basedOn w:val="23"/>
    <w:next w:val="1"/>
    <w:link w:val="321"/>
    <w:autoRedefine/>
    <w:qFormat/>
    <w:uiPriority w:val="0"/>
    <w:pPr>
      <w:ind w:firstLine="420"/>
    </w:pPr>
    <w:rPr>
      <w:rFonts w:hAnsi="Calibri" w:cs="Times New Roman"/>
      <w:snapToGrid/>
      <w:szCs w:val="20"/>
    </w:rPr>
  </w:style>
  <w:style w:type="paragraph" w:styleId="61">
    <w:name w:val="Body Text First Indent 2"/>
    <w:basedOn w:val="6"/>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styleId="79">
    <w:name w:val="HTML Sample"/>
    <w:basedOn w:val="69"/>
    <w:autoRedefine/>
    <w:qFormat/>
    <w:uiPriority w:val="0"/>
    <w:rPr>
      <w:rFonts w:ascii="Courier New" w:hAnsi="Courier New"/>
    </w:rPr>
  </w:style>
  <w:style w:type="paragraph" w:customStyle="1" w:styleId="80">
    <w:name w:val="xl53"/>
    <w:basedOn w:val="1"/>
    <w:next w:val="1"/>
    <w:qFormat/>
    <w:uiPriority w:val="0"/>
    <w:pPr>
      <w:spacing w:before="280" w:after="280" w:line="100" w:lineRule="exact"/>
      <w:jc w:val="center"/>
    </w:pPr>
    <w:rPr>
      <w:b/>
      <w:sz w:val="20"/>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59"/>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6"/>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2"/>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24"/>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Char"/>
    <w:link w:val="37"/>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semiHidden/>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locked/>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6"/>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semiHidden/>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
    <w:autoRedefine/>
    <w:qFormat/>
    <w:locked/>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8"/>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locked/>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6"/>
    <w:autoRedefine/>
    <w:qFormat/>
    <w:uiPriority w:val="0"/>
    <w:rPr>
      <w:rFonts w:ascii="黑体" w:hAnsi="Courier New" w:eastAsia="黑体"/>
    </w:rPr>
  </w:style>
  <w:style w:type="character" w:customStyle="1" w:styleId="302">
    <w:name w:val="正文文本 2 Char1"/>
    <w:link w:val="55"/>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5"/>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49"/>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0"/>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1"/>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semiHidden/>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2"/>
    <w:autoRedefine/>
    <w:qFormat/>
    <w:uiPriority w:val="0"/>
    <w:rPr>
      <w:kern w:val="2"/>
      <w:sz w:val="24"/>
    </w:rPr>
  </w:style>
  <w:style w:type="character" w:customStyle="1" w:styleId="376">
    <w:name w:val="日期 Char1"/>
    <w:autoRedefine/>
    <w:semiHidden/>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8"/>
    <w:autoRedefine/>
    <w:qFormat/>
    <w:locked/>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0"/>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5"/>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left" w:pos="2940"/>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locked/>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6"/>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样式 表格正文 + 两端对齐"/>
    <w:basedOn w:val="1"/>
    <w:next w:val="840"/>
    <w:autoRedefine/>
    <w:qFormat/>
    <w:uiPriority w:val="0"/>
    <w:pPr>
      <w:spacing w:line="300" w:lineRule="auto"/>
    </w:pPr>
    <w:rPr>
      <w:sz w:val="24"/>
    </w:rPr>
  </w:style>
  <w:style w:type="paragraph" w:customStyle="1" w:styleId="966">
    <w:name w:val="自动更正"/>
    <w:next w:val="52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7">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59</Pages>
  <Words>23731</Words>
  <Characters>25106</Characters>
  <Lines>281</Lines>
  <Paragraphs>79</Paragraphs>
  <TotalTime>37</TotalTime>
  <ScaleCrop>false</ScaleCrop>
  <LinksUpToDate>false</LinksUpToDate>
  <CharactersWithSpaces>25291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Stickler</cp:lastModifiedBy>
  <cp:lastPrinted>2021-12-27T11:06:00Z</cp:lastPrinted>
  <dcterms:modified xsi:type="dcterms:W3CDTF">2025-07-14T08:41:53Z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35AF57E4E87842F9A260E5C4AD83224F_13</vt:lpwstr>
  </property>
  <property fmtid="{D5CDD505-2E9C-101B-9397-08002B2CF9AE}" pid="5" name="KSOTemplateDocerSaveRecord">
    <vt:lpwstr>eyJoZGlkIjoiNWVjODJlYjE5NDRkN2NiOGUwMWQ5NzU0YzJlYmMyZTQiLCJ1c2VySWQiOiI0NjE0MzQyNzkifQ==</vt:lpwstr>
  </property>
</Properties>
</file>