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color w:val="auto"/>
          <w:sz w:val="24"/>
          <w:highlight w:val="none"/>
        </w:rPr>
      </w:pPr>
    </w:p>
    <w:p w14:paraId="77A9557B">
      <w:pPr>
        <w:spacing w:line="360" w:lineRule="auto"/>
        <w:jc w:val="center"/>
        <w:rPr>
          <w:rFonts w:ascii="宋体" w:hAnsi="宋体" w:cs="宋体"/>
          <w:b/>
          <w:color w:val="auto"/>
          <w:sz w:val="24"/>
          <w:highlight w:val="none"/>
        </w:rPr>
      </w:pPr>
    </w:p>
    <w:p w14:paraId="47548AC0">
      <w:pPr>
        <w:adjustRightInd/>
        <w:spacing w:line="360" w:lineRule="auto"/>
        <w:jc w:val="center"/>
        <w:rPr>
          <w:rFonts w:ascii="宋体" w:hAnsi="宋体" w:cs="宋体"/>
          <w:b/>
          <w:color w:val="auto"/>
          <w:sz w:val="48"/>
          <w:szCs w:val="48"/>
          <w:highlight w:val="none"/>
        </w:rPr>
      </w:pPr>
    </w:p>
    <w:p w14:paraId="499C161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颜三路修缮项目 </w:t>
      </w:r>
    </w:p>
    <w:p w14:paraId="695F9BF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2DE3E0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01EA49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ZJOB-GSCG（CG）-2025003</w:t>
      </w:r>
    </w:p>
    <w:p w14:paraId="2D98097E">
      <w:pPr>
        <w:adjustRightInd/>
        <w:spacing w:line="360" w:lineRule="auto"/>
        <w:rPr>
          <w:rFonts w:ascii="宋体" w:hAnsi="宋体" w:cs="宋体"/>
          <w:color w:val="auto"/>
          <w:sz w:val="28"/>
          <w:szCs w:val="20"/>
          <w:highlight w:val="none"/>
        </w:rPr>
      </w:pPr>
    </w:p>
    <w:p w14:paraId="52A46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B2F3ED0">
      <w:pPr>
        <w:spacing w:line="360" w:lineRule="auto"/>
        <w:jc w:val="center"/>
        <w:rPr>
          <w:rFonts w:ascii="宋体" w:hAnsi="宋体" w:cs="宋体"/>
          <w:b/>
          <w:color w:val="auto"/>
          <w:sz w:val="44"/>
          <w:szCs w:val="44"/>
          <w:highlight w:val="none"/>
        </w:rPr>
      </w:pPr>
      <w:r>
        <w:rPr>
          <w:rFonts w:hint="eastAsia" w:ascii="宋体" w:hAnsi="宋体" w:cs="宋体"/>
          <w:color w:val="auto"/>
          <w:sz w:val="96"/>
          <w:szCs w:val="48"/>
          <w:highlight w:val="none"/>
        </w:rPr>
        <w:drawing>
          <wp:anchor distT="0" distB="0" distL="114300" distR="114300" simplePos="0" relativeHeight="251663360" behindDoc="0" locked="0" layoutInCell="1" allowOverlap="1">
            <wp:simplePos x="0" y="0"/>
            <wp:positionH relativeFrom="column">
              <wp:posOffset>808355</wp:posOffset>
            </wp:positionH>
            <wp:positionV relativeFrom="paragraph">
              <wp:posOffset>27305</wp:posOffset>
            </wp:positionV>
            <wp:extent cx="4800600" cy="7620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6"/>
                    <a:stretch>
                      <a:fillRect/>
                    </a:stretch>
                  </pic:blipFill>
                  <pic:spPr>
                    <a:xfrm>
                      <a:off x="0" y="0"/>
                      <a:ext cx="4800600" cy="762000"/>
                    </a:xfrm>
                    <a:prstGeom prst="rect">
                      <a:avLst/>
                    </a:prstGeom>
                    <a:noFill/>
                    <a:ln cap="flat" cmpd="sng">
                      <a:noFill/>
                      <a:prstDash val="solid"/>
                      <a:round/>
                    </a:ln>
                  </pic:spPr>
                </pic:pic>
              </a:graphicData>
            </a:graphic>
          </wp:anchor>
        </w:drawing>
      </w:r>
    </w:p>
    <w:p w14:paraId="00C6A9BE">
      <w:pPr>
        <w:spacing w:line="360" w:lineRule="auto"/>
        <w:jc w:val="center"/>
        <w:rPr>
          <w:rFonts w:ascii="宋体" w:hAnsi="宋体" w:cs="宋体"/>
          <w:color w:val="auto"/>
          <w:sz w:val="24"/>
          <w:highlight w:val="none"/>
        </w:rPr>
      </w:pPr>
    </w:p>
    <w:p w14:paraId="3693E0E1">
      <w:pPr>
        <w:spacing w:line="360" w:lineRule="auto"/>
        <w:jc w:val="center"/>
        <w:rPr>
          <w:rFonts w:ascii="宋体" w:hAnsi="宋体" w:cs="宋体"/>
          <w:color w:val="auto"/>
          <w:sz w:val="24"/>
          <w:highlight w:val="none"/>
        </w:rPr>
      </w:pPr>
    </w:p>
    <w:p w14:paraId="7382B24D">
      <w:pPr>
        <w:spacing w:line="360" w:lineRule="auto"/>
        <w:rPr>
          <w:rFonts w:ascii="宋体" w:hAnsi="宋体" w:cs="宋体"/>
          <w:color w:val="auto"/>
          <w:sz w:val="32"/>
          <w:szCs w:val="32"/>
          <w:highlight w:val="none"/>
        </w:rPr>
      </w:pPr>
    </w:p>
    <w:p w14:paraId="297BC26E">
      <w:pPr>
        <w:snapToGrid w:val="0"/>
        <w:spacing w:line="360" w:lineRule="auto"/>
        <w:jc w:val="center"/>
        <w:rPr>
          <w:rFonts w:hint="eastAsia" w:ascii="宋体" w:hAnsi="宋体" w:cs="宋体"/>
          <w:color w:val="auto"/>
          <w:sz w:val="32"/>
          <w:szCs w:val="32"/>
          <w:highlight w:val="none"/>
        </w:rPr>
      </w:pPr>
    </w:p>
    <w:p w14:paraId="62F80D4B">
      <w:pPr>
        <w:snapToGrid w:val="0"/>
        <w:spacing w:line="360" w:lineRule="auto"/>
        <w:jc w:val="center"/>
        <w:rPr>
          <w:rFonts w:hint="eastAsia" w:ascii="宋体" w:hAnsi="宋体" w:cs="宋体"/>
          <w:color w:val="auto"/>
          <w:sz w:val="32"/>
          <w:szCs w:val="32"/>
          <w:highlight w:val="none"/>
        </w:rPr>
      </w:pPr>
    </w:p>
    <w:p w14:paraId="477B848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杭州市拱墅区市政养护所</w:t>
      </w:r>
    </w:p>
    <w:p w14:paraId="3CEC253A">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欧邦工程管理集团有限公司</w:t>
      </w:r>
    </w:p>
    <w:p w14:paraId="08D8B6B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pacing w:line="360" w:lineRule="auto"/>
        <w:ind w:firstLine="1280" w:firstLineChars="400"/>
        <w:rPr>
          <w:rFonts w:ascii="宋体" w:hAnsi="宋体" w:cs="宋体"/>
          <w:color w:val="auto"/>
          <w:sz w:val="32"/>
          <w:szCs w:val="32"/>
          <w:highlight w:val="none"/>
        </w:rPr>
      </w:pPr>
    </w:p>
    <w:p w14:paraId="7687037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pacing w:line="360" w:lineRule="auto"/>
        <w:ind w:firstLine="549" w:firstLineChars="229"/>
        <w:rPr>
          <w:rFonts w:ascii="宋体" w:hAnsi="宋体" w:cs="宋体"/>
          <w:color w:val="auto"/>
          <w:sz w:val="24"/>
          <w:highlight w:val="none"/>
        </w:rPr>
      </w:pPr>
    </w:p>
    <w:p w14:paraId="3265EC67">
      <w:pPr>
        <w:spacing w:line="360" w:lineRule="auto"/>
        <w:ind w:firstLine="549" w:firstLineChars="229"/>
        <w:rPr>
          <w:rFonts w:ascii="宋体" w:hAnsi="宋体" w:cs="宋体"/>
          <w:color w:val="auto"/>
          <w:sz w:val="24"/>
          <w:highlight w:val="none"/>
        </w:rPr>
      </w:pPr>
    </w:p>
    <w:p w14:paraId="32A86F4F">
      <w:pPr>
        <w:spacing w:line="360" w:lineRule="auto"/>
        <w:ind w:firstLine="549" w:firstLineChars="229"/>
        <w:rPr>
          <w:rFonts w:ascii="宋体" w:hAnsi="宋体" w:cs="宋体"/>
          <w:color w:val="auto"/>
          <w:sz w:val="24"/>
          <w:highlight w:val="none"/>
        </w:rPr>
      </w:pPr>
    </w:p>
    <w:p w14:paraId="3976C189">
      <w:pPr>
        <w:spacing w:line="360" w:lineRule="auto"/>
        <w:ind w:firstLine="549" w:firstLineChars="229"/>
        <w:rPr>
          <w:rFonts w:ascii="宋体" w:hAnsi="宋体" w:cs="宋体"/>
          <w:color w:val="auto"/>
          <w:sz w:val="24"/>
          <w:highlight w:val="none"/>
        </w:rPr>
      </w:pPr>
    </w:p>
    <w:p w14:paraId="31C95E4F">
      <w:pPr>
        <w:spacing w:line="360" w:lineRule="auto"/>
        <w:ind w:firstLine="549" w:firstLineChars="229"/>
        <w:rPr>
          <w:rFonts w:ascii="宋体" w:hAnsi="宋体" w:cs="宋体"/>
          <w:color w:val="auto"/>
          <w:sz w:val="24"/>
          <w:highlight w:val="none"/>
        </w:rPr>
      </w:pPr>
    </w:p>
    <w:p w14:paraId="679C9843">
      <w:pPr>
        <w:spacing w:line="360" w:lineRule="auto"/>
        <w:ind w:firstLine="549" w:firstLineChars="229"/>
        <w:rPr>
          <w:rFonts w:ascii="宋体" w:hAnsi="宋体" w:cs="宋体"/>
          <w:color w:val="auto"/>
          <w:sz w:val="24"/>
          <w:highlight w:val="none"/>
        </w:rPr>
      </w:pPr>
    </w:p>
    <w:p w14:paraId="4F6FC5E8">
      <w:pPr>
        <w:spacing w:line="360" w:lineRule="auto"/>
        <w:ind w:firstLine="549" w:firstLineChars="229"/>
        <w:rPr>
          <w:rFonts w:ascii="宋体" w:hAnsi="宋体" w:cs="宋体"/>
          <w:color w:val="auto"/>
          <w:sz w:val="24"/>
          <w:highlight w:val="none"/>
        </w:rPr>
      </w:pPr>
    </w:p>
    <w:p w14:paraId="5ED83DF8">
      <w:pPr>
        <w:spacing w:line="360" w:lineRule="auto"/>
        <w:ind w:firstLine="549" w:firstLineChars="229"/>
        <w:rPr>
          <w:rFonts w:ascii="宋体" w:hAnsi="宋体" w:cs="宋体"/>
          <w:color w:val="auto"/>
          <w:sz w:val="24"/>
          <w:highlight w:val="none"/>
        </w:rPr>
      </w:pPr>
    </w:p>
    <w:p w14:paraId="000E2795">
      <w:pPr>
        <w:spacing w:line="360" w:lineRule="auto"/>
        <w:ind w:firstLine="549" w:firstLineChars="229"/>
        <w:rPr>
          <w:rFonts w:ascii="宋体" w:hAnsi="宋体" w:cs="宋体"/>
          <w:color w:val="auto"/>
          <w:sz w:val="24"/>
          <w:highlight w:val="none"/>
        </w:rPr>
      </w:pPr>
    </w:p>
    <w:p w14:paraId="1F5456DF">
      <w:pPr>
        <w:spacing w:line="360" w:lineRule="auto"/>
        <w:ind w:firstLine="549" w:firstLineChars="229"/>
        <w:rPr>
          <w:rFonts w:ascii="宋体" w:hAnsi="宋体" w:cs="宋体"/>
          <w:color w:val="auto"/>
          <w:sz w:val="24"/>
          <w:highlight w:val="none"/>
        </w:rPr>
      </w:pPr>
    </w:p>
    <w:p w14:paraId="63D05FD4">
      <w:pPr>
        <w:spacing w:line="360" w:lineRule="auto"/>
        <w:ind w:firstLine="549" w:firstLineChars="229"/>
        <w:rPr>
          <w:rFonts w:ascii="宋体" w:hAnsi="宋体" w:cs="宋体"/>
          <w:color w:val="auto"/>
          <w:sz w:val="24"/>
          <w:highlight w:val="none"/>
        </w:rPr>
      </w:pPr>
    </w:p>
    <w:p w14:paraId="2D4B33FC">
      <w:pPr>
        <w:spacing w:line="360" w:lineRule="auto"/>
        <w:ind w:firstLine="549" w:firstLineChars="229"/>
        <w:rPr>
          <w:rFonts w:ascii="宋体" w:hAnsi="宋体" w:cs="宋体"/>
          <w:color w:val="auto"/>
          <w:sz w:val="24"/>
          <w:highlight w:val="none"/>
        </w:rPr>
      </w:pPr>
    </w:p>
    <w:p w14:paraId="76F49541">
      <w:pPr>
        <w:spacing w:line="360" w:lineRule="auto"/>
        <w:rPr>
          <w:rFonts w:ascii="宋体" w:hAnsi="宋体" w:cs="宋体"/>
          <w:color w:val="auto"/>
          <w:sz w:val="24"/>
          <w:highlight w:val="none"/>
        </w:rPr>
      </w:pPr>
    </w:p>
    <w:p w14:paraId="3B8DF4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颜三路修缮项目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10</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w:t>
      </w:r>
      <w:r>
        <w:rPr>
          <w:rFonts w:hint="eastAsia" w:ascii="宋体" w:hAnsi="宋体" w:cs="宋体"/>
          <w:color w:val="FF0000"/>
          <w:sz w:val="24"/>
          <w:highlight w:val="none"/>
          <w:u w:val="single"/>
        </w:rPr>
        <w:t>点</w:t>
      </w:r>
      <w:r>
        <w:rPr>
          <w:rFonts w:hint="eastAsia" w:ascii="宋体" w:hAnsi="宋体" w:cs="宋体"/>
          <w:color w:val="FF0000"/>
          <w:sz w:val="24"/>
          <w:highlight w:val="none"/>
          <w:u w:val="single"/>
          <w:lang w:val="en-US" w:eastAsia="zh-CN"/>
        </w:rPr>
        <w:t>30</w:t>
      </w:r>
      <w:r>
        <w:rPr>
          <w:rFonts w:hint="eastAsia" w:ascii="宋体" w:hAnsi="宋体" w:cs="宋体"/>
          <w:color w:val="FF0000"/>
          <w:sz w:val="24"/>
          <w:highlight w:val="none"/>
          <w:u w:val="single"/>
        </w:rPr>
        <w:t>分</w:t>
      </w:r>
      <w:r>
        <w:rPr>
          <w:rFonts w:hint="eastAsia" w:ascii="宋体" w:hAnsi="宋体" w:cs="宋体"/>
          <w:bCs/>
          <w:color w:val="FF0000"/>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ZJOB-GSCG（CG）-2025003</w:t>
      </w:r>
    </w:p>
    <w:p w14:paraId="5CFE629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颜三路修缮项目 </w:t>
      </w:r>
    </w:p>
    <w:p w14:paraId="2B322989">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预算金额（元）：2197646.00</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rPr>
        <w:t xml:space="preserve">  </w:t>
      </w:r>
    </w:p>
    <w:p w14:paraId="24363695">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最高限价（元）：2197646.00</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rPr>
        <w:t xml:space="preserve">  </w:t>
      </w:r>
    </w:p>
    <w:p w14:paraId="74C14250">
      <w:pPr>
        <w:pStyle w:val="18"/>
        <w:spacing w:line="360" w:lineRule="auto"/>
        <w:ind w:firstLine="482" w:firstLineChars="200"/>
        <w:rPr>
          <w:rFonts w:hint="default" w:hAnsi="宋体" w:cs="宋体"/>
          <w:bCs/>
          <w:snapToGrid/>
          <w:color w:val="auto"/>
          <w:kern w:val="2"/>
          <w:sz w:val="24"/>
          <w:szCs w:val="24"/>
          <w:highlight w:val="none"/>
          <w:lang w:val="en-US"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本</w:t>
      </w:r>
      <w:r>
        <w:rPr>
          <w:rFonts w:hint="eastAsia" w:ascii="宋体" w:hAnsi="宋体" w:eastAsia="宋体" w:cs="宋体"/>
          <w:bCs/>
          <w:snapToGrid/>
          <w:color w:val="auto"/>
          <w:kern w:val="2"/>
          <w:sz w:val="24"/>
          <w:szCs w:val="24"/>
          <w:highlight w:val="none"/>
          <w:lang w:eastAsia="zh-CN"/>
        </w:rPr>
        <w:t>项目为</w:t>
      </w:r>
      <w:r>
        <w:rPr>
          <w:rFonts w:hint="eastAsia" w:hAnsi="宋体" w:cs="宋体"/>
          <w:bCs/>
          <w:snapToGrid/>
          <w:color w:val="auto"/>
          <w:kern w:val="2"/>
          <w:sz w:val="24"/>
          <w:szCs w:val="24"/>
          <w:highlight w:val="none"/>
          <w:lang w:eastAsia="zh-CN"/>
        </w:rPr>
        <w:t xml:space="preserve">颜三路修缮项目 </w:t>
      </w:r>
      <w:r>
        <w:rPr>
          <w:rFonts w:hint="eastAsia" w:ascii="宋体" w:hAnsi="宋体" w:eastAsia="宋体" w:cs="宋体"/>
          <w:bCs/>
          <w:snapToGrid/>
          <w:color w:val="auto"/>
          <w:kern w:val="2"/>
          <w:sz w:val="24"/>
          <w:szCs w:val="24"/>
          <w:highlight w:val="none"/>
          <w:lang w:eastAsia="zh-CN"/>
        </w:rPr>
        <w:t>，主要内容：包括</w:t>
      </w:r>
      <w:r>
        <w:rPr>
          <w:rFonts w:hint="eastAsia" w:hAnsi="宋体" w:cs="宋体"/>
          <w:bCs/>
          <w:snapToGrid/>
          <w:color w:val="auto"/>
          <w:kern w:val="2"/>
          <w:sz w:val="24"/>
          <w:szCs w:val="24"/>
          <w:highlight w:val="none"/>
          <w:lang w:val="en-US" w:eastAsia="zh-CN"/>
        </w:rPr>
        <w:t>人行道修复、车行道修复等施工</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w:t>
      </w:r>
      <w:r>
        <w:rPr>
          <w:rFonts w:hint="eastAsia" w:asciiTheme="minorEastAsia" w:hAnsiTheme="minorEastAsia" w:eastAsiaTheme="minorEastAsia"/>
          <w:snapToGrid/>
          <w:color w:val="auto"/>
          <w:kern w:val="2"/>
          <w:sz w:val="24"/>
          <w:szCs w:val="24"/>
          <w:highlight w:val="none"/>
          <w:lang w:val="en-US" w:eastAsia="zh-CN"/>
        </w:rPr>
        <w:t>磋商</w:t>
      </w:r>
      <w:r>
        <w:rPr>
          <w:rFonts w:hint="eastAsia" w:asciiTheme="minorEastAsia" w:hAnsiTheme="minorEastAsia" w:eastAsiaTheme="minorEastAsia"/>
          <w:snapToGrid/>
          <w:color w:val="auto"/>
          <w:kern w:val="2"/>
          <w:sz w:val="24"/>
          <w:szCs w:val="24"/>
          <w:highlight w:val="none"/>
        </w:rPr>
        <w:t>文件第三部分采购需求为准，供应商可点击本公告下方“浏览采购文件”查看采购需求</w:t>
      </w:r>
      <w:r>
        <w:rPr>
          <w:rFonts w:hint="eastAsia" w:hAnsi="宋体" w:cs="宋体"/>
          <w:bCs/>
          <w:snapToGrid/>
          <w:color w:val="auto"/>
          <w:kern w:val="2"/>
          <w:sz w:val="24"/>
          <w:szCs w:val="24"/>
          <w:highlight w:val="none"/>
          <w:lang w:val="en-US" w:eastAsia="zh-CN"/>
        </w:rPr>
        <w:t>。</w:t>
      </w:r>
    </w:p>
    <w:p w14:paraId="01233AD2">
      <w:pPr>
        <w:spacing w:line="360" w:lineRule="auto"/>
        <w:ind w:firstLine="482" w:firstLineChars="200"/>
        <w:rPr>
          <w:rFonts w:ascii="宋体" w:hAnsi="宋体" w:cs="宋体"/>
          <w:color w:val="auto"/>
          <w:highlight w:val="none"/>
        </w:rPr>
      </w:pPr>
      <w:r>
        <w:rPr>
          <w:rFonts w:hint="eastAsia" w:ascii="宋体" w:hAnsi="宋体" w:eastAsia="宋体" w:cs="宋体"/>
          <w:b/>
          <w:snapToGrid w:val="0"/>
          <w:color w:val="auto"/>
          <w:kern w:val="28"/>
          <w:sz w:val="24"/>
          <w:szCs w:val="20"/>
          <w:highlight w:val="none"/>
          <w:lang w:val="en-US" w:eastAsia="zh-CN" w:bidi="ar-SA"/>
        </w:rPr>
        <w:t>合同履约</w:t>
      </w:r>
      <w:r>
        <w:rPr>
          <w:rFonts w:hint="eastAsia" w:ascii="宋体" w:hAnsi="宋体" w:eastAsia="宋体" w:cs="宋体"/>
          <w:b/>
          <w:snapToGrid w:val="0"/>
          <w:color w:val="000000" w:themeColor="text1"/>
          <w:kern w:val="28"/>
          <w:sz w:val="24"/>
          <w:szCs w:val="20"/>
          <w:highlight w:val="none"/>
          <w:lang w:val="en-US" w:eastAsia="zh-CN" w:bidi="ar-SA"/>
          <w14:textFill>
            <w14:solidFill>
              <w14:schemeClr w14:val="tx1"/>
            </w14:solidFill>
          </w14:textFill>
        </w:rPr>
        <w:t>期限：</w:t>
      </w:r>
      <w:r>
        <w:rPr>
          <w:rFonts w:hint="eastAsia" w:ascii="宋体" w:hAnsi="宋体" w:cs="宋体"/>
          <w:b/>
          <w:snapToGrid w:val="0"/>
          <w:color w:val="000000" w:themeColor="text1"/>
          <w:kern w:val="28"/>
          <w:sz w:val="24"/>
          <w:szCs w:val="20"/>
          <w:highlight w:val="none"/>
          <w:lang w:val="en-US" w:eastAsia="zh-CN" w:bidi="ar-SA"/>
          <w14:textFill>
            <w14:solidFill>
              <w14:schemeClr w14:val="tx1"/>
            </w14:solidFill>
          </w14:textFill>
        </w:rPr>
        <w:t>80</w:t>
      </w:r>
      <w:r>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t>日历天。</w:t>
      </w:r>
    </w:p>
    <w:p w14:paraId="1313D475">
      <w:pPr>
        <w:pStyle w:val="18"/>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18"/>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18"/>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5"/>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39ACC8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D68EE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EC8D77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46E6D3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2386B8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1531F759">
      <w:pPr>
        <w:snapToGrid w:val="0"/>
        <w:spacing w:line="360" w:lineRule="auto"/>
        <w:ind w:firstLine="480" w:firstLineChars="200"/>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（1）供应商具有</w:t>
      </w:r>
      <w:r>
        <w:rPr>
          <w:rFonts w:hint="eastAsia" w:ascii="宋体" w:hAnsi="宋体" w:cs="宋体"/>
          <w:b/>
          <w:bCs/>
          <w:color w:val="auto"/>
          <w:sz w:val="24"/>
          <w:highlight w:val="none"/>
          <w:u w:val="single"/>
        </w:rPr>
        <w:t>施工总承包企业市政公用工程(新)三级及以上资质</w:t>
      </w:r>
      <w:r>
        <w:rPr>
          <w:rFonts w:hint="eastAsia" w:ascii="宋体" w:hAnsi="宋体" w:cs="宋体"/>
          <w:color w:val="auto"/>
          <w:sz w:val="24"/>
          <w:highlight w:val="none"/>
          <w:u w:val="single"/>
        </w:rPr>
        <w:t>；</w:t>
      </w:r>
    </w:p>
    <w:p w14:paraId="0E8FFA6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（2）供应商具有</w:t>
      </w:r>
      <w:r>
        <w:rPr>
          <w:rFonts w:hint="eastAsia" w:ascii="宋体" w:hAnsi="宋体" w:cs="宋体"/>
          <w:b/>
          <w:bCs/>
          <w:color w:val="auto"/>
          <w:sz w:val="24"/>
          <w:highlight w:val="none"/>
          <w:u w:val="single"/>
        </w:rPr>
        <w:t>有效的《安全生产许可证》</w:t>
      </w:r>
      <w:r>
        <w:rPr>
          <w:rFonts w:hint="eastAsia" w:ascii="宋体" w:hAnsi="宋体" w:cs="宋体"/>
          <w:color w:val="auto"/>
          <w:sz w:val="24"/>
          <w:highlight w:val="none"/>
          <w:u w:val="single"/>
        </w:rPr>
        <w:t>；（3）企业主要负责人具有有效的三类人员A类证书；拟派现场安全管理人员具有有效的三类人员C类证书；（4）拟派项目负责人具有</w:t>
      </w:r>
      <w:r>
        <w:rPr>
          <w:rFonts w:hint="eastAsia" w:ascii="宋体" w:hAnsi="宋体" w:cs="宋体"/>
          <w:b/>
          <w:bCs/>
          <w:color w:val="auto"/>
          <w:sz w:val="24"/>
          <w:highlight w:val="none"/>
          <w:u w:val="single"/>
        </w:rPr>
        <w:t>市政公用专业二级及以上</w:t>
      </w:r>
      <w:r>
        <w:rPr>
          <w:rFonts w:hint="eastAsia" w:ascii="宋体" w:hAnsi="宋体" w:cs="宋体"/>
          <w:color w:val="auto"/>
          <w:sz w:val="24"/>
          <w:highlight w:val="none"/>
          <w:u w:val="single"/>
        </w:rPr>
        <w:t>注册建造师，同时具有“三类人员”有效B类证书，且无在建工程</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《建筑企业资质标准》</w:t>
      </w:r>
      <w:r>
        <w:rPr>
          <w:rFonts w:hint="eastAsia" w:ascii="宋体" w:hAnsi="宋体" w:cs="宋体"/>
          <w:color w:val="auto"/>
          <w:sz w:val="24"/>
          <w:highlight w:val="none"/>
          <w:u w:val="single"/>
          <w:lang w:eastAsia="zh-CN"/>
        </w:rPr>
        <w:t>、《安全生产许可证条例》、《建筑施工企业安全生产许可证管理规定》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10</w:t>
      </w:r>
      <w:r>
        <w:rPr>
          <w:rFonts w:hint="eastAsia" w:ascii="宋体" w:hAnsi="宋体" w:cs="宋体"/>
          <w:color w:val="FF0000"/>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10</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w:t>
      </w:r>
      <w:r>
        <w:rPr>
          <w:rFonts w:hint="eastAsia" w:ascii="宋体" w:hAnsi="宋体" w:cs="宋体"/>
          <w:color w:val="FF0000"/>
          <w:sz w:val="24"/>
          <w:highlight w:val="none"/>
          <w:u w:val="single"/>
        </w:rPr>
        <w:t>点</w:t>
      </w:r>
      <w:r>
        <w:rPr>
          <w:rFonts w:hint="eastAsia" w:ascii="宋体" w:hAnsi="宋体" w:cs="宋体"/>
          <w:color w:val="FF0000"/>
          <w:sz w:val="24"/>
          <w:highlight w:val="none"/>
          <w:u w:val="single"/>
          <w:lang w:val="en-US" w:eastAsia="zh-CN"/>
        </w:rPr>
        <w:t>30</w:t>
      </w:r>
      <w:r>
        <w:rPr>
          <w:rFonts w:hint="eastAsia" w:ascii="宋体" w:hAnsi="宋体" w:cs="宋体"/>
          <w:color w:val="FF0000"/>
          <w:sz w:val="24"/>
          <w:highlight w:val="none"/>
          <w:u w:val="single"/>
        </w:rPr>
        <w:t>分</w:t>
      </w:r>
      <w:r>
        <w:rPr>
          <w:rFonts w:hint="eastAsia" w:ascii="宋体" w:hAnsi="宋体" w:cs="宋体"/>
          <w:bCs/>
          <w:color w:val="FF0000"/>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DD1BE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10</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w:t>
      </w:r>
      <w:r>
        <w:rPr>
          <w:rFonts w:hint="eastAsia" w:ascii="宋体" w:hAnsi="宋体" w:cs="宋体"/>
          <w:color w:val="FF0000"/>
          <w:sz w:val="24"/>
          <w:highlight w:val="none"/>
          <w:u w:val="single"/>
        </w:rPr>
        <w:t>点</w:t>
      </w:r>
      <w:r>
        <w:rPr>
          <w:rFonts w:hint="eastAsia" w:ascii="宋体" w:hAnsi="宋体" w:cs="宋体"/>
          <w:color w:val="FF0000"/>
          <w:sz w:val="24"/>
          <w:highlight w:val="none"/>
          <w:u w:val="single"/>
          <w:lang w:val="en-US" w:eastAsia="zh-CN"/>
        </w:rPr>
        <w:t>30</w:t>
      </w:r>
      <w:r>
        <w:rPr>
          <w:rFonts w:hint="eastAsia" w:ascii="宋体" w:hAnsi="宋体" w:cs="宋体"/>
          <w:color w:val="FF0000"/>
          <w:sz w:val="24"/>
          <w:highlight w:val="none"/>
          <w:u w:val="single"/>
        </w:rPr>
        <w:t>分</w:t>
      </w:r>
      <w:r>
        <w:rPr>
          <w:rFonts w:hint="eastAsia" w:ascii="宋体" w:hAnsi="宋体" w:cs="宋体"/>
          <w:bCs/>
          <w:color w:val="FF0000"/>
          <w:sz w:val="24"/>
          <w:highlight w:val="none"/>
          <w:u w:val="single"/>
        </w:rPr>
        <w:t>00秒</w:t>
      </w:r>
      <w:bookmarkStart w:id="427" w:name="_GoBack"/>
      <w:bookmarkEnd w:id="427"/>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EE11D5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70784E7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杭州市拱墅区市政养护所</w:t>
      </w:r>
      <w:r>
        <w:rPr>
          <w:rFonts w:hint="eastAsia" w:ascii="宋体" w:hAnsi="宋体" w:cs="宋体"/>
          <w:color w:val="auto"/>
          <w:sz w:val="24"/>
          <w:highlight w:val="none"/>
        </w:rPr>
        <w:t xml:space="preserve">  </w:t>
      </w:r>
    </w:p>
    <w:p w14:paraId="68EC30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rPr>
        <w:t>杭州市拱墅区景苑路32号</w:t>
      </w:r>
      <w:r>
        <w:rPr>
          <w:rFonts w:hint="eastAsia" w:ascii="宋体" w:hAnsi="宋体" w:cs="宋体"/>
          <w:color w:val="auto"/>
          <w:sz w:val="24"/>
          <w:highlight w:val="none"/>
        </w:rPr>
        <w:t xml:space="preserve">     </w:t>
      </w:r>
    </w:p>
    <w:p w14:paraId="7E43781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33CC0F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rPr>
        <w:t>徐工</w:t>
      </w:r>
    </w:p>
    <w:p w14:paraId="600F61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rPr>
        <w:t>0571-88070749</w:t>
      </w:r>
    </w:p>
    <w:p w14:paraId="6EE0A55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rPr>
        <w:t>姚</w:t>
      </w:r>
      <w:r>
        <w:rPr>
          <w:rFonts w:hint="eastAsia" w:ascii="宋体" w:hAnsi="宋体" w:cs="宋体"/>
          <w:color w:val="auto"/>
          <w:sz w:val="24"/>
          <w:lang w:val="en-US" w:eastAsia="zh-CN"/>
        </w:rPr>
        <w:t>工</w:t>
      </w:r>
      <w:r>
        <w:rPr>
          <w:rFonts w:hint="eastAsia" w:ascii="宋体" w:hAnsi="宋体" w:cs="宋体"/>
          <w:color w:val="auto"/>
          <w:sz w:val="24"/>
          <w:highlight w:val="none"/>
        </w:rPr>
        <w:t xml:space="preserve"> </w:t>
      </w:r>
    </w:p>
    <w:p w14:paraId="1B4CF98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rPr>
        <w:t>0571-88809799</w:t>
      </w:r>
      <w:r>
        <w:rPr>
          <w:rFonts w:hint="eastAsia" w:ascii="宋体" w:hAnsi="宋体" w:cs="宋体"/>
          <w:color w:val="auto"/>
          <w:sz w:val="24"/>
          <w:highlight w:val="none"/>
        </w:rPr>
        <w:t xml:space="preserve"> </w:t>
      </w:r>
    </w:p>
    <w:p w14:paraId="62DB06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4F368D39">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欧邦工程管理集团有限公司</w:t>
      </w:r>
    </w:p>
    <w:p w14:paraId="559B844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lang w:eastAsia="zh-CN"/>
        </w:rPr>
        <w:t>杭州市文一西路558号绿城西溪诚园诚公馆1号楼9楼</w:t>
      </w:r>
    </w:p>
    <w:p w14:paraId="49CDB2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431AD9D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 张琛</w:t>
      </w:r>
    </w:p>
    <w:p w14:paraId="5BFEE3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13758250560</w:t>
      </w:r>
    </w:p>
    <w:p w14:paraId="128F80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周波</w:t>
      </w:r>
    </w:p>
    <w:p w14:paraId="1BA5AC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0571-87209515</w:t>
      </w:r>
      <w:r>
        <w:rPr>
          <w:rFonts w:hint="eastAsia" w:ascii="宋体" w:hAnsi="宋体" w:cs="宋体"/>
          <w:color w:val="auto"/>
          <w:sz w:val="24"/>
          <w:highlight w:val="none"/>
        </w:rPr>
        <w:t>（请通过以下路径在线提起质疑：政采云-项目采购-询问质疑投诉-质疑列表）</w:t>
      </w:r>
    </w:p>
    <w:p w14:paraId="7A721B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3DF9C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称：杭州市拱墅区财政局、浙江省政府采购行政裁决服务中心（杭州）</w:t>
      </w:r>
    </w:p>
    <w:p w14:paraId="1D5BED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042B4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623F6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00FFB380">
      <w:pPr>
        <w:snapToGrid w:val="0"/>
        <w:spacing w:line="360" w:lineRule="auto"/>
        <w:ind w:firstLine="480" w:firstLineChars="20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46157A7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政策咨询电话：陈先生、厉先生，0571-89580460、89580456</w:t>
      </w:r>
      <w:r>
        <w:rPr>
          <w:rFonts w:hint="eastAsia" w:ascii="宋体" w:hAnsi="宋体" w:cs="宋体"/>
          <w:color w:val="auto"/>
          <w:sz w:val="24"/>
          <w:highlight w:val="none"/>
        </w:rPr>
        <w:t xml:space="preserve">     </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70B444A4">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5"/>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 xml:space="preserve">颜三路修缮项目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14:paraId="61990839">
            <w:pPr>
              <w:pStyle w:val="6"/>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8D29F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0F199E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劳务  </w:t>
            </w:r>
            <w:r>
              <w:rPr>
                <w:rFonts w:hint="eastAsia" w:ascii="宋体" w:hAnsi="宋体" w:cs="宋体"/>
                <w:color w:val="auto"/>
                <w:sz w:val="24"/>
                <w:highlight w:val="none"/>
              </w:rPr>
              <w:t>工作分包。</w:t>
            </w:r>
          </w:p>
          <w:p w14:paraId="2B5D9C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磋商前答疑会或现场考察</w:t>
            </w:r>
          </w:p>
        </w:tc>
        <w:tc>
          <w:tcPr>
            <w:tcW w:w="6927" w:type="dxa"/>
            <w:vAlign w:val="center"/>
          </w:tcPr>
          <w:p w14:paraId="74CEB301">
            <w:pPr>
              <w:pStyle w:val="83"/>
              <w:spacing w:line="360" w:lineRule="auto"/>
              <w:ind w:firstLine="0" w:firstLineChars="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9D64DF4">
            <w:pPr>
              <w:pStyle w:val="83"/>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481BB1C7">
            <w:pPr>
              <w:pStyle w:val="83"/>
              <w:ind w:firstLine="0" w:firstLineChars="0"/>
              <w:rPr>
                <w:rFonts w:hint="eastAsia" w:ascii="宋体" w:hAnsi="宋体" w:eastAsia="宋体" w:cs="宋体"/>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7D9B4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C1147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CC6BB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FFE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3822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3D9CA10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5CFFF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34265B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8EF6D2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ADDA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9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FF0000"/>
                <w:sz w:val="24"/>
                <w:highlight w:val="none"/>
              </w:rPr>
              <w:t>节能产品、环境标志产品</w:t>
            </w:r>
          </w:p>
        </w:tc>
        <w:tc>
          <w:tcPr>
            <w:tcW w:w="6927" w:type="dxa"/>
            <w:vAlign w:val="center"/>
          </w:tcPr>
          <w:p w14:paraId="2B0710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3F80939">
            <w:pPr>
              <w:pStyle w:val="83"/>
              <w:rPr>
                <w:rFonts w:hint="eastAsia" w:ascii="宋体" w:hAnsi="宋体" w:cs="宋体"/>
                <w:color w:val="auto"/>
                <w:kern w:val="0"/>
                <w:sz w:val="24"/>
                <w:highlight w:val="none"/>
                <w:lang w:eastAsia="zh-CN"/>
              </w:rPr>
            </w:pPr>
            <w:sdt>
              <w:sdtPr>
                <w:rPr>
                  <w:rFonts w:hint="eastAsia" w:ascii="宋体" w:hAnsi="宋体" w:cs="宋体"/>
                  <w:color w:val="auto"/>
                  <w:kern w:val="0"/>
                  <w:sz w:val="24"/>
                  <w:highlight w:val="none"/>
                </w:rPr>
                <w:id w:val="147466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1"/>
                    <w:highlight w:val="none"/>
                    <w:lang w:val="en-US" w:eastAsia="zh-CN" w:bidi="ar-SA"/>
                  </w:rPr>
                  <w:t>☐</w:t>
                </w:r>
              </w:sdtContent>
            </w:sdt>
            <w:r>
              <w:rPr>
                <w:rFonts w:hint="eastAsia" w:ascii="宋体" w:hAnsi="宋体" w:cs="宋体"/>
                <w:color w:val="auto"/>
                <w:kern w:val="0"/>
                <w:sz w:val="24"/>
                <w:highlight w:val="none"/>
                <w:lang w:eastAsia="zh-CN"/>
              </w:rPr>
              <w:t>强制采购。产品：</w:t>
            </w:r>
            <w:r>
              <w:rPr>
                <w:rFonts w:hint="eastAsia" w:ascii="宋体" w:hAnsi="宋体" w:cs="宋体"/>
                <w:color w:val="auto"/>
                <w:kern w:val="0"/>
                <w:sz w:val="24"/>
                <w:highlight w:val="none"/>
                <w:lang w:val="en-US" w:eastAsia="zh-CN"/>
              </w:rPr>
              <w:t xml:space="preserve">     </w:t>
            </w:r>
          </w:p>
          <w:p w14:paraId="5F8A5693">
            <w:pPr>
              <w:pStyle w:val="83"/>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□优先采购节能产品。产品：</w:t>
            </w:r>
            <w:r>
              <w:rPr>
                <w:rFonts w:hint="eastAsia" w:ascii="宋体" w:hAnsi="宋体" w:cs="宋体"/>
                <w:color w:val="auto"/>
                <w:kern w:val="0"/>
                <w:sz w:val="24"/>
                <w:highlight w:val="none"/>
                <w:lang w:val="en-US" w:eastAsia="zh-CN"/>
              </w:rPr>
              <w:t xml:space="preserve">    </w:t>
            </w:r>
          </w:p>
          <w:p w14:paraId="3D72C566">
            <w:pPr>
              <w:pStyle w:val="83"/>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□优先采购环保产品。产品：</w:t>
            </w:r>
            <w:r>
              <w:rPr>
                <w:rFonts w:hint="eastAsia" w:ascii="宋体" w:hAnsi="宋体" w:cs="宋体"/>
                <w:color w:val="auto"/>
                <w:kern w:val="0"/>
                <w:sz w:val="24"/>
                <w:highlight w:val="none"/>
                <w:lang w:val="en-US" w:eastAsia="zh-CN"/>
              </w:rPr>
              <w:t xml:space="preserve">      </w:t>
            </w:r>
          </w:p>
          <w:p w14:paraId="07B2CE76">
            <w:pPr>
              <w:pStyle w:val="83"/>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☑无</w:t>
            </w:r>
          </w:p>
          <w:p w14:paraId="07BE6783">
            <w:pPr>
              <w:pStyle w:val="83"/>
              <w:rPr>
                <w:color w:val="auto"/>
                <w:highlight w:val="none"/>
              </w:rPr>
            </w:pP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4235191C">
            <w:pPr>
              <w:snapToGrid w:val="0"/>
              <w:spacing w:line="360" w:lineRule="auto"/>
              <w:ind w:firstLine="241" w:firstLineChars="100"/>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21AAEA7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5"/>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lang w:eastAsia="zh-CN"/>
              </w:rPr>
              <w:t>杭州市文一西路558号绿城西溪诚园诚公馆1号楼9楼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5088C7A8">
            <w:pPr>
              <w:pStyle w:val="35"/>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eastAsia="zh-CN"/>
              </w:rPr>
              <w:t xml:space="preserve">： 张琛  13758250560 </w:t>
            </w:r>
            <w:r>
              <w:rPr>
                <w:rFonts w:hint="eastAsia" w:hAnsi="宋体" w:cs="宋体"/>
                <w:color w:val="auto"/>
                <w:sz w:val="24"/>
                <w:szCs w:val="24"/>
                <w:highlight w:val="none"/>
              </w:rPr>
              <w:t>。</w:t>
            </w:r>
          </w:p>
          <w:p w14:paraId="339F717B">
            <w:pPr>
              <w:pStyle w:val="35"/>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714" w:type="dxa"/>
            <w:vAlign w:val="top"/>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FF0000"/>
                <w:kern w:val="0"/>
                <w:sz w:val="24"/>
                <w:highlight w:val="none"/>
                <w:u w:val="single"/>
                <w:lang w:val="en-US" w:eastAsia="zh-CN"/>
              </w:rPr>
              <w:t xml:space="preserve">  3</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5234C0AD">
            <w:pPr>
              <w:pStyle w:val="35"/>
              <w:spacing w:line="360" w:lineRule="auto"/>
              <w:rPr>
                <w:sz w:val="24"/>
                <w:szCs w:val="24"/>
                <w:highlight w:val="none"/>
              </w:rPr>
            </w:pPr>
            <w:r>
              <w:rPr>
                <w:rFonts w:hint="eastAsia"/>
                <w:sz w:val="24"/>
                <w:szCs w:val="24"/>
                <w:highlight w:val="none"/>
              </w:rPr>
              <w:t xml:space="preserve">本项目的采购代理费由成交供应商支付，按照采购文件、响应文件、成交结果及相关承诺来拟订，本项目的招标代理服务费按照浙价服【2003】77号文件收费标准48%计取。 </w:t>
            </w:r>
          </w:p>
          <w:p w14:paraId="4CD07D05">
            <w:pPr>
              <w:pStyle w:val="35"/>
              <w:spacing w:line="360" w:lineRule="auto"/>
              <w:rPr>
                <w:sz w:val="24"/>
                <w:szCs w:val="24"/>
                <w:highlight w:val="none"/>
              </w:rPr>
            </w:pPr>
            <w:r>
              <w:rPr>
                <w:rFonts w:hint="eastAsia"/>
                <w:sz w:val="24"/>
                <w:szCs w:val="24"/>
                <w:highlight w:val="none"/>
              </w:rPr>
              <w:t>采购代理服务费包含在投标总价中。在发出成交通知书时由成交供应商一次性支付给采购代理机构（账号信息附下），中标（成交）通知书签发后，成交供应商因自身原因被取消成交资格或放弃成交的，仍须支付采购代理服务费。</w:t>
            </w:r>
          </w:p>
          <w:p w14:paraId="7559104A">
            <w:pPr>
              <w:pStyle w:val="35"/>
              <w:spacing w:line="360" w:lineRule="auto"/>
              <w:rPr>
                <w:rFonts w:hint="eastAsia" w:eastAsia="宋体"/>
                <w:sz w:val="24"/>
                <w:szCs w:val="24"/>
                <w:highlight w:val="none"/>
                <w:lang w:eastAsia="zh-CN"/>
              </w:rPr>
            </w:pPr>
            <w:r>
              <w:rPr>
                <w:rFonts w:hint="eastAsia"/>
                <w:sz w:val="24"/>
                <w:szCs w:val="24"/>
                <w:highlight w:val="none"/>
              </w:rPr>
              <w:t>户  名：</w:t>
            </w:r>
            <w:r>
              <w:rPr>
                <w:rFonts w:hint="eastAsia" w:hAnsi="宋体" w:cs="宋体"/>
                <w:color w:val="auto"/>
                <w:kern w:val="28"/>
                <w:sz w:val="24"/>
                <w:szCs w:val="24"/>
                <w:highlight w:val="none"/>
                <w:lang w:eastAsia="zh-CN"/>
              </w:rPr>
              <w:t>欧邦工程管理集团有限公司</w:t>
            </w:r>
          </w:p>
          <w:p w14:paraId="474458CF">
            <w:pPr>
              <w:pStyle w:val="35"/>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银行账号：201000345676674</w:t>
            </w:r>
          </w:p>
          <w:p w14:paraId="7F415728">
            <w:pPr>
              <w:pStyle w:val="35"/>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开户银行：杭州联合农村商业银行股份有限公司城西支行</w:t>
            </w:r>
          </w:p>
          <w:p w14:paraId="4C362CA1">
            <w:pPr>
              <w:spacing w:line="360" w:lineRule="auto"/>
              <w:rPr>
                <w:rFonts w:ascii="宋体" w:hAnsi="宋体" w:cs="宋体"/>
                <w:snapToGrid w:val="0"/>
                <w:color w:val="auto"/>
                <w:kern w:val="28"/>
                <w:sz w:val="24"/>
                <w:highlight w:val="none"/>
              </w:rPr>
            </w:pPr>
            <w:r>
              <w:rPr>
                <w:rFonts w:hint="eastAsia"/>
                <w:sz w:val="24"/>
                <w:szCs w:val="24"/>
                <w:highlight w:val="none"/>
              </w:rPr>
              <w:t>采购代理服务费缴纳凭证将作为采购人合同付款和验收的前提条件，成交供应商未按采购文件规定和投标承诺缴纳采购代理服务费的，合同款不予支付、合同验收不予通过。</w:t>
            </w:r>
          </w:p>
        </w:tc>
      </w:tr>
    </w:tbl>
    <w:p w14:paraId="3DDF9EE7">
      <w:pPr>
        <w:snapToGrid w:val="0"/>
        <w:spacing w:line="360" w:lineRule="auto"/>
        <w:jc w:val="center"/>
        <w:rPr>
          <w:rFonts w:ascii="宋体" w:hAnsi="宋体" w:cs="宋体"/>
          <w:b/>
          <w:color w:val="auto"/>
          <w:sz w:val="32"/>
          <w:szCs w:val="20"/>
          <w:highlight w:val="none"/>
        </w:rPr>
      </w:pPr>
    </w:p>
    <w:bookmarkEnd w:id="10"/>
    <w:p w14:paraId="5BFEF9FF">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388011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6"/>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93"/>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DAA85B4">
      <w:pPr>
        <w:pStyle w:val="893"/>
        <w:shd w:val="clear" w:color="auto" w:fill="FFFFFF"/>
        <w:snapToGrid w:val="0"/>
        <w:spacing w:after="240" w:afterAutospacing="0" w:line="360" w:lineRule="auto"/>
        <w:ind w:firstLine="480" w:firstLineChars="200"/>
        <w:contextualSpacing/>
        <w:rPr>
          <w:rFonts w:hint="eastAsia"/>
          <w:color w:val="auto"/>
          <w:highlight w:val="none"/>
        </w:rPr>
      </w:pPr>
    </w:p>
    <w:p w14:paraId="0450B80C">
      <w:pPr>
        <w:pStyle w:val="893"/>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02FEA4B4">
      <w:pPr>
        <w:pStyle w:val="135"/>
        <w:snapToGrid w:val="0"/>
        <w:spacing w:before="0"/>
        <w:ind w:firstLine="360"/>
        <w:rPr>
          <w:rFonts w:ascii="宋体" w:hAnsi="宋体" w:cs="宋体"/>
          <w:color w:val="auto"/>
          <w:sz w:val="18"/>
          <w:szCs w:val="18"/>
          <w:highlight w:val="none"/>
        </w:rPr>
      </w:pP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
        <w:rPr>
          <w:rFonts w:hAnsi="宋体" w:cs="宋体"/>
          <w:color w:val="auto"/>
          <w:sz w:val="18"/>
          <w:szCs w:val="18"/>
          <w:highlight w:val="none"/>
          <w:lang w:val="en-US"/>
        </w:rPr>
      </w:pP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6275EFF">
      <w:pPr>
        <w:snapToGrid w:val="0"/>
        <w:spacing w:line="360" w:lineRule="auto"/>
        <w:ind w:firstLine="960" w:firstLineChars="4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11.1.4.1</w:t>
      </w:r>
      <w:r>
        <w:rPr>
          <w:rFonts w:hint="eastAsia" w:ascii="宋体" w:hAnsi="宋体" w:cs="宋体"/>
          <w:color w:val="000000" w:themeColor="text1"/>
          <w:sz w:val="24"/>
          <w:highlight w:val="none"/>
          <w:u w:val="none"/>
          <w14:textFill>
            <w14:solidFill>
              <w14:schemeClr w14:val="tx1"/>
            </w14:solidFill>
          </w14:textFill>
        </w:rPr>
        <w:t>供应商具有施工总承包企业市政公用工程(新)三级及以上资质；</w:t>
      </w:r>
    </w:p>
    <w:p w14:paraId="07C35C3D">
      <w:pPr>
        <w:snapToGrid w:val="0"/>
        <w:spacing w:line="360" w:lineRule="auto"/>
        <w:ind w:firstLine="960" w:firstLineChars="4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11.1.4.2</w:t>
      </w:r>
      <w:r>
        <w:rPr>
          <w:rFonts w:hint="eastAsia" w:ascii="宋体" w:hAnsi="宋体" w:cs="宋体"/>
          <w:color w:val="000000" w:themeColor="text1"/>
          <w:sz w:val="24"/>
          <w:highlight w:val="none"/>
          <w:u w:val="none"/>
          <w14:textFill>
            <w14:solidFill>
              <w14:schemeClr w14:val="tx1"/>
            </w14:solidFill>
          </w14:textFill>
        </w:rPr>
        <w:t>供应商具有有效的《安全生产许可证》；</w:t>
      </w:r>
    </w:p>
    <w:p w14:paraId="4E5BD394">
      <w:pPr>
        <w:snapToGrid w:val="0"/>
        <w:spacing w:line="360" w:lineRule="auto"/>
        <w:ind w:firstLine="960" w:firstLineChars="4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11.1.4.3</w:t>
      </w:r>
      <w:r>
        <w:rPr>
          <w:rFonts w:hint="eastAsia" w:ascii="宋体" w:hAnsi="宋体" w:cs="宋体"/>
          <w:color w:val="000000" w:themeColor="text1"/>
          <w:sz w:val="24"/>
          <w:highlight w:val="none"/>
          <w:u w:val="none"/>
          <w14:textFill>
            <w14:solidFill>
              <w14:schemeClr w14:val="tx1"/>
            </w14:solidFill>
          </w14:textFill>
        </w:rPr>
        <w:t>企业主要负责人具有有效的三类人员A类证书；拟派现场安全管理人员具有有效的三类人员C类证书；</w:t>
      </w:r>
    </w:p>
    <w:p w14:paraId="3BD9A419">
      <w:pPr>
        <w:snapToGrid w:val="0"/>
        <w:spacing w:line="360" w:lineRule="auto"/>
        <w:ind w:firstLine="960" w:firstLineChars="400"/>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11.1.4.4</w:t>
      </w:r>
      <w:r>
        <w:rPr>
          <w:rFonts w:hint="eastAsia" w:ascii="宋体" w:hAnsi="宋体" w:cs="宋体"/>
          <w:color w:val="000000" w:themeColor="text1"/>
          <w:sz w:val="24"/>
          <w:highlight w:val="none"/>
          <w:u w:val="none"/>
          <w14:textFill>
            <w14:solidFill>
              <w14:schemeClr w14:val="tx1"/>
            </w14:solidFill>
          </w14:textFill>
        </w:rPr>
        <w:t>拟派项目负责人具有市政公用专业二级及以上注册建造师，同时具有“三类人员”有效B类证书，且无在建工程</w:t>
      </w:r>
      <w:r>
        <w:rPr>
          <w:rFonts w:hint="eastAsia" w:ascii="宋体" w:hAnsi="宋体" w:cs="宋体"/>
          <w:color w:val="000000" w:themeColor="text1"/>
          <w:sz w:val="24"/>
          <w:highlight w:val="none"/>
          <w:u w:val="none"/>
          <w:lang w:eastAsia="zh-CN"/>
          <w14:textFill>
            <w14:solidFill>
              <w14:schemeClr w14:val="tx1"/>
            </w14:solidFill>
          </w14:textFill>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261EDA9F">
      <w:pPr>
        <w:snapToGrid w:val="0"/>
        <w:spacing w:line="360" w:lineRule="auto"/>
        <w:ind w:firstLine="960" w:firstLineChars="400"/>
        <w:rPr>
          <w:rFonts w:ascii="宋体" w:hAnsi="宋体" w:cs="宋体"/>
          <w:color w:val="auto"/>
          <w:sz w:val="24"/>
          <w:highlight w:val="none"/>
          <w:u w:val="singl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813BFC">
      <w:pPr>
        <w:pStyle w:val="135"/>
        <w:snapToGrid w:val="0"/>
        <w:spacing w:before="0"/>
        <w:ind w:firstLine="0" w:firstLineChars="0"/>
        <w:rPr>
          <w:rFonts w:ascii="宋体" w:hAnsi="宋体" w:cs="宋体"/>
          <w:b/>
          <w:color w:val="auto"/>
          <w:szCs w:val="24"/>
          <w:highlight w:val="none"/>
        </w:rPr>
      </w:pPr>
    </w:p>
    <w:p w14:paraId="4FA2F12E">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5"/>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5"/>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5"/>
        <w:spacing w:before="0"/>
        <w:ind w:firstLine="643"/>
        <w:rPr>
          <w:rFonts w:ascii="宋体" w:hAnsi="宋体" w:cs="宋体"/>
          <w:b/>
          <w:color w:val="auto"/>
          <w:sz w:val="32"/>
          <w:highlight w:val="none"/>
        </w:rPr>
      </w:pP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61"/>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61"/>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5"/>
        <w:spacing w:before="0"/>
        <w:ind w:firstLine="0" w:firstLineChars="0"/>
        <w:rPr>
          <w:rFonts w:ascii="宋体" w:hAnsi="宋体" w:cs="宋体"/>
          <w:color w:val="auto"/>
          <w:kern w:val="0"/>
          <w:szCs w:val="24"/>
          <w:highlight w:val="none"/>
        </w:rPr>
      </w:pP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pacing w:line="360" w:lineRule="auto"/>
        <w:rPr>
          <w:rFonts w:ascii="宋体" w:hAnsi="宋体" w:cs="宋体"/>
          <w:b/>
          <w:color w:val="auto"/>
          <w:sz w:val="24"/>
          <w:highlight w:val="none"/>
        </w:rPr>
      </w:pP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color w:val="auto"/>
          <w:sz w:val="32"/>
          <w:highlight w:val="none"/>
        </w:rPr>
      </w:pP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7"/>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7"/>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7"/>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6"/>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7674042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rPr>
          <w:color w:val="auto"/>
          <w:highlight w:val="none"/>
        </w:rPr>
      </w:pPr>
    </w:p>
    <w:p w14:paraId="7AA8E11D">
      <w:pPr>
        <w:snapToGrid w:val="0"/>
        <w:spacing w:line="360" w:lineRule="auto"/>
        <w:ind w:firstLine="3357" w:firstLineChars="1045"/>
        <w:rPr>
          <w:rFonts w:ascii="宋体" w:hAnsi="宋体" w:cs="宋体"/>
          <w:b/>
          <w:color w:val="auto"/>
          <w:sz w:val="32"/>
          <w:highlight w:val="none"/>
        </w:rPr>
      </w:pP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5"/>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color w:val="auto"/>
          <w:sz w:val="24"/>
          <w:highlight w:val="none"/>
        </w:rPr>
      </w:pP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7"/>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68072990"/>
      <w:bookmarkEnd w:id="19"/>
      <w:bookmarkStart w:id="20" w:name="_Hlt74714665"/>
      <w:bookmarkEnd w:id="20"/>
      <w:bookmarkStart w:id="21" w:name="_Hlt68057669"/>
      <w:bookmarkEnd w:id="21"/>
      <w:bookmarkStart w:id="22" w:name="_Hlt68073093"/>
      <w:bookmarkEnd w:id="22"/>
      <w:bookmarkStart w:id="23" w:name="_Hlt68403820"/>
      <w:bookmarkEnd w:id="23"/>
      <w:bookmarkStart w:id="24" w:name="_Hlt75236290"/>
      <w:bookmarkEnd w:id="24"/>
      <w:bookmarkStart w:id="25" w:name="_Hlt74707468"/>
      <w:bookmarkEnd w:id="25"/>
      <w:bookmarkStart w:id="26" w:name="_Hlt74730295"/>
      <w:bookmarkEnd w:id="26"/>
      <w:bookmarkStart w:id="27" w:name="_Hlt74729768"/>
      <w:bookmarkEnd w:id="27"/>
      <w:bookmarkStart w:id="28" w:name="_Hlt75236101"/>
      <w:bookmarkEnd w:id="28"/>
      <w:bookmarkStart w:id="29" w:name="_Hlt68072998"/>
      <w:bookmarkEnd w:id="29"/>
      <w:bookmarkStart w:id="30" w:name="_Hlt75236011"/>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DDEB991">
      <w:pPr>
        <w:pStyle w:val="84"/>
        <w:rPr>
          <w:color w:val="auto"/>
          <w:highlight w:val="none"/>
        </w:rPr>
        <w:sectPr>
          <w:pgSz w:w="11906" w:h="16838"/>
          <w:pgMar w:top="1440" w:right="1080" w:bottom="1440" w:left="1080" w:header="851" w:footer="992" w:gutter="0"/>
          <w:cols w:space="720" w:num="1"/>
          <w:titlePg/>
          <w:docGrid w:linePitch="312" w:charSpace="0"/>
        </w:sectPr>
      </w:pPr>
    </w:p>
    <w:bookmarkEnd w:id="13"/>
    <w:bookmarkEnd w:id="14"/>
    <w:p w14:paraId="60696D02">
      <w:pPr>
        <w:pStyle w:val="35"/>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11551FB5">
      <w:pPr>
        <w:pageBreakBefore w:val="0"/>
        <w:kinsoku/>
        <w:wordWrap/>
        <w:overflowPunct/>
        <w:topLinePunct w:val="0"/>
        <w:bidi w:val="0"/>
        <w:adjustRightInd w:val="0"/>
        <w:spacing w:line="360" w:lineRule="auto"/>
        <w:ind w:left="0" w:leftChars="0"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p>
    <w:p w14:paraId="1B642F3C">
      <w:pPr>
        <w:snapToGrid w:val="0"/>
        <w:spacing w:line="360" w:lineRule="auto"/>
        <w:ind w:firstLine="480" w:firstLineChars="200"/>
        <w:rPr>
          <w:rFonts w:ascii="宋体" w:hAnsi="宋体" w:cs="宋体"/>
          <w:color w:val="auto"/>
          <w:sz w:val="24"/>
          <w:u w:color="000000"/>
        </w:rPr>
      </w:pPr>
      <w:r>
        <w:rPr>
          <w:rFonts w:hint="eastAsia" w:ascii="宋体" w:hAnsi="宋体" w:cs="宋体"/>
          <w:color w:val="auto"/>
          <w:kern w:val="0"/>
          <w:sz w:val="24"/>
        </w:rPr>
        <w:t>1</w:t>
      </w:r>
      <w:r>
        <w:rPr>
          <w:rFonts w:hint="eastAsia" w:ascii="宋体" w:hAnsi="宋体" w:cs="宋体"/>
          <w:color w:val="FF0000"/>
          <w:kern w:val="0"/>
          <w:sz w:val="24"/>
        </w:rPr>
        <w:t>.</w:t>
      </w:r>
      <w:r>
        <w:rPr>
          <w:rFonts w:hint="eastAsia" w:ascii="宋体" w:hAnsi="宋体" w:cs="宋体"/>
          <w:color w:val="FF0000"/>
          <w:sz w:val="24"/>
          <w:u w:color="000000"/>
        </w:rPr>
        <w:t>采购预算</w:t>
      </w:r>
      <w:r>
        <w:rPr>
          <w:rFonts w:hint="eastAsia" w:ascii="宋体" w:hAnsi="宋体" w:cs="宋体"/>
          <w:color w:val="FF0000"/>
          <w:sz w:val="24"/>
          <w:u w:color="000000"/>
          <w:lang w:eastAsia="zh-CN"/>
        </w:rPr>
        <w:t>：</w:t>
      </w:r>
      <w:r>
        <w:rPr>
          <w:rFonts w:hint="eastAsia" w:ascii="宋体" w:hAnsi="宋体" w:cs="宋体"/>
          <w:color w:val="FF0000"/>
          <w:sz w:val="24"/>
          <w:u w:color="000000"/>
          <w:lang w:val="en-US" w:eastAsia="zh-CN"/>
        </w:rPr>
        <w:t xml:space="preserve">  </w:t>
      </w:r>
      <w:r>
        <w:rPr>
          <w:rFonts w:hint="eastAsia" w:ascii="宋体" w:hAnsi="宋体" w:cs="宋体"/>
          <w:color w:val="FF0000"/>
          <w:sz w:val="24"/>
          <w:u w:color="000000"/>
        </w:rPr>
        <w:t>万元，最高限价</w:t>
      </w:r>
      <w:r>
        <w:rPr>
          <w:rFonts w:hint="eastAsia" w:ascii="宋体" w:hAnsi="宋体" w:cs="宋体"/>
          <w:color w:val="FF0000"/>
          <w:sz w:val="24"/>
          <w:u w:color="000000"/>
          <w:lang w:eastAsia="zh-CN"/>
        </w:rPr>
        <w:t>：</w:t>
      </w:r>
      <w:r>
        <w:rPr>
          <w:rFonts w:hint="eastAsia" w:ascii="宋体" w:hAnsi="宋体" w:cs="宋体"/>
          <w:color w:val="FF0000"/>
          <w:sz w:val="24"/>
          <w:u w:color="000000"/>
          <w:lang w:val="en-US" w:eastAsia="zh-CN"/>
        </w:rPr>
        <w:t xml:space="preserve"> </w:t>
      </w:r>
      <w:r>
        <w:rPr>
          <w:rFonts w:hint="eastAsia" w:ascii="宋体" w:hAnsi="宋体" w:cs="宋体"/>
          <w:color w:val="FF0000"/>
          <w:sz w:val="24"/>
          <w:u w:color="000000"/>
        </w:rPr>
        <w:t>万元。</w:t>
      </w:r>
    </w:p>
    <w:p w14:paraId="0C39E69F">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2.施工内容：</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包括</w:t>
      </w:r>
      <w:r>
        <w:rPr>
          <w:rFonts w:hint="eastAsia" w:hAnsi="宋体" w:cs="宋体"/>
          <w:bCs/>
          <w:snapToGrid/>
          <w:color w:val="000000" w:themeColor="text1"/>
          <w:kern w:val="2"/>
          <w:sz w:val="24"/>
          <w:szCs w:val="24"/>
          <w:highlight w:val="none"/>
          <w:lang w:val="en-US" w:eastAsia="zh-CN"/>
          <w14:textFill>
            <w14:solidFill>
              <w14:schemeClr w14:val="tx1"/>
            </w14:solidFill>
          </w14:textFill>
        </w:rPr>
        <w:t>人行道修复、车行道修复等施工</w:t>
      </w:r>
      <w:r>
        <w:rPr>
          <w:rFonts w:hint="eastAsia" w:ascii="宋体" w:hAnsi="宋体" w:cs="宋体"/>
          <w:color w:val="000000" w:themeColor="text1"/>
          <w:kern w:val="0"/>
          <w:sz w:val="24"/>
          <w:highlight w:val="none"/>
          <w14:textFill>
            <w14:solidFill>
              <w14:schemeClr w14:val="tx1"/>
            </w14:solidFill>
          </w14:textFill>
        </w:rPr>
        <w:t>。</w:t>
      </w:r>
    </w:p>
    <w:p w14:paraId="1AEB5B6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3.项目工期：</w:t>
      </w:r>
      <w:r>
        <w:rPr>
          <w:rFonts w:hint="eastAsia" w:ascii="宋体" w:hAnsi="宋体" w:cs="宋体"/>
          <w:color w:val="000000" w:themeColor="text1"/>
          <w:kern w:val="0"/>
          <w:sz w:val="24"/>
          <w:highlight w:val="none"/>
          <w:lang w:val="en-US" w:eastAsia="zh-CN"/>
          <w14:textFill>
            <w14:solidFill>
              <w14:schemeClr w14:val="tx1"/>
            </w14:solidFill>
          </w14:textFill>
        </w:rPr>
        <w:t>80</w:t>
      </w:r>
      <w:r>
        <w:rPr>
          <w:rFonts w:hint="eastAsia" w:ascii="宋体" w:hAnsi="宋体" w:cs="宋体"/>
          <w:color w:val="000000" w:themeColor="text1"/>
          <w:kern w:val="0"/>
          <w:sz w:val="24"/>
          <w:highlight w:val="none"/>
          <w14:textFill>
            <w14:solidFill>
              <w14:schemeClr w14:val="tx1"/>
            </w14:solidFill>
          </w14:textFill>
        </w:rPr>
        <w:t>日历天</w:t>
      </w:r>
    </w:p>
    <w:p w14:paraId="7D0A1F86">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4.施工地点：</w:t>
      </w:r>
      <w:r>
        <w:rPr>
          <w:rFonts w:hint="eastAsia" w:ascii="宋体" w:hAnsi="宋体" w:cs="宋体"/>
          <w:color w:val="000000" w:themeColor="text1"/>
          <w:sz w:val="24"/>
          <w:highlight w:val="none"/>
          <w14:textFill>
            <w14:solidFill>
              <w14:schemeClr w14:val="tx1"/>
            </w14:solidFill>
          </w14:textFill>
        </w:rPr>
        <w:t>杭州市拱墅区</w:t>
      </w:r>
      <w:r>
        <w:rPr>
          <w:rFonts w:hint="eastAsia" w:ascii="宋体" w:hAnsi="宋体" w:cs="宋体"/>
          <w:color w:val="000000" w:themeColor="text1"/>
          <w:kern w:val="0"/>
          <w:sz w:val="24"/>
          <w:highlight w:val="none"/>
          <w14:textFill>
            <w14:solidFill>
              <w14:schemeClr w14:val="tx1"/>
            </w14:solidFill>
          </w14:textFill>
        </w:rPr>
        <w:t>。</w:t>
      </w:r>
    </w:p>
    <w:p w14:paraId="610668C4">
      <w:pPr>
        <w:spacing w:line="360" w:lineRule="auto"/>
        <w:ind w:firstLine="480" w:firstLineChars="200"/>
        <w:rPr>
          <w:rFonts w:ascii="宋体" w:hAnsi="宋体" w:cs="宋体"/>
          <w:color w:val="auto"/>
          <w:sz w:val="24"/>
        </w:rPr>
      </w:pPr>
    </w:p>
    <w:p w14:paraId="35340CB0">
      <w:pPr>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二、项目施工要求</w:t>
      </w:r>
    </w:p>
    <w:p w14:paraId="1296019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1、按国家、省市现行有关技术规范标准进行施工，确保项目质量。</w:t>
      </w:r>
    </w:p>
    <w:p w14:paraId="0B31D87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2、服从采购人的进程安排，及时进场并保证工期。</w:t>
      </w:r>
    </w:p>
    <w:p w14:paraId="1D80F6C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3、应严格按本次项目采购的规定要求履行并承担自己的职责。</w:t>
      </w:r>
    </w:p>
    <w:p w14:paraId="67B74FD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4、按采购人审定的图纸要求、合同条款、技术规范和工程量清单和材料的要求，承担项目的施工、建成及其后期缺陷修复工作。</w:t>
      </w:r>
    </w:p>
    <w:p w14:paraId="2F9FA88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5、负责施工场地的安全文明生产。</w:t>
      </w:r>
    </w:p>
    <w:p w14:paraId="5FD1EDD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6、建立项目施工的质量保证体系。</w:t>
      </w:r>
    </w:p>
    <w:p w14:paraId="49659D2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7、负责施工场地、人员、车辆、机械设备、原材料等的施工保障。</w:t>
      </w:r>
    </w:p>
    <w:p w14:paraId="7C34A06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8、接受采购人、监理对文明施工、安全施工、质量、施工时效等的监管。</w:t>
      </w:r>
    </w:p>
    <w:p w14:paraId="0758129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9、采购人、监理在巡查过程中发现供应商在施工中不按国家有关标准施工，有权责令返工；</w:t>
      </w:r>
    </w:p>
    <w:p w14:paraId="6C568A8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10、供应商有下列行为之一的，采购人有权终止合同。</w:t>
      </w:r>
    </w:p>
    <w:p w14:paraId="54D8C15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A、不符合工程技术标准的；</w:t>
      </w:r>
    </w:p>
    <w:p w14:paraId="5932479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B、偷工减料的；</w:t>
      </w:r>
    </w:p>
    <w:p w14:paraId="18A9EA9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C、不按图施工的；</w:t>
      </w:r>
    </w:p>
    <w:p w14:paraId="6AF768B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D、造成重特大责任事故的；</w:t>
      </w:r>
    </w:p>
    <w:p w14:paraId="17189CA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E、不文明安全施工的；</w:t>
      </w:r>
    </w:p>
    <w:p w14:paraId="61FD79E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F、不服从现场指挥的；</w:t>
      </w:r>
    </w:p>
    <w:p w14:paraId="7994B07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G、全部或部分工程转包、分包。</w:t>
      </w:r>
    </w:p>
    <w:p w14:paraId="62E43A0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11、供应商对施工场地周边一定范围环境负有责任，如：施工中不得随意排放泥浆和其他浑浊废弃物，不得随意抛掷各类垃圾、建筑材料等杂物；运输建筑材料、垃圾的车辆应采取有效措施保证行驶途中不污染道路和环境等。费用由供应商承担，相关费用含在报价中。</w:t>
      </w:r>
    </w:p>
    <w:p w14:paraId="7FBD53B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12、本工程完工后，供应商需及时清理现场残余建筑垃圾，做好完工退场准备。</w:t>
      </w:r>
    </w:p>
    <w:p w14:paraId="2598569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13、供应商须根据总工期充分考虑组织措施增加费，技术措施增加费，人员、机械窝工及相关全部费用，并计入报价。同时供应商须在进场施工前详细编排针对本项目的施工组织设计安排、施工进度安排、赶工方案、质量把控等具体施工服务措施及方案。</w:t>
      </w:r>
    </w:p>
    <w:p w14:paraId="0424AF16">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14、因项目实施期间，相关施工区域仍将维持正常运行，为减少对正常办公秩序的影响，要求确保文明施工措施到位。</w:t>
      </w:r>
    </w:p>
    <w:p w14:paraId="100ADA2F">
      <w:pPr>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lang w:val="en-US" w:eastAsia="zh-CN"/>
        </w:rPr>
        <w:t>15、</w:t>
      </w:r>
      <w:r>
        <w:rPr>
          <w:rFonts w:hint="eastAsia" w:ascii="宋体" w:hAnsi="宋体" w:cs="宋体"/>
          <w:b/>
          <w:bCs/>
          <w:color w:val="auto"/>
          <w:sz w:val="24"/>
        </w:rPr>
        <w:t>人行道板，平石，侧石等需要现场切割的尽量集中场地切割后运至现场。如特殊原因需要现场切割的必须做好降尘处理，提供现场降尘设备并满足环保部门对降尘的相关要求。</w:t>
      </w:r>
    </w:p>
    <w:p w14:paraId="2451413F">
      <w:pPr>
        <w:snapToGrid w:val="0"/>
        <w:spacing w:line="360" w:lineRule="auto"/>
        <w:ind w:firstLine="482" w:firstLineChars="200"/>
        <w:rPr>
          <w:rFonts w:ascii="宋体" w:hAnsi="宋体" w:cs="宋体"/>
          <w:b/>
          <w:bCs/>
          <w:color w:val="auto"/>
          <w:kern w:val="0"/>
          <w:sz w:val="24"/>
        </w:rPr>
      </w:pPr>
    </w:p>
    <w:p w14:paraId="68614195">
      <w:pPr>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三、安全责任</w:t>
      </w:r>
    </w:p>
    <w:p w14:paraId="4A7EB7B5">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1、施工单位必须按规定办理有关保险。供应商应自行承担合同履行过程中的安全生产责任，如有任何人身意外伤害责任、财产损失，均与采购人无关，由供应商位承担全部责任和费用。</w:t>
      </w:r>
    </w:p>
    <w:p w14:paraId="2A7B68E4">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2、施工单位应制定安全生产计划、制定安全措施、施工注意安全防护、落实安全生产制度、设置专门的安全员、做好安全生产台账记录等。</w:t>
      </w:r>
    </w:p>
    <w:p w14:paraId="068971C4">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3、在施工安装期间，施工单位负责所需的起重、运输、施工机械等辅助设施设备，所有设施设备都须符合安全作业要求。</w:t>
      </w:r>
    </w:p>
    <w:p w14:paraId="4D7A0F16">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4、质量保证期：供应商在质保期内，无故拒绝提供质量保修要求的服务或无故拒绝承担保修费用的，采购人有权通过法律途径向供应商提出索赔。</w:t>
      </w:r>
    </w:p>
    <w:p w14:paraId="467055BE">
      <w:pPr>
        <w:snapToGrid w:val="0"/>
        <w:spacing w:line="360" w:lineRule="auto"/>
        <w:ind w:firstLine="482" w:firstLineChars="200"/>
        <w:rPr>
          <w:rFonts w:ascii="宋体" w:hAnsi="宋体" w:cs="宋体"/>
          <w:b/>
          <w:bCs/>
          <w:color w:val="auto"/>
          <w:kern w:val="0"/>
          <w:sz w:val="24"/>
        </w:rPr>
      </w:pPr>
    </w:p>
    <w:p w14:paraId="06E94D13">
      <w:pPr>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四、项目质量目标</w:t>
      </w:r>
    </w:p>
    <w:p w14:paraId="2EC21AEC">
      <w:pPr>
        <w:pageBreakBefore w:val="0"/>
        <w:kinsoku/>
        <w:wordWrap/>
        <w:overflowPunct/>
        <w:topLinePunct w:val="0"/>
        <w:bidi w:val="0"/>
        <w:adjustRightInd w:val="0"/>
        <w:spacing w:line="360" w:lineRule="auto"/>
        <w:ind w:left="0" w:leftChars="0" w:firstLine="480" w:firstLineChars="200"/>
        <w:jc w:val="left"/>
        <w:rPr>
          <w:rFonts w:hint="eastAsia" w:ascii="宋体" w:hAnsi="宋体" w:cs="宋体"/>
          <w:color w:val="auto"/>
          <w:sz w:val="24"/>
          <w:highlight w:val="none"/>
          <w:lang w:eastAsia="zh-CN"/>
        </w:rPr>
      </w:pPr>
      <w:r>
        <w:rPr>
          <w:rFonts w:hint="eastAsia" w:ascii="宋体" w:hAnsi="宋体" w:cs="宋体"/>
          <w:color w:val="auto"/>
          <w:kern w:val="0"/>
          <w:sz w:val="24"/>
        </w:rPr>
        <w:t>1、符合（工程施工质量验收规范）合格标准。</w:t>
      </w:r>
    </w:p>
    <w:p w14:paraId="767288B0">
      <w:pPr>
        <w:pStyle w:val="6"/>
        <w:pageBreakBefore w:val="0"/>
        <w:kinsoku/>
        <w:wordWrap/>
        <w:overflowPunct/>
        <w:topLinePunct w:val="0"/>
        <w:bidi w:val="0"/>
        <w:adjustRightInd w:val="0"/>
        <w:snapToGrid w:val="0"/>
        <w:spacing w:line="360" w:lineRule="auto"/>
        <w:ind w:left="0" w:leftChars="0" w:firstLine="482" w:firstLineChars="200"/>
        <w:rPr>
          <w:rFonts w:hint="eastAsia" w:ascii="宋体" w:hAnsi="宋体" w:eastAsia="宋体" w:cs="宋体"/>
          <w:color w:val="auto"/>
          <w:sz w:val="24"/>
          <w:szCs w:val="24"/>
          <w:highlight w:val="none"/>
        </w:rPr>
      </w:pPr>
      <w:bookmarkStart w:id="32" w:name="_Toc66769196"/>
      <w:bookmarkStart w:id="33" w:name="_Toc229386805"/>
      <w:bookmarkStart w:id="34" w:name="_Toc7359726"/>
      <w:bookmarkStart w:id="35" w:name="_Toc27966"/>
      <w:bookmarkStart w:id="36" w:name="_Toc420505111"/>
      <w:bookmarkStart w:id="37" w:name="_Toc442102514"/>
      <w:bookmarkStart w:id="38" w:name="_Toc17443172"/>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材料质量要求</w:t>
      </w:r>
      <w:bookmarkEnd w:id="32"/>
      <w:bookmarkEnd w:id="33"/>
      <w:bookmarkEnd w:id="34"/>
      <w:bookmarkEnd w:id="35"/>
      <w:bookmarkEnd w:id="36"/>
      <w:bookmarkEnd w:id="37"/>
      <w:bookmarkEnd w:id="38"/>
    </w:p>
    <w:p w14:paraId="25919E3E">
      <w:pPr>
        <w:pStyle w:val="971"/>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bookmarkStart w:id="39" w:name="_Toc66769197"/>
      <w:r>
        <w:rPr>
          <w:rFonts w:hint="eastAsia" w:ascii="宋体" w:hAnsi="宋体" w:eastAsia="宋体" w:cs="宋体"/>
          <w:color w:val="auto"/>
          <w:sz w:val="24"/>
          <w:highlight w:val="none"/>
        </w:rPr>
        <w:t>材料选择</w:t>
      </w:r>
      <w:bookmarkEnd w:id="39"/>
    </w:p>
    <w:p w14:paraId="445A17BD">
      <w:pPr>
        <w:pStyle w:val="971"/>
        <w:pageBreakBefore w:val="0"/>
        <w:numPr>
          <w:ilvl w:val="1"/>
          <w:numId w:val="0"/>
        </w:numPr>
        <w:tabs>
          <w:tab w:val="left" w:pos="780"/>
        </w:tabs>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本工程使用的原材料必须符合设计要求和施工规范的规定。</w:t>
      </w:r>
    </w:p>
    <w:p w14:paraId="0B49EB6E">
      <w:pPr>
        <w:pStyle w:val="971"/>
        <w:pageBreakBefore w:val="0"/>
        <w:numPr>
          <w:ilvl w:val="1"/>
          <w:numId w:val="0"/>
        </w:numPr>
        <w:tabs>
          <w:tab w:val="left" w:pos="780"/>
        </w:tabs>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实际施工过程中，甲方将严格检查验收进场原材料的合格证及质保书，如发现实样与质保书不符，应立即取样进行复查，对不合格的材料严禁用于本工程。</w:t>
      </w:r>
    </w:p>
    <w:p w14:paraId="3AFC82FE">
      <w:pPr>
        <w:pStyle w:val="971"/>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14:paraId="0E3DDB51">
      <w:pPr>
        <w:pStyle w:val="971"/>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bookmarkStart w:id="40" w:name="_Toc66769198"/>
      <w:r>
        <w:rPr>
          <w:rFonts w:hint="eastAsia" w:ascii="宋体" w:hAnsi="宋体" w:eastAsia="宋体" w:cs="宋体"/>
          <w:color w:val="auto"/>
          <w:sz w:val="24"/>
          <w:highlight w:val="none"/>
        </w:rPr>
        <w:t>材料的质量保证</w:t>
      </w:r>
      <w:bookmarkEnd w:id="40"/>
    </w:p>
    <w:p w14:paraId="5323FB5D">
      <w:pPr>
        <w:pStyle w:val="971"/>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（1）在免费保修期内，中标人对有缺陷的部位必须无偿地给予修理与更换，并承担一切由此引起的对采购人或第三者的直接损失，除非该缺陷是由于人为破坏或合同规定的不可抗因素造成的损坏。</w:t>
      </w:r>
    </w:p>
    <w:p w14:paraId="4033B8C1">
      <w:pPr>
        <w:pStyle w:val="971"/>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（3）中标人必须对所承包工程的质量负全部责任，其责任不因其他材料生产商提供的保证书而减轻或更改。</w:t>
      </w:r>
    </w:p>
    <w:p w14:paraId="53615353">
      <w:pPr>
        <w:pStyle w:val="971"/>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（4）本项目各项由磋商供应商提供的主要材料，必须是符合国家现行质量标准和环保要求的材料，在施工前由采购人进行选样，未经采购人选样擅自采购施工造成的损失由中标人自行承担。</w:t>
      </w:r>
    </w:p>
    <w:p w14:paraId="4F654458">
      <w:pPr>
        <w:pStyle w:val="35"/>
        <w:pageBreakBefore w:val="0"/>
        <w:kinsoku/>
        <w:wordWrap/>
        <w:overflowPunct/>
        <w:topLinePunct w:val="0"/>
        <w:bidi w:val="0"/>
        <w:adjustRightInd w:val="0"/>
        <w:spacing w:line="360" w:lineRule="auto"/>
        <w:ind w:left="0" w:leftChars="0" w:firstLine="482" w:firstLineChars="200"/>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报价要求</w:t>
      </w:r>
    </w:p>
    <w:p w14:paraId="49257DC6">
      <w:pPr>
        <w:pStyle w:val="728"/>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Cs w:val="24"/>
          <w:highlight w:val="none"/>
          <w:u w:val="thick"/>
        </w:rPr>
      </w:pPr>
      <w:r>
        <w:rPr>
          <w:rFonts w:hint="eastAsia" w:ascii="宋体" w:hAnsi="宋体" w:eastAsia="宋体" w:cs="宋体"/>
          <w:color w:val="auto"/>
          <w:szCs w:val="24"/>
          <w:highlight w:val="none"/>
        </w:rPr>
        <w:t>1、▲本次磋商报价为含税人民币价。</w:t>
      </w:r>
    </w:p>
    <w:p w14:paraId="2205BD0D">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2、本工程的报价采用固定综合单价法的方式。</w:t>
      </w:r>
    </w:p>
    <w:p w14:paraId="5B939121">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3、报价为供应商在磋商响应文件中提出的各项支付金额的总和。</w:t>
      </w:r>
    </w:p>
    <w:p w14:paraId="0B6728C9">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4、供应商的报价应是完成合同条款所列采购工程范围及工期的全部，不得以任何理由予以重复作为供应商计算单价或总价的依据。</w:t>
      </w:r>
    </w:p>
    <w:p w14:paraId="190C803A">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5、计价方法统一以《建设工程工程量清单计价规范》（GB50500—2013）规定的项目编码、项目名称、项目特征、计量单位、工程量计算规则为依据，以采购人给出的工程量清单内容，参照《浙江省建设工程计价规则（2018版）》，结合项目具体条件和企业定额，自主报价。</w:t>
      </w:r>
      <w:r>
        <w:rPr>
          <w:rFonts w:hint="eastAsia" w:ascii="宋体" w:hAnsi="宋体" w:eastAsia="宋体" w:cs="宋体"/>
          <w:b/>
          <w:bCs/>
          <w:color w:val="auto"/>
          <w:sz w:val="24"/>
          <w:highlight w:val="none"/>
        </w:rPr>
        <w:t>其中，采购人提供的工程量清单项目特征有描述不清楚或不完整的，但又是完成该分项工程必须的工作内容，供应商应在磋商文件规定的时间向采购人或代理机构提出，否则采购人将视作供应商的报价已结合现场及施工规范进行综合考虑，竣工结算时不再调整。</w:t>
      </w:r>
    </w:p>
    <w:p w14:paraId="0EEC1F01">
      <w:pPr>
        <w:pageBreakBefore w:val="0"/>
        <w:kinsoku/>
        <w:wordWrap/>
        <w:overflowPunct/>
        <w:topLinePunct w:val="0"/>
        <w:bidi w:val="0"/>
        <w:adjustRightInd w:val="0"/>
        <w:spacing w:line="360" w:lineRule="auto"/>
        <w:ind w:left="0" w:leftChars="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采购人有权根据工程实际情况调整（增减）工程量，供应商对此不得有异议。</w:t>
      </w:r>
    </w:p>
    <w:p w14:paraId="24EB141F">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分部分项工程量清单、措施项目清单、其他项目清单所填报的价格均为固定综合单价，即完成工程量清单中一个规定计量单位项目所需的人工费、材料（设备）费、施工机械使用费、企业管理费、利润，并考虑风险费用。</w:t>
      </w:r>
    </w:p>
    <w:p w14:paraId="78A43F2E">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7、措施项目（包括施工技术措施和施工组织措施）是为完成建筑安装工程项目施工，按照安全操作规程、文明施工规定的要求，发生于该工程施工前和施工过程中用作技术、生活、安全、环境保护等方面的各项费用。本工程量清单措施项目是按通常项目列出，供应商可根据自行编制的施工方案或施工组织设计在措施项目清单中对已列项目外，且必须发生的项目自行增加，并填报综合单价。</w:t>
      </w:r>
    </w:p>
    <w:p w14:paraId="7845A322">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8、供应商应对所有的措施项目按“措施项目分析表”进行报价分析。</w:t>
      </w:r>
    </w:p>
    <w:p w14:paraId="40B3257F">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9、规费是指国家及地方政府规定必须交纳的费用，包括社会保险费（养老保险、失业保险、医疗保险、生育保险、工伤保险）、住房公积金等。</w:t>
      </w:r>
    </w:p>
    <w:p w14:paraId="785F5E28">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10、合同价格形式为固定综合单价合同，在合同约定范围内单价不作调整。</w:t>
      </w:r>
    </w:p>
    <w:p w14:paraId="278D3CCC">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、分部分项工程量清单中的工程量是按实物净量计算的，一切损耗均应在报价的总价中考虑。</w:t>
      </w:r>
    </w:p>
    <w:p w14:paraId="19F16083">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、供应商在填报价格及费用时应充分考虑国家现行技术标准、规范要求。</w:t>
      </w:r>
    </w:p>
    <w:p w14:paraId="753E75D0">
      <w:pPr>
        <w:pageBreakBefore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除非采购人对磋商文件予以修改，供应商应按采购人提供的工程量清单中列出的工程项目和工程量填报单价和合价。每一项目只允许有一个报价。任何有选择的报价将被否决。供应商未填单价或合价的工程项目，在实施后，采购人将不予以支付，并视为该项费用已包括在其他有价款的单价或合价内。</w:t>
      </w:r>
    </w:p>
    <w:p w14:paraId="491F9269">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、供应商应到工地踏勘以充分了解工地位置、情况、道路、储存空间、装卸限制及任何其他足以影响承包价的情况，任何因忽视或误解工地情况而导致的索赔或工期延长申请将不被批准。</w:t>
      </w:r>
    </w:p>
    <w:p w14:paraId="418C3617">
      <w:pPr>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、公共费用（如交通、过路过桥、市容、卫生、环保、噪音、排污、治安等费用）由供应商自行调研作为单项费用计入措施项目费中，否则视作优惠。</w:t>
      </w:r>
    </w:p>
    <w:p w14:paraId="3E91BE8B">
      <w:pPr>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供应商应根据有关要求，加强安全防护、文明施工工作。文明施工、环境保护、安全施工、临时设施费等措施费用必须充分保证。安全文明施工费按《浙江省建设工程计价规则（2018版）》规定执行，未计取的视作优惠，发包人不再另行支付。</w:t>
      </w:r>
    </w:p>
    <w:p w14:paraId="44EA4DF0">
      <w:pPr>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、规费：按照《浙江省建设工程计价规则（2018版）》规定执行；税金：按《浙江省建设工程计价规则（2018版）》规定计取。</w:t>
      </w:r>
    </w:p>
    <w:p w14:paraId="1F6AE944">
      <w:pPr>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、按国家有关规范要求，建设单位保留直接委托第三方检测的权利，检测费用由建设单位承担，承包人无条件做好配合工作。如检测不合格，则检测及整改费用均由承包人负责承担。</w:t>
      </w:r>
    </w:p>
    <w:p w14:paraId="065D2A86">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本工程在施工期间，应注意保护好采购人周边现有成品，如有损坏，须无条件修复至采购人满意，各供应商须自行考虑相关费用并计入磋商总价且一次性包干。</w:t>
      </w:r>
    </w:p>
    <w:p w14:paraId="30EDCE11">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废弃材料不得丢弃或随意堆放在</w:t>
      </w:r>
      <w:r>
        <w:rPr>
          <w:rFonts w:hint="eastAsia" w:ascii="宋体" w:hAnsi="宋体" w:eastAsia="宋体" w:cs="宋体"/>
          <w:bCs/>
          <w:color w:val="auto"/>
          <w:sz w:val="24"/>
          <w:highlight w:val="none"/>
          <w:lang w:val="en-US" w:eastAsia="zh-CN"/>
        </w:rPr>
        <w:t>施工现场</w:t>
      </w:r>
      <w:r>
        <w:rPr>
          <w:rFonts w:hint="eastAsia" w:ascii="宋体" w:hAnsi="宋体" w:eastAsia="宋体" w:cs="宋体"/>
          <w:bCs/>
          <w:color w:val="auto"/>
          <w:sz w:val="24"/>
          <w:highlight w:val="none"/>
        </w:rPr>
        <w:t>内，清理产生的拆除费、搬运费、交通运输费等各项费用均由供应商自行考虑并计入磋商总价且一次性包干。</w:t>
      </w:r>
    </w:p>
    <w:p w14:paraId="08B309FB">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成交供应商施工人员的住宿、用餐、用水、个人生活等均自行解决，材料的堆放及停车必须服从采购人的安排。各供应商须自行考虑相关费用并计入磋商总价且一次性包干。</w:t>
      </w:r>
    </w:p>
    <w:p w14:paraId="777792C7">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工程完工后，成交供应商需对施工现场进行全面的清洁工作。所需费用由供应商综合考虑在磋商报价中，供应商中标后不得以任何理由提出相关费用的补偿要求。</w:t>
      </w:r>
    </w:p>
    <w:p w14:paraId="7ABA2958">
      <w:pPr>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应自行对工程现场和周围环境进行踏勘和了解，以获取有关编制投标文件和签署合同所需的各种资料，并应充分考虑影响本报价的因素、预计实施过程中各种不利因素，由此可能发生的费用均由投标人考虑并包含在投标报价中。成交后，投标人不得再以不完全了解现场情况等为理由而提出额外付款或延长工期等要求，若有此类要求，采购人将不作任何答复与考虑，投标人应承担现场踏勘的责任和风险，踏勘现场的费用由投标人自行承担。</w:t>
      </w:r>
    </w:p>
    <w:p w14:paraId="61F899E6">
      <w:pPr>
        <w:pStyle w:val="971"/>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、施工过程中应做到安全文明施工，包括但不限于成品保护、卫生保洁、防尘降噪、警示标志等所有可能发生的措施费用，费用含在投标报价中，招标人不另行支付。</w:t>
      </w:r>
    </w:p>
    <w:p w14:paraId="65F38496">
      <w:pPr>
        <w:pStyle w:val="971"/>
        <w:pageBreakBefore w:val="0"/>
        <w:kinsoku/>
        <w:wordWrap/>
        <w:overflowPunct/>
        <w:topLinePunct w:val="0"/>
        <w:bidi w:val="0"/>
        <w:adjustRightInd w:val="0"/>
        <w:spacing w:line="360" w:lineRule="auto"/>
        <w:ind w:left="0" w:leftChars="0"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25</w:t>
      </w:r>
      <w:r>
        <w:rPr>
          <w:rFonts w:hint="eastAsia" w:ascii="宋体" w:hAnsi="宋体" w:eastAsia="宋体" w:cs="宋体"/>
          <w:color w:val="auto"/>
          <w:sz w:val="24"/>
          <w:highlight w:val="none"/>
        </w:rPr>
        <w:t>、凡招标文件中要求进入报价的费用若在施工单位的投标报价中不体现，均视同优惠或已进入投标总价。</w:t>
      </w:r>
    </w:p>
    <w:p w14:paraId="161E3BC9">
      <w:pPr>
        <w:rPr>
          <w:rFonts w:hint="eastAsia" w:ascii="宋体" w:hAnsi="宋体" w:eastAsia="宋体" w:cs="仿宋_GB2312"/>
          <w:b/>
          <w:bCs/>
          <w:color w:val="auto"/>
          <w:sz w:val="24"/>
          <w:highlight w:val="none"/>
        </w:rPr>
      </w:pPr>
      <w:r>
        <w:rPr>
          <w:rFonts w:hint="eastAsia" w:ascii="宋体" w:hAnsi="宋体" w:eastAsia="宋体" w:cs="仿宋_GB2312"/>
          <w:b/>
          <w:bCs/>
          <w:color w:val="auto"/>
          <w:sz w:val="24"/>
          <w:highlight w:val="none"/>
        </w:rPr>
        <w:br w:type="page"/>
      </w:r>
    </w:p>
    <w:p w14:paraId="6A897983">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41" w:name="_Toc184314446"/>
      <w:bookmarkEnd w:id="41"/>
      <w:bookmarkStart w:id="42" w:name="_Toc184312120"/>
      <w:bookmarkEnd w:id="42"/>
      <w:bookmarkStart w:id="43" w:name="_Toc184313301"/>
      <w:bookmarkEnd w:id="43"/>
      <w:bookmarkStart w:id="44" w:name="_Toc184310287"/>
      <w:bookmarkEnd w:id="44"/>
      <w:bookmarkStart w:id="45" w:name="_Toc184313259"/>
      <w:bookmarkEnd w:id="45"/>
      <w:bookmarkStart w:id="46" w:name="_Toc184308048"/>
      <w:bookmarkEnd w:id="46"/>
      <w:bookmarkStart w:id="47" w:name="_Toc184308086"/>
      <w:bookmarkEnd w:id="47"/>
      <w:bookmarkStart w:id="48" w:name="_Toc184308105"/>
      <w:bookmarkEnd w:id="48"/>
      <w:bookmarkStart w:id="49" w:name="_Toc184308060"/>
      <w:bookmarkEnd w:id="49"/>
      <w:bookmarkStart w:id="50" w:name="_Toc184313262"/>
      <w:bookmarkEnd w:id="50"/>
      <w:bookmarkStart w:id="51" w:name="_Toc184310280"/>
      <w:bookmarkEnd w:id="51"/>
      <w:bookmarkStart w:id="52" w:name="_Toc184313264"/>
      <w:bookmarkEnd w:id="52"/>
      <w:bookmarkStart w:id="53" w:name="_Toc184312088"/>
      <w:bookmarkEnd w:id="53"/>
      <w:bookmarkStart w:id="54" w:name="_Toc184314465"/>
      <w:bookmarkEnd w:id="54"/>
      <w:bookmarkStart w:id="55" w:name="_Toc184314419"/>
      <w:bookmarkEnd w:id="55"/>
      <w:bookmarkStart w:id="56" w:name="_Toc184314433"/>
      <w:bookmarkEnd w:id="56"/>
      <w:bookmarkStart w:id="57" w:name="_Toc184310319"/>
      <w:bookmarkEnd w:id="57"/>
      <w:bookmarkStart w:id="58" w:name="_Toc184308037"/>
      <w:bookmarkEnd w:id="58"/>
      <w:bookmarkStart w:id="59" w:name="_Toc184314430"/>
      <w:bookmarkEnd w:id="59"/>
      <w:bookmarkStart w:id="60" w:name="_Toc184312125"/>
      <w:bookmarkEnd w:id="60"/>
      <w:bookmarkStart w:id="61" w:name="_Toc184308042"/>
      <w:bookmarkEnd w:id="61"/>
      <w:bookmarkStart w:id="62" w:name="_Toc184310322"/>
      <w:bookmarkEnd w:id="62"/>
      <w:bookmarkStart w:id="63" w:name="_Toc184308077"/>
      <w:bookmarkEnd w:id="63"/>
      <w:bookmarkStart w:id="64" w:name="_Toc184308058"/>
      <w:bookmarkEnd w:id="64"/>
      <w:bookmarkStart w:id="65" w:name="_Toc184313265"/>
      <w:bookmarkEnd w:id="65"/>
      <w:bookmarkStart w:id="66" w:name="_Toc184312091"/>
      <w:bookmarkEnd w:id="66"/>
      <w:bookmarkStart w:id="67" w:name="_Toc184312110"/>
      <w:bookmarkEnd w:id="67"/>
      <w:bookmarkStart w:id="68" w:name="_Toc184310336"/>
      <w:bookmarkEnd w:id="68"/>
      <w:bookmarkStart w:id="69" w:name="_Toc184312084"/>
      <w:bookmarkEnd w:id="69"/>
      <w:bookmarkStart w:id="70" w:name="_Toc184312115"/>
      <w:bookmarkEnd w:id="70"/>
      <w:bookmarkStart w:id="71" w:name="_Toc184308040"/>
      <w:bookmarkEnd w:id="71"/>
      <w:bookmarkStart w:id="72" w:name="_Toc184312124"/>
      <w:bookmarkEnd w:id="72"/>
      <w:bookmarkStart w:id="73" w:name="_Toc184312080"/>
      <w:bookmarkEnd w:id="73"/>
      <w:bookmarkStart w:id="74" w:name="_Toc184313271"/>
      <w:bookmarkEnd w:id="74"/>
      <w:bookmarkStart w:id="75" w:name="_Toc184314471"/>
      <w:bookmarkEnd w:id="75"/>
      <w:bookmarkStart w:id="76" w:name="_Toc184314459"/>
      <w:bookmarkEnd w:id="76"/>
      <w:bookmarkStart w:id="77" w:name="_Toc184308104"/>
      <w:bookmarkEnd w:id="77"/>
      <w:bookmarkStart w:id="78" w:name="_Toc184310318"/>
      <w:bookmarkEnd w:id="78"/>
      <w:bookmarkStart w:id="79" w:name="_Toc184313238"/>
      <w:bookmarkEnd w:id="79"/>
      <w:bookmarkStart w:id="80" w:name="_Toc184308045"/>
      <w:bookmarkEnd w:id="80"/>
      <w:bookmarkStart w:id="81" w:name="_Toc184313287"/>
      <w:bookmarkEnd w:id="81"/>
      <w:bookmarkStart w:id="82" w:name="_Toc184313308"/>
      <w:bookmarkEnd w:id="82"/>
      <w:bookmarkStart w:id="83" w:name="_Toc184308056"/>
      <w:bookmarkEnd w:id="83"/>
      <w:bookmarkStart w:id="84" w:name="_Toc184314478"/>
      <w:bookmarkEnd w:id="84"/>
      <w:bookmarkStart w:id="85" w:name="_Toc184310298"/>
      <w:bookmarkEnd w:id="85"/>
      <w:bookmarkStart w:id="86" w:name="_Toc184312067"/>
      <w:bookmarkEnd w:id="86"/>
      <w:bookmarkStart w:id="87" w:name="_Toc184310305"/>
      <w:bookmarkEnd w:id="87"/>
      <w:bookmarkStart w:id="88" w:name="_Toc184313289"/>
      <w:bookmarkEnd w:id="88"/>
      <w:bookmarkStart w:id="89" w:name="_Toc184308082"/>
      <w:bookmarkEnd w:id="89"/>
      <w:bookmarkStart w:id="90" w:name="_Toc184310310"/>
      <w:bookmarkEnd w:id="90"/>
      <w:bookmarkStart w:id="91" w:name="_Toc184312138"/>
      <w:bookmarkEnd w:id="91"/>
      <w:bookmarkStart w:id="92" w:name="_Toc184308054"/>
      <w:bookmarkEnd w:id="92"/>
      <w:bookmarkStart w:id="93" w:name="_Toc184313306"/>
      <w:bookmarkEnd w:id="93"/>
      <w:bookmarkStart w:id="94" w:name="_Toc184310279"/>
      <w:bookmarkEnd w:id="94"/>
      <w:bookmarkStart w:id="95" w:name="_Toc184310324"/>
      <w:bookmarkEnd w:id="95"/>
      <w:bookmarkStart w:id="96" w:name="_Toc184313261"/>
      <w:bookmarkEnd w:id="96"/>
      <w:bookmarkStart w:id="97" w:name="_Toc184314431"/>
      <w:bookmarkEnd w:id="97"/>
      <w:bookmarkStart w:id="98" w:name="_Toc184308049"/>
      <w:bookmarkEnd w:id="98"/>
      <w:bookmarkStart w:id="99" w:name="_Toc184312105"/>
      <w:bookmarkEnd w:id="99"/>
      <w:bookmarkStart w:id="100" w:name="_Toc184310343"/>
      <w:bookmarkEnd w:id="100"/>
      <w:bookmarkStart w:id="101" w:name="_Toc184313305"/>
      <w:bookmarkEnd w:id="101"/>
      <w:bookmarkStart w:id="102" w:name="_Toc184310335"/>
      <w:bookmarkEnd w:id="102"/>
      <w:bookmarkStart w:id="103" w:name="_Toc184314482"/>
      <w:bookmarkEnd w:id="103"/>
      <w:bookmarkStart w:id="104" w:name="_Toc184312089"/>
      <w:bookmarkEnd w:id="104"/>
      <w:bookmarkStart w:id="105" w:name="_Toc184312131"/>
      <w:bookmarkEnd w:id="105"/>
      <w:bookmarkStart w:id="106" w:name="_Toc184310304"/>
      <w:bookmarkEnd w:id="106"/>
      <w:bookmarkStart w:id="107" w:name="_Toc184313300"/>
      <w:bookmarkEnd w:id="107"/>
      <w:bookmarkStart w:id="108" w:name="_Toc184313263"/>
      <w:bookmarkEnd w:id="108"/>
      <w:bookmarkStart w:id="109" w:name="_Toc184308061"/>
      <w:bookmarkEnd w:id="109"/>
      <w:bookmarkStart w:id="110" w:name="_Toc184314435"/>
      <w:bookmarkEnd w:id="110"/>
      <w:bookmarkStart w:id="111" w:name="_Toc184308088"/>
      <w:bookmarkEnd w:id="111"/>
      <w:bookmarkStart w:id="112" w:name="_Toc184312097"/>
      <w:bookmarkEnd w:id="112"/>
      <w:bookmarkStart w:id="113" w:name="_Toc184308063"/>
      <w:bookmarkEnd w:id="113"/>
      <w:bookmarkStart w:id="114" w:name="_Toc184313260"/>
      <w:bookmarkEnd w:id="114"/>
      <w:bookmarkStart w:id="115" w:name="_Toc184308039"/>
      <w:bookmarkEnd w:id="115"/>
      <w:bookmarkStart w:id="116" w:name="_Toc184310326"/>
      <w:bookmarkEnd w:id="116"/>
      <w:bookmarkStart w:id="117" w:name="_Toc184312127"/>
      <w:bookmarkEnd w:id="117"/>
      <w:bookmarkStart w:id="118" w:name="_Toc184312129"/>
      <w:bookmarkEnd w:id="118"/>
      <w:bookmarkStart w:id="119" w:name="_Toc184312086"/>
      <w:bookmarkEnd w:id="119"/>
      <w:bookmarkStart w:id="120" w:name="_Toc184310327"/>
      <w:bookmarkEnd w:id="120"/>
      <w:bookmarkStart w:id="121" w:name="_Toc184310285"/>
      <w:bookmarkEnd w:id="121"/>
      <w:bookmarkStart w:id="122" w:name="_Toc184308078"/>
      <w:bookmarkEnd w:id="122"/>
      <w:bookmarkStart w:id="123" w:name="_Toc184313278"/>
      <w:bookmarkEnd w:id="123"/>
      <w:bookmarkStart w:id="124" w:name="_Toc184313270"/>
      <w:bookmarkEnd w:id="124"/>
      <w:bookmarkStart w:id="125" w:name="_Toc184314447"/>
      <w:bookmarkEnd w:id="125"/>
      <w:bookmarkStart w:id="126" w:name="_Toc184312082"/>
      <w:bookmarkEnd w:id="126"/>
      <w:bookmarkStart w:id="127" w:name="_Toc184310302"/>
      <w:bookmarkEnd w:id="127"/>
      <w:bookmarkStart w:id="128" w:name="_Toc184313274"/>
      <w:bookmarkEnd w:id="128"/>
      <w:bookmarkStart w:id="129" w:name="_Toc184314454"/>
      <w:bookmarkEnd w:id="129"/>
      <w:bookmarkStart w:id="130" w:name="_Toc184308036"/>
      <w:bookmarkEnd w:id="130"/>
      <w:bookmarkStart w:id="131" w:name="_Toc184313295"/>
      <w:bookmarkEnd w:id="131"/>
      <w:bookmarkStart w:id="132" w:name="_Toc184314414"/>
      <w:bookmarkEnd w:id="132"/>
      <w:bookmarkStart w:id="133" w:name="_Toc184310344"/>
      <w:bookmarkEnd w:id="133"/>
      <w:bookmarkStart w:id="134" w:name="_Toc184314416"/>
      <w:bookmarkEnd w:id="134"/>
      <w:bookmarkStart w:id="135" w:name="_Toc184310295"/>
      <w:bookmarkEnd w:id="135"/>
      <w:bookmarkStart w:id="136" w:name="_Toc184314453"/>
      <w:bookmarkEnd w:id="136"/>
      <w:bookmarkStart w:id="137" w:name="_Toc184313297"/>
      <w:bookmarkEnd w:id="137"/>
      <w:bookmarkStart w:id="138" w:name="_Toc184310307"/>
      <w:bookmarkEnd w:id="138"/>
      <w:bookmarkStart w:id="139" w:name="_Toc184312102"/>
      <w:bookmarkEnd w:id="139"/>
      <w:bookmarkStart w:id="140" w:name="_Toc184314450"/>
      <w:bookmarkEnd w:id="140"/>
      <w:bookmarkStart w:id="141" w:name="_Toc184312119"/>
      <w:bookmarkEnd w:id="141"/>
      <w:bookmarkStart w:id="142" w:name="_Toc184313250"/>
      <w:bookmarkEnd w:id="142"/>
      <w:bookmarkStart w:id="143" w:name="_Toc184308043"/>
      <w:bookmarkEnd w:id="143"/>
      <w:bookmarkStart w:id="144" w:name="_Toc184313272"/>
      <w:bookmarkEnd w:id="144"/>
      <w:bookmarkStart w:id="145" w:name="_Toc184308071"/>
      <w:bookmarkEnd w:id="145"/>
      <w:bookmarkStart w:id="146" w:name="_Toc184310325"/>
      <w:bookmarkEnd w:id="146"/>
      <w:bookmarkStart w:id="147" w:name="_Toc184312117"/>
      <w:bookmarkEnd w:id="147"/>
      <w:bookmarkStart w:id="148" w:name="_Toc184312139"/>
      <w:bookmarkEnd w:id="148"/>
      <w:bookmarkStart w:id="149" w:name="_Toc184310337"/>
      <w:bookmarkEnd w:id="149"/>
      <w:bookmarkStart w:id="150" w:name="_Toc184314424"/>
      <w:bookmarkEnd w:id="150"/>
      <w:bookmarkStart w:id="151" w:name="_Toc184314461"/>
      <w:bookmarkEnd w:id="151"/>
      <w:bookmarkStart w:id="152" w:name="_Toc184308090"/>
      <w:bookmarkEnd w:id="152"/>
      <w:bookmarkStart w:id="153" w:name="_Toc184314449"/>
      <w:bookmarkEnd w:id="153"/>
      <w:bookmarkStart w:id="154" w:name="_Toc184313286"/>
      <w:bookmarkEnd w:id="154"/>
      <w:bookmarkStart w:id="155" w:name="_Toc184312109"/>
      <w:bookmarkEnd w:id="155"/>
      <w:bookmarkStart w:id="156" w:name="_Toc184308072"/>
      <w:bookmarkEnd w:id="156"/>
      <w:bookmarkStart w:id="157" w:name="_Toc184314432"/>
      <w:bookmarkEnd w:id="157"/>
      <w:bookmarkStart w:id="158" w:name="_Toc184310290"/>
      <w:bookmarkEnd w:id="158"/>
      <w:bookmarkStart w:id="159" w:name="_Toc184312090"/>
      <w:bookmarkEnd w:id="159"/>
      <w:bookmarkStart w:id="160" w:name="_Toc184308074"/>
      <w:bookmarkEnd w:id="160"/>
      <w:bookmarkStart w:id="161" w:name="_Toc184310294"/>
      <w:bookmarkEnd w:id="161"/>
      <w:bookmarkStart w:id="162" w:name="_Toc184313252"/>
      <w:bookmarkEnd w:id="162"/>
      <w:bookmarkStart w:id="163" w:name="_Toc184312121"/>
      <w:bookmarkEnd w:id="163"/>
      <w:bookmarkStart w:id="164" w:name="_Toc184313288"/>
      <w:bookmarkEnd w:id="164"/>
      <w:bookmarkStart w:id="165" w:name="_Toc184310330"/>
      <w:bookmarkEnd w:id="165"/>
      <w:bookmarkStart w:id="166" w:name="_Toc184313291"/>
      <w:bookmarkEnd w:id="166"/>
      <w:bookmarkStart w:id="167" w:name="_Toc184308057"/>
      <w:bookmarkEnd w:id="167"/>
      <w:bookmarkStart w:id="168" w:name="_Toc184312130"/>
      <w:bookmarkEnd w:id="168"/>
      <w:bookmarkStart w:id="169" w:name="_Toc184314464"/>
      <w:bookmarkEnd w:id="169"/>
      <w:bookmarkStart w:id="170" w:name="_Toc184308087"/>
      <w:bookmarkEnd w:id="170"/>
      <w:bookmarkStart w:id="171" w:name="_Toc184308093"/>
      <w:bookmarkEnd w:id="171"/>
      <w:bookmarkStart w:id="172" w:name="_Toc184308091"/>
      <w:bookmarkEnd w:id="172"/>
      <w:bookmarkStart w:id="173" w:name="_Toc184312112"/>
      <w:bookmarkEnd w:id="173"/>
      <w:bookmarkStart w:id="174" w:name="_Toc184310291"/>
      <w:bookmarkEnd w:id="174"/>
      <w:bookmarkStart w:id="175" w:name="_Toc184308076"/>
      <w:bookmarkEnd w:id="175"/>
      <w:bookmarkStart w:id="176" w:name="_Toc184314443"/>
      <w:bookmarkEnd w:id="176"/>
      <w:bookmarkStart w:id="177" w:name="_Toc184314439"/>
      <w:bookmarkEnd w:id="177"/>
      <w:bookmarkStart w:id="178" w:name="_Toc184314413"/>
      <w:bookmarkEnd w:id="178"/>
      <w:bookmarkStart w:id="179" w:name="_Toc184312092"/>
      <w:bookmarkEnd w:id="179"/>
      <w:bookmarkStart w:id="180" w:name="_Toc184312081"/>
      <w:bookmarkEnd w:id="180"/>
      <w:bookmarkStart w:id="181" w:name="_Toc184310293"/>
      <w:bookmarkEnd w:id="181"/>
      <w:bookmarkStart w:id="182" w:name="_Toc184310289"/>
      <w:bookmarkEnd w:id="182"/>
      <w:bookmarkStart w:id="183" w:name="_Toc184310284"/>
      <w:bookmarkEnd w:id="183"/>
      <w:bookmarkStart w:id="184" w:name="_Toc184308084"/>
      <w:bookmarkEnd w:id="184"/>
      <w:bookmarkStart w:id="185" w:name="_Toc184310272"/>
      <w:bookmarkEnd w:id="185"/>
      <w:bookmarkStart w:id="186" w:name="_Toc184312096"/>
      <w:bookmarkEnd w:id="186"/>
      <w:bookmarkStart w:id="187" w:name="_Toc184310309"/>
      <w:bookmarkEnd w:id="187"/>
      <w:bookmarkStart w:id="188" w:name="_Toc184314467"/>
      <w:bookmarkEnd w:id="188"/>
      <w:bookmarkStart w:id="189" w:name="_Toc184313283"/>
      <w:bookmarkEnd w:id="189"/>
      <w:bookmarkStart w:id="190" w:name="_Toc184312077"/>
      <w:bookmarkEnd w:id="190"/>
      <w:bookmarkStart w:id="191" w:name="_Toc184312133"/>
      <w:bookmarkEnd w:id="191"/>
      <w:bookmarkStart w:id="192" w:name="_Toc184312098"/>
      <w:bookmarkEnd w:id="192"/>
      <w:bookmarkStart w:id="193" w:name="_Toc184314427"/>
      <w:bookmarkEnd w:id="193"/>
      <w:bookmarkStart w:id="194" w:name="_Toc184310299"/>
      <w:bookmarkEnd w:id="194"/>
      <w:bookmarkStart w:id="195" w:name="_Toc184314472"/>
      <w:bookmarkEnd w:id="195"/>
      <w:bookmarkStart w:id="196" w:name="_Toc184314415"/>
      <w:bookmarkEnd w:id="196"/>
      <w:bookmarkStart w:id="197" w:name="_Toc184310340"/>
      <w:bookmarkEnd w:id="197"/>
      <w:bookmarkStart w:id="198" w:name="_Toc184312103"/>
      <w:bookmarkEnd w:id="198"/>
      <w:bookmarkStart w:id="199" w:name="_Toc184308103"/>
      <w:bookmarkEnd w:id="199"/>
      <w:bookmarkStart w:id="200" w:name="_Toc184314470"/>
      <w:bookmarkEnd w:id="200"/>
      <w:bookmarkStart w:id="201" w:name="_Toc184308089"/>
      <w:bookmarkEnd w:id="201"/>
      <w:bookmarkStart w:id="202" w:name="_Toc184312106"/>
      <w:bookmarkEnd w:id="202"/>
      <w:bookmarkStart w:id="203" w:name="_Toc184308073"/>
      <w:bookmarkEnd w:id="203"/>
      <w:bookmarkStart w:id="204" w:name="_Toc184313282"/>
      <w:bookmarkEnd w:id="204"/>
      <w:bookmarkStart w:id="205" w:name="_Toc184312094"/>
      <w:bookmarkEnd w:id="205"/>
      <w:bookmarkStart w:id="206" w:name="_Toc184308059"/>
      <w:bookmarkEnd w:id="206"/>
      <w:bookmarkStart w:id="207" w:name="_Toc184312116"/>
      <w:bookmarkEnd w:id="207"/>
      <w:bookmarkStart w:id="208" w:name="_Toc184314479"/>
      <w:bookmarkEnd w:id="208"/>
      <w:bookmarkStart w:id="209" w:name="_Toc184313247"/>
      <w:bookmarkEnd w:id="209"/>
      <w:bookmarkStart w:id="210" w:name="_Toc184312137"/>
      <w:bookmarkEnd w:id="210"/>
      <w:bookmarkStart w:id="211" w:name="_Toc184314440"/>
      <w:bookmarkEnd w:id="211"/>
      <w:bookmarkStart w:id="212" w:name="_Toc184313294"/>
      <w:bookmarkEnd w:id="212"/>
      <w:bookmarkStart w:id="213" w:name="_Toc184308107"/>
      <w:bookmarkEnd w:id="213"/>
      <w:bookmarkStart w:id="214" w:name="_Toc184312070"/>
      <w:bookmarkEnd w:id="214"/>
      <w:bookmarkStart w:id="215" w:name="_Toc184314474"/>
      <w:bookmarkEnd w:id="215"/>
      <w:bookmarkStart w:id="216" w:name="_Toc184314462"/>
      <w:bookmarkEnd w:id="216"/>
      <w:bookmarkStart w:id="217" w:name="_Toc184312111"/>
      <w:bookmarkEnd w:id="217"/>
      <w:bookmarkStart w:id="218" w:name="_Toc184310334"/>
      <w:bookmarkEnd w:id="218"/>
      <w:bookmarkStart w:id="219" w:name="_Toc184310292"/>
      <w:bookmarkEnd w:id="219"/>
      <w:bookmarkStart w:id="220" w:name="_Toc184312135"/>
      <w:bookmarkEnd w:id="220"/>
      <w:bookmarkStart w:id="221" w:name="_Toc184310286"/>
      <w:bookmarkEnd w:id="221"/>
      <w:bookmarkStart w:id="222" w:name="_Toc184314410"/>
      <w:bookmarkEnd w:id="222"/>
      <w:bookmarkStart w:id="223" w:name="_Toc184310341"/>
      <w:bookmarkEnd w:id="223"/>
      <w:bookmarkStart w:id="224" w:name="_Toc184308047"/>
      <w:bookmarkEnd w:id="224"/>
      <w:bookmarkStart w:id="225" w:name="_Toc184313239"/>
      <w:bookmarkEnd w:id="225"/>
      <w:bookmarkStart w:id="226" w:name="_Toc184312078"/>
      <w:bookmarkEnd w:id="226"/>
      <w:bookmarkStart w:id="227" w:name="_Toc184314481"/>
      <w:bookmarkEnd w:id="227"/>
      <w:bookmarkStart w:id="228" w:name="_Toc184310320"/>
      <w:bookmarkEnd w:id="228"/>
      <w:bookmarkStart w:id="229" w:name="_Toc184310317"/>
      <w:bookmarkEnd w:id="229"/>
      <w:bookmarkStart w:id="230" w:name="_Toc184313293"/>
      <w:bookmarkEnd w:id="230"/>
      <w:bookmarkStart w:id="231" w:name="_Toc184312128"/>
      <w:bookmarkEnd w:id="231"/>
      <w:bookmarkStart w:id="232" w:name="_Toc184310273"/>
      <w:bookmarkEnd w:id="232"/>
      <w:bookmarkStart w:id="233" w:name="_Toc184314412"/>
      <w:bookmarkEnd w:id="233"/>
      <w:bookmarkStart w:id="234" w:name="_Toc184310339"/>
      <w:bookmarkEnd w:id="234"/>
      <w:bookmarkStart w:id="235" w:name="_Toc184308052"/>
      <w:bookmarkEnd w:id="235"/>
      <w:bookmarkStart w:id="236" w:name="_Toc184314456"/>
      <w:bookmarkEnd w:id="236"/>
      <w:bookmarkStart w:id="237" w:name="_Toc184314469"/>
      <w:bookmarkEnd w:id="237"/>
      <w:bookmarkStart w:id="238" w:name="_Toc184314411"/>
      <w:bookmarkEnd w:id="238"/>
      <w:bookmarkStart w:id="239" w:name="_Toc184313281"/>
      <w:bookmarkEnd w:id="239"/>
      <w:bookmarkStart w:id="240" w:name="_Toc184310315"/>
      <w:bookmarkEnd w:id="240"/>
      <w:bookmarkStart w:id="241" w:name="_Toc184312085"/>
      <w:bookmarkEnd w:id="241"/>
      <w:bookmarkStart w:id="242" w:name="_Toc184308075"/>
      <w:bookmarkEnd w:id="242"/>
      <w:bookmarkStart w:id="243" w:name="_Toc184308068"/>
      <w:bookmarkEnd w:id="243"/>
      <w:bookmarkStart w:id="244" w:name="_Toc184313267"/>
      <w:bookmarkEnd w:id="244"/>
      <w:bookmarkStart w:id="245" w:name="_Toc184308055"/>
      <w:bookmarkEnd w:id="245"/>
      <w:bookmarkStart w:id="246" w:name="_Toc184310312"/>
      <w:bookmarkEnd w:id="246"/>
      <w:bookmarkStart w:id="247" w:name="_Toc184313254"/>
      <w:bookmarkEnd w:id="247"/>
      <w:bookmarkStart w:id="248" w:name="_Toc184312126"/>
      <w:bookmarkEnd w:id="248"/>
      <w:bookmarkStart w:id="249" w:name="_Toc184308092"/>
      <w:bookmarkEnd w:id="249"/>
      <w:bookmarkStart w:id="250" w:name="_Toc184314473"/>
      <w:bookmarkEnd w:id="250"/>
      <w:bookmarkStart w:id="251" w:name="_Toc184313253"/>
      <w:bookmarkEnd w:id="251"/>
      <w:bookmarkStart w:id="252" w:name="_Toc184308094"/>
      <w:bookmarkEnd w:id="252"/>
      <w:bookmarkStart w:id="253" w:name="_Toc184312083"/>
      <w:bookmarkEnd w:id="253"/>
      <w:bookmarkStart w:id="254" w:name="_Toc184310311"/>
      <w:bookmarkEnd w:id="254"/>
      <w:bookmarkStart w:id="255" w:name="_Toc184313251"/>
      <w:bookmarkEnd w:id="255"/>
      <w:bookmarkStart w:id="256" w:name="_Toc184313266"/>
      <w:bookmarkEnd w:id="256"/>
      <w:bookmarkStart w:id="257" w:name="_Toc184314425"/>
      <w:bookmarkEnd w:id="257"/>
      <w:bookmarkStart w:id="258" w:name="_Toc184308069"/>
      <w:bookmarkEnd w:id="258"/>
      <w:bookmarkStart w:id="259" w:name="_Toc184313255"/>
      <w:bookmarkEnd w:id="259"/>
      <w:bookmarkStart w:id="260" w:name="_Toc184312107"/>
      <w:bookmarkEnd w:id="260"/>
      <w:bookmarkStart w:id="261" w:name="_Toc184313249"/>
      <w:bookmarkEnd w:id="261"/>
      <w:bookmarkStart w:id="262" w:name="_Toc184308080"/>
      <w:bookmarkEnd w:id="262"/>
      <w:bookmarkStart w:id="263" w:name="_Toc184313256"/>
      <w:bookmarkEnd w:id="263"/>
      <w:bookmarkStart w:id="264" w:name="_Toc184314428"/>
      <w:bookmarkEnd w:id="264"/>
      <w:bookmarkStart w:id="265" w:name="_Toc184310306"/>
      <w:bookmarkEnd w:id="265"/>
      <w:bookmarkStart w:id="266" w:name="_Toc184313277"/>
      <w:bookmarkEnd w:id="266"/>
      <w:bookmarkStart w:id="267" w:name="_Toc184310278"/>
      <w:bookmarkEnd w:id="267"/>
      <w:bookmarkStart w:id="268" w:name="_Toc184313269"/>
      <w:bookmarkEnd w:id="268"/>
      <w:bookmarkStart w:id="269" w:name="_Toc184314438"/>
      <w:bookmarkEnd w:id="269"/>
      <w:bookmarkStart w:id="270" w:name="_Toc184314457"/>
      <w:bookmarkEnd w:id="270"/>
      <w:bookmarkStart w:id="271" w:name="_Toc184310316"/>
      <w:bookmarkEnd w:id="271"/>
      <w:bookmarkStart w:id="272" w:name="_Toc184310275"/>
      <w:bookmarkEnd w:id="272"/>
      <w:bookmarkStart w:id="273" w:name="_Toc184312123"/>
      <w:bookmarkEnd w:id="273"/>
      <w:bookmarkStart w:id="274" w:name="_Toc184308067"/>
      <w:bookmarkEnd w:id="274"/>
      <w:bookmarkStart w:id="275" w:name="_Toc184313273"/>
      <w:bookmarkEnd w:id="275"/>
      <w:bookmarkStart w:id="276" w:name="_Toc184310333"/>
      <w:bookmarkEnd w:id="276"/>
      <w:bookmarkStart w:id="277" w:name="_Toc184313268"/>
      <w:bookmarkEnd w:id="277"/>
      <w:bookmarkStart w:id="278" w:name="_Toc184313240"/>
      <w:bookmarkEnd w:id="278"/>
      <w:bookmarkStart w:id="279" w:name="_Toc184313241"/>
      <w:bookmarkEnd w:id="279"/>
      <w:bookmarkStart w:id="280" w:name="_Toc184314421"/>
      <w:bookmarkEnd w:id="280"/>
      <w:bookmarkStart w:id="281" w:name="_Toc184308051"/>
      <w:bookmarkEnd w:id="281"/>
      <w:bookmarkStart w:id="282" w:name="_Toc184308064"/>
      <w:bookmarkEnd w:id="282"/>
      <w:bookmarkStart w:id="283" w:name="_Toc184312132"/>
      <w:bookmarkEnd w:id="283"/>
      <w:bookmarkStart w:id="284" w:name="_Toc184312071"/>
      <w:bookmarkEnd w:id="284"/>
      <w:bookmarkStart w:id="285" w:name="_Toc184310296"/>
      <w:bookmarkEnd w:id="285"/>
      <w:bookmarkStart w:id="286" w:name="_Toc184313257"/>
      <w:bookmarkEnd w:id="286"/>
      <w:bookmarkStart w:id="287" w:name="_Toc184310283"/>
      <w:bookmarkEnd w:id="287"/>
      <w:bookmarkStart w:id="288" w:name="_Toc184308053"/>
      <w:bookmarkEnd w:id="288"/>
      <w:bookmarkStart w:id="289" w:name="_Toc184313309"/>
      <w:bookmarkEnd w:id="289"/>
      <w:bookmarkStart w:id="290" w:name="_Toc184308099"/>
      <w:bookmarkEnd w:id="290"/>
      <w:bookmarkStart w:id="291" w:name="_Toc184310282"/>
      <w:bookmarkEnd w:id="291"/>
      <w:bookmarkStart w:id="292" w:name="_Toc184308079"/>
      <w:bookmarkEnd w:id="292"/>
      <w:bookmarkStart w:id="293" w:name="_Toc184310321"/>
      <w:bookmarkEnd w:id="293"/>
      <w:bookmarkStart w:id="294" w:name="_Toc184314441"/>
      <w:bookmarkEnd w:id="294"/>
      <w:bookmarkStart w:id="295" w:name="_Toc184314480"/>
      <w:bookmarkEnd w:id="295"/>
      <w:bookmarkStart w:id="296" w:name="_Toc184308098"/>
      <w:bookmarkEnd w:id="296"/>
      <w:bookmarkStart w:id="297" w:name="_Toc184314444"/>
      <w:bookmarkEnd w:id="297"/>
      <w:bookmarkStart w:id="298" w:name="_Toc184310329"/>
      <w:bookmarkEnd w:id="298"/>
      <w:bookmarkStart w:id="299" w:name="_Toc184314460"/>
      <w:bookmarkEnd w:id="299"/>
      <w:bookmarkStart w:id="300" w:name="_Toc184310274"/>
      <w:bookmarkEnd w:id="300"/>
      <w:bookmarkStart w:id="301" w:name="_Toc184312134"/>
      <w:bookmarkEnd w:id="301"/>
      <w:bookmarkStart w:id="302" w:name="_Toc184314436"/>
      <w:bookmarkEnd w:id="302"/>
      <w:bookmarkStart w:id="303" w:name="_Toc184313298"/>
      <w:bookmarkEnd w:id="303"/>
      <w:bookmarkStart w:id="304" w:name="_Toc184313310"/>
      <w:bookmarkEnd w:id="304"/>
      <w:bookmarkStart w:id="305" w:name="_Toc184310308"/>
      <w:bookmarkEnd w:id="305"/>
      <w:bookmarkStart w:id="306" w:name="_Toc184314468"/>
      <w:bookmarkEnd w:id="306"/>
      <w:bookmarkStart w:id="307" w:name="_Toc184313290"/>
      <w:bookmarkEnd w:id="307"/>
      <w:bookmarkStart w:id="308" w:name="_Toc184312076"/>
      <w:bookmarkEnd w:id="308"/>
      <w:bookmarkStart w:id="309" w:name="_Toc184310301"/>
      <w:bookmarkEnd w:id="309"/>
      <w:bookmarkStart w:id="310" w:name="_Toc184308100"/>
      <w:bookmarkEnd w:id="310"/>
      <w:bookmarkStart w:id="311" w:name="_Toc184310328"/>
      <w:bookmarkEnd w:id="311"/>
      <w:bookmarkStart w:id="312" w:name="_Toc184313258"/>
      <w:bookmarkEnd w:id="312"/>
      <w:bookmarkStart w:id="313" w:name="_Toc184310303"/>
      <w:bookmarkEnd w:id="313"/>
      <w:bookmarkStart w:id="314" w:name="_Toc184310314"/>
      <w:bookmarkEnd w:id="314"/>
      <w:bookmarkStart w:id="315" w:name="_Toc184314448"/>
      <w:bookmarkEnd w:id="315"/>
      <w:bookmarkStart w:id="316" w:name="_Toc184308062"/>
      <w:bookmarkEnd w:id="316"/>
      <w:bookmarkStart w:id="317" w:name="_Toc184314463"/>
      <w:bookmarkEnd w:id="317"/>
      <w:bookmarkStart w:id="318" w:name="_Toc184313292"/>
      <w:bookmarkEnd w:id="318"/>
      <w:bookmarkStart w:id="319" w:name="_Toc184313244"/>
      <w:bookmarkEnd w:id="319"/>
      <w:bookmarkStart w:id="320" w:name="_Toc184314458"/>
      <w:bookmarkEnd w:id="320"/>
      <w:bookmarkStart w:id="321" w:name="_Toc184314452"/>
      <w:bookmarkEnd w:id="321"/>
      <w:bookmarkStart w:id="322" w:name="_Toc184310332"/>
      <w:bookmarkEnd w:id="322"/>
      <w:bookmarkStart w:id="323" w:name="_Toc184310313"/>
      <w:bookmarkEnd w:id="323"/>
      <w:bookmarkStart w:id="324" w:name="_Toc184313246"/>
      <w:bookmarkEnd w:id="324"/>
      <w:bookmarkStart w:id="325" w:name="_Toc184310281"/>
      <w:bookmarkEnd w:id="325"/>
      <w:bookmarkStart w:id="326" w:name="_Toc184308066"/>
      <w:bookmarkEnd w:id="326"/>
      <w:bookmarkStart w:id="327" w:name="_Toc184312068"/>
      <w:bookmarkEnd w:id="327"/>
      <w:bookmarkStart w:id="328" w:name="_Toc184308065"/>
      <w:bookmarkEnd w:id="328"/>
      <w:bookmarkStart w:id="329" w:name="_Toc184313307"/>
      <w:bookmarkEnd w:id="329"/>
      <w:bookmarkStart w:id="330" w:name="_Toc184312113"/>
      <w:bookmarkEnd w:id="330"/>
      <w:bookmarkStart w:id="331" w:name="_Toc184313296"/>
      <w:bookmarkEnd w:id="331"/>
      <w:bookmarkStart w:id="332" w:name="_Toc184312073"/>
      <w:bookmarkEnd w:id="332"/>
      <w:bookmarkStart w:id="333" w:name="_Toc184314420"/>
      <w:bookmarkEnd w:id="333"/>
      <w:bookmarkStart w:id="334" w:name="_Toc184310300"/>
      <w:bookmarkEnd w:id="334"/>
      <w:bookmarkStart w:id="335" w:name="_Toc184310288"/>
      <w:bookmarkEnd w:id="335"/>
      <w:bookmarkStart w:id="336" w:name="_Toc184313302"/>
      <w:bookmarkEnd w:id="336"/>
      <w:bookmarkStart w:id="337" w:name="_Toc184314418"/>
      <w:bookmarkEnd w:id="337"/>
      <w:bookmarkStart w:id="338" w:name="_Toc184308041"/>
      <w:bookmarkEnd w:id="338"/>
      <w:bookmarkStart w:id="339" w:name="_Toc184314451"/>
      <w:bookmarkEnd w:id="339"/>
      <w:bookmarkStart w:id="340" w:name="_Toc184312072"/>
      <w:bookmarkEnd w:id="340"/>
      <w:bookmarkStart w:id="341" w:name="_Toc184308081"/>
      <w:bookmarkEnd w:id="341"/>
      <w:bookmarkStart w:id="342" w:name="_Toc184313299"/>
      <w:bookmarkEnd w:id="342"/>
      <w:bookmarkStart w:id="343" w:name="_Toc184313304"/>
      <w:bookmarkEnd w:id="343"/>
      <w:bookmarkStart w:id="344" w:name="_Toc184314437"/>
      <w:bookmarkEnd w:id="344"/>
      <w:bookmarkStart w:id="345" w:name="_Toc184313276"/>
      <w:bookmarkEnd w:id="345"/>
      <w:bookmarkStart w:id="346" w:name="_Toc184313243"/>
      <w:bookmarkEnd w:id="346"/>
      <w:bookmarkStart w:id="347" w:name="_Toc184308085"/>
      <w:bookmarkEnd w:id="347"/>
      <w:bookmarkStart w:id="348" w:name="_Toc184310276"/>
      <w:bookmarkEnd w:id="348"/>
      <w:bookmarkStart w:id="349" w:name="_Toc184308044"/>
      <w:bookmarkEnd w:id="349"/>
      <w:bookmarkStart w:id="350" w:name="_Toc184308046"/>
      <w:bookmarkEnd w:id="350"/>
      <w:bookmarkStart w:id="351" w:name="_Toc184312075"/>
      <w:bookmarkEnd w:id="351"/>
      <w:bookmarkStart w:id="352" w:name="_Toc184312108"/>
      <w:bookmarkEnd w:id="352"/>
      <w:bookmarkStart w:id="353" w:name="_Toc184313280"/>
      <w:bookmarkEnd w:id="353"/>
      <w:bookmarkStart w:id="354" w:name="_Toc184308083"/>
      <w:bookmarkEnd w:id="354"/>
      <w:bookmarkStart w:id="355" w:name="_Toc184312099"/>
      <w:bookmarkEnd w:id="355"/>
      <w:bookmarkStart w:id="356" w:name="_Toc184312079"/>
      <w:bookmarkEnd w:id="356"/>
      <w:bookmarkStart w:id="357" w:name="_Toc184313242"/>
      <w:bookmarkEnd w:id="357"/>
      <w:bookmarkStart w:id="358" w:name="_Toc184308106"/>
      <w:bookmarkEnd w:id="358"/>
      <w:bookmarkStart w:id="359" w:name="_Toc184314466"/>
      <w:bookmarkEnd w:id="359"/>
      <w:bookmarkStart w:id="360" w:name="_Toc184308038"/>
      <w:bookmarkEnd w:id="360"/>
      <w:bookmarkStart w:id="361" w:name="_Toc184314422"/>
      <w:bookmarkEnd w:id="361"/>
      <w:bookmarkStart w:id="362" w:name="_Toc184312069"/>
      <w:bookmarkEnd w:id="362"/>
      <w:bookmarkStart w:id="363" w:name="_Toc184314426"/>
      <w:bookmarkEnd w:id="363"/>
      <w:bookmarkStart w:id="364" w:name="_Toc184312118"/>
      <w:bookmarkEnd w:id="364"/>
      <w:bookmarkStart w:id="365" w:name="_Toc184312074"/>
      <w:bookmarkEnd w:id="365"/>
      <w:bookmarkStart w:id="366" w:name="_Toc184308050"/>
      <w:bookmarkEnd w:id="366"/>
      <w:bookmarkStart w:id="367" w:name="_Toc184312095"/>
      <w:bookmarkEnd w:id="367"/>
      <w:bookmarkStart w:id="368" w:name="_Toc184313279"/>
      <w:bookmarkEnd w:id="368"/>
      <w:bookmarkStart w:id="369" w:name="_Toc184314445"/>
      <w:bookmarkEnd w:id="369"/>
      <w:bookmarkStart w:id="370" w:name="_Toc184308101"/>
      <w:bookmarkEnd w:id="370"/>
      <w:bookmarkStart w:id="371" w:name="_Toc184314455"/>
      <w:bookmarkEnd w:id="371"/>
      <w:bookmarkStart w:id="372" w:name="_Toc184310277"/>
      <w:bookmarkEnd w:id="372"/>
      <w:bookmarkStart w:id="373" w:name="_Toc184308095"/>
      <w:bookmarkEnd w:id="373"/>
      <w:bookmarkStart w:id="374" w:name="_Toc184310342"/>
      <w:bookmarkEnd w:id="374"/>
      <w:bookmarkStart w:id="375" w:name="_Toc184314423"/>
      <w:bookmarkEnd w:id="375"/>
      <w:bookmarkStart w:id="376" w:name="_Toc184313284"/>
      <w:bookmarkEnd w:id="376"/>
      <w:bookmarkStart w:id="377" w:name="_Toc184310297"/>
      <w:bookmarkEnd w:id="377"/>
      <w:bookmarkStart w:id="378" w:name="_Toc184308102"/>
      <w:bookmarkEnd w:id="378"/>
      <w:bookmarkStart w:id="379" w:name="_Toc184308108"/>
      <w:bookmarkEnd w:id="379"/>
      <w:bookmarkStart w:id="380" w:name="_Toc184313245"/>
      <w:bookmarkEnd w:id="380"/>
      <w:bookmarkStart w:id="381" w:name="_Toc184313248"/>
      <w:bookmarkEnd w:id="381"/>
      <w:bookmarkStart w:id="382" w:name="_Toc184308070"/>
      <w:bookmarkEnd w:id="382"/>
      <w:bookmarkStart w:id="383" w:name="_Toc184312100"/>
      <w:bookmarkEnd w:id="383"/>
      <w:bookmarkStart w:id="384" w:name="_Toc184313275"/>
      <w:bookmarkEnd w:id="384"/>
      <w:bookmarkStart w:id="385" w:name="_Toc184314442"/>
      <w:bookmarkEnd w:id="385"/>
      <w:bookmarkStart w:id="386" w:name="_Toc184312114"/>
      <w:bookmarkEnd w:id="386"/>
      <w:bookmarkStart w:id="387" w:name="_Toc184312087"/>
      <w:bookmarkEnd w:id="387"/>
      <w:bookmarkStart w:id="388" w:name="_Toc184314477"/>
      <w:bookmarkEnd w:id="388"/>
      <w:bookmarkStart w:id="389" w:name="_Toc184308097"/>
      <w:bookmarkEnd w:id="389"/>
      <w:bookmarkStart w:id="390" w:name="_Toc184314476"/>
      <w:bookmarkEnd w:id="390"/>
      <w:bookmarkStart w:id="391" w:name="_Toc184313303"/>
      <w:bookmarkEnd w:id="391"/>
      <w:bookmarkStart w:id="392" w:name="_Toc184312101"/>
      <w:bookmarkEnd w:id="392"/>
      <w:bookmarkStart w:id="393" w:name="_Toc184314429"/>
      <w:bookmarkEnd w:id="393"/>
      <w:bookmarkStart w:id="394" w:name="_Toc184313285"/>
      <w:bookmarkEnd w:id="394"/>
      <w:bookmarkStart w:id="395" w:name="_Toc184314434"/>
      <w:bookmarkEnd w:id="395"/>
      <w:bookmarkStart w:id="396" w:name="_Toc184310323"/>
      <w:bookmarkEnd w:id="396"/>
      <w:bookmarkStart w:id="397" w:name="_Toc184314475"/>
      <w:bookmarkEnd w:id="397"/>
      <w:bookmarkStart w:id="398" w:name="_Toc184308096"/>
      <w:bookmarkEnd w:id="398"/>
      <w:bookmarkStart w:id="399" w:name="_Toc184312093"/>
      <w:bookmarkEnd w:id="399"/>
      <w:bookmarkStart w:id="400" w:name="_Toc184310331"/>
      <w:bookmarkEnd w:id="400"/>
      <w:bookmarkStart w:id="401" w:name="_Toc184312122"/>
      <w:bookmarkEnd w:id="401"/>
      <w:bookmarkStart w:id="402" w:name="_Toc184312136"/>
      <w:bookmarkEnd w:id="402"/>
      <w:bookmarkStart w:id="403" w:name="_Toc184312104"/>
      <w:bookmarkEnd w:id="403"/>
      <w:bookmarkStart w:id="404" w:name="_Toc184310338"/>
      <w:bookmarkEnd w:id="404"/>
      <w:bookmarkStart w:id="405" w:name="_Toc184314417"/>
      <w:bookmarkEnd w:id="405"/>
      <w:r>
        <w:rPr>
          <w:rFonts w:hint="eastAsia" w:ascii="宋体" w:hAnsi="宋体" w:cs="宋体"/>
          <w:b/>
          <w:color w:val="auto"/>
          <w:sz w:val="36"/>
          <w:szCs w:val="20"/>
          <w:highlight w:val="none"/>
        </w:rPr>
        <w:t xml:space="preserve"> 评审办法</w:t>
      </w:r>
    </w:p>
    <w:p w14:paraId="44F1DFB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pPr w:leftFromText="180" w:rightFromText="180" w:vertAnchor="text" w:horzAnchor="page" w:tblpX="1076" w:tblpY="605"/>
        <w:tblOverlap w:val="never"/>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360"/>
        <w:gridCol w:w="840"/>
        <w:gridCol w:w="1685"/>
      </w:tblGrid>
      <w:tr w14:paraId="2585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5A4E0A3">
            <w:pPr>
              <w:snapToGrid w:val="0"/>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6360" w:type="dxa"/>
            <w:vAlign w:val="center"/>
          </w:tcPr>
          <w:p w14:paraId="6764398D">
            <w:pPr>
              <w:snapToGrid w:val="0"/>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评审标准</w:t>
            </w:r>
          </w:p>
        </w:tc>
        <w:tc>
          <w:tcPr>
            <w:tcW w:w="840" w:type="dxa"/>
            <w:vAlign w:val="center"/>
          </w:tcPr>
          <w:p w14:paraId="69DD35FA">
            <w:pPr>
              <w:snapToGrid w:val="0"/>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权重</w:t>
            </w:r>
          </w:p>
        </w:tc>
        <w:tc>
          <w:tcPr>
            <w:tcW w:w="1685" w:type="dxa"/>
          </w:tcPr>
          <w:p w14:paraId="0D5CDAF6">
            <w:pPr>
              <w:snapToGrid w:val="0"/>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响应文件中评审标准相应的商务技术资料目录</w:t>
            </w:r>
            <w:r>
              <w:rPr>
                <w:rFonts w:hint="eastAsia" w:ascii="宋体" w:hAnsi="宋体" w:eastAsia="宋体" w:cs="宋体"/>
                <w:color w:val="auto"/>
                <w:sz w:val="24"/>
                <w:szCs w:val="24"/>
                <w:shd w:val="clear" w:color="auto" w:fill="FFFFFF"/>
              </w:rPr>
              <w:t> *</w:t>
            </w:r>
          </w:p>
        </w:tc>
      </w:tr>
      <w:tr w14:paraId="31D7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848" w:type="dxa"/>
            <w:vAlign w:val="center"/>
          </w:tcPr>
          <w:p w14:paraId="0931168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360" w:type="dxa"/>
            <w:vAlign w:val="center"/>
          </w:tcPr>
          <w:p w14:paraId="52CC65F6">
            <w:pPr>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自202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月1日以来</w:t>
            </w:r>
            <w:r>
              <w:rPr>
                <w:rFonts w:hint="eastAsia" w:ascii="宋体" w:hAnsi="宋体" w:eastAsia="宋体" w:cs="宋体"/>
                <w:color w:val="auto"/>
                <w:sz w:val="24"/>
                <w:szCs w:val="24"/>
                <w:lang w:val="zh-CN"/>
              </w:rPr>
              <w:t>承担过</w:t>
            </w:r>
            <w:r>
              <w:rPr>
                <w:rFonts w:hint="eastAsia" w:ascii="宋体" w:hAnsi="宋体" w:eastAsia="宋体" w:cs="宋体"/>
                <w:color w:val="auto"/>
                <w:sz w:val="24"/>
                <w:szCs w:val="24"/>
              </w:rPr>
              <w:t>类似项目业绩的</w:t>
            </w:r>
            <w:r>
              <w:rPr>
                <w:rFonts w:hint="eastAsia" w:ascii="宋体" w:hAnsi="宋体" w:eastAsia="宋体" w:cs="宋体"/>
                <w:color w:val="auto"/>
                <w:sz w:val="24"/>
                <w:szCs w:val="24"/>
                <w:lang w:val="zh-CN"/>
              </w:rPr>
              <w:t>，每一个得</w:t>
            </w:r>
            <w:r>
              <w:rPr>
                <w:rFonts w:hint="eastAsia" w:ascii="宋体" w:hAnsi="宋体" w:eastAsia="宋体" w:cs="宋体"/>
                <w:color w:val="auto"/>
                <w:sz w:val="24"/>
                <w:szCs w:val="24"/>
              </w:rPr>
              <w:t>0.5</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最高得1.5分。</w:t>
            </w:r>
          </w:p>
          <w:p w14:paraId="64FB7B0E">
            <w:pPr>
              <w:rPr>
                <w:rFonts w:hint="eastAsia" w:ascii="宋体" w:hAnsi="宋体" w:eastAsia="宋体" w:cs="宋体"/>
                <w:color w:val="auto"/>
                <w:sz w:val="24"/>
                <w:szCs w:val="24"/>
              </w:rPr>
            </w:pPr>
            <w:r>
              <w:rPr>
                <w:rFonts w:hint="eastAsia" w:ascii="宋体" w:hAnsi="宋体" w:eastAsia="宋体" w:cs="宋体"/>
                <w:b/>
                <w:bCs/>
                <w:color w:val="auto"/>
                <w:sz w:val="24"/>
                <w:szCs w:val="24"/>
              </w:rPr>
              <w:t>【证明材料】施工合同和验收报告扫描件加盖公章（缺一不得分），证明材料须体现类似项目要求，若不能体现，须同时提供业主证明材料，时间以合同签订时间为准。</w:t>
            </w:r>
          </w:p>
        </w:tc>
        <w:tc>
          <w:tcPr>
            <w:tcW w:w="840" w:type="dxa"/>
            <w:vAlign w:val="center"/>
          </w:tcPr>
          <w:p w14:paraId="45C5822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685" w:type="dxa"/>
            <w:vAlign w:val="center"/>
          </w:tcPr>
          <w:p w14:paraId="14399204">
            <w:pPr>
              <w:jc w:val="center"/>
              <w:rPr>
                <w:rFonts w:hint="eastAsia" w:ascii="宋体" w:hAnsi="宋体" w:eastAsia="宋体" w:cs="宋体"/>
                <w:color w:val="auto"/>
                <w:sz w:val="24"/>
                <w:szCs w:val="24"/>
              </w:rPr>
            </w:pPr>
          </w:p>
        </w:tc>
      </w:tr>
      <w:tr w14:paraId="6D1B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1" w:hRule="atLeast"/>
        </w:trPr>
        <w:tc>
          <w:tcPr>
            <w:tcW w:w="848" w:type="dxa"/>
            <w:vAlign w:val="center"/>
          </w:tcPr>
          <w:p w14:paraId="5071CE5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360" w:type="dxa"/>
            <w:vAlign w:val="center"/>
          </w:tcPr>
          <w:p w14:paraId="5B5D538E">
            <w:pPr>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具有有效的</w:t>
            </w:r>
            <w:r>
              <w:rPr>
                <w:rFonts w:hint="eastAsia" w:ascii="宋体" w:hAnsi="宋体" w:eastAsia="宋体" w:cs="宋体"/>
                <w:color w:val="auto"/>
                <w:sz w:val="24"/>
                <w:szCs w:val="24"/>
                <w:lang w:val="zh-CN"/>
              </w:rPr>
              <w:t>质量管理体系认证证书、环境管理体系认证证书、职业健康安全管理体系认证</w:t>
            </w:r>
            <w:r>
              <w:rPr>
                <w:rFonts w:hint="eastAsia" w:ascii="宋体" w:hAnsi="宋体" w:eastAsia="宋体" w:cs="宋体"/>
                <w:color w:val="auto"/>
                <w:sz w:val="24"/>
                <w:szCs w:val="24"/>
              </w:rPr>
              <w:t>的每个得0.5分，最高得1.5分。</w:t>
            </w:r>
          </w:p>
          <w:p w14:paraId="78077003">
            <w:pPr>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themeFill="background1"/>
              </w:rPr>
              <w:t>注：（同时提供证书扫描件、国家认证认可监督管理委员会官网（http://www.cnca.gov.cn/）查询截图，缺一或未提供不得分）。</w:t>
            </w:r>
          </w:p>
        </w:tc>
        <w:tc>
          <w:tcPr>
            <w:tcW w:w="840" w:type="dxa"/>
            <w:vAlign w:val="center"/>
          </w:tcPr>
          <w:p w14:paraId="7135747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685" w:type="dxa"/>
            <w:vAlign w:val="center"/>
          </w:tcPr>
          <w:p w14:paraId="27EC6114">
            <w:pPr>
              <w:jc w:val="center"/>
              <w:rPr>
                <w:rFonts w:hint="eastAsia" w:ascii="宋体" w:hAnsi="宋体" w:eastAsia="宋体" w:cs="宋体"/>
                <w:color w:val="auto"/>
                <w:sz w:val="24"/>
                <w:szCs w:val="24"/>
              </w:rPr>
            </w:pPr>
          </w:p>
        </w:tc>
      </w:tr>
      <w:tr w14:paraId="75E6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48" w:type="dxa"/>
            <w:vAlign w:val="center"/>
          </w:tcPr>
          <w:p w14:paraId="4B1BAC44">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6360" w:type="dxa"/>
            <w:vAlign w:val="center"/>
          </w:tcPr>
          <w:p w14:paraId="564BC320">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拟派项目经理具有</w:t>
            </w:r>
            <w:r>
              <w:rPr>
                <w:rFonts w:hint="eastAsia" w:ascii="宋体" w:hAnsi="宋体" w:eastAsia="宋体" w:cs="宋体"/>
                <w:color w:val="auto"/>
                <w:sz w:val="24"/>
                <w:szCs w:val="24"/>
                <w:lang w:val="en-US" w:eastAsia="zh-CN"/>
              </w:rPr>
              <w:t>高</w:t>
            </w:r>
            <w:r>
              <w:rPr>
                <w:rFonts w:hint="eastAsia" w:ascii="宋体" w:hAnsi="宋体" w:eastAsia="宋体" w:cs="宋体"/>
                <w:color w:val="auto"/>
                <w:sz w:val="24"/>
                <w:szCs w:val="24"/>
                <w:lang w:val="zh-CN"/>
              </w:rPr>
              <w:t>级</w:t>
            </w:r>
            <w:r>
              <w:rPr>
                <w:rFonts w:hint="eastAsia" w:ascii="宋体" w:hAnsi="宋体" w:eastAsia="宋体" w:cs="宋体"/>
                <w:color w:val="auto"/>
                <w:sz w:val="24"/>
                <w:szCs w:val="24"/>
              </w:rPr>
              <w:t>工程师</w:t>
            </w:r>
            <w:r>
              <w:rPr>
                <w:rFonts w:hint="eastAsia" w:ascii="宋体" w:hAnsi="宋体" w:eastAsia="宋体" w:cs="宋体"/>
                <w:color w:val="auto"/>
                <w:sz w:val="24"/>
                <w:szCs w:val="24"/>
                <w:lang w:val="zh-CN"/>
              </w:rPr>
              <w:t>及以上职称的得2分，技术负责人</w:t>
            </w:r>
            <w:r>
              <w:rPr>
                <w:rFonts w:hint="eastAsia" w:ascii="宋体" w:hAnsi="宋体" w:eastAsia="宋体" w:cs="宋体"/>
                <w:color w:val="auto"/>
                <w:sz w:val="24"/>
                <w:szCs w:val="24"/>
              </w:rPr>
              <w:t>同时具有二级建造师及</w:t>
            </w:r>
            <w:r>
              <w:rPr>
                <w:rFonts w:hint="eastAsia" w:ascii="宋体" w:hAnsi="宋体" w:eastAsia="宋体" w:cs="宋体"/>
                <w:color w:val="auto"/>
                <w:sz w:val="24"/>
                <w:szCs w:val="24"/>
                <w:lang w:val="zh-CN"/>
              </w:rPr>
              <w:t>高级</w:t>
            </w:r>
            <w:r>
              <w:rPr>
                <w:rFonts w:hint="eastAsia" w:ascii="宋体" w:hAnsi="宋体" w:eastAsia="宋体" w:cs="宋体"/>
                <w:color w:val="auto"/>
                <w:sz w:val="24"/>
                <w:szCs w:val="24"/>
              </w:rPr>
              <w:t>工程师或以上</w:t>
            </w:r>
            <w:r>
              <w:rPr>
                <w:rFonts w:hint="eastAsia" w:ascii="宋体" w:hAnsi="宋体" w:eastAsia="宋体" w:cs="宋体"/>
                <w:color w:val="auto"/>
                <w:sz w:val="24"/>
                <w:szCs w:val="24"/>
                <w:lang w:val="zh-CN"/>
              </w:rPr>
              <w:t>职称得2分。</w:t>
            </w:r>
          </w:p>
          <w:p w14:paraId="5CE09B70">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【证明材料】</w:t>
            </w:r>
            <w:r>
              <w:rPr>
                <w:rFonts w:hint="eastAsia" w:ascii="宋体" w:hAnsi="宋体" w:eastAsia="宋体" w:cs="宋体"/>
                <w:color w:val="auto"/>
                <w:sz w:val="24"/>
                <w:szCs w:val="24"/>
              </w:rPr>
              <w:t>职称证</w:t>
            </w:r>
            <w:r>
              <w:rPr>
                <w:rFonts w:hint="eastAsia" w:ascii="宋体" w:hAnsi="宋体" w:eastAsia="宋体" w:cs="宋体"/>
                <w:color w:val="auto"/>
                <w:sz w:val="24"/>
                <w:szCs w:val="24"/>
                <w:lang w:val="zh-CN"/>
              </w:rPr>
              <w:t>扫描件加盖公章。</w:t>
            </w:r>
          </w:p>
        </w:tc>
        <w:tc>
          <w:tcPr>
            <w:tcW w:w="840" w:type="dxa"/>
            <w:vAlign w:val="center"/>
          </w:tcPr>
          <w:p w14:paraId="2079592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685" w:type="dxa"/>
            <w:vAlign w:val="center"/>
          </w:tcPr>
          <w:p w14:paraId="68CB6B6C">
            <w:pPr>
              <w:jc w:val="center"/>
              <w:rPr>
                <w:rFonts w:hint="eastAsia" w:ascii="宋体" w:hAnsi="宋体" w:eastAsia="宋体" w:cs="宋体"/>
                <w:color w:val="auto"/>
                <w:sz w:val="24"/>
                <w:szCs w:val="24"/>
              </w:rPr>
            </w:pPr>
          </w:p>
        </w:tc>
      </w:tr>
      <w:tr w14:paraId="376E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48" w:type="dxa"/>
            <w:vAlign w:val="center"/>
          </w:tcPr>
          <w:p w14:paraId="2C562A1D">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6360" w:type="dxa"/>
            <w:vAlign w:val="center"/>
          </w:tcPr>
          <w:p w14:paraId="74DDD296">
            <w:pPr>
              <w:rPr>
                <w:rFonts w:hint="eastAsia" w:ascii="宋体" w:hAnsi="宋体" w:eastAsia="宋体" w:cs="宋体"/>
                <w:color w:val="auto"/>
                <w:sz w:val="24"/>
                <w:szCs w:val="24"/>
              </w:rPr>
            </w:pPr>
            <w:r>
              <w:rPr>
                <w:rFonts w:hint="eastAsia" w:ascii="宋体" w:hAnsi="宋体" w:eastAsia="宋体" w:cs="宋体"/>
                <w:color w:val="auto"/>
                <w:sz w:val="24"/>
                <w:szCs w:val="24"/>
                <w:lang w:val="zh-CN"/>
              </w:rPr>
              <w:t>施工平面布置、现场临时安排：</w:t>
            </w:r>
            <w:r>
              <w:rPr>
                <w:rFonts w:hint="eastAsia" w:ascii="宋体" w:hAnsi="宋体" w:eastAsia="宋体" w:cs="宋体"/>
                <w:color w:val="auto"/>
                <w:sz w:val="24"/>
                <w:szCs w:val="24"/>
              </w:rPr>
              <w:t>根据施工平面布置、现场临时安排的合理性以及</w:t>
            </w:r>
            <w:r>
              <w:rPr>
                <w:rFonts w:hint="eastAsia" w:ascii="宋体" w:hAnsi="宋体" w:eastAsia="宋体" w:cs="宋体"/>
                <w:color w:val="auto"/>
                <w:sz w:val="24"/>
                <w:szCs w:val="24"/>
                <w:lang w:val="zh-CN"/>
              </w:rPr>
              <w:t>与现场实际情况的符合程度</w:t>
            </w:r>
            <w:r>
              <w:rPr>
                <w:rFonts w:hint="eastAsia" w:ascii="宋体" w:hAnsi="宋体" w:eastAsia="宋体" w:cs="宋体"/>
                <w:color w:val="auto"/>
                <w:sz w:val="24"/>
                <w:szCs w:val="24"/>
              </w:rPr>
              <w:t>进行评审。（评审分值为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分或3分或2分或1分或0分）</w:t>
            </w:r>
          </w:p>
        </w:tc>
        <w:tc>
          <w:tcPr>
            <w:tcW w:w="840" w:type="dxa"/>
            <w:vAlign w:val="center"/>
          </w:tcPr>
          <w:p w14:paraId="2035FD61">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685" w:type="dxa"/>
            <w:vAlign w:val="center"/>
          </w:tcPr>
          <w:p w14:paraId="6B29C6DD">
            <w:pPr>
              <w:jc w:val="center"/>
              <w:rPr>
                <w:rFonts w:hint="eastAsia" w:ascii="宋体" w:hAnsi="宋体" w:eastAsia="宋体" w:cs="宋体"/>
                <w:color w:val="auto"/>
                <w:sz w:val="24"/>
                <w:szCs w:val="24"/>
              </w:rPr>
            </w:pPr>
          </w:p>
        </w:tc>
      </w:tr>
      <w:tr w14:paraId="7B4A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848" w:type="dxa"/>
            <w:vAlign w:val="center"/>
          </w:tcPr>
          <w:p w14:paraId="78B1D048">
            <w:pPr>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6360" w:type="dxa"/>
            <w:vAlign w:val="center"/>
          </w:tcPr>
          <w:p w14:paraId="66AEBFD3">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工程管理人员岗位配置、专业配置：</w:t>
            </w:r>
            <w:r>
              <w:rPr>
                <w:rFonts w:hint="eastAsia" w:ascii="宋体" w:hAnsi="宋体" w:eastAsia="宋体" w:cs="宋体"/>
                <w:color w:val="auto"/>
                <w:sz w:val="24"/>
                <w:szCs w:val="24"/>
              </w:rPr>
              <w:t>根据工程管理人员岗位配置、专业配置情况，职责分工的明确程度</w:t>
            </w:r>
            <w:r>
              <w:rPr>
                <w:rFonts w:hint="eastAsia" w:ascii="宋体" w:hAnsi="宋体" w:eastAsia="宋体" w:cs="宋体"/>
                <w:color w:val="auto"/>
                <w:sz w:val="24"/>
                <w:szCs w:val="24"/>
                <w:lang w:val="zh-CN"/>
              </w:rPr>
              <w:t>及管理人员的专业能力与项目实际情况的吻合程度</w:t>
            </w:r>
            <w:r>
              <w:rPr>
                <w:rFonts w:hint="eastAsia" w:ascii="宋体" w:hAnsi="宋体" w:eastAsia="宋体" w:cs="宋体"/>
                <w:color w:val="auto"/>
                <w:sz w:val="24"/>
                <w:szCs w:val="24"/>
              </w:rPr>
              <w:t>进行评审</w:t>
            </w:r>
            <w:r>
              <w:rPr>
                <w:rFonts w:hint="eastAsia" w:ascii="宋体" w:hAnsi="宋体" w:eastAsia="宋体" w:cs="宋体"/>
                <w:color w:val="auto"/>
                <w:sz w:val="24"/>
                <w:szCs w:val="24"/>
                <w:lang w:val="zh-CN"/>
              </w:rPr>
              <w:t>（从管理人员的经验、职称、所学专业进行评估）。</w:t>
            </w:r>
            <w:r>
              <w:rPr>
                <w:rFonts w:hint="eastAsia" w:ascii="宋体" w:hAnsi="宋体" w:eastAsia="宋体" w:cs="宋体"/>
                <w:color w:val="auto"/>
                <w:sz w:val="24"/>
                <w:szCs w:val="24"/>
              </w:rPr>
              <w:t>（评审分值为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分或3分或2分或1分或0分）</w:t>
            </w:r>
          </w:p>
        </w:tc>
        <w:tc>
          <w:tcPr>
            <w:tcW w:w="840" w:type="dxa"/>
            <w:vAlign w:val="center"/>
          </w:tcPr>
          <w:p w14:paraId="7F87ECB5">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685" w:type="dxa"/>
            <w:vAlign w:val="center"/>
          </w:tcPr>
          <w:p w14:paraId="1DC70296">
            <w:pPr>
              <w:jc w:val="center"/>
              <w:rPr>
                <w:rFonts w:hint="eastAsia" w:ascii="宋体" w:hAnsi="宋体" w:eastAsia="宋体" w:cs="宋体"/>
                <w:color w:val="auto"/>
                <w:sz w:val="24"/>
                <w:szCs w:val="24"/>
              </w:rPr>
            </w:pPr>
          </w:p>
        </w:tc>
      </w:tr>
      <w:tr w14:paraId="5092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48" w:type="dxa"/>
            <w:vAlign w:val="center"/>
          </w:tcPr>
          <w:p w14:paraId="33AC8BC6">
            <w:pPr>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6360" w:type="dxa"/>
            <w:vAlign w:val="center"/>
          </w:tcPr>
          <w:p w14:paraId="53CB1823">
            <w:pPr>
              <w:outlineLvl w:val="0"/>
              <w:rPr>
                <w:rFonts w:hint="eastAsia" w:ascii="宋体" w:hAnsi="宋体" w:eastAsia="宋体" w:cs="宋体"/>
                <w:color w:val="auto"/>
                <w:sz w:val="24"/>
                <w:szCs w:val="24"/>
              </w:rPr>
            </w:pPr>
            <w:r>
              <w:rPr>
                <w:rFonts w:hint="eastAsia" w:ascii="宋体" w:hAnsi="宋体" w:eastAsia="宋体" w:cs="宋体"/>
                <w:color w:val="auto"/>
                <w:sz w:val="24"/>
                <w:szCs w:val="24"/>
              </w:rPr>
              <w:t>本项目施工难点、施工重点的描述及解决措施：根据措施的科学性、合理性、可行性及其针对性进行评审。（评审分值为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分或3分或2分或1分或0分）</w:t>
            </w:r>
          </w:p>
        </w:tc>
        <w:tc>
          <w:tcPr>
            <w:tcW w:w="840" w:type="dxa"/>
            <w:vAlign w:val="center"/>
          </w:tcPr>
          <w:p w14:paraId="2D1411F6">
            <w:pPr>
              <w:jc w:val="center"/>
              <w:outlineLvl w:val="0"/>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5</w:t>
            </w:r>
          </w:p>
        </w:tc>
        <w:tc>
          <w:tcPr>
            <w:tcW w:w="1685" w:type="dxa"/>
            <w:vAlign w:val="center"/>
          </w:tcPr>
          <w:p w14:paraId="4357E9F9">
            <w:pPr>
              <w:snapToGrid w:val="0"/>
              <w:jc w:val="center"/>
              <w:outlineLvl w:val="0"/>
              <w:rPr>
                <w:rFonts w:hint="eastAsia" w:ascii="宋体" w:hAnsi="宋体" w:eastAsia="宋体" w:cs="宋体"/>
                <w:color w:val="auto"/>
                <w:sz w:val="24"/>
                <w:szCs w:val="24"/>
              </w:rPr>
            </w:pPr>
          </w:p>
        </w:tc>
      </w:tr>
      <w:tr w14:paraId="1225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48" w:type="dxa"/>
            <w:vAlign w:val="center"/>
          </w:tcPr>
          <w:p w14:paraId="4722B82F">
            <w:pPr>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6360" w:type="dxa"/>
            <w:vAlign w:val="center"/>
          </w:tcPr>
          <w:p w14:paraId="38101B3A">
            <w:pPr>
              <w:outlineLvl w:val="0"/>
              <w:rPr>
                <w:rFonts w:hint="eastAsia" w:ascii="宋体" w:hAnsi="宋体" w:eastAsia="宋体" w:cs="宋体"/>
                <w:color w:val="auto"/>
                <w:sz w:val="24"/>
                <w:szCs w:val="24"/>
              </w:rPr>
            </w:pPr>
            <w:r>
              <w:rPr>
                <w:rFonts w:hint="eastAsia" w:ascii="宋体" w:hAnsi="宋体" w:eastAsia="宋体" w:cs="宋体"/>
                <w:color w:val="auto"/>
                <w:spacing w:val="-6"/>
                <w:sz w:val="24"/>
                <w:szCs w:val="24"/>
              </w:rPr>
              <w:t>各专业工种的配置和劳动力的投入情况，劳动力安排组织与管理措施：根据措施的科学性、合理性、可行性及其配置对本项目施工需求的满足程度进行评审。</w:t>
            </w:r>
            <w:r>
              <w:rPr>
                <w:rFonts w:hint="eastAsia" w:ascii="宋体" w:hAnsi="宋体" w:eastAsia="宋体" w:cs="宋体"/>
                <w:color w:val="auto"/>
                <w:sz w:val="24"/>
                <w:szCs w:val="24"/>
              </w:rPr>
              <w:t>（评审分值为4分或3分或2分或1分或0分）</w:t>
            </w:r>
          </w:p>
        </w:tc>
        <w:tc>
          <w:tcPr>
            <w:tcW w:w="840" w:type="dxa"/>
            <w:vAlign w:val="center"/>
          </w:tcPr>
          <w:p w14:paraId="5CD4250F">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85" w:type="dxa"/>
            <w:vAlign w:val="center"/>
          </w:tcPr>
          <w:p w14:paraId="630A1965">
            <w:pPr>
              <w:snapToGrid w:val="0"/>
              <w:jc w:val="center"/>
              <w:outlineLvl w:val="0"/>
              <w:rPr>
                <w:rFonts w:hint="eastAsia" w:ascii="宋体" w:hAnsi="宋体" w:eastAsia="宋体" w:cs="宋体"/>
                <w:color w:val="auto"/>
                <w:sz w:val="24"/>
                <w:szCs w:val="24"/>
              </w:rPr>
            </w:pPr>
          </w:p>
        </w:tc>
      </w:tr>
      <w:tr w14:paraId="7F98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trPr>
        <w:tc>
          <w:tcPr>
            <w:tcW w:w="848" w:type="dxa"/>
            <w:vAlign w:val="center"/>
          </w:tcPr>
          <w:p w14:paraId="655F68B4">
            <w:pPr>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6360" w:type="dxa"/>
            <w:vAlign w:val="center"/>
          </w:tcPr>
          <w:p w14:paraId="2A898BA7">
            <w:pPr>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根据施工质量的控制和检验手段是否科学、可靠，及确保工程验收顺利通过的技术、管理措施的有效性进行评审。（评审分值为4分或3分或2分或1分或0分）</w:t>
            </w:r>
          </w:p>
        </w:tc>
        <w:tc>
          <w:tcPr>
            <w:tcW w:w="840" w:type="dxa"/>
            <w:vAlign w:val="center"/>
          </w:tcPr>
          <w:p w14:paraId="5D55D938">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85" w:type="dxa"/>
            <w:vAlign w:val="center"/>
          </w:tcPr>
          <w:p w14:paraId="6DCDA5F2">
            <w:pPr>
              <w:snapToGrid w:val="0"/>
              <w:jc w:val="center"/>
              <w:outlineLvl w:val="0"/>
              <w:rPr>
                <w:rFonts w:hint="eastAsia" w:ascii="宋体" w:hAnsi="宋体" w:eastAsia="宋体" w:cs="宋体"/>
                <w:color w:val="auto"/>
                <w:sz w:val="24"/>
                <w:szCs w:val="24"/>
              </w:rPr>
            </w:pPr>
          </w:p>
        </w:tc>
      </w:tr>
      <w:tr w14:paraId="7C3F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48" w:type="dxa"/>
            <w:vAlign w:val="center"/>
          </w:tcPr>
          <w:p w14:paraId="7F459856">
            <w:pPr>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6360" w:type="dxa"/>
            <w:vAlign w:val="center"/>
          </w:tcPr>
          <w:p w14:paraId="0C275D40">
            <w:pPr>
              <w:outlineLvl w:val="0"/>
              <w:rPr>
                <w:rFonts w:hint="eastAsia" w:ascii="宋体" w:hAnsi="宋体" w:eastAsia="宋体" w:cs="宋体"/>
                <w:color w:val="auto"/>
                <w:sz w:val="24"/>
                <w:szCs w:val="24"/>
              </w:rPr>
            </w:pPr>
            <w:r>
              <w:rPr>
                <w:rFonts w:hint="eastAsia" w:ascii="宋体" w:hAnsi="宋体" w:eastAsia="宋体" w:cs="宋体"/>
                <w:color w:val="auto"/>
                <w:sz w:val="24"/>
                <w:szCs w:val="24"/>
              </w:rPr>
              <w:t>施工方案、技术措施（防尘降噪、防潮措施等）、成品保护方案：根据方案的全面性、合理性、可行性以及措施的科学性、有效性进行评审。（评审分值为5分或4分或3分或2分或1分或0分）</w:t>
            </w:r>
          </w:p>
        </w:tc>
        <w:tc>
          <w:tcPr>
            <w:tcW w:w="840" w:type="dxa"/>
            <w:vAlign w:val="center"/>
          </w:tcPr>
          <w:p w14:paraId="44A42724">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1685" w:type="dxa"/>
            <w:vAlign w:val="center"/>
          </w:tcPr>
          <w:p w14:paraId="1D757046">
            <w:pPr>
              <w:snapToGrid w:val="0"/>
              <w:jc w:val="center"/>
              <w:outlineLvl w:val="0"/>
              <w:rPr>
                <w:rFonts w:hint="eastAsia" w:ascii="宋体" w:hAnsi="宋体" w:eastAsia="宋体" w:cs="宋体"/>
                <w:color w:val="auto"/>
                <w:sz w:val="24"/>
                <w:szCs w:val="24"/>
              </w:rPr>
            </w:pPr>
          </w:p>
        </w:tc>
      </w:tr>
      <w:tr w14:paraId="7425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8" w:type="dxa"/>
            <w:vAlign w:val="center"/>
          </w:tcPr>
          <w:p w14:paraId="718E503D">
            <w:pPr>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6360" w:type="dxa"/>
            <w:vAlign w:val="center"/>
          </w:tcPr>
          <w:p w14:paraId="0DC34647">
            <w:pPr>
              <w:outlineLvl w:val="0"/>
              <w:rPr>
                <w:rFonts w:hint="eastAsia" w:ascii="宋体" w:hAnsi="宋体" w:eastAsia="宋体" w:cs="宋体"/>
                <w:color w:val="auto"/>
                <w:sz w:val="24"/>
                <w:szCs w:val="24"/>
              </w:rPr>
            </w:pPr>
            <w:r>
              <w:rPr>
                <w:rFonts w:hint="eastAsia" w:ascii="宋体" w:hAnsi="宋体" w:eastAsia="宋体" w:cs="宋体"/>
                <w:color w:val="auto"/>
                <w:sz w:val="24"/>
                <w:szCs w:val="24"/>
              </w:rPr>
              <w:t>工期承诺、进度计划和控制措施：根据承诺对采购人及项目实施的有利程度，控制措施的合理性、可行性进行评审。（评审分值为4分或3分或2分或1分或0分）</w:t>
            </w:r>
          </w:p>
        </w:tc>
        <w:tc>
          <w:tcPr>
            <w:tcW w:w="840" w:type="dxa"/>
            <w:vAlign w:val="center"/>
          </w:tcPr>
          <w:p w14:paraId="53446C1A">
            <w:pPr>
              <w:jc w:val="center"/>
              <w:outlineLvl w:val="0"/>
              <w:rPr>
                <w:rFonts w:hint="eastAsia" w:ascii="宋体" w:hAnsi="宋体" w:eastAsia="宋体" w:cs="宋体"/>
                <w:bCs/>
                <w:color w:val="auto"/>
                <w:sz w:val="24"/>
                <w:szCs w:val="24"/>
              </w:rPr>
            </w:pPr>
            <w:r>
              <w:rPr>
                <w:rFonts w:hint="eastAsia" w:ascii="宋体" w:hAnsi="宋体" w:eastAsia="宋体" w:cs="宋体"/>
                <w:color w:val="auto"/>
                <w:sz w:val="24"/>
                <w:szCs w:val="24"/>
              </w:rPr>
              <w:t>4</w:t>
            </w:r>
          </w:p>
        </w:tc>
        <w:tc>
          <w:tcPr>
            <w:tcW w:w="1685" w:type="dxa"/>
            <w:vAlign w:val="center"/>
          </w:tcPr>
          <w:p w14:paraId="2CD9578D">
            <w:pPr>
              <w:snapToGrid w:val="0"/>
              <w:jc w:val="center"/>
              <w:outlineLvl w:val="0"/>
              <w:rPr>
                <w:rFonts w:hint="eastAsia" w:ascii="宋体" w:hAnsi="宋体" w:eastAsia="宋体" w:cs="宋体"/>
                <w:color w:val="auto"/>
                <w:sz w:val="24"/>
                <w:szCs w:val="24"/>
              </w:rPr>
            </w:pPr>
          </w:p>
        </w:tc>
      </w:tr>
      <w:tr w14:paraId="683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848" w:type="dxa"/>
            <w:vAlign w:val="center"/>
          </w:tcPr>
          <w:p w14:paraId="40F671EF">
            <w:pPr>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6360" w:type="dxa"/>
            <w:vAlign w:val="center"/>
          </w:tcPr>
          <w:p w14:paraId="455BC2B0">
            <w:pPr>
              <w:outlineLvl w:val="0"/>
              <w:rPr>
                <w:rFonts w:hint="eastAsia" w:ascii="宋体" w:hAnsi="宋体" w:eastAsia="宋体" w:cs="宋体"/>
                <w:color w:val="auto"/>
                <w:sz w:val="24"/>
                <w:szCs w:val="24"/>
              </w:rPr>
            </w:pPr>
            <w:r>
              <w:rPr>
                <w:rFonts w:hint="eastAsia" w:ascii="宋体" w:hAnsi="宋体" w:eastAsia="宋体" w:cs="宋体"/>
                <w:color w:val="auto"/>
                <w:sz w:val="24"/>
                <w:szCs w:val="24"/>
              </w:rPr>
              <w:t>施工组织涉及方案：根据方案编制是否全面、合理，具有针对性，尤其对周边道路情况的熟悉，对本工程要求理解程度进行评审。（评审分值为4分或3分或2分或1分或0分）</w:t>
            </w:r>
          </w:p>
        </w:tc>
        <w:tc>
          <w:tcPr>
            <w:tcW w:w="840" w:type="dxa"/>
            <w:vAlign w:val="center"/>
          </w:tcPr>
          <w:p w14:paraId="30B69C69">
            <w:pPr>
              <w:jc w:val="center"/>
              <w:outlineLvl w:val="0"/>
              <w:rPr>
                <w:rFonts w:hint="eastAsia" w:ascii="宋体" w:hAnsi="宋体" w:eastAsia="宋体" w:cs="宋体"/>
                <w:bCs/>
                <w:color w:val="auto"/>
                <w:sz w:val="24"/>
                <w:szCs w:val="24"/>
              </w:rPr>
            </w:pPr>
            <w:r>
              <w:rPr>
                <w:rFonts w:hint="eastAsia" w:ascii="宋体" w:hAnsi="宋体" w:eastAsia="宋体" w:cs="宋体"/>
                <w:color w:val="auto"/>
                <w:sz w:val="24"/>
                <w:szCs w:val="24"/>
              </w:rPr>
              <w:t>4</w:t>
            </w:r>
          </w:p>
        </w:tc>
        <w:tc>
          <w:tcPr>
            <w:tcW w:w="1685" w:type="dxa"/>
            <w:vAlign w:val="center"/>
          </w:tcPr>
          <w:p w14:paraId="173F177A">
            <w:pPr>
              <w:snapToGrid w:val="0"/>
              <w:jc w:val="center"/>
              <w:outlineLvl w:val="0"/>
              <w:rPr>
                <w:rFonts w:hint="eastAsia" w:ascii="宋体" w:hAnsi="宋体" w:eastAsia="宋体" w:cs="宋体"/>
                <w:color w:val="auto"/>
                <w:sz w:val="24"/>
                <w:szCs w:val="24"/>
              </w:rPr>
            </w:pPr>
          </w:p>
        </w:tc>
      </w:tr>
      <w:tr w14:paraId="4C65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848" w:type="dxa"/>
            <w:vAlign w:val="center"/>
          </w:tcPr>
          <w:p w14:paraId="35920C28">
            <w:pPr>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6360" w:type="dxa"/>
            <w:vAlign w:val="center"/>
          </w:tcPr>
          <w:p w14:paraId="320C1F07">
            <w:pPr>
              <w:outlineLvl w:val="0"/>
              <w:rPr>
                <w:rFonts w:hint="eastAsia" w:ascii="宋体" w:hAnsi="宋体" w:eastAsia="宋体" w:cs="宋体"/>
                <w:color w:val="auto"/>
                <w:sz w:val="24"/>
                <w:szCs w:val="24"/>
              </w:rPr>
            </w:pPr>
            <w:r>
              <w:rPr>
                <w:rFonts w:hint="eastAsia" w:ascii="宋体" w:hAnsi="宋体" w:eastAsia="宋体" w:cs="宋体"/>
                <w:color w:val="auto"/>
                <w:sz w:val="24"/>
                <w:szCs w:val="24"/>
              </w:rPr>
              <w:t>工程关键部位确定及工程关键部位的施工方案、施工质量的保证措施。</w:t>
            </w:r>
          </w:p>
        </w:tc>
        <w:tc>
          <w:tcPr>
            <w:tcW w:w="840" w:type="dxa"/>
            <w:vAlign w:val="center"/>
          </w:tcPr>
          <w:p w14:paraId="6E46957B">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85" w:type="dxa"/>
            <w:vAlign w:val="center"/>
          </w:tcPr>
          <w:p w14:paraId="5FA21BAA">
            <w:pPr>
              <w:snapToGrid w:val="0"/>
              <w:jc w:val="center"/>
              <w:outlineLvl w:val="0"/>
              <w:rPr>
                <w:rFonts w:hint="eastAsia" w:ascii="宋体" w:hAnsi="宋体" w:eastAsia="宋体" w:cs="宋体"/>
                <w:color w:val="auto"/>
                <w:sz w:val="24"/>
                <w:szCs w:val="24"/>
              </w:rPr>
            </w:pPr>
          </w:p>
        </w:tc>
      </w:tr>
      <w:tr w14:paraId="4B8A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48" w:type="dxa"/>
            <w:vAlign w:val="center"/>
          </w:tcPr>
          <w:p w14:paraId="53E351F1">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.1</w:t>
            </w:r>
          </w:p>
        </w:tc>
        <w:tc>
          <w:tcPr>
            <w:tcW w:w="6360" w:type="dxa"/>
            <w:vAlign w:val="center"/>
          </w:tcPr>
          <w:p w14:paraId="11FA2B2E">
            <w:pPr>
              <w:outlineLvl w:val="0"/>
              <w:rPr>
                <w:rFonts w:hint="eastAsia" w:ascii="宋体" w:hAnsi="宋体" w:eastAsia="宋体" w:cs="宋体"/>
                <w:color w:val="auto"/>
                <w:sz w:val="24"/>
                <w:szCs w:val="24"/>
              </w:rPr>
            </w:pPr>
            <w:r>
              <w:rPr>
                <w:rFonts w:hint="eastAsia" w:ascii="宋体" w:hAnsi="宋体" w:eastAsia="宋体" w:cs="宋体"/>
                <w:color w:val="auto"/>
                <w:sz w:val="24"/>
                <w:szCs w:val="24"/>
              </w:rPr>
              <w:t>工程关键部位的确定：根据工程关键部位与工程实际情况的符合情况进行评审。（评审分值为3分或2分或1分或0分）</w:t>
            </w:r>
          </w:p>
        </w:tc>
        <w:tc>
          <w:tcPr>
            <w:tcW w:w="840" w:type="dxa"/>
            <w:vAlign w:val="center"/>
          </w:tcPr>
          <w:p w14:paraId="15FDEF62">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85" w:type="dxa"/>
            <w:vAlign w:val="center"/>
          </w:tcPr>
          <w:p w14:paraId="39979B89">
            <w:pPr>
              <w:snapToGrid w:val="0"/>
              <w:jc w:val="center"/>
              <w:outlineLvl w:val="0"/>
              <w:rPr>
                <w:rFonts w:hint="eastAsia" w:ascii="宋体" w:hAnsi="宋体" w:eastAsia="宋体" w:cs="宋体"/>
                <w:color w:val="auto"/>
                <w:sz w:val="24"/>
                <w:szCs w:val="24"/>
              </w:rPr>
            </w:pPr>
          </w:p>
        </w:tc>
      </w:tr>
      <w:tr w14:paraId="4700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48" w:type="dxa"/>
            <w:vAlign w:val="center"/>
          </w:tcPr>
          <w:p w14:paraId="7DB6DBFC">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.2</w:t>
            </w:r>
          </w:p>
        </w:tc>
        <w:tc>
          <w:tcPr>
            <w:tcW w:w="6360" w:type="dxa"/>
            <w:vAlign w:val="center"/>
          </w:tcPr>
          <w:p w14:paraId="12D0BA92">
            <w:pPr>
              <w:outlineLvl w:val="0"/>
              <w:rPr>
                <w:rFonts w:hint="eastAsia" w:ascii="宋体" w:hAnsi="宋体" w:eastAsia="宋体" w:cs="宋体"/>
                <w:color w:val="auto"/>
                <w:sz w:val="24"/>
                <w:szCs w:val="24"/>
              </w:rPr>
            </w:pPr>
            <w:r>
              <w:rPr>
                <w:rFonts w:hint="eastAsia" w:ascii="宋体" w:hAnsi="宋体" w:eastAsia="宋体" w:cs="宋体"/>
                <w:color w:val="auto"/>
                <w:sz w:val="24"/>
                <w:szCs w:val="24"/>
              </w:rPr>
              <w:t>工程关键部位的施工方案：根据方案的针对性、科学性、合理性进行评审。（评审分值为3分或2分或1分或0分）</w:t>
            </w:r>
          </w:p>
        </w:tc>
        <w:tc>
          <w:tcPr>
            <w:tcW w:w="840" w:type="dxa"/>
            <w:vAlign w:val="center"/>
          </w:tcPr>
          <w:p w14:paraId="0C277BCF">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85" w:type="dxa"/>
            <w:vAlign w:val="center"/>
          </w:tcPr>
          <w:p w14:paraId="2E09DD75">
            <w:pPr>
              <w:snapToGrid w:val="0"/>
              <w:jc w:val="center"/>
              <w:outlineLvl w:val="0"/>
              <w:rPr>
                <w:rFonts w:hint="eastAsia" w:ascii="宋体" w:hAnsi="宋体" w:eastAsia="宋体" w:cs="宋体"/>
                <w:color w:val="auto"/>
                <w:sz w:val="24"/>
                <w:szCs w:val="24"/>
              </w:rPr>
            </w:pPr>
          </w:p>
        </w:tc>
      </w:tr>
      <w:tr w14:paraId="4EC4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48" w:type="dxa"/>
            <w:vAlign w:val="center"/>
          </w:tcPr>
          <w:p w14:paraId="677D2476">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w:t>
            </w:r>
          </w:p>
        </w:tc>
        <w:tc>
          <w:tcPr>
            <w:tcW w:w="6360" w:type="dxa"/>
            <w:vAlign w:val="center"/>
          </w:tcPr>
          <w:p w14:paraId="7D2E4BBB">
            <w:pPr>
              <w:outlineLvl w:val="0"/>
              <w:rPr>
                <w:rFonts w:hint="eastAsia" w:ascii="宋体" w:hAnsi="宋体" w:eastAsia="宋体" w:cs="宋体"/>
                <w:color w:val="auto"/>
                <w:sz w:val="24"/>
                <w:szCs w:val="24"/>
              </w:rPr>
            </w:pPr>
            <w:r>
              <w:rPr>
                <w:rFonts w:hint="eastAsia" w:ascii="宋体" w:hAnsi="宋体" w:eastAsia="宋体" w:cs="宋体"/>
                <w:color w:val="auto"/>
                <w:sz w:val="24"/>
                <w:szCs w:val="24"/>
              </w:rPr>
              <w:t>工程关键部位施工质量的保证措</w:t>
            </w:r>
            <w:r>
              <w:rPr>
                <w:rFonts w:hint="eastAsia" w:ascii="宋体" w:hAnsi="宋体" w:cs="宋体"/>
                <w:color w:val="auto"/>
                <w:sz w:val="24"/>
                <w:szCs w:val="24"/>
                <w:lang w:val="en-US" w:eastAsia="zh-CN"/>
              </w:rPr>
              <w:t>施</w:t>
            </w:r>
            <w:r>
              <w:rPr>
                <w:rFonts w:hint="eastAsia" w:ascii="宋体" w:hAnsi="宋体" w:eastAsia="宋体" w:cs="宋体"/>
                <w:color w:val="auto"/>
                <w:sz w:val="24"/>
                <w:szCs w:val="24"/>
              </w:rPr>
              <w:t>：根据保证措施的科学性、合理性以及针对性进行评审。（评审分值为3分或2分或1分或0分）</w:t>
            </w:r>
          </w:p>
        </w:tc>
        <w:tc>
          <w:tcPr>
            <w:tcW w:w="840" w:type="dxa"/>
            <w:vAlign w:val="center"/>
          </w:tcPr>
          <w:p w14:paraId="475D81CA">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85" w:type="dxa"/>
            <w:vAlign w:val="center"/>
          </w:tcPr>
          <w:p w14:paraId="3395F580">
            <w:pPr>
              <w:snapToGrid w:val="0"/>
              <w:jc w:val="center"/>
              <w:outlineLvl w:val="0"/>
              <w:rPr>
                <w:rFonts w:hint="eastAsia" w:ascii="宋体" w:hAnsi="宋体" w:eastAsia="宋体" w:cs="宋体"/>
                <w:color w:val="auto"/>
                <w:sz w:val="24"/>
                <w:szCs w:val="24"/>
              </w:rPr>
            </w:pPr>
          </w:p>
        </w:tc>
      </w:tr>
      <w:tr w14:paraId="67FB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48" w:type="dxa"/>
            <w:vAlign w:val="center"/>
          </w:tcPr>
          <w:p w14:paraId="6397586A">
            <w:pPr>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6360" w:type="dxa"/>
            <w:vAlign w:val="center"/>
          </w:tcPr>
          <w:p w14:paraId="04607E42">
            <w:pPr>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施工机具和检验仪器：根据施工机具和检验仪器投入满足工程质量和进度要求的程度情况进行评审。</w:t>
            </w:r>
            <w:r>
              <w:rPr>
                <w:rFonts w:hint="eastAsia" w:ascii="宋体" w:hAnsi="宋体" w:eastAsia="宋体" w:cs="宋体"/>
                <w:color w:val="auto"/>
                <w:sz w:val="24"/>
                <w:szCs w:val="24"/>
              </w:rPr>
              <w:t>（评审分值为3分或2分或1分或0分）</w:t>
            </w:r>
          </w:p>
        </w:tc>
        <w:tc>
          <w:tcPr>
            <w:tcW w:w="840" w:type="dxa"/>
            <w:vAlign w:val="center"/>
          </w:tcPr>
          <w:p w14:paraId="0D8390D3">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85" w:type="dxa"/>
            <w:vAlign w:val="center"/>
          </w:tcPr>
          <w:p w14:paraId="3DC9BC29">
            <w:pPr>
              <w:snapToGrid w:val="0"/>
              <w:jc w:val="center"/>
              <w:outlineLvl w:val="0"/>
              <w:rPr>
                <w:rFonts w:hint="eastAsia" w:ascii="宋体" w:hAnsi="宋体" w:eastAsia="宋体" w:cs="宋体"/>
                <w:color w:val="auto"/>
                <w:sz w:val="24"/>
                <w:szCs w:val="24"/>
              </w:rPr>
            </w:pPr>
          </w:p>
        </w:tc>
      </w:tr>
      <w:tr w14:paraId="2AF0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48" w:type="dxa"/>
            <w:vAlign w:val="center"/>
          </w:tcPr>
          <w:p w14:paraId="65D61343">
            <w:pPr>
              <w:jc w:val="center"/>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6360" w:type="dxa"/>
            <w:vAlign w:val="center"/>
          </w:tcPr>
          <w:p w14:paraId="2ED1012B">
            <w:pPr>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安全文明施工</w:t>
            </w:r>
          </w:p>
        </w:tc>
        <w:tc>
          <w:tcPr>
            <w:tcW w:w="840" w:type="dxa"/>
            <w:vAlign w:val="center"/>
          </w:tcPr>
          <w:p w14:paraId="55D9C239">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85" w:type="dxa"/>
            <w:vAlign w:val="center"/>
          </w:tcPr>
          <w:p w14:paraId="7F64996F">
            <w:pPr>
              <w:snapToGrid w:val="0"/>
              <w:jc w:val="center"/>
              <w:outlineLvl w:val="0"/>
              <w:rPr>
                <w:rFonts w:hint="eastAsia" w:ascii="宋体" w:hAnsi="宋体" w:eastAsia="宋体" w:cs="宋体"/>
                <w:color w:val="auto"/>
                <w:sz w:val="24"/>
                <w:szCs w:val="24"/>
              </w:rPr>
            </w:pPr>
          </w:p>
        </w:tc>
      </w:tr>
      <w:tr w14:paraId="47C4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48" w:type="dxa"/>
            <w:vAlign w:val="center"/>
          </w:tcPr>
          <w:p w14:paraId="6B51F8A9">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w:t>
            </w:r>
          </w:p>
        </w:tc>
        <w:tc>
          <w:tcPr>
            <w:tcW w:w="6360" w:type="dxa"/>
            <w:vAlign w:val="center"/>
          </w:tcPr>
          <w:p w14:paraId="5473D50F">
            <w:pPr>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安全、文明施工（包括不影响现有环境）及环保、消防等的保证措施：根据做事的科学性、合理性以及措施的可行性进行评审。</w:t>
            </w:r>
            <w:r>
              <w:rPr>
                <w:rFonts w:hint="eastAsia" w:ascii="宋体" w:hAnsi="宋体" w:eastAsia="宋体" w:cs="宋体"/>
                <w:color w:val="auto"/>
                <w:sz w:val="24"/>
                <w:szCs w:val="24"/>
              </w:rPr>
              <w:t>（评审分值为5分或4分或3分或2分或1分或0分）</w:t>
            </w:r>
          </w:p>
        </w:tc>
        <w:tc>
          <w:tcPr>
            <w:tcW w:w="840" w:type="dxa"/>
            <w:vAlign w:val="center"/>
          </w:tcPr>
          <w:p w14:paraId="4D6388A9">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85" w:type="dxa"/>
            <w:vAlign w:val="center"/>
          </w:tcPr>
          <w:p w14:paraId="0A38DDF9">
            <w:pPr>
              <w:snapToGrid w:val="0"/>
              <w:jc w:val="center"/>
              <w:outlineLvl w:val="0"/>
              <w:rPr>
                <w:rFonts w:hint="eastAsia" w:ascii="宋体" w:hAnsi="宋体" w:eastAsia="宋体" w:cs="宋体"/>
                <w:color w:val="auto"/>
                <w:sz w:val="24"/>
                <w:szCs w:val="24"/>
              </w:rPr>
            </w:pPr>
          </w:p>
        </w:tc>
      </w:tr>
      <w:tr w14:paraId="6077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48" w:type="dxa"/>
            <w:vAlign w:val="center"/>
          </w:tcPr>
          <w:p w14:paraId="6F1E76A2">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.2</w:t>
            </w:r>
          </w:p>
        </w:tc>
        <w:tc>
          <w:tcPr>
            <w:tcW w:w="6360" w:type="dxa"/>
            <w:vAlign w:val="center"/>
          </w:tcPr>
          <w:p w14:paraId="453A93B5">
            <w:pPr>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卫生保洁管理制度：根据施工过程中，卫生保洁管理制度内容的完整、可靠程度，警示标志合理、醒目情况进行评审。</w:t>
            </w:r>
            <w:r>
              <w:rPr>
                <w:rFonts w:hint="eastAsia" w:ascii="宋体" w:hAnsi="宋体" w:eastAsia="宋体" w:cs="宋体"/>
                <w:color w:val="auto"/>
                <w:sz w:val="24"/>
                <w:szCs w:val="24"/>
              </w:rPr>
              <w:t>（评审分值为3分或2分或1分或0分）</w:t>
            </w:r>
          </w:p>
        </w:tc>
        <w:tc>
          <w:tcPr>
            <w:tcW w:w="840" w:type="dxa"/>
            <w:vAlign w:val="center"/>
          </w:tcPr>
          <w:p w14:paraId="397F9069">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85" w:type="dxa"/>
            <w:vAlign w:val="center"/>
          </w:tcPr>
          <w:p w14:paraId="0D918DAB">
            <w:pPr>
              <w:snapToGrid w:val="0"/>
              <w:jc w:val="center"/>
              <w:outlineLvl w:val="0"/>
              <w:rPr>
                <w:rFonts w:hint="eastAsia" w:ascii="宋体" w:hAnsi="宋体" w:eastAsia="宋体" w:cs="宋体"/>
                <w:color w:val="auto"/>
                <w:sz w:val="24"/>
                <w:szCs w:val="24"/>
              </w:rPr>
            </w:pPr>
          </w:p>
        </w:tc>
      </w:tr>
      <w:tr w14:paraId="1493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48" w:type="dxa"/>
            <w:vAlign w:val="center"/>
          </w:tcPr>
          <w:p w14:paraId="7B774BF7">
            <w:pPr>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6360" w:type="dxa"/>
            <w:vAlign w:val="center"/>
          </w:tcPr>
          <w:p w14:paraId="080E3074">
            <w:pPr>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验收、维修及保修期内、外后续服务方案保障措施；保障措施的完善、合理情况进行评审。（评审分值为4分或3分或2分或1分或0分）</w:t>
            </w:r>
          </w:p>
        </w:tc>
        <w:tc>
          <w:tcPr>
            <w:tcW w:w="840" w:type="dxa"/>
            <w:vAlign w:val="center"/>
          </w:tcPr>
          <w:p w14:paraId="416B660F">
            <w:pPr>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685" w:type="dxa"/>
            <w:vAlign w:val="center"/>
          </w:tcPr>
          <w:p w14:paraId="5E2B40F9">
            <w:pPr>
              <w:snapToGrid w:val="0"/>
              <w:jc w:val="center"/>
              <w:outlineLvl w:val="0"/>
              <w:rPr>
                <w:rFonts w:hint="eastAsia" w:ascii="宋体" w:hAnsi="宋体" w:eastAsia="宋体" w:cs="宋体"/>
                <w:color w:val="auto"/>
                <w:sz w:val="24"/>
                <w:szCs w:val="24"/>
              </w:rPr>
            </w:pPr>
          </w:p>
        </w:tc>
      </w:tr>
      <w:tr w14:paraId="5BEE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trPr>
        <w:tc>
          <w:tcPr>
            <w:tcW w:w="848" w:type="dxa"/>
            <w:vAlign w:val="center"/>
          </w:tcPr>
          <w:p w14:paraId="0665DF9A">
            <w:pPr>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6360" w:type="dxa"/>
            <w:vAlign w:val="center"/>
          </w:tcPr>
          <w:p w14:paraId="3F78138C">
            <w:pPr>
              <w:outlineLvl w:val="0"/>
              <w:rPr>
                <w:rFonts w:hint="eastAsia" w:ascii="宋体" w:hAnsi="宋体" w:eastAsia="宋体" w:cs="宋体"/>
                <w:color w:val="auto"/>
                <w:sz w:val="24"/>
                <w:szCs w:val="24"/>
              </w:rPr>
            </w:pPr>
            <w:r>
              <w:rPr>
                <w:rFonts w:hint="eastAsia" w:ascii="宋体" w:hAnsi="宋体" w:eastAsia="宋体" w:cs="宋体"/>
                <w:color w:val="auto"/>
                <w:spacing w:val="-6"/>
                <w:sz w:val="24"/>
                <w:szCs w:val="24"/>
              </w:rPr>
              <w:t>选用材料：根据选用材料、供货计划对项目的满足程度，材料质量保证措施的科学合理性、可行性进行评审。</w:t>
            </w:r>
            <w:r>
              <w:rPr>
                <w:rFonts w:hint="eastAsia" w:ascii="宋体" w:hAnsi="宋体" w:eastAsia="宋体" w:cs="宋体"/>
                <w:color w:val="auto"/>
                <w:sz w:val="24"/>
                <w:szCs w:val="24"/>
              </w:rPr>
              <w:t>（评审分值为3分或2分或1分或0分）</w:t>
            </w:r>
          </w:p>
        </w:tc>
        <w:tc>
          <w:tcPr>
            <w:tcW w:w="840" w:type="dxa"/>
            <w:vAlign w:val="center"/>
          </w:tcPr>
          <w:p w14:paraId="4AC11AD4">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685" w:type="dxa"/>
            <w:vAlign w:val="center"/>
          </w:tcPr>
          <w:p w14:paraId="54BF78E7">
            <w:pPr>
              <w:snapToGrid w:val="0"/>
              <w:jc w:val="center"/>
              <w:outlineLvl w:val="0"/>
              <w:rPr>
                <w:rFonts w:hint="eastAsia" w:ascii="宋体" w:hAnsi="宋体" w:eastAsia="宋体" w:cs="宋体"/>
                <w:color w:val="auto"/>
                <w:sz w:val="24"/>
                <w:szCs w:val="24"/>
              </w:rPr>
            </w:pPr>
          </w:p>
        </w:tc>
      </w:tr>
      <w:tr w14:paraId="5E3C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2" w:hRule="atLeast"/>
        </w:trPr>
        <w:tc>
          <w:tcPr>
            <w:tcW w:w="848" w:type="dxa"/>
            <w:vAlign w:val="center"/>
          </w:tcPr>
          <w:p w14:paraId="0B6A56DB">
            <w:pPr>
              <w:snapToGrid w:val="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6360" w:type="dxa"/>
            <w:vAlign w:val="center"/>
          </w:tcPr>
          <w:p w14:paraId="71D4F9A7">
            <w:pPr>
              <w:snapToGrid w:val="0"/>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有效最后报价的最低价作为评审基准价，其最低报价为满分；按［最后报价得分=（评审基准价/最后报价）*30］的计算公式计算。</w:t>
            </w:r>
          </w:p>
          <w:p w14:paraId="62E4CE19">
            <w:pPr>
              <w:widowControl/>
              <w:shd w:val="clear" w:color="auto" w:fill="FFFFFF"/>
              <w:adjustRightInd/>
              <w:snapToGrid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评审过程中，不得去掉报价中的最高报价和最低报价。</w:t>
            </w:r>
          </w:p>
          <w:p w14:paraId="76D225D4">
            <w:pPr>
              <w:widowControl/>
              <w:shd w:val="clear" w:color="auto" w:fill="FFFFFF"/>
              <w:adjustRightInd/>
              <w:snapToGrid w:val="0"/>
              <w:ind w:firstLine="420"/>
              <w:rPr>
                <w:rFonts w:hint="eastAsia" w:ascii="宋体" w:hAnsi="宋体" w:eastAsia="宋体" w:cs="宋体"/>
                <w:color w:val="auto"/>
                <w:sz w:val="24"/>
                <w:szCs w:val="24"/>
              </w:rPr>
            </w:pPr>
            <w:r>
              <w:rPr>
                <w:rFonts w:hint="eastAsia" w:ascii="宋体" w:hAnsi="宋体" w:eastAsia="宋体" w:cs="宋体"/>
                <w:b/>
                <w:bCs/>
                <w:color w:val="auto"/>
                <w:sz w:val="24"/>
                <w:szCs w:val="24"/>
                <w:lang w:val="zh-CN"/>
              </w:rPr>
              <w:t>落实政府采购政策说明：本项目面向</w:t>
            </w:r>
            <w:r>
              <w:rPr>
                <w:rFonts w:hint="eastAsia" w:ascii="宋体" w:hAnsi="宋体" w:eastAsia="宋体" w:cs="宋体"/>
                <w:b/>
                <w:bCs/>
                <w:color w:val="auto"/>
                <w:sz w:val="24"/>
                <w:szCs w:val="24"/>
              </w:rPr>
              <w:t>中小</w:t>
            </w:r>
            <w:r>
              <w:rPr>
                <w:rFonts w:hint="eastAsia" w:ascii="宋体" w:hAnsi="宋体" w:eastAsia="宋体" w:cs="宋体"/>
                <w:b/>
                <w:bCs/>
                <w:color w:val="auto"/>
                <w:sz w:val="24"/>
                <w:szCs w:val="24"/>
                <w:lang w:val="zh-CN"/>
              </w:rPr>
              <w:t>企业采购，不进行价格扣除或价格分加分。</w:t>
            </w:r>
          </w:p>
        </w:tc>
        <w:tc>
          <w:tcPr>
            <w:tcW w:w="840" w:type="dxa"/>
            <w:vAlign w:val="center"/>
          </w:tcPr>
          <w:p w14:paraId="15F58DA6">
            <w:pPr>
              <w:snapToGrid w:val="0"/>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1685" w:type="dxa"/>
            <w:vAlign w:val="center"/>
          </w:tcPr>
          <w:p w14:paraId="4BFD3F44">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58BBA18D">
      <w:pPr>
        <w:pStyle w:val="973"/>
        <w:rPr>
          <w:rFonts w:hint="eastAsia" w:ascii="宋体" w:hAnsi="宋体" w:cs="宋体"/>
          <w:b/>
          <w:color w:val="auto"/>
          <w:sz w:val="32"/>
          <w:szCs w:val="20"/>
          <w:highlight w:val="none"/>
        </w:rPr>
      </w:pPr>
    </w:p>
    <w:p w14:paraId="04E72F14">
      <w:pPr>
        <w:snapToGrid w:val="0"/>
        <w:spacing w:line="360" w:lineRule="auto"/>
        <w:rPr>
          <w:rFonts w:ascii="宋体" w:hAnsi="宋体" w:cs="宋体"/>
          <w:b/>
          <w:color w:val="auto"/>
          <w:sz w:val="32"/>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83"/>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82C12B5">
      <w:pPr>
        <w:pStyle w:val="27"/>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4DB75B67">
      <w:pPr>
        <w:spacing w:line="360" w:lineRule="auto"/>
        <w:jc w:val="center"/>
        <w:outlineLvl w:val="0"/>
        <w:rPr>
          <w:rFonts w:ascii="宋体" w:hAnsi="宋体" w:cs="宋体"/>
          <w:b/>
          <w:color w:val="auto"/>
          <w:sz w:val="36"/>
          <w:szCs w:val="36"/>
          <w:highlight w:val="none"/>
        </w:rPr>
      </w:pPr>
      <w:bookmarkStart w:id="406" w:name="第五部分"/>
      <w:bookmarkStart w:id="407" w:name="_Toc86217003"/>
      <w:r>
        <w:rPr>
          <w:rFonts w:hint="eastAsia" w:ascii="宋体" w:hAnsi="宋体" w:cs="宋体"/>
          <w:b/>
          <w:color w:val="auto"/>
          <w:sz w:val="36"/>
          <w:szCs w:val="36"/>
          <w:highlight w:val="none"/>
        </w:rPr>
        <w:t>第五部分 拟签订的合同文本</w:t>
      </w:r>
    </w:p>
    <w:p w14:paraId="241E36F4">
      <w:pPr>
        <w:jc w:val="both"/>
        <w:rPr>
          <w:rFonts w:eastAsia="华文中宋"/>
          <w:b/>
          <w:color w:val="auto"/>
          <w:sz w:val="72"/>
          <w:szCs w:val="52"/>
          <w:highlight w:val="none"/>
        </w:rPr>
      </w:pPr>
      <w:r>
        <w:rPr>
          <w:rFonts w:hint="eastAsia" w:ascii="宋体" w:hAnsi="宋体" w:cs="宋体"/>
          <w:bCs/>
          <w:color w:val="auto"/>
          <w:sz w:val="28"/>
          <w:szCs w:val="28"/>
          <w:highlight w:val="none"/>
        </w:rPr>
        <w:t>（GF-2017-0201）</w:t>
      </w:r>
    </w:p>
    <w:p w14:paraId="082CB04D">
      <w:pPr>
        <w:pStyle w:val="973"/>
        <w:rPr>
          <w:color w:val="auto"/>
          <w:highlight w:val="none"/>
        </w:rPr>
      </w:pPr>
    </w:p>
    <w:p w14:paraId="7CC138CF">
      <w:pPr>
        <w:pStyle w:val="973"/>
        <w:rPr>
          <w:color w:val="auto"/>
          <w:highlight w:val="none"/>
        </w:rPr>
      </w:pPr>
    </w:p>
    <w:p w14:paraId="528A2FB0">
      <w:pPr>
        <w:pStyle w:val="973"/>
        <w:rPr>
          <w:color w:val="auto"/>
          <w:highlight w:val="none"/>
        </w:rPr>
      </w:pPr>
    </w:p>
    <w:p w14:paraId="260577BA">
      <w:pPr>
        <w:jc w:val="center"/>
        <w:rPr>
          <w:rFonts w:ascii="宋体"/>
          <w:b/>
          <w:bCs/>
          <w:color w:val="auto"/>
          <w:sz w:val="44"/>
          <w:szCs w:val="44"/>
          <w:highlight w:val="none"/>
        </w:rPr>
      </w:pPr>
      <w:r>
        <w:rPr>
          <w:rFonts w:eastAsia="华文中宋"/>
          <w:b/>
          <w:color w:val="auto"/>
          <w:sz w:val="72"/>
          <w:szCs w:val="52"/>
          <w:highlight w:val="none"/>
        </w:rPr>
        <w:t>建设工程施工合同</w:t>
      </w:r>
    </w:p>
    <w:p w14:paraId="0A82B5C0">
      <w:pPr>
        <w:rPr>
          <w:rFonts w:ascii="宋体"/>
          <w:color w:val="auto"/>
          <w:szCs w:val="21"/>
          <w:highlight w:val="none"/>
        </w:rPr>
      </w:pPr>
    </w:p>
    <w:p w14:paraId="3252A84C">
      <w:pPr>
        <w:rPr>
          <w:rFonts w:ascii="宋体"/>
          <w:color w:val="auto"/>
          <w:szCs w:val="21"/>
          <w:highlight w:val="none"/>
        </w:rPr>
      </w:pPr>
    </w:p>
    <w:p w14:paraId="08CE03BA">
      <w:pPr>
        <w:rPr>
          <w:rFonts w:ascii="宋体"/>
          <w:color w:val="auto"/>
          <w:szCs w:val="21"/>
          <w:highlight w:val="none"/>
        </w:rPr>
      </w:pPr>
    </w:p>
    <w:p w14:paraId="1E71152E">
      <w:pPr>
        <w:rPr>
          <w:rFonts w:ascii="宋体"/>
          <w:color w:val="auto"/>
          <w:szCs w:val="21"/>
          <w:highlight w:val="none"/>
        </w:rPr>
      </w:pPr>
    </w:p>
    <w:p w14:paraId="243ACEDC">
      <w:pPr>
        <w:rPr>
          <w:rFonts w:ascii="宋体"/>
          <w:color w:val="auto"/>
          <w:szCs w:val="21"/>
          <w:highlight w:val="none"/>
        </w:rPr>
      </w:pPr>
    </w:p>
    <w:p w14:paraId="1352C774">
      <w:pPr>
        <w:rPr>
          <w:rFonts w:ascii="宋体"/>
          <w:color w:val="auto"/>
          <w:szCs w:val="21"/>
          <w:highlight w:val="none"/>
        </w:rPr>
      </w:pPr>
    </w:p>
    <w:p w14:paraId="13B70308">
      <w:pPr>
        <w:pStyle w:val="973"/>
        <w:rPr>
          <w:rFonts w:ascii="宋体"/>
          <w:color w:val="auto"/>
          <w:szCs w:val="21"/>
          <w:highlight w:val="none"/>
        </w:rPr>
      </w:pPr>
    </w:p>
    <w:p w14:paraId="580C551A">
      <w:pPr>
        <w:pStyle w:val="973"/>
        <w:rPr>
          <w:rFonts w:ascii="宋体"/>
          <w:color w:val="auto"/>
          <w:szCs w:val="21"/>
          <w:highlight w:val="none"/>
        </w:rPr>
      </w:pPr>
    </w:p>
    <w:p w14:paraId="01E22DFF">
      <w:pPr>
        <w:rPr>
          <w:rFonts w:ascii="宋体"/>
          <w:color w:val="auto"/>
          <w:szCs w:val="21"/>
          <w:highlight w:val="none"/>
        </w:rPr>
      </w:pPr>
    </w:p>
    <w:p w14:paraId="528416A0">
      <w:pPr>
        <w:pStyle w:val="973"/>
        <w:rPr>
          <w:rFonts w:ascii="宋体"/>
          <w:color w:val="auto"/>
          <w:szCs w:val="21"/>
          <w:highlight w:val="none"/>
        </w:rPr>
      </w:pPr>
    </w:p>
    <w:p w14:paraId="5FBC6EAE">
      <w:pPr>
        <w:pStyle w:val="973"/>
        <w:rPr>
          <w:rFonts w:ascii="宋体"/>
          <w:color w:val="auto"/>
          <w:szCs w:val="21"/>
          <w:highlight w:val="none"/>
        </w:rPr>
      </w:pPr>
    </w:p>
    <w:p w14:paraId="25FAD900">
      <w:pPr>
        <w:pStyle w:val="45"/>
        <w:rPr>
          <w:color w:val="auto"/>
          <w:highlight w:val="none"/>
        </w:rPr>
      </w:pPr>
    </w:p>
    <w:p w14:paraId="3397B110">
      <w:pPr>
        <w:rPr>
          <w:rFonts w:ascii="宋体"/>
          <w:b/>
          <w:color w:val="auto"/>
          <w:szCs w:val="21"/>
          <w:highlight w:val="none"/>
        </w:rPr>
      </w:pPr>
    </w:p>
    <w:p w14:paraId="4095B130">
      <w:pPr>
        <w:spacing w:line="276" w:lineRule="auto"/>
        <w:jc w:val="center"/>
        <w:rPr>
          <w:rFonts w:ascii="宋体"/>
          <w:b/>
          <w:color w:val="auto"/>
          <w:sz w:val="36"/>
          <w:szCs w:val="36"/>
          <w:highlight w:val="none"/>
        </w:rPr>
      </w:pPr>
      <w:r>
        <w:rPr>
          <w:rFonts w:ascii="Calibri"/>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99060</wp:posOffset>
                </wp:positionV>
                <wp:extent cx="1143000" cy="594360"/>
                <wp:effectExtent l="0" t="0" r="0" b="0"/>
                <wp:wrapNone/>
                <wp:docPr id="2" name="矩形 2"/>
                <wp:cNvGraphicFramePr/>
                <a:graphic xmlns:a="http://schemas.openxmlformats.org/drawingml/2006/main">
                  <a:graphicData uri="http://schemas.microsoft.com/office/word/2010/wordprocessingShape">
                    <wps:wsp>
                      <wps:cNvSpPr/>
                      <wps:spPr>
                        <a:xfrm>
                          <a:off x="0" y="0"/>
                          <a:ext cx="1143000" cy="594360"/>
                        </a:xfrm>
                        <a:prstGeom prst="rect">
                          <a:avLst/>
                        </a:prstGeom>
                        <a:noFill/>
                        <a:ln>
                          <a:noFill/>
                        </a:ln>
                        <a:effectLst/>
                      </wps:spPr>
                      <wps:txbx>
                        <w:txbxContent>
                          <w:p w14:paraId="114BD89E">
                            <w:pPr>
                              <w:jc w:val="center"/>
                              <w:rPr>
                                <w:rFonts w:ascii="宋体" w:hAnsi="宋体" w:cs="宋体"/>
                                <w:b/>
                                <w:sz w:val="36"/>
                                <w:szCs w:val="36"/>
                              </w:rPr>
                            </w:pPr>
                            <w:r>
                              <w:rPr>
                                <w:rFonts w:hint="eastAsia" w:ascii="宋体" w:hAnsi="宋体" w:cs="宋体"/>
                                <w:b/>
                                <w:sz w:val="36"/>
                                <w:szCs w:val="36"/>
                              </w:rPr>
                              <w:t>制定</w:t>
                            </w:r>
                          </w:p>
                          <w:p w14:paraId="0DB80B07"/>
                        </w:txbxContent>
                      </wps:txbx>
                      <wps:bodyPr upright="1"/>
                    </wps:wsp>
                  </a:graphicData>
                </a:graphic>
              </wp:anchor>
            </w:drawing>
          </mc:Choice>
          <mc:Fallback>
            <w:pict>
              <v:rect id="_x0000_s1026" o:spid="_x0000_s1026" o:spt="1" style="position:absolute;left:0pt;margin-left:342pt;margin-top:7.8pt;height:46.8pt;width:90pt;z-index:251661312;mso-width-relative:page;mso-height-relative:page;" filled="f" stroked="f" coordsize="21600,21600" o:gfxdata="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LBHPdkAAAAKAQAA&#10;DwAAAAAAAAABACAAAAAiAAAAZHJzL2Rvd25yZXYueG1sUEsBAhQAFAAAAAgAh07iQHUGNFKmAQAA&#10;TwMAAA4AAAAAAAAAAQAgAAAAKAEAAGRycy9lMm9Eb2MueG1sUEsFBgAAAAAGAAYAWQEAAEAFAAAA&#10;AA==&#10;">
                <v:fill on="f" focussize="0,0"/>
                <v:stroke on="f"/>
                <v:imagedata o:title=""/>
                <o:lock v:ext="edit" aspectratio="f"/>
                <v:textbox>
                  <w:txbxContent>
                    <w:p w14:paraId="114BD89E">
                      <w:pPr>
                        <w:jc w:val="center"/>
                        <w:rPr>
                          <w:rFonts w:ascii="宋体" w:hAnsi="宋体" w:cs="宋体"/>
                          <w:b/>
                          <w:sz w:val="36"/>
                          <w:szCs w:val="36"/>
                        </w:rPr>
                      </w:pPr>
                      <w:r>
                        <w:rPr>
                          <w:rFonts w:hint="eastAsia" w:ascii="宋体" w:hAnsi="宋体" w:cs="宋体"/>
                          <w:b/>
                          <w:sz w:val="36"/>
                          <w:szCs w:val="36"/>
                        </w:rPr>
                        <w:t>制定</w:t>
                      </w:r>
                    </w:p>
                    <w:p w14:paraId="0DB80B07"/>
                  </w:txbxContent>
                </v:textbox>
              </v:rect>
            </w:pict>
          </mc:Fallback>
        </mc:AlternateContent>
      </w:r>
      <w:r>
        <w:rPr>
          <w:rFonts w:hint="eastAsia" w:ascii="宋体" w:hAnsi="宋体"/>
          <w:b/>
          <w:color w:val="auto"/>
          <w:sz w:val="36"/>
          <w:szCs w:val="36"/>
          <w:highlight w:val="none"/>
        </w:rPr>
        <w:t>住房和城乡建设部</w:t>
      </w:r>
    </w:p>
    <w:p w14:paraId="5378CEB3">
      <w:pPr>
        <w:spacing w:line="276" w:lineRule="auto"/>
        <w:jc w:val="center"/>
        <w:rPr>
          <w:rFonts w:ascii="宋体"/>
          <w:b/>
          <w:color w:val="auto"/>
          <w:sz w:val="36"/>
          <w:szCs w:val="36"/>
          <w:highlight w:val="none"/>
        </w:rPr>
      </w:pPr>
      <w:r>
        <w:rPr>
          <w:rFonts w:hint="eastAsia" w:ascii="宋体" w:hAnsi="宋体"/>
          <w:b/>
          <w:color w:val="auto"/>
          <w:sz w:val="36"/>
          <w:szCs w:val="36"/>
          <w:highlight w:val="none"/>
        </w:rPr>
        <w:t>国家工商行政管理总局</w:t>
      </w:r>
    </w:p>
    <w:p w14:paraId="5B0AAAFF">
      <w:pPr>
        <w:spacing w:line="360" w:lineRule="auto"/>
        <w:rPr>
          <w:rFonts w:ascii="宋体" w:hAnsi="宋体" w:cs="宋体"/>
          <w:color w:val="auto"/>
          <w:sz w:val="28"/>
          <w:szCs w:val="21"/>
          <w:highlight w:val="none"/>
        </w:rPr>
      </w:pPr>
    </w:p>
    <w:p w14:paraId="6563AF8D">
      <w:pPr>
        <w:pStyle w:val="45"/>
        <w:spacing w:line="360" w:lineRule="auto"/>
        <w:rPr>
          <w:color w:val="auto"/>
          <w:highlight w:val="none"/>
        </w:rPr>
      </w:pPr>
    </w:p>
    <w:p w14:paraId="732CF3E7">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9CC9D78">
      <w:pPr>
        <w:pStyle w:val="974"/>
        <w:spacing w:line="480" w:lineRule="auto"/>
        <w:ind w:firstLine="0" w:firstLineChars="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合同协议书</w:t>
      </w:r>
    </w:p>
    <w:p w14:paraId="48A80281">
      <w:pPr>
        <w:spacing w:line="460" w:lineRule="exact"/>
        <w:rPr>
          <w:rFonts w:ascii="宋体" w:hAnsi="宋体" w:cs="宋体"/>
          <w:b/>
          <w:color w:val="auto"/>
          <w:highlight w:val="none"/>
          <w:u w:val="single"/>
        </w:rPr>
      </w:pPr>
      <w:r>
        <w:rPr>
          <w:rFonts w:hint="eastAsia" w:ascii="宋体" w:hAnsi="宋体" w:cs="宋体"/>
          <w:b/>
          <w:color w:val="auto"/>
          <w:highlight w:val="none"/>
        </w:rPr>
        <w:t>发包人（全称）：</w:t>
      </w:r>
      <w:r>
        <w:rPr>
          <w:rFonts w:hint="eastAsia" w:ascii="宋体" w:hAnsi="宋体" w:cs="宋体"/>
          <w:b/>
          <w:color w:val="auto"/>
          <w:highlight w:val="none"/>
          <w:u w:val="single"/>
        </w:rPr>
        <w:t xml:space="preserve">杭州市拱墅区市政养护所  </w:t>
      </w:r>
    </w:p>
    <w:p w14:paraId="2446F35D">
      <w:pPr>
        <w:spacing w:line="460" w:lineRule="exact"/>
        <w:rPr>
          <w:rFonts w:hint="default" w:ascii="宋体" w:hAnsi="宋体" w:eastAsia="宋体" w:cs="宋体"/>
          <w:b/>
          <w:color w:val="auto"/>
          <w:highlight w:val="none"/>
          <w:u w:val="single"/>
          <w:lang w:val="en-US" w:eastAsia="zh-CN"/>
        </w:rPr>
      </w:pPr>
      <w:r>
        <w:rPr>
          <w:rFonts w:hint="eastAsia" w:ascii="宋体" w:hAnsi="宋体" w:cs="宋体"/>
          <w:b/>
          <w:color w:val="auto"/>
          <w:highlight w:val="none"/>
        </w:rPr>
        <w:t>承包人（全称）：</w:t>
      </w:r>
      <w:r>
        <w:rPr>
          <w:rFonts w:hint="eastAsia" w:ascii="宋体" w:hAnsi="宋体" w:cs="宋体"/>
          <w:b/>
          <w:color w:val="auto"/>
          <w:highlight w:val="none"/>
          <w:u w:val="single"/>
          <w:lang w:val="en-US" w:eastAsia="zh-CN"/>
        </w:rPr>
        <w:t xml:space="preserve">   </w:t>
      </w:r>
    </w:p>
    <w:p w14:paraId="1891454E">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根据《中华人民共和国民法典》、《中华人民共和国建筑法》及有关法律规定，遵循平等、自愿、公平和诚实信用的原则，双方就</w:t>
      </w:r>
      <w:r>
        <w:rPr>
          <w:rFonts w:hint="eastAsia" w:ascii="宋体" w:hAnsi="宋体" w:cs="宋体"/>
          <w:color w:val="auto"/>
          <w:highlight w:val="none"/>
          <w:u w:val="single"/>
          <w:lang w:val="en-US" w:eastAsia="zh-CN"/>
        </w:rPr>
        <w:t xml:space="preserve"> </w:t>
      </w:r>
      <w:r>
        <w:rPr>
          <w:rFonts w:hint="eastAsia" w:ascii="宋体" w:hAnsi="宋体" w:cs="宋体"/>
          <w:b/>
          <w:bCs/>
          <w:color w:val="auto"/>
          <w:highlight w:val="none"/>
          <w:u w:val="single"/>
          <w:lang w:val="en-US" w:eastAsia="zh-CN"/>
        </w:rPr>
        <w:t xml:space="preserve">颜三路修缮项目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工程施工及有关事项协商一致，共同达成如下协议：</w:t>
      </w:r>
    </w:p>
    <w:p w14:paraId="6FFC5D0B">
      <w:pPr>
        <w:spacing w:line="460" w:lineRule="exact"/>
        <w:rPr>
          <w:rFonts w:ascii="宋体" w:hAnsi="宋体" w:cs="宋体"/>
          <w:bCs/>
          <w:color w:val="auto"/>
          <w:highlight w:val="none"/>
        </w:rPr>
      </w:pPr>
      <w:r>
        <w:rPr>
          <w:rFonts w:hint="eastAsia" w:ascii="宋体" w:hAnsi="宋体" w:cs="宋体"/>
          <w:color w:val="auto"/>
          <w:highlight w:val="none"/>
        </w:rPr>
        <w:t>一、工程概况</w:t>
      </w:r>
    </w:p>
    <w:p w14:paraId="18857A34">
      <w:pPr>
        <w:spacing w:line="460" w:lineRule="exact"/>
        <w:ind w:firstLine="420" w:firstLineChars="200"/>
        <w:rPr>
          <w:rFonts w:ascii="宋体" w:hAnsi="宋体" w:cs="宋体"/>
          <w:color w:val="auto"/>
          <w:highlight w:val="none"/>
          <w:u w:val="single"/>
        </w:rPr>
      </w:pPr>
      <w:r>
        <w:rPr>
          <w:rFonts w:hint="eastAsia" w:ascii="宋体" w:hAnsi="宋体" w:cs="宋体"/>
          <w:bCs/>
          <w:color w:val="auto"/>
          <w:highlight w:val="none"/>
        </w:rPr>
        <w:t>1.工程名称</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w:t>
      </w:r>
      <w:r>
        <w:rPr>
          <w:rFonts w:hint="eastAsia" w:hAnsi="宋体"/>
          <w:b w:val="0"/>
          <w:bCs/>
          <w:sz w:val="21"/>
          <w:szCs w:val="21"/>
          <w:u w:val="single"/>
          <w:lang w:eastAsia="zh-CN"/>
        </w:rPr>
        <w:t xml:space="preserve">颜三路修缮项目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p>
    <w:p w14:paraId="46B52E4D">
      <w:pPr>
        <w:spacing w:line="460" w:lineRule="exact"/>
        <w:ind w:firstLine="420" w:firstLineChars="200"/>
        <w:rPr>
          <w:rFonts w:ascii="宋体" w:hAnsi="宋体" w:cs="宋体"/>
          <w:color w:val="auto"/>
          <w:highlight w:val="none"/>
          <w:u w:val="single"/>
        </w:rPr>
      </w:pPr>
      <w:r>
        <w:rPr>
          <w:rFonts w:hint="eastAsia" w:ascii="宋体" w:hAnsi="宋体" w:cs="宋体"/>
          <w:bCs/>
          <w:color w:val="auto"/>
          <w:highlight w:val="none"/>
        </w:rPr>
        <w:t>2.工程地点：</w:t>
      </w:r>
      <w:bookmarkStart w:id="408" w:name="建设地点1"/>
      <w:r>
        <w:rPr>
          <w:rFonts w:hint="eastAsia" w:ascii="宋体" w:hAnsi="宋体" w:cs="宋体"/>
          <w:bCs/>
          <w:color w:val="auto"/>
          <w:highlight w:val="none"/>
          <w:u w:val="single"/>
        </w:rPr>
        <w:t>杭州市拱墅区</w:t>
      </w:r>
      <w:bookmarkEnd w:id="408"/>
    </w:p>
    <w:p w14:paraId="65CDE6DD">
      <w:pPr>
        <w:spacing w:line="46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3.工程立项批准文号：</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
          <w:color w:val="auto"/>
          <w:highlight w:val="none"/>
          <w:u w:val="single"/>
          <w:lang w:val="en-US" w:eastAsia="zh-CN"/>
        </w:rPr>
        <w:t xml:space="preserve"> 拱政办发{2025}1号</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p>
    <w:p w14:paraId="4471C649">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4.资金来源：</w:t>
      </w:r>
      <w:r>
        <w:rPr>
          <w:rFonts w:hint="eastAsia" w:ascii="宋体" w:hAnsi="宋体" w:cs="宋体"/>
          <w:color w:val="auto"/>
          <w:highlight w:val="none"/>
          <w:u w:val="single"/>
        </w:rPr>
        <w:t>财政资金</w:t>
      </w:r>
      <w:r>
        <w:rPr>
          <w:rFonts w:hint="eastAsia" w:ascii="宋体" w:hAnsi="宋体" w:cs="宋体"/>
          <w:bCs/>
          <w:color w:val="auto"/>
          <w:highlight w:val="none"/>
        </w:rPr>
        <w:t>。</w:t>
      </w:r>
    </w:p>
    <w:p w14:paraId="23F03765">
      <w:pPr>
        <w:spacing w:line="460" w:lineRule="exact"/>
        <w:ind w:firstLine="420" w:firstLineChars="200"/>
        <w:rPr>
          <w:rFonts w:ascii="宋体" w:hAnsi="宋体" w:cs="宋体"/>
          <w:b/>
          <w:bCs/>
          <w:color w:val="auto"/>
          <w:highlight w:val="none"/>
        </w:rPr>
      </w:pPr>
      <w:r>
        <w:rPr>
          <w:rFonts w:hint="eastAsia" w:ascii="宋体" w:hAnsi="宋体" w:cs="宋体"/>
          <w:bCs/>
          <w:color w:val="auto"/>
          <w:highlight w:val="none"/>
        </w:rPr>
        <w:t>5.工程内容：</w:t>
      </w:r>
      <w:r>
        <w:rPr>
          <w:rFonts w:hint="eastAsia" w:ascii="宋体" w:hAnsi="宋体" w:cs="宋体"/>
          <w:b/>
          <w:color w:val="auto"/>
          <w:highlight w:val="none"/>
          <w:u w:val="single"/>
        </w:rPr>
        <w:t>详见招标文件、工程量清单及图纸</w:t>
      </w:r>
      <w:r>
        <w:rPr>
          <w:rFonts w:hint="eastAsia" w:ascii="宋体" w:hAnsi="宋体" w:cs="宋体"/>
          <w:b/>
          <w:bCs/>
          <w:color w:val="auto"/>
          <w:highlight w:val="none"/>
        </w:rPr>
        <w:t>。</w:t>
      </w:r>
    </w:p>
    <w:p w14:paraId="4C1E851A">
      <w:pPr>
        <w:spacing w:line="460" w:lineRule="exact"/>
        <w:ind w:firstLine="420" w:firstLineChars="200"/>
        <w:rPr>
          <w:rFonts w:ascii="宋体" w:hAnsi="宋体" w:cs="宋体"/>
          <w:bCs/>
          <w:color w:val="auto"/>
          <w:highlight w:val="none"/>
        </w:rPr>
      </w:pPr>
      <w:r>
        <w:rPr>
          <w:rFonts w:hint="eastAsia" w:ascii="宋体" w:hAnsi="宋体" w:cs="宋体"/>
          <w:color w:val="auto"/>
          <w:highlight w:val="none"/>
        </w:rPr>
        <w:t>群体工程应附《承包人承揽工程项目一览表》（附件1）。</w:t>
      </w:r>
    </w:p>
    <w:p w14:paraId="0A73FFF0">
      <w:pPr>
        <w:spacing w:line="460" w:lineRule="exact"/>
        <w:ind w:firstLine="420" w:firstLineChars="200"/>
        <w:rPr>
          <w:rFonts w:ascii="宋体" w:hAnsi="宋体" w:cs="宋体"/>
          <w:b/>
          <w:color w:val="auto"/>
          <w:highlight w:val="none"/>
          <w:u w:val="single"/>
        </w:rPr>
      </w:pPr>
      <w:r>
        <w:rPr>
          <w:rFonts w:hint="eastAsia" w:ascii="宋体" w:hAnsi="宋体" w:cs="宋体"/>
          <w:bCs/>
          <w:color w:val="auto"/>
          <w:highlight w:val="none"/>
        </w:rPr>
        <w:t>6.工程承包范围：</w:t>
      </w:r>
      <w:r>
        <w:rPr>
          <w:rFonts w:hint="eastAsia" w:ascii="宋体" w:hAnsi="宋体" w:cs="宋体"/>
          <w:b/>
          <w:bCs/>
          <w:color w:val="auto"/>
          <w:highlight w:val="none"/>
          <w:u w:val="single"/>
        </w:rPr>
        <w:t>包含工程</w:t>
      </w:r>
      <w:r>
        <w:rPr>
          <w:rFonts w:hint="eastAsia" w:ascii="宋体" w:hAnsi="宋体" w:cs="宋体"/>
          <w:b/>
          <w:color w:val="auto"/>
          <w:highlight w:val="none"/>
          <w:u w:val="single"/>
        </w:rPr>
        <w:t>施工图所包括的一切内容、工程量清单及招标文件、</w:t>
      </w:r>
      <w:r>
        <w:rPr>
          <w:rFonts w:hint="eastAsia" w:ascii="宋体" w:hAnsi="宋体" w:cs="宋体"/>
          <w:b/>
          <w:snapToGrid w:val="0"/>
          <w:color w:val="auto"/>
          <w:spacing w:val="-6"/>
          <w:highlight w:val="none"/>
          <w:u w:val="single"/>
          <w:shd w:val="clear" w:color="auto" w:fill="FFFFFF"/>
        </w:rPr>
        <w:t>招标补充答疑文件</w:t>
      </w:r>
      <w:r>
        <w:rPr>
          <w:rFonts w:hint="eastAsia" w:ascii="宋体" w:hAnsi="宋体" w:cs="宋体"/>
          <w:b/>
          <w:color w:val="auto"/>
          <w:highlight w:val="none"/>
          <w:u w:val="single"/>
        </w:rPr>
        <w:t>等已明确的工程内容，其他甲方明确指令要完成的工程量</w:t>
      </w:r>
      <w:r>
        <w:rPr>
          <w:rFonts w:hint="eastAsia" w:ascii="宋体" w:hAnsi="宋体" w:cs="宋体"/>
          <w:b/>
          <w:bCs/>
          <w:color w:val="auto"/>
          <w:highlight w:val="none"/>
          <w:u w:val="single"/>
        </w:rPr>
        <w:t>。</w:t>
      </w:r>
    </w:p>
    <w:p w14:paraId="046C1C19">
      <w:pPr>
        <w:spacing w:line="460" w:lineRule="exact"/>
        <w:rPr>
          <w:rFonts w:ascii="宋体" w:hAnsi="宋体" w:cs="宋体"/>
          <w:color w:val="auto"/>
          <w:highlight w:val="none"/>
        </w:rPr>
      </w:pPr>
      <w:r>
        <w:rPr>
          <w:rFonts w:hint="eastAsia" w:ascii="宋体" w:hAnsi="宋体" w:cs="宋体"/>
          <w:color w:val="auto"/>
          <w:highlight w:val="none"/>
        </w:rPr>
        <w:t>二、合同工期</w:t>
      </w:r>
    </w:p>
    <w:p w14:paraId="3FBC7053">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计划开工日期：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14:paraId="799671B8">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计划竣工日期：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14:paraId="6041C1D2">
      <w:pPr>
        <w:spacing w:line="460" w:lineRule="exact"/>
        <w:ind w:firstLine="422" w:firstLineChars="200"/>
        <w:rPr>
          <w:rFonts w:ascii="宋体" w:hAnsi="宋体" w:cs="宋体"/>
          <w:color w:val="auto"/>
          <w:highlight w:val="none"/>
        </w:rPr>
      </w:pPr>
      <w:r>
        <w:rPr>
          <w:rFonts w:hint="eastAsia" w:ascii="宋体" w:hAnsi="宋体" w:cs="宋体"/>
          <w:b/>
          <w:bCs/>
          <w:color w:val="auto"/>
          <w:highlight w:val="none"/>
        </w:rPr>
        <w:t>工期总日历天数：</w:t>
      </w:r>
      <w:r>
        <w:rPr>
          <w:rFonts w:hint="eastAsia" w:ascii="宋体" w:hAnsi="宋体" w:cs="宋体"/>
          <w:b/>
          <w:bCs/>
          <w:color w:val="auto"/>
          <w:highlight w:val="none"/>
          <w:u w:val="single"/>
          <w:lang w:val="en-US" w:eastAsia="zh-CN"/>
        </w:rPr>
        <w:t xml:space="preserve">    </w:t>
      </w:r>
      <w:r>
        <w:rPr>
          <w:rFonts w:hint="eastAsia" w:ascii="宋体" w:hAnsi="宋体" w:cs="宋体"/>
          <w:b/>
          <w:bCs/>
          <w:color w:val="auto"/>
          <w:highlight w:val="none"/>
        </w:rPr>
        <w:t>日历天。</w:t>
      </w:r>
      <w:r>
        <w:rPr>
          <w:rFonts w:hint="eastAsia" w:ascii="宋体" w:hAnsi="宋体" w:cs="宋体"/>
          <w:color w:val="auto"/>
          <w:highlight w:val="none"/>
        </w:rPr>
        <w:t>工期总日历天数与根据前述计划开竣工日期计算的工期天数不一致的，以工期总日历天数为准。具体以实际开工报告为准。</w:t>
      </w:r>
    </w:p>
    <w:p w14:paraId="0FF9206D">
      <w:pPr>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合同签订后7个日历天内承包人必须将交通组织方案报交警部门，通过审批后方可开工，如逾期发包人有权按照10000元/天进行处罚。</w:t>
      </w:r>
    </w:p>
    <w:p w14:paraId="0533891F">
      <w:pPr>
        <w:spacing w:line="460" w:lineRule="exact"/>
        <w:rPr>
          <w:rFonts w:ascii="宋体" w:hAnsi="宋体" w:cs="宋体"/>
          <w:bCs/>
          <w:color w:val="auto"/>
          <w:highlight w:val="none"/>
        </w:rPr>
      </w:pPr>
      <w:r>
        <w:rPr>
          <w:rFonts w:hint="eastAsia" w:ascii="宋体" w:hAnsi="宋体" w:cs="宋体"/>
          <w:color w:val="auto"/>
          <w:highlight w:val="none"/>
        </w:rPr>
        <w:t>三、质量标准</w:t>
      </w:r>
    </w:p>
    <w:p w14:paraId="5416274E">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工程质量符合</w:t>
      </w:r>
      <w:r>
        <w:rPr>
          <w:rFonts w:hint="eastAsia" w:ascii="宋体" w:hAnsi="宋体" w:cs="宋体"/>
          <w:b/>
          <w:color w:val="auto"/>
          <w:highlight w:val="none"/>
          <w:u w:val="single"/>
        </w:rPr>
        <w:t xml:space="preserve"> 工程施工质量验收规范 合格  </w:t>
      </w:r>
      <w:r>
        <w:rPr>
          <w:rFonts w:hint="eastAsia" w:ascii="宋体" w:hAnsi="宋体" w:cs="宋体"/>
          <w:color w:val="auto"/>
          <w:highlight w:val="none"/>
        </w:rPr>
        <w:t>标准。</w:t>
      </w:r>
    </w:p>
    <w:p w14:paraId="1525F0E7">
      <w:pPr>
        <w:spacing w:line="460" w:lineRule="exact"/>
        <w:rPr>
          <w:rFonts w:ascii="宋体" w:hAnsi="宋体" w:cs="宋体"/>
          <w:bCs/>
          <w:color w:val="auto"/>
          <w:highlight w:val="none"/>
        </w:rPr>
      </w:pPr>
      <w:r>
        <w:rPr>
          <w:rFonts w:hint="eastAsia" w:ascii="宋体" w:hAnsi="宋体" w:cs="宋体"/>
          <w:color w:val="auto"/>
          <w:highlight w:val="none"/>
        </w:rPr>
        <w:t>四、签约合同价与合同价格形式</w:t>
      </w:r>
      <w:r>
        <w:rPr>
          <w:rFonts w:hint="eastAsia" w:ascii="宋体" w:hAnsi="宋体" w:cs="宋体"/>
          <w:color w:val="auto"/>
          <w:highlight w:val="none"/>
        </w:rPr>
        <w:tab/>
      </w:r>
    </w:p>
    <w:p w14:paraId="7E4D0D05">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1.签约合同价为：</w:t>
      </w:r>
    </w:p>
    <w:p w14:paraId="797F11E1">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lang w:val="en-US" w:eastAsia="zh-CN"/>
        </w:rPr>
        <w:t xml:space="preserve">  </w:t>
      </w:r>
      <w:r>
        <w:rPr>
          <w:rFonts w:hint="eastAsia" w:ascii="宋体" w:hAnsi="宋体" w:cs="宋体"/>
          <w:b/>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元)，含税价，税率【</w:t>
      </w:r>
      <w:r>
        <w:rPr>
          <w:rFonts w:hint="eastAsia" w:ascii="宋体" w:hAnsi="宋体" w:cs="宋体"/>
          <w:b/>
          <w:bCs/>
          <w:color w:val="auto"/>
          <w:highlight w:val="none"/>
          <w:lang w:val="en-US" w:eastAsia="zh-CN"/>
        </w:rPr>
        <w:t xml:space="preserve"> 9% </w:t>
      </w:r>
      <w:r>
        <w:rPr>
          <w:rFonts w:hint="eastAsia" w:ascii="宋体" w:hAnsi="宋体" w:cs="宋体"/>
          <w:color w:val="auto"/>
          <w:highlight w:val="none"/>
        </w:rPr>
        <w:t>】，合同履行期间，因国家税率政策调整，本合同项下的税费作同步调整；</w:t>
      </w:r>
    </w:p>
    <w:p w14:paraId="1C024259">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其中：</w:t>
      </w:r>
    </w:p>
    <w:p w14:paraId="4BC77070">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（1）安全文明施工费：</w:t>
      </w:r>
    </w:p>
    <w:p w14:paraId="110D0DA8">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人民币（大写）</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1"/>
          <w:sz w:val="20"/>
          <w:szCs w:val="20"/>
        </w:rPr>
        <w:t>(¥</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元)；</w:t>
      </w:r>
    </w:p>
    <w:p w14:paraId="724DC8CC">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（2）材料和工程设备暂估价金额：</w:t>
      </w:r>
    </w:p>
    <w:p w14:paraId="1CF5C59E">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672E4DAB">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（3）专业工程暂估价金额：</w:t>
      </w:r>
    </w:p>
    <w:p w14:paraId="748ED151">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元)；</w:t>
      </w:r>
    </w:p>
    <w:p w14:paraId="23754232">
      <w:pPr>
        <w:spacing w:line="460" w:lineRule="exact"/>
        <w:rPr>
          <w:rFonts w:ascii="宋体" w:hAnsi="宋体" w:cs="宋体"/>
          <w:color w:val="auto"/>
          <w:highlight w:val="none"/>
        </w:rPr>
      </w:pPr>
      <w:r>
        <w:rPr>
          <w:rFonts w:hint="eastAsia" w:ascii="宋体" w:hAnsi="宋体" w:cs="宋体"/>
          <w:color w:val="auto"/>
          <w:highlight w:val="none"/>
        </w:rPr>
        <w:t>（4）暂列金额：</w:t>
      </w:r>
    </w:p>
    <w:p w14:paraId="7028D769">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元)。</w:t>
      </w:r>
    </w:p>
    <w:p w14:paraId="56E5FCC2">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2.合同价格形式：</w:t>
      </w:r>
      <w:r>
        <w:rPr>
          <w:rFonts w:hint="eastAsia" w:ascii="宋体" w:hAnsi="宋体" w:cs="宋体"/>
          <w:b/>
          <w:color w:val="auto"/>
          <w:highlight w:val="none"/>
          <w:u w:val="single"/>
        </w:rPr>
        <w:t>固定单价合同</w:t>
      </w:r>
      <w:r>
        <w:rPr>
          <w:rFonts w:hint="eastAsia" w:ascii="宋体" w:hAnsi="宋体" w:cs="宋体"/>
          <w:color w:val="auto"/>
          <w:highlight w:val="none"/>
        </w:rPr>
        <w:t>。</w:t>
      </w:r>
    </w:p>
    <w:p w14:paraId="7ADE04E7">
      <w:pPr>
        <w:spacing w:line="460" w:lineRule="exact"/>
        <w:rPr>
          <w:rFonts w:ascii="宋体" w:hAnsi="宋体" w:cs="宋体"/>
          <w:color w:val="auto"/>
          <w:highlight w:val="none"/>
        </w:rPr>
      </w:pPr>
      <w:r>
        <w:rPr>
          <w:rFonts w:hint="eastAsia" w:ascii="宋体" w:hAnsi="宋体" w:cs="宋体"/>
          <w:color w:val="auto"/>
          <w:highlight w:val="none"/>
        </w:rPr>
        <w:t>五、项目经理</w:t>
      </w:r>
    </w:p>
    <w:p w14:paraId="5C7A88ED">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承包人项目经理：</w:t>
      </w:r>
      <w:r>
        <w:rPr>
          <w:rFonts w:hint="eastAsia" w:ascii="宋体" w:hAnsi="宋体" w:cs="宋体"/>
          <w:color w:val="auto"/>
          <w:highlight w:val="none"/>
          <w:u w:val="single"/>
          <w:lang w:val="en-US" w:eastAsia="zh-CN"/>
        </w:rPr>
        <w:t xml:space="preserve"> </w:t>
      </w:r>
      <w:r>
        <w:rPr>
          <w:rFonts w:hint="eastAsia" w:ascii="宋体" w:hAnsi="宋体" w:cs="宋体"/>
          <w:b/>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0EBADB4C">
      <w:pPr>
        <w:spacing w:line="460" w:lineRule="exact"/>
        <w:rPr>
          <w:rFonts w:ascii="宋体" w:hAnsi="宋体" w:cs="宋体"/>
          <w:bCs/>
          <w:color w:val="auto"/>
          <w:highlight w:val="none"/>
        </w:rPr>
      </w:pPr>
      <w:r>
        <w:rPr>
          <w:rFonts w:hint="eastAsia" w:ascii="宋体" w:hAnsi="宋体" w:cs="宋体"/>
          <w:color w:val="auto"/>
          <w:highlight w:val="none"/>
        </w:rPr>
        <w:t>六、合同文件构成</w:t>
      </w:r>
    </w:p>
    <w:p w14:paraId="3F77D13F">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本协议书与下列文件一起构成合同文件：</w:t>
      </w:r>
    </w:p>
    <w:p w14:paraId="00D51E93">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（1）合同协议书；</w:t>
      </w:r>
    </w:p>
    <w:p w14:paraId="157943E0">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（2）中标通知书（或项目发承包基本情况表）；</w:t>
      </w:r>
    </w:p>
    <w:p w14:paraId="5D1301D1">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（3）投标函及其附录（如果有）；</w:t>
      </w:r>
    </w:p>
    <w:p w14:paraId="1067C01C">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（4）专用合同条款及其附件；</w:t>
      </w:r>
    </w:p>
    <w:p w14:paraId="45908ADF">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（5）询标纪要及承诺书</w:t>
      </w:r>
    </w:p>
    <w:p w14:paraId="3D97525E">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（6）通用合同条款；</w:t>
      </w:r>
    </w:p>
    <w:p w14:paraId="348A072B">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（7）招标文件及其补充文件</w:t>
      </w:r>
    </w:p>
    <w:p w14:paraId="74E2F9ED">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（8）技术标准和要求；</w:t>
      </w:r>
    </w:p>
    <w:p w14:paraId="688F353C">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（9）图纸；</w:t>
      </w:r>
    </w:p>
    <w:p w14:paraId="3E524C22">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（10）已标价工程量清单或预算书；</w:t>
      </w:r>
    </w:p>
    <w:p w14:paraId="5A9C2444">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（11）其他合同文件。</w:t>
      </w:r>
    </w:p>
    <w:p w14:paraId="06B5DDF8">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在合同订立及履行过程中形成的与合同有关的文件均构成合同文件组成部分。</w:t>
      </w:r>
    </w:p>
    <w:p w14:paraId="4B84749A">
      <w:pPr>
        <w:spacing w:line="460" w:lineRule="exact"/>
        <w:ind w:firstLine="420" w:firstLineChars="200"/>
        <w:rPr>
          <w:rFonts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43A8F574">
      <w:pPr>
        <w:spacing w:line="460" w:lineRule="exact"/>
        <w:rPr>
          <w:rFonts w:ascii="宋体" w:hAnsi="宋体" w:cs="宋体"/>
          <w:bCs/>
          <w:color w:val="auto"/>
          <w:highlight w:val="none"/>
        </w:rPr>
      </w:pPr>
      <w:r>
        <w:rPr>
          <w:rFonts w:hint="eastAsia" w:ascii="宋体" w:hAnsi="宋体" w:cs="宋体"/>
          <w:color w:val="auto"/>
          <w:highlight w:val="none"/>
        </w:rPr>
        <w:t>七、承诺</w:t>
      </w:r>
    </w:p>
    <w:p w14:paraId="74910FDA">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1.发包人承诺按照法律规定履行项目审批手续、筹集工程建设资金并按照合同约定的期限和方式支付合同价款。</w:t>
      </w:r>
    </w:p>
    <w:p w14:paraId="677EF876">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2.承包人承诺按照法律规定及合同约定组织完成工程施工，确保工程质量和安全，不进行转包及违法分包，并在缺陷责任期及保修期内承担相应的工程维修责任。</w:t>
      </w:r>
    </w:p>
    <w:p w14:paraId="3304E056">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3.发包人和承包人通过招投标形式签订合同的，双方理解并承诺不再就同一工程另行签订与合同实质性内容相背离的协议。</w:t>
      </w:r>
    </w:p>
    <w:p w14:paraId="12AFD341">
      <w:pPr>
        <w:spacing w:line="460" w:lineRule="exact"/>
        <w:rPr>
          <w:rFonts w:ascii="宋体" w:hAnsi="宋体" w:cs="宋体"/>
          <w:bCs/>
          <w:color w:val="auto"/>
          <w:highlight w:val="none"/>
        </w:rPr>
      </w:pPr>
      <w:r>
        <w:rPr>
          <w:rFonts w:hint="eastAsia" w:ascii="宋体" w:hAnsi="宋体" w:cs="宋体"/>
          <w:color w:val="auto"/>
          <w:highlight w:val="none"/>
        </w:rPr>
        <w:t>八、词语含义</w:t>
      </w:r>
    </w:p>
    <w:p w14:paraId="36989316">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本协议书中词语含义与第二部分通用合同条款中赋予的含义相同。</w:t>
      </w:r>
    </w:p>
    <w:p w14:paraId="037364BB">
      <w:pPr>
        <w:spacing w:line="460" w:lineRule="exact"/>
        <w:rPr>
          <w:rFonts w:ascii="宋体" w:hAnsi="宋体" w:cs="宋体"/>
          <w:bCs/>
          <w:color w:val="auto"/>
          <w:highlight w:val="none"/>
        </w:rPr>
      </w:pPr>
      <w:r>
        <w:rPr>
          <w:rFonts w:hint="eastAsia" w:ascii="宋体" w:hAnsi="宋体" w:cs="宋体"/>
          <w:color w:val="auto"/>
          <w:highlight w:val="none"/>
        </w:rPr>
        <w:t>九、签订时间</w:t>
      </w:r>
    </w:p>
    <w:p w14:paraId="3CF7EE1B">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本合同于</w:t>
      </w:r>
      <w:r>
        <w:rPr>
          <w:rFonts w:hint="eastAsia" w:ascii="宋体" w:hAnsi="宋体" w:cs="宋体"/>
          <w:bCs/>
          <w:color w:val="auto"/>
          <w:highlight w:val="none"/>
          <w:u w:val="single"/>
          <w:lang w:val="en-US" w:eastAsia="zh-CN"/>
        </w:rPr>
        <w:t xml:space="preserve">  2025  </w:t>
      </w:r>
      <w:r>
        <w:rPr>
          <w:rFonts w:hint="eastAsia" w:ascii="宋体" w:hAnsi="宋体" w:cs="宋体"/>
          <w:bCs/>
          <w:color w:val="auto"/>
          <w:highlight w:val="none"/>
        </w:rPr>
        <w:t>年    月   日签订。</w:t>
      </w:r>
    </w:p>
    <w:p w14:paraId="20BD4862">
      <w:pPr>
        <w:spacing w:line="460" w:lineRule="exact"/>
        <w:rPr>
          <w:rFonts w:ascii="宋体" w:hAnsi="宋体" w:cs="宋体"/>
          <w:bCs/>
          <w:color w:val="auto"/>
          <w:highlight w:val="none"/>
        </w:rPr>
      </w:pPr>
      <w:r>
        <w:rPr>
          <w:rFonts w:hint="eastAsia" w:ascii="宋体" w:hAnsi="宋体" w:cs="宋体"/>
          <w:color w:val="auto"/>
          <w:highlight w:val="none"/>
        </w:rPr>
        <w:t>十、签订地点</w:t>
      </w:r>
    </w:p>
    <w:p w14:paraId="53EE7053">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本合同在</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杭州 </w:t>
      </w:r>
      <w:r>
        <w:rPr>
          <w:rFonts w:hint="eastAsia" w:ascii="宋体" w:hAnsi="宋体" w:cs="宋体"/>
          <w:bCs/>
          <w:color w:val="auto"/>
          <w:highlight w:val="none"/>
          <w:u w:val="single"/>
        </w:rPr>
        <w:t xml:space="preserve"> </w:t>
      </w:r>
      <w:r>
        <w:rPr>
          <w:rFonts w:hint="eastAsia" w:ascii="宋体" w:hAnsi="宋体" w:cs="宋体"/>
          <w:bCs/>
          <w:color w:val="auto"/>
          <w:highlight w:val="none"/>
        </w:rPr>
        <w:t>签订。</w:t>
      </w:r>
    </w:p>
    <w:p w14:paraId="70D354E4">
      <w:pPr>
        <w:spacing w:line="460" w:lineRule="exact"/>
        <w:rPr>
          <w:rFonts w:ascii="宋体" w:hAnsi="宋体" w:cs="宋体"/>
          <w:bCs/>
          <w:color w:val="auto"/>
          <w:highlight w:val="none"/>
        </w:rPr>
      </w:pPr>
      <w:r>
        <w:rPr>
          <w:rFonts w:hint="eastAsia" w:ascii="宋体" w:hAnsi="宋体" w:cs="宋体"/>
          <w:color w:val="auto"/>
          <w:highlight w:val="none"/>
        </w:rPr>
        <w:t>十一、补充协议</w:t>
      </w:r>
    </w:p>
    <w:p w14:paraId="50EF87A8">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合同未尽事宜，合同当事人另行签订补充协议，补充协议是合同的组成部分。</w:t>
      </w:r>
    </w:p>
    <w:p w14:paraId="708BDAAF">
      <w:pPr>
        <w:spacing w:line="460" w:lineRule="exact"/>
        <w:rPr>
          <w:rFonts w:ascii="宋体" w:hAnsi="宋体" w:cs="宋体"/>
          <w:bCs/>
          <w:color w:val="auto"/>
          <w:highlight w:val="none"/>
        </w:rPr>
      </w:pPr>
      <w:r>
        <w:rPr>
          <w:rFonts w:hint="eastAsia" w:ascii="宋体" w:hAnsi="宋体" w:cs="宋体"/>
          <w:color w:val="auto"/>
          <w:highlight w:val="none"/>
        </w:rPr>
        <w:t>十二、合同生效</w:t>
      </w:r>
    </w:p>
    <w:p w14:paraId="21F38755">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本合同自</w:t>
      </w:r>
      <w:r>
        <w:rPr>
          <w:rFonts w:hint="eastAsia" w:ascii="宋体" w:hAnsi="宋体" w:cs="宋体"/>
          <w:bCs/>
          <w:color w:val="auto"/>
          <w:highlight w:val="none"/>
          <w:u w:val="single"/>
        </w:rPr>
        <w:t>双方签字盖章后</w:t>
      </w:r>
      <w:r>
        <w:rPr>
          <w:rFonts w:hint="eastAsia" w:ascii="宋体" w:hAnsi="宋体" w:cs="宋体"/>
          <w:bCs/>
          <w:color w:val="auto"/>
          <w:highlight w:val="none"/>
        </w:rPr>
        <w:t>生效。</w:t>
      </w:r>
    </w:p>
    <w:p w14:paraId="488F813E">
      <w:pPr>
        <w:spacing w:line="460" w:lineRule="exact"/>
        <w:rPr>
          <w:rFonts w:ascii="宋体" w:hAnsi="宋体" w:cs="宋体"/>
          <w:bCs/>
          <w:color w:val="auto"/>
          <w:highlight w:val="none"/>
        </w:rPr>
      </w:pPr>
      <w:r>
        <w:rPr>
          <w:rFonts w:hint="eastAsia" w:ascii="宋体" w:hAnsi="宋体" w:cs="宋体"/>
          <w:color w:val="auto"/>
          <w:highlight w:val="none"/>
        </w:rPr>
        <w:t>十三、合同份数</w:t>
      </w:r>
    </w:p>
    <w:p w14:paraId="1C78C8BC">
      <w:pPr>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本合同一式</w:t>
      </w:r>
      <w:r>
        <w:rPr>
          <w:rFonts w:hint="eastAsia" w:ascii="宋体" w:hAnsi="宋体" w:cs="宋体"/>
          <w:b/>
          <w:bCs/>
          <w:color w:val="auto"/>
          <w:highlight w:val="none"/>
          <w:u w:val="single"/>
        </w:rPr>
        <w:t>壹拾</w:t>
      </w:r>
      <w:r>
        <w:rPr>
          <w:rFonts w:hint="eastAsia" w:ascii="宋体" w:hAnsi="宋体" w:cs="宋体"/>
          <w:color w:val="auto"/>
          <w:highlight w:val="none"/>
        </w:rPr>
        <w:t>份</w:t>
      </w:r>
      <w:r>
        <w:rPr>
          <w:rFonts w:hint="eastAsia" w:ascii="宋体" w:hAnsi="宋体" w:cs="宋体"/>
          <w:bCs/>
          <w:color w:val="auto"/>
          <w:highlight w:val="none"/>
        </w:rPr>
        <w:t>，均具有同等法律效力，发包人执</w:t>
      </w:r>
      <w:r>
        <w:rPr>
          <w:rFonts w:hint="eastAsia" w:ascii="宋体" w:hAnsi="宋体" w:cs="宋体"/>
          <w:b/>
          <w:bCs/>
          <w:color w:val="auto"/>
          <w:highlight w:val="none"/>
          <w:u w:val="single"/>
        </w:rPr>
        <w:t>伍</w:t>
      </w:r>
      <w:r>
        <w:rPr>
          <w:rFonts w:hint="eastAsia" w:ascii="宋体" w:hAnsi="宋体" w:cs="宋体"/>
          <w:bCs/>
          <w:color w:val="auto"/>
          <w:highlight w:val="none"/>
        </w:rPr>
        <w:t>份，承包人执</w:t>
      </w:r>
      <w:r>
        <w:rPr>
          <w:rFonts w:hint="eastAsia" w:ascii="宋体" w:hAnsi="宋体" w:cs="宋体"/>
          <w:b/>
          <w:bCs/>
          <w:color w:val="auto"/>
          <w:highlight w:val="none"/>
          <w:u w:val="single"/>
        </w:rPr>
        <w:t>伍</w:t>
      </w:r>
      <w:r>
        <w:rPr>
          <w:rFonts w:hint="eastAsia" w:ascii="宋体" w:hAnsi="宋体" w:cs="宋体"/>
          <w:bCs/>
          <w:color w:val="auto"/>
          <w:highlight w:val="none"/>
        </w:rPr>
        <w:t>份。</w:t>
      </w:r>
    </w:p>
    <w:p w14:paraId="076042E7">
      <w:pPr>
        <w:spacing w:line="460" w:lineRule="exact"/>
        <w:rPr>
          <w:rFonts w:ascii="宋体" w:hAnsi="宋体" w:cs="宋体"/>
          <w:bCs/>
          <w:color w:val="auto"/>
          <w:highlight w:val="none"/>
        </w:rPr>
      </w:pPr>
    </w:p>
    <w:p w14:paraId="38A46D30">
      <w:pPr>
        <w:spacing w:before="66" w:line="227" w:lineRule="auto"/>
        <w:ind w:left="5"/>
        <w:rPr>
          <w:rFonts w:ascii="宋体" w:hAnsi="宋体" w:eastAsia="宋体" w:cs="宋体"/>
          <w:sz w:val="20"/>
          <w:szCs w:val="20"/>
        </w:rPr>
      </w:pPr>
      <w:bookmarkStart w:id="409" w:name="_Toc24869"/>
      <w:r>
        <w:rPr>
          <w:rFonts w:ascii="宋体" w:hAnsi="宋体" w:eastAsia="宋体" w:cs="宋体"/>
          <w:spacing w:val="-1"/>
          <w:sz w:val="20"/>
          <w:szCs w:val="20"/>
        </w:rPr>
        <w:t>发包人：</w:t>
      </w:r>
      <w:r>
        <w:rPr>
          <w:rFonts w:ascii="宋体" w:hAnsi="宋体" w:eastAsia="宋体" w:cs="宋体"/>
          <w:spacing w:val="27"/>
          <w:sz w:val="20"/>
          <w:szCs w:val="20"/>
        </w:rPr>
        <w:t xml:space="preserve">  </w:t>
      </w:r>
      <w:r>
        <w:rPr>
          <w:rFonts w:ascii="宋体" w:hAnsi="宋体" w:eastAsia="宋体" w:cs="宋体"/>
          <w:spacing w:val="-1"/>
          <w:sz w:val="20"/>
          <w:szCs w:val="20"/>
        </w:rPr>
        <w:t>(公章)                             承包人：</w:t>
      </w:r>
      <w:r>
        <w:rPr>
          <w:rFonts w:ascii="宋体" w:hAnsi="宋体" w:eastAsia="宋体" w:cs="宋体"/>
          <w:spacing w:val="28"/>
          <w:sz w:val="20"/>
          <w:szCs w:val="20"/>
        </w:rPr>
        <w:t xml:space="preserve">  </w:t>
      </w:r>
      <w:r>
        <w:rPr>
          <w:rFonts w:ascii="宋体" w:hAnsi="宋体" w:eastAsia="宋体" w:cs="宋体"/>
          <w:spacing w:val="-1"/>
          <w:sz w:val="20"/>
          <w:szCs w:val="20"/>
        </w:rPr>
        <w:t>(公</w:t>
      </w:r>
      <w:r>
        <w:rPr>
          <w:rFonts w:ascii="宋体" w:hAnsi="宋体" w:eastAsia="宋体" w:cs="宋体"/>
          <w:spacing w:val="-2"/>
          <w:sz w:val="20"/>
          <w:szCs w:val="20"/>
        </w:rPr>
        <w:t>章)</w:t>
      </w:r>
    </w:p>
    <w:p w14:paraId="3C7C105C">
      <w:pPr>
        <w:spacing w:before="214" w:line="228" w:lineRule="auto"/>
        <w:ind w:left="2"/>
        <w:rPr>
          <w:rFonts w:ascii="宋体" w:hAnsi="宋体" w:eastAsia="宋体" w:cs="宋体"/>
          <w:sz w:val="20"/>
          <w:szCs w:val="20"/>
        </w:rPr>
      </w:pPr>
      <w:r>
        <w:rPr>
          <w:rFonts w:ascii="宋体" w:hAnsi="宋体" w:eastAsia="宋体" w:cs="宋体"/>
          <w:spacing w:val="4"/>
          <w:sz w:val="20"/>
          <w:szCs w:val="20"/>
        </w:rPr>
        <w:t>法定代表人或其委托代理人：                  法定代表人或其委托代理人：</w:t>
      </w:r>
    </w:p>
    <w:p w14:paraId="759670FA">
      <w:pPr>
        <w:spacing w:before="214" w:line="228" w:lineRule="auto"/>
        <w:ind w:left="11"/>
        <w:rPr>
          <w:rFonts w:ascii="宋体" w:hAnsi="宋体" w:eastAsia="宋体" w:cs="宋体"/>
          <w:sz w:val="20"/>
          <w:szCs w:val="20"/>
        </w:rPr>
      </w:pPr>
      <w:r>
        <w:rPr>
          <w:rFonts w:ascii="宋体" w:hAnsi="宋体" w:eastAsia="宋体" w:cs="宋体"/>
          <w:spacing w:val="7"/>
          <w:sz w:val="20"/>
          <w:szCs w:val="20"/>
        </w:rPr>
        <w:t>（签字</w:t>
      </w:r>
      <w:r>
        <w:rPr>
          <w:rFonts w:ascii="宋体" w:hAnsi="宋体" w:eastAsia="宋体" w:cs="宋体"/>
          <w:spacing w:val="-12"/>
          <w:sz w:val="20"/>
          <w:szCs w:val="20"/>
        </w:rPr>
        <w:t>）</w:t>
      </w:r>
      <w:r>
        <w:rPr>
          <w:rFonts w:ascii="宋体" w:hAnsi="宋体" w:eastAsia="宋体" w:cs="宋体"/>
          <w:sz w:val="20"/>
          <w:szCs w:val="20"/>
        </w:rPr>
        <w:t xml:space="preserve">                                     </w:t>
      </w:r>
      <w:r>
        <w:rPr>
          <w:rFonts w:ascii="宋体" w:hAnsi="宋体" w:eastAsia="宋体" w:cs="宋体"/>
          <w:spacing w:val="-12"/>
          <w:sz w:val="20"/>
          <w:szCs w:val="20"/>
        </w:rPr>
        <w:t>（</w:t>
      </w:r>
      <w:r>
        <w:rPr>
          <w:rFonts w:ascii="宋体" w:hAnsi="宋体" w:eastAsia="宋体" w:cs="宋体"/>
          <w:spacing w:val="7"/>
          <w:sz w:val="20"/>
          <w:szCs w:val="20"/>
        </w:rPr>
        <w:t>签字）</w:t>
      </w:r>
    </w:p>
    <w:p w14:paraId="1CCC0D81">
      <w:pPr>
        <w:spacing w:before="212" w:line="227" w:lineRule="auto"/>
        <w:ind w:left="4"/>
        <w:rPr>
          <w:rFonts w:hint="eastAsia" w:ascii="宋体" w:hAnsi="宋体" w:eastAsia="宋体" w:cs="宋体"/>
          <w:sz w:val="20"/>
          <w:szCs w:val="20"/>
          <w:lang w:eastAsia="zh-CN"/>
        </w:rPr>
      </w:pPr>
      <w:r>
        <w:rPr>
          <w:rFonts w:ascii="宋体" w:hAnsi="宋体" w:eastAsia="宋体" w:cs="宋体"/>
          <w:spacing w:val="4"/>
          <w:sz w:val="20"/>
          <w:szCs w:val="20"/>
        </w:rPr>
        <w:t>组织机构代码：</w:t>
      </w:r>
      <w:r>
        <w:rPr>
          <w:rFonts w:ascii="宋体" w:hAnsi="宋体" w:eastAsia="宋体" w:cs="宋体"/>
          <w:spacing w:val="4"/>
          <w:sz w:val="20"/>
          <w:szCs w:val="20"/>
          <w:u w:val="single" w:color="auto"/>
        </w:rPr>
        <w:t>1233010547024092</w:t>
      </w:r>
      <w:r>
        <w:rPr>
          <w:rFonts w:ascii="宋体" w:hAnsi="宋体" w:eastAsia="宋体" w:cs="宋体"/>
          <w:spacing w:val="3"/>
          <w:sz w:val="20"/>
          <w:szCs w:val="20"/>
          <w:u w:val="single" w:color="auto"/>
        </w:rPr>
        <w:t>22</w:t>
      </w:r>
      <w:r>
        <w:rPr>
          <w:rFonts w:ascii="宋体" w:hAnsi="宋体" w:eastAsia="宋体" w:cs="宋体"/>
          <w:spacing w:val="3"/>
          <w:sz w:val="20"/>
          <w:szCs w:val="20"/>
        </w:rPr>
        <w:t xml:space="preserve">           组织机构代码：</w:t>
      </w:r>
      <w:r>
        <w:rPr>
          <w:rFonts w:hint="eastAsia" w:ascii="宋体" w:hAnsi="宋体" w:eastAsia="宋体" w:cs="宋体"/>
          <w:spacing w:val="3"/>
          <w:sz w:val="20"/>
          <w:szCs w:val="20"/>
          <w:lang w:val="en-US" w:eastAsia="zh-CN"/>
        </w:rPr>
        <w:t xml:space="preserve"> </w:t>
      </w:r>
    </w:p>
    <w:p w14:paraId="643C70FA">
      <w:pPr>
        <w:spacing w:before="215" w:line="227" w:lineRule="auto"/>
        <w:ind w:left="5460" w:leftChars="0" w:hanging="5460" w:hangingChars="2600"/>
        <w:rPr>
          <w:rFonts w:hint="eastAsia" w:ascii="宋体" w:hAnsi="宋体" w:eastAsia="宋体" w:cs="宋体"/>
          <w:sz w:val="20"/>
          <w:szCs w:val="20"/>
          <w:lang w:eastAsia="zh-CN"/>
        </w:rPr>
      </w:pPr>
      <w:r>
        <w:rPr>
          <w:rFonts w:ascii="宋体" w:hAnsi="宋体" w:eastAsia="宋体" w:cs="宋体"/>
          <w:spacing w:val="5"/>
          <w:sz w:val="20"/>
          <w:szCs w:val="20"/>
        </w:rPr>
        <w:t>地  址：杭州市拱墅区景苑路32</w:t>
      </w:r>
      <w:r>
        <w:rPr>
          <w:rFonts w:ascii="宋体" w:hAnsi="宋体" w:eastAsia="宋体" w:cs="宋体"/>
          <w:spacing w:val="-32"/>
          <w:sz w:val="20"/>
          <w:szCs w:val="20"/>
        </w:rPr>
        <w:t xml:space="preserve"> </w:t>
      </w:r>
      <w:r>
        <w:rPr>
          <w:rFonts w:ascii="宋体" w:hAnsi="宋体" w:eastAsia="宋体" w:cs="宋体"/>
          <w:spacing w:val="5"/>
          <w:sz w:val="20"/>
          <w:szCs w:val="20"/>
        </w:rPr>
        <w:t>号            地  址：</w:t>
      </w:r>
      <w:r>
        <w:rPr>
          <w:rFonts w:hint="eastAsia" w:ascii="宋体" w:hAnsi="宋体" w:eastAsia="宋体" w:cs="宋体"/>
          <w:spacing w:val="5"/>
          <w:sz w:val="20"/>
          <w:szCs w:val="20"/>
          <w:lang w:val="en-US" w:eastAsia="zh-CN"/>
        </w:rPr>
        <w:t xml:space="preserve"> </w:t>
      </w:r>
    </w:p>
    <w:p w14:paraId="40B3C0E3">
      <w:pPr>
        <w:spacing w:before="214" w:line="228" w:lineRule="auto"/>
        <w:ind w:left="17"/>
        <w:rPr>
          <w:rFonts w:ascii="宋体" w:hAnsi="宋体" w:eastAsia="宋体" w:cs="宋体"/>
          <w:sz w:val="20"/>
          <w:szCs w:val="20"/>
        </w:rPr>
      </w:pPr>
      <w:r>
        <w:rPr>
          <w:rFonts w:ascii="宋体" w:hAnsi="宋体" w:eastAsia="宋体" w:cs="宋体"/>
          <w:spacing w:val="1"/>
          <w:sz w:val="20"/>
          <w:szCs w:val="20"/>
        </w:rPr>
        <w:t xml:space="preserve">邮政编码：                            </w:t>
      </w:r>
      <w:r>
        <w:rPr>
          <w:rFonts w:ascii="宋体" w:hAnsi="宋体" w:eastAsia="宋体" w:cs="宋体"/>
          <w:sz w:val="20"/>
          <w:szCs w:val="20"/>
        </w:rPr>
        <w:t xml:space="preserve">        邮政编码：</w:t>
      </w:r>
    </w:p>
    <w:p w14:paraId="13C92214">
      <w:pPr>
        <w:spacing w:before="212" w:line="228" w:lineRule="auto"/>
        <w:ind w:left="2"/>
        <w:rPr>
          <w:rFonts w:ascii="宋体" w:hAnsi="宋体" w:eastAsia="宋体" w:cs="宋体"/>
          <w:sz w:val="20"/>
          <w:szCs w:val="20"/>
        </w:rPr>
      </w:pPr>
      <w:r>
        <w:rPr>
          <w:rFonts w:ascii="宋体" w:hAnsi="宋体" w:eastAsia="宋体" w:cs="宋体"/>
          <w:spacing w:val="4"/>
          <w:sz w:val="20"/>
          <w:szCs w:val="20"/>
        </w:rPr>
        <w:t xml:space="preserve">法定代表人：             </w:t>
      </w:r>
      <w:r>
        <w:rPr>
          <w:rFonts w:ascii="宋体" w:hAnsi="宋体" w:eastAsia="宋体" w:cs="宋体"/>
          <w:spacing w:val="3"/>
          <w:sz w:val="20"/>
          <w:szCs w:val="20"/>
        </w:rPr>
        <w:t xml:space="preserve">                    法定代表人：</w:t>
      </w:r>
    </w:p>
    <w:p w14:paraId="2E7D8A8B">
      <w:pPr>
        <w:spacing w:before="214" w:line="228" w:lineRule="auto"/>
        <w:rPr>
          <w:rFonts w:ascii="宋体" w:hAnsi="宋体" w:eastAsia="宋体" w:cs="宋体"/>
          <w:sz w:val="20"/>
          <w:szCs w:val="20"/>
        </w:rPr>
      </w:pPr>
      <w:r>
        <w:rPr>
          <w:rFonts w:ascii="宋体" w:hAnsi="宋体" w:eastAsia="宋体" w:cs="宋体"/>
          <w:spacing w:val="4"/>
          <w:sz w:val="20"/>
          <w:szCs w:val="20"/>
        </w:rPr>
        <w:t xml:space="preserve">委托代理人：              </w:t>
      </w:r>
      <w:r>
        <w:rPr>
          <w:rFonts w:ascii="宋体" w:hAnsi="宋体" w:eastAsia="宋体" w:cs="宋体"/>
          <w:spacing w:val="3"/>
          <w:sz w:val="20"/>
          <w:szCs w:val="20"/>
        </w:rPr>
        <w:t xml:space="preserve">                   委托代理人：</w:t>
      </w:r>
    </w:p>
    <w:p w14:paraId="488F3AA4">
      <w:pPr>
        <w:spacing w:before="214" w:line="230" w:lineRule="auto"/>
        <w:ind w:left="26"/>
        <w:rPr>
          <w:rFonts w:ascii="宋体" w:hAnsi="宋体" w:eastAsia="宋体" w:cs="宋体"/>
          <w:sz w:val="20"/>
          <w:szCs w:val="20"/>
        </w:rPr>
      </w:pPr>
      <w:r>
        <w:rPr>
          <w:rFonts w:ascii="宋体" w:hAnsi="宋体" w:eastAsia="宋体" w:cs="宋体"/>
          <w:spacing w:val="-12"/>
          <w:sz w:val="20"/>
          <w:szCs w:val="20"/>
        </w:rPr>
        <w:t>电</w:t>
      </w:r>
      <w:r>
        <w:rPr>
          <w:rFonts w:ascii="宋体" w:hAnsi="宋体" w:eastAsia="宋体" w:cs="宋体"/>
          <w:spacing w:val="5"/>
          <w:sz w:val="20"/>
          <w:szCs w:val="20"/>
        </w:rPr>
        <w:t xml:space="preserve">  </w:t>
      </w:r>
      <w:r>
        <w:rPr>
          <w:rFonts w:ascii="宋体" w:hAnsi="宋体" w:eastAsia="宋体" w:cs="宋体"/>
          <w:spacing w:val="-12"/>
          <w:sz w:val="20"/>
          <w:szCs w:val="20"/>
        </w:rPr>
        <w:t>话</w:t>
      </w:r>
      <w:r>
        <w:rPr>
          <w:rFonts w:ascii="宋体" w:hAnsi="宋体" w:eastAsia="宋体" w:cs="宋体"/>
          <w:spacing w:val="-76"/>
          <w:sz w:val="20"/>
          <w:szCs w:val="20"/>
        </w:rPr>
        <w:t xml:space="preserve"> </w:t>
      </w:r>
      <w:r>
        <w:rPr>
          <w:rFonts w:ascii="宋体" w:hAnsi="宋体" w:eastAsia="宋体" w:cs="宋体"/>
          <w:spacing w:val="-12"/>
          <w:sz w:val="20"/>
          <w:szCs w:val="20"/>
        </w:rPr>
        <w:t>：</w:t>
      </w:r>
      <w:r>
        <w:rPr>
          <w:rFonts w:ascii="宋体" w:hAnsi="宋体" w:eastAsia="宋体" w:cs="宋体"/>
          <w:spacing w:val="1"/>
          <w:sz w:val="20"/>
          <w:szCs w:val="20"/>
        </w:rPr>
        <w:t xml:space="preserve">                                       </w:t>
      </w:r>
      <w:r>
        <w:rPr>
          <w:rFonts w:ascii="宋体" w:hAnsi="宋体" w:eastAsia="宋体" w:cs="宋体"/>
          <w:spacing w:val="-12"/>
          <w:sz w:val="20"/>
          <w:szCs w:val="20"/>
        </w:rPr>
        <w:t>电</w:t>
      </w:r>
      <w:r>
        <w:rPr>
          <w:rFonts w:ascii="宋体" w:hAnsi="宋体" w:eastAsia="宋体" w:cs="宋体"/>
          <w:spacing w:val="9"/>
          <w:sz w:val="20"/>
          <w:szCs w:val="20"/>
        </w:rPr>
        <w:t xml:space="preserve">  </w:t>
      </w:r>
      <w:r>
        <w:rPr>
          <w:rFonts w:ascii="宋体" w:hAnsi="宋体" w:eastAsia="宋体" w:cs="宋体"/>
          <w:spacing w:val="-12"/>
          <w:sz w:val="20"/>
          <w:szCs w:val="20"/>
        </w:rPr>
        <w:t>话：</w:t>
      </w:r>
    </w:p>
    <w:p w14:paraId="517DCF02">
      <w:pPr>
        <w:spacing w:before="209" w:line="227" w:lineRule="auto"/>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6"/>
          <w:sz w:val="20"/>
          <w:szCs w:val="20"/>
        </w:rPr>
        <w:t xml:space="preserve">  </w:t>
      </w:r>
      <w:r>
        <w:rPr>
          <w:rFonts w:ascii="宋体" w:hAnsi="宋体" w:eastAsia="宋体" w:cs="宋体"/>
          <w:spacing w:val="-4"/>
          <w:sz w:val="20"/>
          <w:szCs w:val="20"/>
        </w:rPr>
        <w:t>真</w:t>
      </w:r>
      <w:r>
        <w:rPr>
          <w:rFonts w:ascii="宋体" w:hAnsi="宋体" w:eastAsia="宋体" w:cs="宋体"/>
          <w:spacing w:val="-76"/>
          <w:sz w:val="20"/>
          <w:szCs w:val="20"/>
        </w:rPr>
        <w:t xml:space="preserve"> </w:t>
      </w:r>
      <w:r>
        <w:rPr>
          <w:rFonts w:ascii="宋体" w:hAnsi="宋体" w:eastAsia="宋体" w:cs="宋体"/>
          <w:spacing w:val="-4"/>
          <w:sz w:val="20"/>
          <w:szCs w:val="20"/>
        </w:rPr>
        <w:t>：</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4"/>
          <w:sz w:val="20"/>
          <w:szCs w:val="20"/>
        </w:rPr>
        <w:t>传</w:t>
      </w:r>
      <w:r>
        <w:rPr>
          <w:rFonts w:ascii="宋体" w:hAnsi="宋体" w:eastAsia="宋体" w:cs="宋体"/>
          <w:spacing w:val="6"/>
          <w:sz w:val="20"/>
          <w:szCs w:val="20"/>
        </w:rPr>
        <w:t xml:space="preserve">  </w:t>
      </w:r>
      <w:r>
        <w:rPr>
          <w:rFonts w:ascii="宋体" w:hAnsi="宋体" w:eastAsia="宋体" w:cs="宋体"/>
          <w:spacing w:val="-4"/>
          <w:sz w:val="20"/>
          <w:szCs w:val="20"/>
        </w:rPr>
        <w:t>真：</w:t>
      </w:r>
    </w:p>
    <w:p w14:paraId="4FCC29F6">
      <w:pPr>
        <w:spacing w:before="215" w:line="228" w:lineRule="auto"/>
        <w:ind w:left="26"/>
        <w:rPr>
          <w:rFonts w:ascii="宋体" w:hAnsi="宋体" w:eastAsia="宋体" w:cs="宋体"/>
          <w:sz w:val="20"/>
          <w:szCs w:val="20"/>
        </w:rPr>
      </w:pPr>
      <w:r>
        <w:rPr>
          <w:rFonts w:ascii="宋体" w:hAnsi="宋体" w:eastAsia="宋体" w:cs="宋体"/>
          <w:spacing w:val="-2"/>
          <w:sz w:val="20"/>
          <w:szCs w:val="20"/>
        </w:rPr>
        <w:t>电子信箱：</w:t>
      </w:r>
      <w:r>
        <w:rPr>
          <w:rFonts w:ascii="宋体" w:hAnsi="宋体" w:eastAsia="宋体" w:cs="宋体"/>
          <w:spacing w:val="1"/>
          <w:sz w:val="20"/>
          <w:szCs w:val="20"/>
        </w:rPr>
        <w:t xml:space="preserve">                                     </w:t>
      </w:r>
      <w:r>
        <w:rPr>
          <w:rFonts w:ascii="宋体" w:hAnsi="宋体" w:eastAsia="宋体" w:cs="宋体"/>
          <w:spacing w:val="-2"/>
          <w:sz w:val="20"/>
          <w:szCs w:val="20"/>
        </w:rPr>
        <w:t>电子信箱：</w:t>
      </w:r>
    </w:p>
    <w:p w14:paraId="43E30A8A">
      <w:pPr>
        <w:spacing w:before="214" w:line="227" w:lineRule="auto"/>
        <w:ind w:left="2"/>
        <w:rPr>
          <w:rFonts w:hint="eastAsia" w:ascii="宋体" w:hAnsi="宋体" w:eastAsia="宋体" w:cs="宋体"/>
          <w:sz w:val="20"/>
          <w:szCs w:val="20"/>
          <w:lang w:eastAsia="zh-CN"/>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杭州银行湖墅支行</w:t>
      </w:r>
      <w:r>
        <w:rPr>
          <w:rFonts w:ascii="宋体" w:hAnsi="宋体" w:eastAsia="宋体" w:cs="宋体"/>
          <w:spacing w:val="4"/>
          <w:sz w:val="20"/>
          <w:szCs w:val="20"/>
        </w:rPr>
        <w:t xml:space="preserve">                  开户银行：</w:t>
      </w:r>
      <w:r>
        <w:rPr>
          <w:rFonts w:hint="eastAsia" w:ascii="宋体" w:hAnsi="宋体" w:eastAsia="宋体" w:cs="宋体"/>
          <w:spacing w:val="4"/>
          <w:sz w:val="20"/>
          <w:szCs w:val="20"/>
          <w:lang w:val="en-US" w:eastAsia="zh-CN"/>
        </w:rPr>
        <w:t xml:space="preserve"> </w:t>
      </w:r>
    </w:p>
    <w:p w14:paraId="66CE5219">
      <w:pPr>
        <w:spacing w:before="212" w:line="229" w:lineRule="auto"/>
        <w:ind w:left="5"/>
        <w:rPr>
          <w:rFonts w:hint="eastAsia" w:ascii="宋体" w:hAnsi="宋体" w:eastAsia="宋体" w:cs="宋体"/>
          <w:sz w:val="20"/>
          <w:szCs w:val="20"/>
          <w:lang w:eastAsia="zh-CN"/>
        </w:rPr>
        <w:sectPr>
          <w:footerReference r:id="rId8" w:type="default"/>
          <w:pgSz w:w="11906" w:h="16839"/>
          <w:pgMar w:top="1281" w:right="1576" w:bottom="1015" w:left="1480" w:header="850" w:footer="850" w:gutter="0"/>
          <w:cols w:space="0" w:num="1"/>
          <w:rtlGutter w:val="0"/>
          <w:docGrid w:linePitch="0" w:charSpace="0"/>
        </w:sectPr>
      </w:pPr>
      <w:r>
        <w:rPr>
          <w:rFonts w:ascii="宋体" w:hAnsi="宋体" w:eastAsia="宋体" w:cs="宋体"/>
          <w:spacing w:val="2"/>
          <w:sz w:val="20"/>
          <w:szCs w:val="20"/>
        </w:rPr>
        <w:t>账  号：</w:t>
      </w:r>
      <w:r>
        <w:rPr>
          <w:rFonts w:ascii="宋体" w:hAnsi="宋体" w:eastAsia="宋体" w:cs="宋体"/>
          <w:spacing w:val="2"/>
          <w:sz w:val="20"/>
          <w:szCs w:val="20"/>
          <w:u w:val="single" w:color="auto"/>
        </w:rPr>
        <w:t>75718100020504</w:t>
      </w:r>
      <w:r>
        <w:rPr>
          <w:rFonts w:ascii="宋体" w:hAnsi="宋体" w:eastAsia="宋体" w:cs="宋体"/>
          <w:spacing w:val="4"/>
          <w:sz w:val="20"/>
          <w:szCs w:val="20"/>
        </w:rPr>
        <w:t xml:space="preserve">                      </w:t>
      </w:r>
      <w:r>
        <w:rPr>
          <w:rFonts w:ascii="宋体" w:hAnsi="宋体" w:eastAsia="宋体" w:cs="宋体"/>
          <w:spacing w:val="2"/>
          <w:sz w:val="20"/>
          <w:szCs w:val="20"/>
        </w:rPr>
        <w:t>账 号：</w:t>
      </w:r>
      <w:r>
        <w:rPr>
          <w:rFonts w:hint="eastAsia" w:ascii="宋体" w:hAnsi="宋体" w:eastAsia="宋体" w:cs="宋体"/>
          <w:sz w:val="20"/>
          <w:szCs w:val="20"/>
          <w:lang w:val="en-US" w:eastAsia="zh-CN"/>
        </w:rPr>
        <w:t xml:space="preserve"> </w:t>
      </w:r>
    </w:p>
    <w:p w14:paraId="4C37A8B3">
      <w:pPr>
        <w:spacing w:line="360" w:lineRule="auto"/>
        <w:ind w:left="3"/>
        <w:jc w:val="center"/>
        <w:outlineLvl w:val="0"/>
        <w:rPr>
          <w:rFonts w:ascii="宋体" w:hAnsi="宋体" w:cs="宋体"/>
          <w:color w:val="auto"/>
          <w:highlight w:val="none"/>
        </w:rPr>
      </w:pPr>
      <w:r>
        <w:rPr>
          <w:rFonts w:hint="eastAsia" w:ascii="宋体" w:hAnsi="宋体" w:cs="宋体"/>
          <w:b/>
          <w:bCs/>
          <w:color w:val="auto"/>
          <w:kern w:val="44"/>
          <w:sz w:val="32"/>
          <w:szCs w:val="32"/>
          <w:highlight w:val="none"/>
        </w:rPr>
        <w:t>第二部分 通用合同条款（略）</w:t>
      </w:r>
      <w:bookmarkEnd w:id="409"/>
    </w:p>
    <w:p w14:paraId="38E14BDD">
      <w:pPr>
        <w:spacing w:line="360" w:lineRule="exact"/>
        <w:rPr>
          <w:rFonts w:ascii="宋体" w:hAnsi="宋体" w:cs="宋体"/>
          <w:color w:val="auto"/>
          <w:highlight w:val="none"/>
        </w:rPr>
      </w:pPr>
      <w:r>
        <w:rPr>
          <w:rFonts w:hint="eastAsia" w:ascii="宋体" w:hAnsi="宋体" w:cs="宋体"/>
          <w:color w:val="auto"/>
          <w:highlight w:val="none"/>
        </w:rPr>
        <w:t>1. 一般约定</w:t>
      </w:r>
    </w:p>
    <w:p w14:paraId="29231476">
      <w:pPr>
        <w:spacing w:line="360" w:lineRule="exact"/>
        <w:rPr>
          <w:rFonts w:ascii="宋体" w:hAnsi="宋体" w:cs="宋体"/>
          <w:color w:val="auto"/>
          <w:highlight w:val="none"/>
        </w:rPr>
      </w:pPr>
      <w:r>
        <w:rPr>
          <w:rFonts w:hint="eastAsia" w:ascii="宋体" w:hAnsi="宋体" w:cs="宋体"/>
          <w:color w:val="auto"/>
          <w:highlight w:val="none"/>
        </w:rPr>
        <w:t>1.1 词语定义与解释</w:t>
      </w:r>
    </w:p>
    <w:p w14:paraId="25983576">
      <w:pPr>
        <w:spacing w:line="360" w:lineRule="exact"/>
        <w:rPr>
          <w:rFonts w:ascii="宋体" w:hAnsi="宋体" w:cs="宋体"/>
          <w:color w:val="auto"/>
          <w:highlight w:val="none"/>
        </w:rPr>
      </w:pPr>
      <w:r>
        <w:rPr>
          <w:rFonts w:hint="eastAsia" w:ascii="宋体" w:hAnsi="宋体" w:cs="宋体"/>
          <w:color w:val="auto"/>
          <w:highlight w:val="none"/>
        </w:rPr>
        <w:t>1.2 语言文字</w:t>
      </w:r>
    </w:p>
    <w:p w14:paraId="36B1212C">
      <w:pPr>
        <w:spacing w:line="360" w:lineRule="exact"/>
        <w:rPr>
          <w:rFonts w:ascii="宋体" w:hAnsi="宋体" w:cs="宋体"/>
          <w:color w:val="auto"/>
          <w:highlight w:val="none"/>
        </w:rPr>
      </w:pPr>
      <w:r>
        <w:rPr>
          <w:rFonts w:hint="eastAsia" w:ascii="宋体" w:hAnsi="宋体" w:cs="宋体"/>
          <w:color w:val="auto"/>
          <w:highlight w:val="none"/>
        </w:rPr>
        <w:t>1.3 法律</w:t>
      </w:r>
    </w:p>
    <w:p w14:paraId="1A2F5390">
      <w:pPr>
        <w:spacing w:line="360" w:lineRule="exact"/>
        <w:rPr>
          <w:rFonts w:ascii="宋体" w:hAnsi="宋体" w:cs="宋体"/>
          <w:color w:val="auto"/>
          <w:highlight w:val="none"/>
        </w:rPr>
      </w:pPr>
      <w:r>
        <w:rPr>
          <w:rFonts w:hint="eastAsia" w:ascii="宋体" w:hAnsi="宋体" w:cs="宋体"/>
          <w:color w:val="auto"/>
          <w:highlight w:val="none"/>
        </w:rPr>
        <w:t>1.4 标准和规范</w:t>
      </w:r>
    </w:p>
    <w:p w14:paraId="1C097F39">
      <w:pPr>
        <w:spacing w:line="360" w:lineRule="exact"/>
        <w:rPr>
          <w:rFonts w:ascii="宋体" w:hAnsi="宋体" w:cs="宋体"/>
          <w:color w:val="auto"/>
          <w:highlight w:val="none"/>
        </w:rPr>
      </w:pPr>
      <w:r>
        <w:rPr>
          <w:rFonts w:hint="eastAsia" w:ascii="宋体" w:hAnsi="宋体" w:cs="宋体"/>
          <w:color w:val="auto"/>
          <w:highlight w:val="none"/>
        </w:rPr>
        <w:t>1.5 合同文件的优先顺序</w:t>
      </w:r>
    </w:p>
    <w:p w14:paraId="1403B15E">
      <w:pPr>
        <w:spacing w:line="360" w:lineRule="exact"/>
        <w:rPr>
          <w:rFonts w:ascii="宋体" w:hAnsi="宋体" w:cs="宋体"/>
          <w:color w:val="auto"/>
          <w:highlight w:val="none"/>
        </w:rPr>
      </w:pPr>
      <w:r>
        <w:rPr>
          <w:rFonts w:hint="eastAsia" w:ascii="宋体" w:hAnsi="宋体" w:cs="宋体"/>
          <w:color w:val="auto"/>
          <w:highlight w:val="none"/>
        </w:rPr>
        <w:t>1.6 图纸和承包人文件</w:t>
      </w:r>
    </w:p>
    <w:p w14:paraId="56141F26">
      <w:pPr>
        <w:spacing w:line="360" w:lineRule="exact"/>
        <w:rPr>
          <w:rFonts w:ascii="宋体" w:hAnsi="宋体" w:cs="宋体"/>
          <w:color w:val="auto"/>
          <w:highlight w:val="none"/>
        </w:rPr>
      </w:pPr>
      <w:r>
        <w:rPr>
          <w:rFonts w:hint="eastAsia" w:ascii="宋体" w:hAnsi="宋体" w:cs="宋体"/>
          <w:color w:val="auto"/>
          <w:highlight w:val="none"/>
        </w:rPr>
        <w:t>1.7 联络</w:t>
      </w:r>
    </w:p>
    <w:p w14:paraId="6C002438">
      <w:pPr>
        <w:spacing w:line="360" w:lineRule="exact"/>
        <w:rPr>
          <w:rFonts w:ascii="宋体" w:hAnsi="宋体" w:cs="宋体"/>
          <w:color w:val="auto"/>
          <w:highlight w:val="none"/>
        </w:rPr>
      </w:pPr>
      <w:r>
        <w:rPr>
          <w:rFonts w:hint="eastAsia" w:ascii="宋体" w:hAnsi="宋体" w:cs="宋体"/>
          <w:color w:val="auto"/>
          <w:highlight w:val="none"/>
        </w:rPr>
        <w:t>1.8 严禁贿赂</w:t>
      </w:r>
    </w:p>
    <w:p w14:paraId="65C2A3A7">
      <w:pPr>
        <w:spacing w:line="360" w:lineRule="exact"/>
        <w:rPr>
          <w:rFonts w:ascii="宋体" w:hAnsi="宋体" w:cs="宋体"/>
          <w:color w:val="auto"/>
          <w:highlight w:val="none"/>
        </w:rPr>
      </w:pPr>
      <w:r>
        <w:rPr>
          <w:rFonts w:hint="eastAsia" w:ascii="宋体" w:hAnsi="宋体" w:cs="宋体"/>
          <w:color w:val="auto"/>
          <w:highlight w:val="none"/>
        </w:rPr>
        <w:t>1.9 化石、文物</w:t>
      </w:r>
    </w:p>
    <w:p w14:paraId="6463EC02">
      <w:pPr>
        <w:spacing w:line="360" w:lineRule="exact"/>
        <w:rPr>
          <w:rFonts w:ascii="宋体" w:hAnsi="宋体" w:cs="宋体"/>
          <w:color w:val="auto"/>
          <w:highlight w:val="none"/>
        </w:rPr>
      </w:pPr>
      <w:r>
        <w:rPr>
          <w:rFonts w:hint="eastAsia" w:ascii="宋体" w:hAnsi="宋体" w:cs="宋体"/>
          <w:color w:val="auto"/>
          <w:highlight w:val="none"/>
        </w:rPr>
        <w:t>1.10 交通运输</w:t>
      </w:r>
    </w:p>
    <w:p w14:paraId="1B310E3B">
      <w:pPr>
        <w:spacing w:line="360" w:lineRule="exact"/>
        <w:rPr>
          <w:rFonts w:ascii="宋体" w:hAnsi="宋体" w:cs="宋体"/>
          <w:color w:val="auto"/>
          <w:highlight w:val="none"/>
        </w:rPr>
      </w:pPr>
      <w:r>
        <w:rPr>
          <w:rFonts w:hint="eastAsia" w:ascii="宋体" w:hAnsi="宋体" w:cs="宋体"/>
          <w:color w:val="auto"/>
          <w:highlight w:val="none"/>
        </w:rPr>
        <w:t>1.11 知识产权</w:t>
      </w:r>
    </w:p>
    <w:p w14:paraId="07AB69AD">
      <w:pPr>
        <w:spacing w:line="360" w:lineRule="exact"/>
        <w:rPr>
          <w:rFonts w:ascii="宋体" w:hAnsi="宋体" w:cs="宋体"/>
          <w:color w:val="auto"/>
          <w:highlight w:val="none"/>
        </w:rPr>
      </w:pPr>
      <w:r>
        <w:rPr>
          <w:rFonts w:hint="eastAsia" w:ascii="宋体" w:hAnsi="宋体" w:cs="宋体"/>
          <w:color w:val="auto"/>
          <w:highlight w:val="none"/>
        </w:rPr>
        <w:t>2. 发包人</w:t>
      </w:r>
    </w:p>
    <w:p w14:paraId="41193DEF">
      <w:pPr>
        <w:spacing w:line="360" w:lineRule="exact"/>
        <w:rPr>
          <w:rFonts w:ascii="宋体" w:hAnsi="宋体" w:cs="宋体"/>
          <w:color w:val="auto"/>
          <w:highlight w:val="none"/>
        </w:rPr>
      </w:pPr>
      <w:r>
        <w:rPr>
          <w:rFonts w:hint="eastAsia" w:ascii="宋体" w:hAnsi="宋体" w:cs="宋体"/>
          <w:color w:val="auto"/>
          <w:highlight w:val="none"/>
        </w:rPr>
        <w:t>2.1 许可或批准</w:t>
      </w:r>
    </w:p>
    <w:p w14:paraId="6B5B3ED0">
      <w:pPr>
        <w:spacing w:line="360" w:lineRule="exact"/>
        <w:rPr>
          <w:rFonts w:ascii="宋体" w:hAnsi="宋体" w:cs="宋体"/>
          <w:color w:val="auto"/>
          <w:highlight w:val="none"/>
        </w:rPr>
      </w:pPr>
      <w:r>
        <w:rPr>
          <w:rFonts w:hint="eastAsia" w:ascii="宋体" w:hAnsi="宋体" w:cs="宋体"/>
          <w:color w:val="auto"/>
          <w:highlight w:val="none"/>
        </w:rPr>
        <w:t>2.2 发包人代表</w:t>
      </w:r>
    </w:p>
    <w:p w14:paraId="03E13CCB">
      <w:pPr>
        <w:spacing w:line="360" w:lineRule="exact"/>
        <w:rPr>
          <w:rFonts w:ascii="宋体" w:hAnsi="宋体" w:cs="宋体"/>
          <w:color w:val="auto"/>
          <w:highlight w:val="none"/>
        </w:rPr>
      </w:pPr>
      <w:r>
        <w:rPr>
          <w:rFonts w:hint="eastAsia" w:ascii="宋体" w:hAnsi="宋体" w:cs="宋体"/>
          <w:color w:val="auto"/>
          <w:highlight w:val="none"/>
        </w:rPr>
        <w:t>2.3 发包人人员</w:t>
      </w:r>
    </w:p>
    <w:p w14:paraId="2C0C7F0B">
      <w:pPr>
        <w:spacing w:line="360" w:lineRule="exact"/>
        <w:rPr>
          <w:rFonts w:ascii="宋体" w:hAnsi="宋体" w:cs="宋体"/>
          <w:color w:val="auto"/>
          <w:highlight w:val="none"/>
        </w:rPr>
      </w:pPr>
      <w:r>
        <w:rPr>
          <w:rFonts w:hint="eastAsia" w:ascii="宋体" w:hAnsi="宋体" w:cs="宋体"/>
          <w:color w:val="auto"/>
          <w:highlight w:val="none"/>
        </w:rPr>
        <w:t>2.4 施工现场、施工条件和基础资料的提供</w:t>
      </w:r>
    </w:p>
    <w:p w14:paraId="45FF4FF6">
      <w:pPr>
        <w:spacing w:line="360" w:lineRule="exact"/>
        <w:rPr>
          <w:rFonts w:ascii="宋体" w:hAnsi="宋体" w:cs="宋体"/>
          <w:color w:val="auto"/>
          <w:highlight w:val="none"/>
        </w:rPr>
      </w:pPr>
      <w:r>
        <w:rPr>
          <w:rFonts w:hint="eastAsia" w:ascii="宋体" w:hAnsi="宋体" w:cs="宋体"/>
          <w:color w:val="auto"/>
          <w:highlight w:val="none"/>
        </w:rPr>
        <w:t>2.5 资金来源证明及支付担保</w:t>
      </w:r>
    </w:p>
    <w:p w14:paraId="33E8F498">
      <w:pPr>
        <w:spacing w:line="360" w:lineRule="exact"/>
        <w:rPr>
          <w:rFonts w:ascii="宋体" w:hAnsi="宋体" w:cs="宋体"/>
          <w:color w:val="auto"/>
          <w:highlight w:val="none"/>
        </w:rPr>
      </w:pPr>
      <w:r>
        <w:rPr>
          <w:rFonts w:hint="eastAsia" w:ascii="宋体" w:hAnsi="宋体" w:cs="宋体"/>
          <w:color w:val="auto"/>
          <w:highlight w:val="none"/>
        </w:rPr>
        <w:t>2.6 支付合同价款</w:t>
      </w:r>
    </w:p>
    <w:p w14:paraId="3CB09AFE">
      <w:pPr>
        <w:spacing w:line="360" w:lineRule="exact"/>
        <w:rPr>
          <w:rFonts w:ascii="宋体" w:hAnsi="宋体" w:cs="宋体"/>
          <w:color w:val="auto"/>
          <w:highlight w:val="none"/>
        </w:rPr>
      </w:pPr>
      <w:r>
        <w:rPr>
          <w:rFonts w:hint="eastAsia" w:ascii="宋体" w:hAnsi="宋体" w:cs="宋体"/>
          <w:color w:val="auto"/>
          <w:highlight w:val="none"/>
        </w:rPr>
        <w:t>2.7 组织竣工验收</w:t>
      </w:r>
    </w:p>
    <w:p w14:paraId="55A4EAD6">
      <w:pPr>
        <w:spacing w:line="360" w:lineRule="exact"/>
        <w:rPr>
          <w:rFonts w:ascii="宋体" w:hAnsi="宋体" w:cs="宋体"/>
          <w:color w:val="auto"/>
          <w:highlight w:val="none"/>
        </w:rPr>
      </w:pPr>
      <w:r>
        <w:rPr>
          <w:rFonts w:hint="eastAsia" w:ascii="宋体" w:hAnsi="宋体" w:cs="宋体"/>
          <w:color w:val="auto"/>
          <w:highlight w:val="none"/>
        </w:rPr>
        <w:t>2.8 现场统一管理协议</w:t>
      </w:r>
    </w:p>
    <w:p w14:paraId="203BC752">
      <w:pPr>
        <w:spacing w:line="360" w:lineRule="exact"/>
        <w:rPr>
          <w:rFonts w:ascii="宋体" w:hAnsi="宋体" w:cs="宋体"/>
          <w:color w:val="auto"/>
          <w:highlight w:val="none"/>
        </w:rPr>
      </w:pPr>
      <w:r>
        <w:rPr>
          <w:rFonts w:hint="eastAsia" w:ascii="宋体" w:hAnsi="宋体" w:cs="宋体"/>
          <w:color w:val="auto"/>
          <w:highlight w:val="none"/>
        </w:rPr>
        <w:t>3. 承包人</w:t>
      </w:r>
    </w:p>
    <w:p w14:paraId="13D094FD">
      <w:pPr>
        <w:spacing w:line="360" w:lineRule="exact"/>
        <w:rPr>
          <w:rFonts w:ascii="宋体" w:hAnsi="宋体" w:cs="宋体"/>
          <w:color w:val="auto"/>
          <w:highlight w:val="none"/>
        </w:rPr>
      </w:pPr>
      <w:r>
        <w:rPr>
          <w:rFonts w:hint="eastAsia" w:ascii="宋体" w:hAnsi="宋体" w:cs="宋体"/>
          <w:color w:val="auto"/>
          <w:highlight w:val="none"/>
        </w:rPr>
        <w:t>3.1 承包人的一般义务</w:t>
      </w:r>
    </w:p>
    <w:p w14:paraId="2030630C">
      <w:pPr>
        <w:spacing w:line="360" w:lineRule="exact"/>
        <w:rPr>
          <w:rFonts w:ascii="宋体" w:hAnsi="宋体" w:cs="宋体"/>
          <w:color w:val="auto"/>
          <w:highlight w:val="none"/>
        </w:rPr>
      </w:pPr>
      <w:r>
        <w:rPr>
          <w:rFonts w:hint="eastAsia" w:ascii="宋体" w:hAnsi="宋体" w:cs="宋体"/>
          <w:color w:val="auto"/>
          <w:highlight w:val="none"/>
        </w:rPr>
        <w:t>3.2 项目经理</w:t>
      </w:r>
    </w:p>
    <w:p w14:paraId="30C96D68">
      <w:pPr>
        <w:spacing w:line="360" w:lineRule="exact"/>
        <w:rPr>
          <w:rFonts w:ascii="宋体" w:hAnsi="宋体" w:cs="宋体"/>
          <w:color w:val="auto"/>
          <w:highlight w:val="none"/>
        </w:rPr>
      </w:pPr>
      <w:r>
        <w:rPr>
          <w:rFonts w:hint="eastAsia" w:ascii="宋体" w:hAnsi="宋体" w:cs="宋体"/>
          <w:color w:val="auto"/>
          <w:highlight w:val="none"/>
        </w:rPr>
        <w:t>3.3 承包人人员</w:t>
      </w:r>
    </w:p>
    <w:p w14:paraId="76780AA4">
      <w:pPr>
        <w:spacing w:line="360" w:lineRule="exact"/>
        <w:rPr>
          <w:rFonts w:ascii="宋体" w:hAnsi="宋体" w:cs="宋体"/>
          <w:color w:val="auto"/>
          <w:highlight w:val="none"/>
        </w:rPr>
      </w:pPr>
      <w:r>
        <w:rPr>
          <w:rFonts w:hint="eastAsia" w:ascii="宋体" w:hAnsi="宋体" w:cs="宋体"/>
          <w:color w:val="auto"/>
          <w:highlight w:val="none"/>
        </w:rPr>
        <w:t>3.4 承包人现场查勘</w:t>
      </w:r>
    </w:p>
    <w:p w14:paraId="5AD8225F">
      <w:pPr>
        <w:spacing w:line="360" w:lineRule="exact"/>
        <w:rPr>
          <w:rFonts w:ascii="宋体" w:hAnsi="宋体" w:cs="宋体"/>
          <w:color w:val="auto"/>
          <w:highlight w:val="none"/>
        </w:rPr>
      </w:pPr>
      <w:r>
        <w:rPr>
          <w:rFonts w:hint="eastAsia" w:ascii="宋体" w:hAnsi="宋体" w:cs="宋体"/>
          <w:color w:val="auto"/>
          <w:highlight w:val="none"/>
        </w:rPr>
        <w:t>3.5 分包</w:t>
      </w:r>
    </w:p>
    <w:p w14:paraId="28D55667">
      <w:pPr>
        <w:spacing w:line="360" w:lineRule="exact"/>
        <w:rPr>
          <w:rFonts w:ascii="宋体" w:hAnsi="宋体" w:cs="宋体"/>
          <w:color w:val="auto"/>
          <w:highlight w:val="none"/>
        </w:rPr>
      </w:pPr>
      <w:r>
        <w:rPr>
          <w:rFonts w:hint="eastAsia" w:ascii="宋体" w:hAnsi="宋体" w:cs="宋体"/>
          <w:color w:val="auto"/>
          <w:highlight w:val="none"/>
        </w:rPr>
        <w:t>3.6 工程照管与成品、半成品保护</w:t>
      </w:r>
    </w:p>
    <w:p w14:paraId="119E5B3B">
      <w:pPr>
        <w:spacing w:line="360" w:lineRule="exact"/>
        <w:rPr>
          <w:rFonts w:ascii="宋体" w:hAnsi="宋体" w:cs="宋体"/>
          <w:color w:val="auto"/>
          <w:highlight w:val="none"/>
        </w:rPr>
      </w:pPr>
      <w:r>
        <w:rPr>
          <w:rFonts w:hint="eastAsia" w:ascii="宋体" w:hAnsi="宋体" w:cs="宋体"/>
          <w:color w:val="auto"/>
          <w:highlight w:val="none"/>
        </w:rPr>
        <w:t>3.7 履约担保</w:t>
      </w:r>
    </w:p>
    <w:p w14:paraId="24228598">
      <w:pPr>
        <w:spacing w:line="360" w:lineRule="exact"/>
        <w:rPr>
          <w:rFonts w:ascii="宋体" w:hAnsi="宋体" w:cs="宋体"/>
          <w:color w:val="auto"/>
          <w:highlight w:val="none"/>
        </w:rPr>
      </w:pPr>
      <w:r>
        <w:rPr>
          <w:rFonts w:hint="eastAsia" w:ascii="宋体" w:hAnsi="宋体" w:cs="宋体"/>
          <w:color w:val="auto"/>
          <w:highlight w:val="none"/>
        </w:rPr>
        <w:t>3.8 联合体</w:t>
      </w:r>
    </w:p>
    <w:p w14:paraId="545831D6">
      <w:pPr>
        <w:spacing w:line="360" w:lineRule="exact"/>
        <w:rPr>
          <w:rFonts w:ascii="宋体" w:hAnsi="宋体" w:cs="宋体"/>
          <w:color w:val="auto"/>
          <w:highlight w:val="none"/>
        </w:rPr>
      </w:pPr>
      <w:r>
        <w:rPr>
          <w:rFonts w:hint="eastAsia" w:ascii="宋体" w:hAnsi="宋体" w:cs="宋体"/>
          <w:color w:val="auto"/>
          <w:highlight w:val="none"/>
        </w:rPr>
        <w:t>4. 监理人</w:t>
      </w:r>
    </w:p>
    <w:p w14:paraId="6DB0A78A">
      <w:pPr>
        <w:spacing w:line="360" w:lineRule="exact"/>
        <w:rPr>
          <w:rFonts w:ascii="宋体" w:hAnsi="宋体" w:cs="宋体"/>
          <w:color w:val="auto"/>
          <w:highlight w:val="none"/>
        </w:rPr>
      </w:pPr>
      <w:r>
        <w:rPr>
          <w:rFonts w:hint="eastAsia" w:ascii="宋体" w:hAnsi="宋体" w:cs="宋体"/>
          <w:color w:val="auto"/>
          <w:highlight w:val="none"/>
        </w:rPr>
        <w:t>4.1 监理人的一般规定</w:t>
      </w:r>
    </w:p>
    <w:p w14:paraId="0BA30C7A">
      <w:pPr>
        <w:spacing w:line="360" w:lineRule="exact"/>
        <w:rPr>
          <w:rFonts w:ascii="宋体" w:hAnsi="宋体" w:cs="宋体"/>
          <w:color w:val="auto"/>
          <w:highlight w:val="none"/>
        </w:rPr>
      </w:pPr>
      <w:r>
        <w:rPr>
          <w:rFonts w:hint="eastAsia" w:ascii="宋体" w:hAnsi="宋体" w:cs="宋体"/>
          <w:color w:val="auto"/>
          <w:highlight w:val="none"/>
        </w:rPr>
        <w:t>4.2 监理人员</w:t>
      </w:r>
    </w:p>
    <w:p w14:paraId="15DBDDF1">
      <w:pPr>
        <w:spacing w:line="360" w:lineRule="exact"/>
        <w:rPr>
          <w:rFonts w:ascii="宋体" w:hAnsi="宋体" w:cs="宋体"/>
          <w:color w:val="auto"/>
          <w:highlight w:val="none"/>
        </w:rPr>
      </w:pPr>
      <w:r>
        <w:rPr>
          <w:rFonts w:hint="eastAsia" w:ascii="宋体" w:hAnsi="宋体" w:cs="宋体"/>
          <w:color w:val="auto"/>
          <w:highlight w:val="none"/>
        </w:rPr>
        <w:t>4.3 监理人的指示</w:t>
      </w:r>
    </w:p>
    <w:p w14:paraId="3D65A0BF">
      <w:pPr>
        <w:spacing w:line="360" w:lineRule="exact"/>
        <w:rPr>
          <w:rFonts w:ascii="宋体" w:hAnsi="宋体" w:cs="宋体"/>
          <w:color w:val="auto"/>
          <w:highlight w:val="none"/>
        </w:rPr>
      </w:pPr>
      <w:r>
        <w:rPr>
          <w:rFonts w:hint="eastAsia" w:ascii="宋体" w:hAnsi="宋体" w:cs="宋体"/>
          <w:color w:val="auto"/>
          <w:highlight w:val="none"/>
        </w:rPr>
        <w:t>4.4 商定或确定</w:t>
      </w:r>
    </w:p>
    <w:p w14:paraId="58B51549">
      <w:pPr>
        <w:spacing w:line="360" w:lineRule="exact"/>
        <w:rPr>
          <w:rFonts w:ascii="宋体" w:hAnsi="宋体" w:cs="宋体"/>
          <w:color w:val="auto"/>
          <w:highlight w:val="none"/>
        </w:rPr>
      </w:pPr>
      <w:r>
        <w:rPr>
          <w:rFonts w:hint="eastAsia" w:ascii="宋体" w:hAnsi="宋体" w:cs="宋体"/>
          <w:color w:val="auto"/>
          <w:highlight w:val="none"/>
        </w:rPr>
        <w:t>5. 工程质量</w:t>
      </w:r>
    </w:p>
    <w:p w14:paraId="48675D1B">
      <w:pPr>
        <w:spacing w:line="360" w:lineRule="exact"/>
        <w:rPr>
          <w:rFonts w:ascii="宋体" w:hAnsi="宋体" w:cs="宋体"/>
          <w:color w:val="auto"/>
          <w:highlight w:val="none"/>
        </w:rPr>
      </w:pPr>
      <w:r>
        <w:rPr>
          <w:rFonts w:hint="eastAsia" w:ascii="宋体" w:hAnsi="宋体" w:cs="宋体"/>
          <w:color w:val="auto"/>
          <w:highlight w:val="none"/>
        </w:rPr>
        <w:t>5.1 质量要求</w:t>
      </w:r>
    </w:p>
    <w:p w14:paraId="500A00CD">
      <w:pPr>
        <w:spacing w:line="360" w:lineRule="exact"/>
        <w:rPr>
          <w:rFonts w:ascii="宋体" w:hAnsi="宋体" w:cs="宋体"/>
          <w:color w:val="auto"/>
          <w:highlight w:val="none"/>
        </w:rPr>
      </w:pPr>
      <w:r>
        <w:rPr>
          <w:rFonts w:hint="eastAsia" w:ascii="宋体" w:hAnsi="宋体" w:cs="宋体"/>
          <w:color w:val="auto"/>
          <w:highlight w:val="none"/>
        </w:rPr>
        <w:t>5.2 质量保证措施</w:t>
      </w:r>
    </w:p>
    <w:p w14:paraId="3E7DE280">
      <w:pPr>
        <w:spacing w:line="360" w:lineRule="exact"/>
        <w:rPr>
          <w:rFonts w:ascii="宋体" w:hAnsi="宋体" w:cs="宋体"/>
          <w:color w:val="auto"/>
          <w:highlight w:val="none"/>
        </w:rPr>
      </w:pPr>
      <w:r>
        <w:rPr>
          <w:rFonts w:hint="eastAsia" w:ascii="宋体" w:hAnsi="宋体" w:cs="宋体"/>
          <w:color w:val="auto"/>
          <w:highlight w:val="none"/>
        </w:rPr>
        <w:t>5.3 隐蔽工程检查</w:t>
      </w:r>
    </w:p>
    <w:p w14:paraId="75A2E7C3">
      <w:pPr>
        <w:spacing w:line="360" w:lineRule="exact"/>
        <w:rPr>
          <w:rFonts w:ascii="宋体" w:hAnsi="宋体" w:cs="宋体"/>
          <w:color w:val="auto"/>
          <w:highlight w:val="none"/>
        </w:rPr>
      </w:pPr>
      <w:r>
        <w:rPr>
          <w:rFonts w:hint="eastAsia" w:ascii="宋体" w:hAnsi="宋体" w:cs="宋体"/>
          <w:color w:val="auto"/>
          <w:highlight w:val="none"/>
        </w:rPr>
        <w:t>5.4 不合格工程的处理</w:t>
      </w:r>
    </w:p>
    <w:p w14:paraId="66F98E45">
      <w:pPr>
        <w:spacing w:line="360" w:lineRule="exact"/>
        <w:rPr>
          <w:rFonts w:ascii="宋体" w:hAnsi="宋体" w:cs="宋体"/>
          <w:color w:val="auto"/>
          <w:highlight w:val="none"/>
        </w:rPr>
      </w:pPr>
      <w:r>
        <w:rPr>
          <w:rFonts w:hint="eastAsia" w:ascii="宋体" w:hAnsi="宋体" w:cs="宋体"/>
          <w:color w:val="auto"/>
          <w:highlight w:val="none"/>
        </w:rPr>
        <w:t>5.5 质量争议检测</w:t>
      </w:r>
    </w:p>
    <w:p w14:paraId="43349BF1">
      <w:pPr>
        <w:spacing w:line="360" w:lineRule="exact"/>
        <w:rPr>
          <w:rFonts w:ascii="宋体" w:hAnsi="宋体" w:cs="宋体"/>
          <w:color w:val="auto"/>
          <w:highlight w:val="none"/>
        </w:rPr>
      </w:pPr>
      <w:r>
        <w:rPr>
          <w:rFonts w:hint="eastAsia" w:ascii="宋体" w:hAnsi="宋体" w:cs="宋体"/>
          <w:color w:val="auto"/>
          <w:highlight w:val="none"/>
        </w:rPr>
        <w:t>6. 安全文明施工与环境保护</w:t>
      </w:r>
    </w:p>
    <w:p w14:paraId="7E20726F">
      <w:pPr>
        <w:spacing w:line="360" w:lineRule="exact"/>
        <w:rPr>
          <w:rFonts w:ascii="宋体" w:hAnsi="宋体" w:cs="宋体"/>
          <w:color w:val="auto"/>
          <w:highlight w:val="none"/>
        </w:rPr>
      </w:pPr>
      <w:r>
        <w:rPr>
          <w:rFonts w:hint="eastAsia" w:ascii="宋体" w:hAnsi="宋体" w:cs="宋体"/>
          <w:color w:val="auto"/>
          <w:highlight w:val="none"/>
        </w:rPr>
        <w:t>6.1 安全文明施工</w:t>
      </w:r>
    </w:p>
    <w:p w14:paraId="5B31434A">
      <w:pPr>
        <w:spacing w:line="360" w:lineRule="exact"/>
        <w:rPr>
          <w:rFonts w:ascii="宋体" w:hAnsi="宋体" w:cs="宋体"/>
          <w:color w:val="auto"/>
          <w:highlight w:val="none"/>
        </w:rPr>
      </w:pPr>
      <w:r>
        <w:rPr>
          <w:rFonts w:hint="eastAsia" w:ascii="宋体" w:hAnsi="宋体" w:cs="宋体"/>
          <w:color w:val="auto"/>
          <w:highlight w:val="none"/>
        </w:rPr>
        <w:t>6.2 职业健康</w:t>
      </w:r>
    </w:p>
    <w:p w14:paraId="0EA37A0D">
      <w:pPr>
        <w:spacing w:line="360" w:lineRule="exact"/>
        <w:rPr>
          <w:rFonts w:ascii="宋体" w:hAnsi="宋体" w:cs="宋体"/>
          <w:color w:val="auto"/>
          <w:highlight w:val="none"/>
        </w:rPr>
      </w:pPr>
      <w:r>
        <w:rPr>
          <w:rFonts w:hint="eastAsia" w:ascii="宋体" w:hAnsi="宋体" w:cs="宋体"/>
          <w:color w:val="auto"/>
          <w:highlight w:val="none"/>
        </w:rPr>
        <w:t>6.3 环境保护</w:t>
      </w:r>
    </w:p>
    <w:p w14:paraId="6268FBFF">
      <w:pPr>
        <w:spacing w:line="360" w:lineRule="exact"/>
        <w:rPr>
          <w:rFonts w:ascii="宋体" w:hAnsi="宋体" w:cs="宋体"/>
          <w:color w:val="auto"/>
          <w:highlight w:val="none"/>
        </w:rPr>
      </w:pPr>
      <w:r>
        <w:rPr>
          <w:rFonts w:hint="eastAsia" w:ascii="宋体" w:hAnsi="宋体" w:cs="宋体"/>
          <w:color w:val="auto"/>
          <w:highlight w:val="none"/>
        </w:rPr>
        <w:t>7. 工期和进度</w:t>
      </w:r>
    </w:p>
    <w:p w14:paraId="2C95AC44">
      <w:pPr>
        <w:spacing w:line="360" w:lineRule="exact"/>
        <w:rPr>
          <w:rFonts w:ascii="宋体" w:hAnsi="宋体" w:cs="宋体"/>
          <w:color w:val="auto"/>
          <w:highlight w:val="none"/>
        </w:rPr>
      </w:pPr>
      <w:r>
        <w:rPr>
          <w:rFonts w:hint="eastAsia" w:ascii="宋体" w:hAnsi="宋体" w:cs="宋体"/>
          <w:color w:val="auto"/>
          <w:highlight w:val="none"/>
        </w:rPr>
        <w:t>7.1 施工组织设计</w:t>
      </w:r>
    </w:p>
    <w:p w14:paraId="6BA2AD84">
      <w:pPr>
        <w:spacing w:line="360" w:lineRule="exact"/>
        <w:rPr>
          <w:rFonts w:ascii="宋体" w:hAnsi="宋体" w:cs="宋体"/>
          <w:color w:val="auto"/>
          <w:highlight w:val="none"/>
        </w:rPr>
      </w:pPr>
      <w:r>
        <w:rPr>
          <w:rFonts w:hint="eastAsia" w:ascii="宋体" w:hAnsi="宋体" w:cs="宋体"/>
          <w:color w:val="auto"/>
          <w:highlight w:val="none"/>
        </w:rPr>
        <w:t>7.2 施工进度计划</w:t>
      </w:r>
    </w:p>
    <w:p w14:paraId="5B93B9D8">
      <w:pPr>
        <w:spacing w:line="360" w:lineRule="exact"/>
        <w:rPr>
          <w:rFonts w:ascii="宋体" w:hAnsi="宋体" w:cs="宋体"/>
          <w:color w:val="auto"/>
          <w:highlight w:val="none"/>
        </w:rPr>
      </w:pPr>
      <w:r>
        <w:rPr>
          <w:rFonts w:hint="eastAsia" w:ascii="宋体" w:hAnsi="宋体" w:cs="宋体"/>
          <w:color w:val="auto"/>
          <w:highlight w:val="none"/>
        </w:rPr>
        <w:t>7.3 开工</w:t>
      </w:r>
    </w:p>
    <w:p w14:paraId="527D999B">
      <w:pPr>
        <w:spacing w:line="360" w:lineRule="exact"/>
        <w:rPr>
          <w:rFonts w:ascii="宋体" w:hAnsi="宋体" w:cs="宋体"/>
          <w:color w:val="auto"/>
          <w:highlight w:val="none"/>
        </w:rPr>
      </w:pPr>
      <w:r>
        <w:rPr>
          <w:rFonts w:hint="eastAsia" w:ascii="宋体" w:hAnsi="宋体" w:cs="宋体"/>
          <w:color w:val="auto"/>
          <w:highlight w:val="none"/>
        </w:rPr>
        <w:t>7.4 测量放线</w:t>
      </w:r>
    </w:p>
    <w:p w14:paraId="0BB2B440">
      <w:pPr>
        <w:spacing w:line="360" w:lineRule="exact"/>
        <w:rPr>
          <w:rFonts w:ascii="宋体" w:hAnsi="宋体" w:cs="宋体"/>
          <w:color w:val="auto"/>
          <w:highlight w:val="none"/>
        </w:rPr>
      </w:pPr>
      <w:r>
        <w:rPr>
          <w:rFonts w:hint="eastAsia" w:ascii="宋体" w:hAnsi="宋体" w:cs="宋体"/>
          <w:color w:val="auto"/>
          <w:highlight w:val="none"/>
        </w:rPr>
        <w:t>7.5 工期延误</w:t>
      </w:r>
    </w:p>
    <w:p w14:paraId="1C12A4BF">
      <w:pPr>
        <w:spacing w:line="360" w:lineRule="exact"/>
        <w:rPr>
          <w:rFonts w:ascii="宋体" w:hAnsi="宋体" w:cs="宋体"/>
          <w:color w:val="auto"/>
          <w:highlight w:val="none"/>
        </w:rPr>
      </w:pPr>
      <w:r>
        <w:rPr>
          <w:rFonts w:hint="eastAsia" w:ascii="宋体" w:hAnsi="宋体" w:cs="宋体"/>
          <w:color w:val="auto"/>
          <w:highlight w:val="none"/>
        </w:rPr>
        <w:t>7.6 不利物质条件</w:t>
      </w:r>
    </w:p>
    <w:p w14:paraId="12CB4AFB">
      <w:pPr>
        <w:spacing w:line="360" w:lineRule="exact"/>
        <w:rPr>
          <w:rFonts w:ascii="宋体" w:hAnsi="宋体" w:cs="宋体"/>
          <w:color w:val="auto"/>
          <w:highlight w:val="none"/>
        </w:rPr>
      </w:pPr>
      <w:r>
        <w:rPr>
          <w:rFonts w:hint="eastAsia" w:ascii="宋体" w:hAnsi="宋体" w:cs="宋体"/>
          <w:color w:val="auto"/>
          <w:highlight w:val="none"/>
        </w:rPr>
        <w:t>7.7 异常恶劣的气候条件</w:t>
      </w:r>
    </w:p>
    <w:p w14:paraId="6C802280">
      <w:pPr>
        <w:spacing w:line="360" w:lineRule="exact"/>
        <w:rPr>
          <w:rFonts w:ascii="宋体" w:hAnsi="宋体" w:cs="宋体"/>
          <w:color w:val="auto"/>
          <w:highlight w:val="none"/>
        </w:rPr>
      </w:pPr>
      <w:r>
        <w:rPr>
          <w:rFonts w:hint="eastAsia" w:ascii="宋体" w:hAnsi="宋体" w:cs="宋体"/>
          <w:color w:val="auto"/>
          <w:highlight w:val="none"/>
        </w:rPr>
        <w:t>7.8 暂停施工</w:t>
      </w:r>
    </w:p>
    <w:p w14:paraId="0B9BDCB9">
      <w:pPr>
        <w:spacing w:line="360" w:lineRule="exact"/>
        <w:rPr>
          <w:rFonts w:ascii="宋体" w:hAnsi="宋体" w:cs="宋体"/>
          <w:color w:val="auto"/>
          <w:highlight w:val="none"/>
        </w:rPr>
      </w:pPr>
      <w:r>
        <w:rPr>
          <w:rFonts w:hint="eastAsia" w:ascii="宋体" w:hAnsi="宋体" w:cs="宋体"/>
          <w:color w:val="auto"/>
          <w:highlight w:val="none"/>
        </w:rPr>
        <w:t>7.9 提前竣工</w:t>
      </w:r>
    </w:p>
    <w:p w14:paraId="58E4FFCC">
      <w:pPr>
        <w:spacing w:line="360" w:lineRule="exact"/>
        <w:rPr>
          <w:rFonts w:ascii="宋体" w:hAnsi="宋体" w:cs="宋体"/>
          <w:color w:val="auto"/>
          <w:highlight w:val="none"/>
        </w:rPr>
      </w:pPr>
      <w:r>
        <w:rPr>
          <w:rFonts w:hint="eastAsia" w:ascii="宋体" w:hAnsi="宋体" w:cs="宋体"/>
          <w:color w:val="auto"/>
          <w:highlight w:val="none"/>
        </w:rPr>
        <w:t>8. 材料与设备</w:t>
      </w:r>
    </w:p>
    <w:p w14:paraId="12525E09">
      <w:pPr>
        <w:spacing w:line="360" w:lineRule="exact"/>
        <w:rPr>
          <w:rFonts w:ascii="宋体" w:hAnsi="宋体" w:cs="宋体"/>
          <w:color w:val="auto"/>
          <w:highlight w:val="none"/>
        </w:rPr>
      </w:pPr>
      <w:r>
        <w:rPr>
          <w:rFonts w:hint="eastAsia" w:ascii="宋体" w:hAnsi="宋体" w:cs="宋体"/>
          <w:color w:val="auto"/>
          <w:highlight w:val="none"/>
        </w:rPr>
        <w:t>8.1 发包人供应材料与工程设备</w:t>
      </w:r>
    </w:p>
    <w:p w14:paraId="4D6C4FD5">
      <w:pPr>
        <w:spacing w:line="360" w:lineRule="exact"/>
        <w:rPr>
          <w:rFonts w:ascii="宋体" w:hAnsi="宋体" w:cs="宋体"/>
          <w:color w:val="auto"/>
          <w:highlight w:val="none"/>
        </w:rPr>
      </w:pPr>
      <w:r>
        <w:rPr>
          <w:rFonts w:hint="eastAsia" w:ascii="宋体" w:hAnsi="宋体" w:cs="宋体"/>
          <w:color w:val="auto"/>
          <w:highlight w:val="none"/>
        </w:rPr>
        <w:t>8.2 承包人采购材料与工程设备</w:t>
      </w:r>
    </w:p>
    <w:p w14:paraId="380C0BA4">
      <w:pPr>
        <w:spacing w:line="360" w:lineRule="exact"/>
        <w:rPr>
          <w:rFonts w:ascii="宋体" w:hAnsi="宋体" w:cs="宋体"/>
          <w:color w:val="auto"/>
          <w:highlight w:val="none"/>
        </w:rPr>
      </w:pPr>
      <w:r>
        <w:rPr>
          <w:rFonts w:hint="eastAsia" w:ascii="宋体" w:hAnsi="宋体" w:cs="宋体"/>
          <w:color w:val="auto"/>
          <w:highlight w:val="none"/>
        </w:rPr>
        <w:t>8.3 材料与工程设备的接收与拒收</w:t>
      </w:r>
    </w:p>
    <w:p w14:paraId="1657A23B">
      <w:pPr>
        <w:spacing w:line="360" w:lineRule="exact"/>
        <w:rPr>
          <w:rFonts w:ascii="宋体" w:hAnsi="宋体" w:cs="宋体"/>
          <w:color w:val="auto"/>
          <w:highlight w:val="none"/>
        </w:rPr>
      </w:pPr>
      <w:r>
        <w:rPr>
          <w:rFonts w:hint="eastAsia" w:ascii="宋体" w:hAnsi="宋体" w:cs="宋体"/>
          <w:color w:val="auto"/>
          <w:highlight w:val="none"/>
        </w:rPr>
        <w:t>8.4 材料与工程设备的保管与使用</w:t>
      </w:r>
    </w:p>
    <w:p w14:paraId="75001D35">
      <w:pPr>
        <w:spacing w:line="360" w:lineRule="exact"/>
        <w:rPr>
          <w:rFonts w:ascii="宋体" w:hAnsi="宋体" w:cs="宋体"/>
          <w:color w:val="auto"/>
          <w:highlight w:val="none"/>
        </w:rPr>
      </w:pPr>
      <w:r>
        <w:rPr>
          <w:rFonts w:hint="eastAsia" w:ascii="宋体" w:hAnsi="宋体" w:cs="宋体"/>
          <w:color w:val="auto"/>
          <w:highlight w:val="none"/>
        </w:rPr>
        <w:t>8.5 禁止使用不合格的材料和工程设备</w:t>
      </w:r>
    </w:p>
    <w:p w14:paraId="724A149B">
      <w:pPr>
        <w:spacing w:line="360" w:lineRule="exact"/>
        <w:rPr>
          <w:rFonts w:ascii="宋体" w:hAnsi="宋体" w:cs="宋体"/>
          <w:color w:val="auto"/>
          <w:highlight w:val="none"/>
        </w:rPr>
      </w:pPr>
      <w:r>
        <w:rPr>
          <w:rFonts w:hint="eastAsia" w:ascii="宋体" w:hAnsi="宋体" w:cs="宋体"/>
          <w:color w:val="auto"/>
          <w:highlight w:val="none"/>
        </w:rPr>
        <w:t>8.6 样品</w:t>
      </w:r>
    </w:p>
    <w:p w14:paraId="2F0177D9">
      <w:pPr>
        <w:spacing w:line="360" w:lineRule="exact"/>
        <w:rPr>
          <w:rFonts w:ascii="宋体" w:hAnsi="宋体" w:cs="宋体"/>
          <w:color w:val="auto"/>
          <w:highlight w:val="none"/>
        </w:rPr>
      </w:pPr>
      <w:r>
        <w:rPr>
          <w:rFonts w:hint="eastAsia" w:ascii="宋体" w:hAnsi="宋体" w:cs="宋体"/>
          <w:color w:val="auto"/>
          <w:highlight w:val="none"/>
        </w:rPr>
        <w:t>8.7 材料与工程设备的替代</w:t>
      </w:r>
    </w:p>
    <w:p w14:paraId="7D25B5CF">
      <w:pPr>
        <w:spacing w:line="360" w:lineRule="exact"/>
        <w:rPr>
          <w:rFonts w:ascii="宋体" w:hAnsi="宋体" w:cs="宋体"/>
          <w:color w:val="auto"/>
          <w:highlight w:val="none"/>
        </w:rPr>
      </w:pPr>
      <w:r>
        <w:rPr>
          <w:rFonts w:hint="eastAsia" w:ascii="宋体" w:hAnsi="宋体" w:cs="宋体"/>
          <w:color w:val="auto"/>
          <w:highlight w:val="none"/>
        </w:rPr>
        <w:t>8.8 施工设备和临时设施</w:t>
      </w:r>
    </w:p>
    <w:p w14:paraId="4E27214A">
      <w:pPr>
        <w:spacing w:line="360" w:lineRule="exact"/>
        <w:rPr>
          <w:rFonts w:ascii="宋体" w:hAnsi="宋体" w:cs="宋体"/>
          <w:color w:val="auto"/>
          <w:highlight w:val="none"/>
        </w:rPr>
      </w:pPr>
      <w:r>
        <w:rPr>
          <w:rFonts w:hint="eastAsia" w:ascii="宋体" w:hAnsi="宋体" w:cs="宋体"/>
          <w:color w:val="auto"/>
          <w:highlight w:val="none"/>
        </w:rPr>
        <w:t>8.9 材料与设备专用要求</w:t>
      </w:r>
    </w:p>
    <w:p w14:paraId="0261C615">
      <w:pPr>
        <w:spacing w:line="360" w:lineRule="exact"/>
        <w:rPr>
          <w:rFonts w:ascii="宋体" w:hAnsi="宋体" w:cs="宋体"/>
          <w:color w:val="auto"/>
          <w:highlight w:val="none"/>
        </w:rPr>
      </w:pPr>
      <w:r>
        <w:rPr>
          <w:rFonts w:hint="eastAsia" w:ascii="宋体" w:hAnsi="宋体" w:cs="宋体"/>
          <w:color w:val="auto"/>
          <w:highlight w:val="none"/>
        </w:rPr>
        <w:t>9. 试验与检验</w:t>
      </w:r>
    </w:p>
    <w:p w14:paraId="3046F371">
      <w:pPr>
        <w:spacing w:line="360" w:lineRule="exact"/>
        <w:rPr>
          <w:rFonts w:ascii="宋体" w:hAnsi="宋体" w:cs="宋体"/>
          <w:color w:val="auto"/>
          <w:highlight w:val="none"/>
        </w:rPr>
      </w:pPr>
      <w:r>
        <w:rPr>
          <w:rFonts w:hint="eastAsia" w:ascii="宋体" w:hAnsi="宋体" w:cs="宋体"/>
          <w:color w:val="auto"/>
          <w:highlight w:val="none"/>
        </w:rPr>
        <w:t>9.1 试验设备与试验人员</w:t>
      </w:r>
    </w:p>
    <w:p w14:paraId="7CBAD74B">
      <w:pPr>
        <w:spacing w:line="360" w:lineRule="exact"/>
        <w:rPr>
          <w:rFonts w:ascii="宋体" w:hAnsi="宋体" w:cs="宋体"/>
          <w:color w:val="auto"/>
          <w:highlight w:val="none"/>
        </w:rPr>
      </w:pPr>
      <w:r>
        <w:rPr>
          <w:rFonts w:hint="eastAsia" w:ascii="宋体" w:hAnsi="宋体" w:cs="宋体"/>
          <w:color w:val="auto"/>
          <w:highlight w:val="none"/>
        </w:rPr>
        <w:t>9.2 取样</w:t>
      </w:r>
    </w:p>
    <w:p w14:paraId="4654FCE0">
      <w:pPr>
        <w:spacing w:line="360" w:lineRule="exact"/>
        <w:rPr>
          <w:rFonts w:ascii="宋体" w:hAnsi="宋体" w:cs="宋体"/>
          <w:color w:val="auto"/>
          <w:highlight w:val="none"/>
        </w:rPr>
      </w:pPr>
      <w:r>
        <w:rPr>
          <w:rFonts w:hint="eastAsia" w:ascii="宋体" w:hAnsi="宋体" w:cs="宋体"/>
          <w:color w:val="auto"/>
          <w:highlight w:val="none"/>
        </w:rPr>
        <w:t>9.3 材料、工程设备和工程的试验和检验</w:t>
      </w:r>
    </w:p>
    <w:p w14:paraId="512AE0CA">
      <w:pPr>
        <w:spacing w:line="360" w:lineRule="exact"/>
        <w:rPr>
          <w:rFonts w:ascii="宋体" w:hAnsi="宋体" w:cs="宋体"/>
          <w:color w:val="auto"/>
          <w:highlight w:val="none"/>
        </w:rPr>
      </w:pPr>
      <w:r>
        <w:rPr>
          <w:rFonts w:hint="eastAsia" w:ascii="宋体" w:hAnsi="宋体" w:cs="宋体"/>
          <w:color w:val="auto"/>
          <w:highlight w:val="none"/>
        </w:rPr>
        <w:t>9.4 现场工艺试验</w:t>
      </w:r>
    </w:p>
    <w:p w14:paraId="0F9E327D">
      <w:pPr>
        <w:spacing w:line="360" w:lineRule="exact"/>
        <w:rPr>
          <w:rFonts w:ascii="宋体" w:hAnsi="宋体" w:cs="宋体"/>
          <w:color w:val="auto"/>
          <w:highlight w:val="none"/>
        </w:rPr>
      </w:pPr>
      <w:r>
        <w:rPr>
          <w:rFonts w:hint="eastAsia" w:ascii="宋体" w:hAnsi="宋体" w:cs="宋体"/>
          <w:color w:val="auto"/>
          <w:highlight w:val="none"/>
        </w:rPr>
        <w:t>10. 变更</w:t>
      </w:r>
    </w:p>
    <w:p w14:paraId="35A0846D">
      <w:pPr>
        <w:spacing w:line="360" w:lineRule="exact"/>
        <w:rPr>
          <w:rFonts w:ascii="宋体" w:hAnsi="宋体" w:cs="宋体"/>
          <w:color w:val="auto"/>
          <w:highlight w:val="none"/>
        </w:rPr>
      </w:pPr>
      <w:r>
        <w:rPr>
          <w:rFonts w:hint="eastAsia" w:ascii="宋体" w:hAnsi="宋体" w:cs="宋体"/>
          <w:color w:val="auto"/>
          <w:highlight w:val="none"/>
        </w:rPr>
        <w:t>10.1 变更的范围</w:t>
      </w:r>
    </w:p>
    <w:p w14:paraId="3CE7AF8C">
      <w:pPr>
        <w:spacing w:line="360" w:lineRule="exact"/>
        <w:rPr>
          <w:rFonts w:ascii="宋体" w:hAnsi="宋体" w:cs="宋体"/>
          <w:color w:val="auto"/>
          <w:highlight w:val="none"/>
        </w:rPr>
      </w:pPr>
      <w:r>
        <w:rPr>
          <w:rFonts w:hint="eastAsia" w:ascii="宋体" w:hAnsi="宋体" w:cs="宋体"/>
          <w:color w:val="auto"/>
          <w:highlight w:val="none"/>
        </w:rPr>
        <w:t>10.2 变更权</w:t>
      </w:r>
    </w:p>
    <w:p w14:paraId="3C2F9AA6">
      <w:pPr>
        <w:spacing w:line="360" w:lineRule="exact"/>
        <w:rPr>
          <w:rFonts w:ascii="宋体" w:hAnsi="宋体" w:cs="宋体"/>
          <w:color w:val="auto"/>
          <w:highlight w:val="none"/>
        </w:rPr>
      </w:pPr>
      <w:r>
        <w:rPr>
          <w:rFonts w:hint="eastAsia" w:ascii="宋体" w:hAnsi="宋体" w:cs="宋体"/>
          <w:color w:val="auto"/>
          <w:highlight w:val="none"/>
        </w:rPr>
        <w:t>10.3 变更程序</w:t>
      </w:r>
    </w:p>
    <w:p w14:paraId="403C5B5F">
      <w:pPr>
        <w:spacing w:line="360" w:lineRule="exact"/>
        <w:rPr>
          <w:rFonts w:ascii="宋体" w:hAnsi="宋体" w:cs="宋体"/>
          <w:color w:val="auto"/>
          <w:highlight w:val="none"/>
        </w:rPr>
      </w:pPr>
      <w:r>
        <w:rPr>
          <w:rFonts w:hint="eastAsia" w:ascii="宋体" w:hAnsi="宋体" w:cs="宋体"/>
          <w:color w:val="auto"/>
          <w:highlight w:val="none"/>
        </w:rPr>
        <w:t>10.4 变更估价</w:t>
      </w:r>
    </w:p>
    <w:p w14:paraId="7D2BD9CE">
      <w:pPr>
        <w:spacing w:line="360" w:lineRule="exact"/>
        <w:rPr>
          <w:rFonts w:ascii="宋体" w:hAnsi="宋体" w:cs="宋体"/>
          <w:color w:val="auto"/>
          <w:highlight w:val="none"/>
        </w:rPr>
      </w:pPr>
      <w:r>
        <w:rPr>
          <w:rFonts w:hint="eastAsia" w:ascii="宋体" w:hAnsi="宋体" w:cs="宋体"/>
          <w:color w:val="auto"/>
          <w:highlight w:val="none"/>
        </w:rPr>
        <w:t>10.5 承包人的合理化建议</w:t>
      </w:r>
    </w:p>
    <w:p w14:paraId="0CC4A8C6">
      <w:pPr>
        <w:spacing w:line="360" w:lineRule="exact"/>
        <w:rPr>
          <w:rFonts w:ascii="宋体" w:hAnsi="宋体" w:cs="宋体"/>
          <w:color w:val="auto"/>
          <w:highlight w:val="none"/>
        </w:rPr>
      </w:pPr>
      <w:r>
        <w:rPr>
          <w:rFonts w:hint="eastAsia" w:ascii="宋体" w:hAnsi="宋体" w:cs="宋体"/>
          <w:color w:val="auto"/>
          <w:highlight w:val="none"/>
        </w:rPr>
        <w:t>10.6 变更引起的工期调整</w:t>
      </w:r>
    </w:p>
    <w:p w14:paraId="340F5490">
      <w:pPr>
        <w:spacing w:line="360" w:lineRule="exact"/>
        <w:rPr>
          <w:rFonts w:ascii="宋体" w:hAnsi="宋体" w:cs="宋体"/>
          <w:color w:val="auto"/>
          <w:highlight w:val="none"/>
        </w:rPr>
      </w:pPr>
      <w:r>
        <w:rPr>
          <w:rFonts w:hint="eastAsia" w:ascii="宋体" w:hAnsi="宋体" w:cs="宋体"/>
          <w:color w:val="auto"/>
          <w:highlight w:val="none"/>
        </w:rPr>
        <w:t>10.7 暂估价</w:t>
      </w:r>
    </w:p>
    <w:p w14:paraId="12B9A24F">
      <w:pPr>
        <w:spacing w:line="360" w:lineRule="exact"/>
        <w:rPr>
          <w:rFonts w:ascii="宋体" w:hAnsi="宋体" w:cs="宋体"/>
          <w:color w:val="auto"/>
          <w:highlight w:val="none"/>
        </w:rPr>
      </w:pPr>
      <w:r>
        <w:rPr>
          <w:rFonts w:hint="eastAsia" w:ascii="宋体" w:hAnsi="宋体" w:cs="宋体"/>
          <w:color w:val="auto"/>
          <w:highlight w:val="none"/>
        </w:rPr>
        <w:t>10.8 暂列金额</w:t>
      </w:r>
    </w:p>
    <w:p w14:paraId="19CB37A5">
      <w:pPr>
        <w:spacing w:line="360" w:lineRule="exact"/>
        <w:rPr>
          <w:rFonts w:ascii="宋体" w:hAnsi="宋体" w:cs="宋体"/>
          <w:color w:val="auto"/>
          <w:highlight w:val="none"/>
        </w:rPr>
      </w:pPr>
      <w:r>
        <w:rPr>
          <w:rFonts w:hint="eastAsia" w:ascii="宋体" w:hAnsi="宋体" w:cs="宋体"/>
          <w:color w:val="auto"/>
          <w:highlight w:val="none"/>
        </w:rPr>
        <w:t>10.9 计日工</w:t>
      </w:r>
    </w:p>
    <w:p w14:paraId="0F5808B9">
      <w:pPr>
        <w:spacing w:line="360" w:lineRule="exact"/>
        <w:rPr>
          <w:rFonts w:ascii="宋体" w:hAnsi="宋体" w:cs="宋体"/>
          <w:color w:val="auto"/>
          <w:highlight w:val="none"/>
        </w:rPr>
      </w:pPr>
      <w:r>
        <w:rPr>
          <w:rFonts w:hint="eastAsia" w:ascii="宋体" w:hAnsi="宋体" w:cs="宋体"/>
          <w:color w:val="auto"/>
          <w:highlight w:val="none"/>
        </w:rPr>
        <w:t>11. 价格调整</w:t>
      </w:r>
    </w:p>
    <w:p w14:paraId="091AEBF1">
      <w:pPr>
        <w:spacing w:line="360" w:lineRule="exact"/>
        <w:rPr>
          <w:rFonts w:ascii="宋体" w:hAnsi="宋体" w:cs="宋体"/>
          <w:color w:val="auto"/>
          <w:highlight w:val="none"/>
        </w:rPr>
      </w:pPr>
      <w:r>
        <w:rPr>
          <w:rFonts w:hint="eastAsia" w:ascii="宋体" w:hAnsi="宋体" w:cs="宋体"/>
          <w:color w:val="auto"/>
          <w:highlight w:val="none"/>
        </w:rPr>
        <w:t>11.1 市场价格波动引起的调整</w:t>
      </w:r>
    </w:p>
    <w:p w14:paraId="47E5F084">
      <w:pPr>
        <w:spacing w:line="360" w:lineRule="exact"/>
        <w:rPr>
          <w:rFonts w:ascii="宋体" w:hAnsi="宋体" w:cs="宋体"/>
          <w:color w:val="auto"/>
          <w:highlight w:val="none"/>
        </w:rPr>
      </w:pPr>
      <w:r>
        <w:rPr>
          <w:rFonts w:hint="eastAsia" w:ascii="宋体" w:hAnsi="宋体" w:cs="宋体"/>
          <w:color w:val="auto"/>
          <w:highlight w:val="none"/>
        </w:rPr>
        <w:t>11.2 法律变化引起的调整</w:t>
      </w:r>
    </w:p>
    <w:p w14:paraId="6988E550">
      <w:pPr>
        <w:spacing w:line="360" w:lineRule="exact"/>
        <w:rPr>
          <w:rFonts w:ascii="宋体" w:hAnsi="宋体" w:cs="宋体"/>
          <w:color w:val="auto"/>
          <w:highlight w:val="none"/>
        </w:rPr>
      </w:pPr>
      <w:r>
        <w:rPr>
          <w:rFonts w:hint="eastAsia" w:ascii="宋体" w:hAnsi="宋体" w:cs="宋体"/>
          <w:color w:val="auto"/>
          <w:highlight w:val="none"/>
        </w:rPr>
        <w:t>12. 合同价格、计量与支付</w:t>
      </w:r>
    </w:p>
    <w:p w14:paraId="154E5F78">
      <w:pPr>
        <w:spacing w:line="360" w:lineRule="exact"/>
        <w:rPr>
          <w:rFonts w:ascii="宋体" w:hAnsi="宋体" w:cs="宋体"/>
          <w:color w:val="auto"/>
          <w:highlight w:val="none"/>
        </w:rPr>
      </w:pPr>
      <w:r>
        <w:rPr>
          <w:rFonts w:hint="eastAsia" w:ascii="宋体" w:hAnsi="宋体" w:cs="宋体"/>
          <w:color w:val="auto"/>
          <w:highlight w:val="none"/>
        </w:rPr>
        <w:t>12.1 合同价格形式</w:t>
      </w:r>
    </w:p>
    <w:p w14:paraId="3A329394">
      <w:pPr>
        <w:spacing w:line="360" w:lineRule="exact"/>
        <w:rPr>
          <w:rFonts w:ascii="宋体" w:hAnsi="宋体" w:cs="宋体"/>
          <w:color w:val="auto"/>
          <w:highlight w:val="none"/>
        </w:rPr>
      </w:pPr>
      <w:r>
        <w:rPr>
          <w:rFonts w:hint="eastAsia" w:ascii="宋体" w:hAnsi="宋体" w:cs="宋体"/>
          <w:color w:val="auto"/>
          <w:highlight w:val="none"/>
        </w:rPr>
        <w:t>12.2 预付款</w:t>
      </w:r>
    </w:p>
    <w:p w14:paraId="204D77D1">
      <w:pPr>
        <w:spacing w:line="360" w:lineRule="exact"/>
        <w:rPr>
          <w:rFonts w:ascii="宋体" w:hAnsi="宋体" w:cs="宋体"/>
          <w:color w:val="auto"/>
          <w:highlight w:val="none"/>
        </w:rPr>
      </w:pPr>
      <w:r>
        <w:rPr>
          <w:rFonts w:hint="eastAsia" w:ascii="宋体" w:hAnsi="宋体" w:cs="宋体"/>
          <w:color w:val="auto"/>
          <w:highlight w:val="none"/>
        </w:rPr>
        <w:t>12.3 计量</w:t>
      </w:r>
    </w:p>
    <w:p w14:paraId="01FF0403">
      <w:pPr>
        <w:spacing w:line="360" w:lineRule="exact"/>
        <w:rPr>
          <w:rFonts w:ascii="宋体" w:hAnsi="宋体" w:cs="宋体"/>
          <w:color w:val="auto"/>
          <w:highlight w:val="none"/>
        </w:rPr>
      </w:pPr>
      <w:r>
        <w:rPr>
          <w:rFonts w:hint="eastAsia" w:ascii="宋体" w:hAnsi="宋体" w:cs="宋体"/>
          <w:color w:val="auto"/>
          <w:highlight w:val="none"/>
        </w:rPr>
        <w:t>12.4 工程进度款支付</w:t>
      </w:r>
    </w:p>
    <w:p w14:paraId="63099882">
      <w:pPr>
        <w:spacing w:line="360" w:lineRule="exact"/>
        <w:rPr>
          <w:rFonts w:ascii="宋体" w:hAnsi="宋体" w:cs="宋体"/>
          <w:color w:val="auto"/>
          <w:highlight w:val="none"/>
        </w:rPr>
      </w:pPr>
      <w:r>
        <w:rPr>
          <w:rFonts w:hint="eastAsia" w:ascii="宋体" w:hAnsi="宋体" w:cs="宋体"/>
          <w:color w:val="auto"/>
          <w:highlight w:val="none"/>
        </w:rPr>
        <w:t>12.5 支付账户</w:t>
      </w:r>
    </w:p>
    <w:p w14:paraId="3468BC1C">
      <w:pPr>
        <w:spacing w:line="360" w:lineRule="exact"/>
        <w:rPr>
          <w:rFonts w:ascii="宋体" w:hAnsi="宋体" w:cs="宋体"/>
          <w:color w:val="auto"/>
          <w:highlight w:val="none"/>
        </w:rPr>
      </w:pPr>
      <w:r>
        <w:rPr>
          <w:rFonts w:hint="eastAsia" w:ascii="宋体" w:hAnsi="宋体" w:cs="宋体"/>
          <w:color w:val="auto"/>
          <w:highlight w:val="none"/>
        </w:rPr>
        <w:t>13. 验收和工程试车</w:t>
      </w:r>
    </w:p>
    <w:p w14:paraId="0BFB9ED2">
      <w:pPr>
        <w:spacing w:line="360" w:lineRule="exact"/>
        <w:rPr>
          <w:rFonts w:ascii="宋体" w:hAnsi="宋体" w:cs="宋体"/>
          <w:color w:val="auto"/>
          <w:highlight w:val="none"/>
        </w:rPr>
      </w:pPr>
      <w:r>
        <w:rPr>
          <w:rFonts w:hint="eastAsia" w:ascii="宋体" w:hAnsi="宋体" w:cs="宋体"/>
          <w:color w:val="auto"/>
          <w:highlight w:val="none"/>
        </w:rPr>
        <w:t>13.1 分部分项工程验收</w:t>
      </w:r>
    </w:p>
    <w:p w14:paraId="54A6EE25">
      <w:pPr>
        <w:spacing w:line="360" w:lineRule="exact"/>
        <w:rPr>
          <w:rFonts w:ascii="宋体" w:hAnsi="宋体" w:cs="宋体"/>
          <w:color w:val="auto"/>
          <w:highlight w:val="none"/>
        </w:rPr>
      </w:pPr>
      <w:r>
        <w:rPr>
          <w:rFonts w:hint="eastAsia" w:ascii="宋体" w:hAnsi="宋体" w:cs="宋体"/>
          <w:color w:val="auto"/>
          <w:highlight w:val="none"/>
        </w:rPr>
        <w:t>13.2 竣工验收</w:t>
      </w:r>
    </w:p>
    <w:p w14:paraId="4E0A938C">
      <w:pPr>
        <w:spacing w:line="360" w:lineRule="exact"/>
        <w:rPr>
          <w:rFonts w:ascii="宋体" w:hAnsi="宋体" w:cs="宋体"/>
          <w:color w:val="auto"/>
          <w:highlight w:val="none"/>
        </w:rPr>
      </w:pPr>
      <w:r>
        <w:rPr>
          <w:rFonts w:hint="eastAsia" w:ascii="宋体" w:hAnsi="宋体" w:cs="宋体"/>
          <w:color w:val="auto"/>
          <w:highlight w:val="none"/>
        </w:rPr>
        <w:t>13.3 工程试车</w:t>
      </w:r>
    </w:p>
    <w:p w14:paraId="5626DDE6">
      <w:pPr>
        <w:spacing w:line="360" w:lineRule="exact"/>
        <w:rPr>
          <w:rFonts w:ascii="宋体" w:hAnsi="宋体" w:cs="宋体"/>
          <w:color w:val="auto"/>
          <w:highlight w:val="none"/>
        </w:rPr>
      </w:pPr>
      <w:r>
        <w:rPr>
          <w:rFonts w:hint="eastAsia" w:ascii="宋体" w:hAnsi="宋体" w:cs="宋体"/>
          <w:color w:val="auto"/>
          <w:highlight w:val="none"/>
        </w:rPr>
        <w:t>13.4 提前交付单位工程的验收</w:t>
      </w:r>
    </w:p>
    <w:p w14:paraId="06037554">
      <w:pPr>
        <w:spacing w:line="360" w:lineRule="exact"/>
        <w:rPr>
          <w:rFonts w:ascii="宋体" w:hAnsi="宋体" w:cs="宋体"/>
          <w:color w:val="auto"/>
          <w:highlight w:val="none"/>
        </w:rPr>
      </w:pPr>
      <w:r>
        <w:rPr>
          <w:rFonts w:hint="eastAsia" w:ascii="宋体" w:hAnsi="宋体" w:cs="宋体"/>
          <w:color w:val="auto"/>
          <w:highlight w:val="none"/>
        </w:rPr>
        <w:t>13.5 施工期运行</w:t>
      </w:r>
    </w:p>
    <w:p w14:paraId="73AB41D7">
      <w:pPr>
        <w:spacing w:line="360" w:lineRule="exact"/>
        <w:rPr>
          <w:rFonts w:ascii="宋体" w:hAnsi="宋体" w:cs="宋体"/>
          <w:color w:val="auto"/>
          <w:highlight w:val="none"/>
        </w:rPr>
      </w:pPr>
      <w:r>
        <w:rPr>
          <w:rFonts w:hint="eastAsia" w:ascii="宋体" w:hAnsi="宋体" w:cs="宋体"/>
          <w:color w:val="auto"/>
          <w:highlight w:val="none"/>
        </w:rPr>
        <w:t>13.6 竣工退场</w:t>
      </w:r>
    </w:p>
    <w:p w14:paraId="4933698F">
      <w:pPr>
        <w:spacing w:line="360" w:lineRule="exact"/>
        <w:rPr>
          <w:rFonts w:ascii="宋体" w:hAnsi="宋体" w:cs="宋体"/>
          <w:color w:val="auto"/>
          <w:highlight w:val="none"/>
        </w:rPr>
      </w:pPr>
      <w:r>
        <w:rPr>
          <w:rFonts w:hint="eastAsia" w:ascii="宋体" w:hAnsi="宋体" w:cs="宋体"/>
          <w:color w:val="auto"/>
          <w:highlight w:val="none"/>
        </w:rPr>
        <w:t>14. 竣工结算</w:t>
      </w:r>
    </w:p>
    <w:p w14:paraId="5469473B">
      <w:pPr>
        <w:spacing w:line="360" w:lineRule="exact"/>
        <w:rPr>
          <w:rFonts w:ascii="宋体" w:hAnsi="宋体" w:cs="宋体"/>
          <w:color w:val="auto"/>
          <w:highlight w:val="none"/>
        </w:rPr>
      </w:pPr>
      <w:r>
        <w:rPr>
          <w:rFonts w:hint="eastAsia" w:ascii="宋体" w:hAnsi="宋体" w:cs="宋体"/>
          <w:color w:val="auto"/>
          <w:highlight w:val="none"/>
        </w:rPr>
        <w:t>14.1 竣工结算申请</w:t>
      </w:r>
    </w:p>
    <w:p w14:paraId="54814C04">
      <w:pPr>
        <w:spacing w:line="360" w:lineRule="exact"/>
        <w:rPr>
          <w:rFonts w:ascii="宋体" w:hAnsi="宋体" w:cs="宋体"/>
          <w:color w:val="auto"/>
          <w:highlight w:val="none"/>
        </w:rPr>
      </w:pPr>
      <w:r>
        <w:rPr>
          <w:rFonts w:hint="eastAsia" w:ascii="宋体" w:hAnsi="宋体" w:cs="宋体"/>
          <w:color w:val="auto"/>
          <w:highlight w:val="none"/>
        </w:rPr>
        <w:t>14.2 竣工结算审核</w:t>
      </w:r>
    </w:p>
    <w:p w14:paraId="76707DC4">
      <w:pPr>
        <w:spacing w:line="360" w:lineRule="exact"/>
        <w:rPr>
          <w:rFonts w:ascii="宋体" w:hAnsi="宋体" w:cs="宋体"/>
          <w:color w:val="auto"/>
          <w:highlight w:val="none"/>
        </w:rPr>
      </w:pPr>
      <w:r>
        <w:rPr>
          <w:rFonts w:hint="eastAsia" w:ascii="宋体" w:hAnsi="宋体" w:cs="宋体"/>
          <w:color w:val="auto"/>
          <w:highlight w:val="none"/>
        </w:rPr>
        <w:t>14.3 甩项竣工协议</w:t>
      </w:r>
    </w:p>
    <w:p w14:paraId="4BE191EC">
      <w:pPr>
        <w:spacing w:line="360" w:lineRule="exact"/>
        <w:rPr>
          <w:rFonts w:ascii="宋体" w:hAnsi="宋体" w:cs="宋体"/>
          <w:color w:val="auto"/>
          <w:highlight w:val="none"/>
        </w:rPr>
      </w:pPr>
      <w:r>
        <w:rPr>
          <w:rFonts w:hint="eastAsia" w:ascii="宋体" w:hAnsi="宋体" w:cs="宋体"/>
          <w:color w:val="auto"/>
          <w:highlight w:val="none"/>
        </w:rPr>
        <w:t>14.4 最终结清</w:t>
      </w:r>
    </w:p>
    <w:p w14:paraId="31471289">
      <w:pPr>
        <w:spacing w:line="360" w:lineRule="exact"/>
        <w:rPr>
          <w:rFonts w:ascii="宋体" w:hAnsi="宋体" w:cs="宋体"/>
          <w:color w:val="auto"/>
          <w:highlight w:val="none"/>
        </w:rPr>
      </w:pPr>
      <w:r>
        <w:rPr>
          <w:rFonts w:hint="eastAsia" w:ascii="宋体" w:hAnsi="宋体" w:cs="宋体"/>
          <w:color w:val="auto"/>
          <w:highlight w:val="none"/>
        </w:rPr>
        <w:t>15. 缺陷责任与保修</w:t>
      </w:r>
    </w:p>
    <w:p w14:paraId="0BABC938">
      <w:pPr>
        <w:spacing w:line="360" w:lineRule="exact"/>
        <w:rPr>
          <w:rFonts w:ascii="宋体" w:hAnsi="宋体" w:cs="宋体"/>
          <w:color w:val="auto"/>
          <w:highlight w:val="none"/>
        </w:rPr>
      </w:pPr>
      <w:r>
        <w:rPr>
          <w:rFonts w:hint="eastAsia" w:ascii="宋体" w:hAnsi="宋体" w:cs="宋体"/>
          <w:color w:val="auto"/>
          <w:highlight w:val="none"/>
        </w:rPr>
        <w:t>15.1 工程保修的原则</w:t>
      </w:r>
    </w:p>
    <w:p w14:paraId="53A6BA26">
      <w:pPr>
        <w:spacing w:line="360" w:lineRule="exact"/>
        <w:rPr>
          <w:rFonts w:ascii="宋体" w:hAnsi="宋体" w:cs="宋体"/>
          <w:color w:val="auto"/>
          <w:highlight w:val="none"/>
        </w:rPr>
      </w:pPr>
      <w:r>
        <w:rPr>
          <w:rFonts w:hint="eastAsia" w:ascii="宋体" w:hAnsi="宋体" w:cs="宋体"/>
          <w:color w:val="auto"/>
          <w:highlight w:val="none"/>
        </w:rPr>
        <w:t>15.2 缺陷责任期</w:t>
      </w:r>
    </w:p>
    <w:p w14:paraId="4ED9EE23">
      <w:pPr>
        <w:spacing w:line="360" w:lineRule="exact"/>
        <w:rPr>
          <w:rFonts w:ascii="宋体" w:hAnsi="宋体" w:cs="宋体"/>
          <w:color w:val="auto"/>
          <w:highlight w:val="none"/>
        </w:rPr>
      </w:pPr>
      <w:r>
        <w:rPr>
          <w:rFonts w:hint="eastAsia" w:ascii="宋体" w:hAnsi="宋体" w:cs="宋体"/>
          <w:color w:val="auto"/>
          <w:highlight w:val="none"/>
        </w:rPr>
        <w:t>15.3 质量保证金</w:t>
      </w:r>
    </w:p>
    <w:p w14:paraId="42A4379E">
      <w:pPr>
        <w:spacing w:line="360" w:lineRule="exact"/>
        <w:rPr>
          <w:rFonts w:ascii="宋体" w:hAnsi="宋体" w:cs="宋体"/>
          <w:color w:val="auto"/>
          <w:highlight w:val="none"/>
        </w:rPr>
      </w:pPr>
      <w:r>
        <w:rPr>
          <w:rFonts w:hint="eastAsia" w:ascii="宋体" w:hAnsi="宋体" w:cs="宋体"/>
          <w:color w:val="auto"/>
          <w:highlight w:val="none"/>
        </w:rPr>
        <w:t>15.4 保修</w:t>
      </w:r>
    </w:p>
    <w:p w14:paraId="22C8613A">
      <w:pPr>
        <w:spacing w:line="360" w:lineRule="exact"/>
        <w:rPr>
          <w:rFonts w:ascii="宋体" w:hAnsi="宋体" w:cs="宋体"/>
          <w:color w:val="auto"/>
          <w:highlight w:val="none"/>
        </w:rPr>
      </w:pPr>
      <w:r>
        <w:rPr>
          <w:rFonts w:hint="eastAsia" w:ascii="宋体" w:hAnsi="宋体" w:cs="宋体"/>
          <w:color w:val="auto"/>
          <w:highlight w:val="none"/>
        </w:rPr>
        <w:t>16. 违约</w:t>
      </w:r>
    </w:p>
    <w:p w14:paraId="010DB75C">
      <w:pPr>
        <w:spacing w:line="360" w:lineRule="exact"/>
        <w:rPr>
          <w:rFonts w:ascii="宋体" w:hAnsi="宋体" w:cs="宋体"/>
          <w:color w:val="auto"/>
          <w:highlight w:val="none"/>
        </w:rPr>
      </w:pPr>
      <w:r>
        <w:rPr>
          <w:rFonts w:hint="eastAsia" w:ascii="宋体" w:hAnsi="宋体" w:cs="宋体"/>
          <w:color w:val="auto"/>
          <w:highlight w:val="none"/>
        </w:rPr>
        <w:t>16.1 发包人违约</w:t>
      </w:r>
    </w:p>
    <w:p w14:paraId="01480784">
      <w:pPr>
        <w:spacing w:line="360" w:lineRule="exact"/>
        <w:rPr>
          <w:rFonts w:ascii="宋体" w:hAnsi="宋体" w:cs="宋体"/>
          <w:color w:val="auto"/>
          <w:highlight w:val="none"/>
        </w:rPr>
      </w:pPr>
      <w:r>
        <w:rPr>
          <w:rFonts w:hint="eastAsia" w:ascii="宋体" w:hAnsi="宋体" w:cs="宋体"/>
          <w:color w:val="auto"/>
          <w:highlight w:val="none"/>
        </w:rPr>
        <w:t>16.2 承包人违约</w:t>
      </w:r>
    </w:p>
    <w:p w14:paraId="61EAFB80">
      <w:pPr>
        <w:spacing w:line="360" w:lineRule="exact"/>
        <w:rPr>
          <w:rFonts w:ascii="宋体" w:hAnsi="宋体" w:cs="宋体"/>
          <w:color w:val="auto"/>
          <w:highlight w:val="none"/>
        </w:rPr>
      </w:pPr>
      <w:r>
        <w:rPr>
          <w:rFonts w:hint="eastAsia" w:ascii="宋体" w:hAnsi="宋体" w:cs="宋体"/>
          <w:color w:val="auto"/>
          <w:highlight w:val="none"/>
        </w:rPr>
        <w:t>16.3 第三人造成的违约</w:t>
      </w:r>
    </w:p>
    <w:p w14:paraId="080B679C">
      <w:pPr>
        <w:spacing w:line="360" w:lineRule="exact"/>
        <w:rPr>
          <w:rFonts w:ascii="宋体" w:hAnsi="宋体" w:cs="宋体"/>
          <w:color w:val="auto"/>
          <w:highlight w:val="none"/>
        </w:rPr>
      </w:pPr>
      <w:r>
        <w:rPr>
          <w:rFonts w:hint="eastAsia" w:ascii="宋体" w:hAnsi="宋体" w:cs="宋体"/>
          <w:color w:val="auto"/>
          <w:highlight w:val="none"/>
        </w:rPr>
        <w:t>17. 不可抗力</w:t>
      </w:r>
    </w:p>
    <w:p w14:paraId="699FAB89">
      <w:pPr>
        <w:spacing w:line="360" w:lineRule="exact"/>
        <w:rPr>
          <w:rFonts w:ascii="宋体" w:hAnsi="宋体" w:cs="宋体"/>
          <w:color w:val="auto"/>
          <w:highlight w:val="none"/>
        </w:rPr>
      </w:pPr>
      <w:r>
        <w:rPr>
          <w:rFonts w:hint="eastAsia" w:ascii="宋体" w:hAnsi="宋体" w:cs="宋体"/>
          <w:color w:val="auto"/>
          <w:highlight w:val="none"/>
        </w:rPr>
        <w:t>17.1 不可抗力的确认</w:t>
      </w:r>
    </w:p>
    <w:p w14:paraId="35345995">
      <w:pPr>
        <w:spacing w:line="360" w:lineRule="exact"/>
        <w:rPr>
          <w:rFonts w:ascii="宋体" w:hAnsi="宋体" w:cs="宋体"/>
          <w:color w:val="auto"/>
          <w:highlight w:val="none"/>
        </w:rPr>
      </w:pPr>
      <w:r>
        <w:rPr>
          <w:rFonts w:hint="eastAsia" w:ascii="宋体" w:hAnsi="宋体" w:cs="宋体"/>
          <w:color w:val="auto"/>
          <w:highlight w:val="none"/>
        </w:rPr>
        <w:t>17.2 不可抗力的通知</w:t>
      </w:r>
    </w:p>
    <w:p w14:paraId="7DF3998A">
      <w:pPr>
        <w:spacing w:line="360" w:lineRule="exact"/>
        <w:rPr>
          <w:rFonts w:ascii="宋体" w:hAnsi="宋体" w:cs="宋体"/>
          <w:color w:val="auto"/>
          <w:highlight w:val="none"/>
        </w:rPr>
      </w:pPr>
      <w:r>
        <w:rPr>
          <w:rFonts w:hint="eastAsia" w:ascii="宋体" w:hAnsi="宋体" w:cs="宋体"/>
          <w:color w:val="auto"/>
          <w:highlight w:val="none"/>
        </w:rPr>
        <w:t>17.3 不可抗力后果的承担</w:t>
      </w:r>
    </w:p>
    <w:p w14:paraId="19AD2824">
      <w:pPr>
        <w:spacing w:line="360" w:lineRule="exact"/>
        <w:rPr>
          <w:rFonts w:ascii="宋体" w:hAnsi="宋体" w:cs="宋体"/>
          <w:color w:val="auto"/>
          <w:highlight w:val="none"/>
        </w:rPr>
      </w:pPr>
      <w:r>
        <w:rPr>
          <w:rFonts w:hint="eastAsia" w:ascii="宋体" w:hAnsi="宋体" w:cs="宋体"/>
          <w:color w:val="auto"/>
          <w:highlight w:val="none"/>
        </w:rPr>
        <w:t>17.4 因不可抗力解除合同</w:t>
      </w:r>
    </w:p>
    <w:p w14:paraId="1EF0E06E">
      <w:pPr>
        <w:spacing w:line="360" w:lineRule="exact"/>
        <w:rPr>
          <w:rFonts w:ascii="宋体" w:hAnsi="宋体" w:cs="宋体"/>
          <w:color w:val="auto"/>
          <w:highlight w:val="none"/>
        </w:rPr>
      </w:pPr>
      <w:r>
        <w:rPr>
          <w:rFonts w:hint="eastAsia" w:ascii="宋体" w:hAnsi="宋体" w:cs="宋体"/>
          <w:color w:val="auto"/>
          <w:highlight w:val="none"/>
        </w:rPr>
        <w:t>18. 保险</w:t>
      </w:r>
    </w:p>
    <w:p w14:paraId="3486E656">
      <w:pPr>
        <w:spacing w:line="360" w:lineRule="exact"/>
        <w:rPr>
          <w:rFonts w:ascii="宋体" w:hAnsi="宋体" w:cs="宋体"/>
          <w:color w:val="auto"/>
          <w:highlight w:val="none"/>
        </w:rPr>
      </w:pPr>
      <w:r>
        <w:rPr>
          <w:rFonts w:hint="eastAsia" w:ascii="宋体" w:hAnsi="宋体" w:cs="宋体"/>
          <w:color w:val="auto"/>
          <w:highlight w:val="none"/>
        </w:rPr>
        <w:t>18.1 工程保险</w:t>
      </w:r>
    </w:p>
    <w:p w14:paraId="6BCBD0A4">
      <w:pPr>
        <w:spacing w:line="360" w:lineRule="exact"/>
        <w:rPr>
          <w:rFonts w:ascii="宋体" w:hAnsi="宋体" w:cs="宋体"/>
          <w:color w:val="auto"/>
          <w:highlight w:val="none"/>
        </w:rPr>
      </w:pPr>
      <w:r>
        <w:rPr>
          <w:rFonts w:hint="eastAsia" w:ascii="宋体" w:hAnsi="宋体" w:cs="宋体"/>
          <w:color w:val="auto"/>
          <w:highlight w:val="none"/>
        </w:rPr>
        <w:t>18.2 工伤保险</w:t>
      </w:r>
    </w:p>
    <w:p w14:paraId="5F9F41DF">
      <w:pPr>
        <w:spacing w:line="360" w:lineRule="exact"/>
        <w:rPr>
          <w:rFonts w:ascii="宋体" w:hAnsi="宋体" w:cs="宋体"/>
          <w:color w:val="auto"/>
          <w:highlight w:val="none"/>
        </w:rPr>
      </w:pPr>
      <w:r>
        <w:rPr>
          <w:rFonts w:hint="eastAsia" w:ascii="宋体" w:hAnsi="宋体" w:cs="宋体"/>
          <w:color w:val="auto"/>
          <w:highlight w:val="none"/>
        </w:rPr>
        <w:t>18.3 其他保险</w:t>
      </w:r>
    </w:p>
    <w:p w14:paraId="5C5EBA2F">
      <w:pPr>
        <w:spacing w:line="360" w:lineRule="exact"/>
        <w:rPr>
          <w:rFonts w:ascii="宋体" w:hAnsi="宋体" w:cs="宋体"/>
          <w:color w:val="auto"/>
          <w:highlight w:val="none"/>
        </w:rPr>
      </w:pPr>
      <w:r>
        <w:rPr>
          <w:rFonts w:hint="eastAsia" w:ascii="宋体" w:hAnsi="宋体" w:cs="宋体"/>
          <w:color w:val="auto"/>
          <w:highlight w:val="none"/>
        </w:rPr>
        <w:t>18.4 持续保险</w:t>
      </w:r>
    </w:p>
    <w:p w14:paraId="77E67592">
      <w:pPr>
        <w:spacing w:line="360" w:lineRule="exact"/>
        <w:rPr>
          <w:rFonts w:ascii="宋体" w:hAnsi="宋体" w:cs="宋体"/>
          <w:color w:val="auto"/>
          <w:highlight w:val="none"/>
        </w:rPr>
      </w:pPr>
      <w:r>
        <w:rPr>
          <w:rFonts w:hint="eastAsia" w:ascii="宋体" w:hAnsi="宋体" w:cs="宋体"/>
          <w:color w:val="auto"/>
          <w:highlight w:val="none"/>
        </w:rPr>
        <w:t>18.5 保险凭证</w:t>
      </w:r>
    </w:p>
    <w:p w14:paraId="60F5F00C">
      <w:pPr>
        <w:spacing w:line="360" w:lineRule="exact"/>
        <w:rPr>
          <w:rFonts w:ascii="宋体" w:hAnsi="宋体" w:cs="宋体"/>
          <w:color w:val="auto"/>
          <w:highlight w:val="none"/>
        </w:rPr>
      </w:pPr>
      <w:r>
        <w:rPr>
          <w:rFonts w:hint="eastAsia" w:ascii="宋体" w:hAnsi="宋体" w:cs="宋体"/>
          <w:color w:val="auto"/>
          <w:highlight w:val="none"/>
        </w:rPr>
        <w:t>18.6 未按约定投保的补救</w:t>
      </w:r>
    </w:p>
    <w:p w14:paraId="262B0147">
      <w:pPr>
        <w:spacing w:line="360" w:lineRule="exact"/>
        <w:rPr>
          <w:rFonts w:ascii="宋体" w:hAnsi="宋体" w:cs="宋体"/>
          <w:color w:val="auto"/>
          <w:highlight w:val="none"/>
        </w:rPr>
      </w:pPr>
      <w:r>
        <w:rPr>
          <w:rFonts w:hint="eastAsia" w:ascii="宋体" w:hAnsi="宋体" w:cs="宋体"/>
          <w:color w:val="auto"/>
          <w:highlight w:val="none"/>
        </w:rPr>
        <w:t>18.7 通知义务</w:t>
      </w:r>
    </w:p>
    <w:p w14:paraId="2DC62965">
      <w:pPr>
        <w:spacing w:line="360" w:lineRule="exact"/>
        <w:rPr>
          <w:rFonts w:ascii="宋体" w:hAnsi="宋体" w:cs="宋体"/>
          <w:color w:val="auto"/>
          <w:highlight w:val="none"/>
        </w:rPr>
      </w:pPr>
      <w:r>
        <w:rPr>
          <w:rFonts w:hint="eastAsia" w:ascii="宋体" w:hAnsi="宋体" w:cs="宋体"/>
          <w:color w:val="auto"/>
          <w:highlight w:val="none"/>
        </w:rPr>
        <w:t>19. 索赔</w:t>
      </w:r>
    </w:p>
    <w:p w14:paraId="0AB6DD6C">
      <w:pPr>
        <w:spacing w:line="360" w:lineRule="exact"/>
        <w:rPr>
          <w:rFonts w:ascii="宋体" w:hAnsi="宋体" w:cs="宋体"/>
          <w:color w:val="auto"/>
          <w:highlight w:val="none"/>
        </w:rPr>
      </w:pPr>
      <w:r>
        <w:rPr>
          <w:rFonts w:hint="eastAsia" w:ascii="宋体" w:hAnsi="宋体" w:cs="宋体"/>
          <w:color w:val="auto"/>
          <w:highlight w:val="none"/>
        </w:rPr>
        <w:t>19.1 承包人的索赔</w:t>
      </w:r>
    </w:p>
    <w:p w14:paraId="27739D4E">
      <w:pPr>
        <w:spacing w:line="360" w:lineRule="exact"/>
        <w:rPr>
          <w:rFonts w:ascii="宋体" w:hAnsi="宋体" w:cs="宋体"/>
          <w:color w:val="auto"/>
          <w:highlight w:val="none"/>
        </w:rPr>
      </w:pPr>
      <w:r>
        <w:rPr>
          <w:rFonts w:hint="eastAsia" w:ascii="宋体" w:hAnsi="宋体" w:cs="宋体"/>
          <w:color w:val="auto"/>
          <w:highlight w:val="none"/>
        </w:rPr>
        <w:t>19.2 对承包人索赔的处理</w:t>
      </w:r>
    </w:p>
    <w:p w14:paraId="277C8058">
      <w:pPr>
        <w:spacing w:line="360" w:lineRule="exact"/>
        <w:rPr>
          <w:rFonts w:ascii="宋体" w:hAnsi="宋体" w:cs="宋体"/>
          <w:color w:val="auto"/>
          <w:highlight w:val="none"/>
        </w:rPr>
      </w:pPr>
      <w:r>
        <w:rPr>
          <w:rFonts w:hint="eastAsia" w:ascii="宋体" w:hAnsi="宋体" w:cs="宋体"/>
          <w:color w:val="auto"/>
          <w:highlight w:val="none"/>
        </w:rPr>
        <w:t>19.3 发包人的索赔</w:t>
      </w:r>
    </w:p>
    <w:p w14:paraId="706A2E1A">
      <w:pPr>
        <w:spacing w:line="360" w:lineRule="exact"/>
        <w:rPr>
          <w:rFonts w:ascii="宋体" w:hAnsi="宋体" w:cs="宋体"/>
          <w:color w:val="auto"/>
          <w:highlight w:val="none"/>
        </w:rPr>
      </w:pPr>
      <w:r>
        <w:rPr>
          <w:rFonts w:hint="eastAsia" w:ascii="宋体" w:hAnsi="宋体" w:cs="宋体"/>
          <w:color w:val="auto"/>
          <w:highlight w:val="none"/>
        </w:rPr>
        <w:t>19.4 对发包人索赔的处理</w:t>
      </w:r>
    </w:p>
    <w:p w14:paraId="3AEF7387">
      <w:pPr>
        <w:spacing w:line="360" w:lineRule="exact"/>
        <w:rPr>
          <w:rFonts w:ascii="宋体" w:hAnsi="宋体" w:cs="宋体"/>
          <w:color w:val="auto"/>
          <w:highlight w:val="none"/>
        </w:rPr>
      </w:pPr>
      <w:r>
        <w:rPr>
          <w:rFonts w:hint="eastAsia" w:ascii="宋体" w:hAnsi="宋体" w:cs="宋体"/>
          <w:color w:val="auto"/>
          <w:highlight w:val="none"/>
        </w:rPr>
        <w:t>19.5 提出索赔的期限</w:t>
      </w:r>
    </w:p>
    <w:p w14:paraId="6FF380B2">
      <w:pPr>
        <w:spacing w:line="360" w:lineRule="exact"/>
        <w:rPr>
          <w:rFonts w:ascii="宋体" w:hAnsi="宋体" w:cs="宋体"/>
          <w:color w:val="auto"/>
          <w:highlight w:val="none"/>
        </w:rPr>
      </w:pPr>
      <w:r>
        <w:rPr>
          <w:rFonts w:hint="eastAsia" w:ascii="宋体" w:hAnsi="宋体" w:cs="宋体"/>
          <w:color w:val="auto"/>
          <w:highlight w:val="none"/>
        </w:rPr>
        <w:t>20. 争议解决</w:t>
      </w:r>
    </w:p>
    <w:p w14:paraId="437CBCFE">
      <w:pPr>
        <w:spacing w:line="360" w:lineRule="exact"/>
        <w:rPr>
          <w:rFonts w:ascii="宋体" w:hAnsi="宋体" w:cs="宋体"/>
          <w:color w:val="auto"/>
          <w:highlight w:val="none"/>
        </w:rPr>
      </w:pPr>
      <w:r>
        <w:rPr>
          <w:rFonts w:hint="eastAsia" w:ascii="宋体" w:hAnsi="宋体" w:cs="宋体"/>
          <w:color w:val="auto"/>
          <w:highlight w:val="none"/>
        </w:rPr>
        <w:t>20.1 和解</w:t>
      </w:r>
    </w:p>
    <w:p w14:paraId="7FA4AC9E">
      <w:pPr>
        <w:spacing w:line="360" w:lineRule="exact"/>
        <w:rPr>
          <w:rFonts w:ascii="宋体" w:hAnsi="宋体" w:cs="宋体"/>
          <w:color w:val="auto"/>
          <w:highlight w:val="none"/>
        </w:rPr>
      </w:pPr>
      <w:r>
        <w:rPr>
          <w:rFonts w:hint="eastAsia" w:ascii="宋体" w:hAnsi="宋体" w:cs="宋体"/>
          <w:color w:val="auto"/>
          <w:highlight w:val="none"/>
        </w:rPr>
        <w:t>20.2 调解</w:t>
      </w:r>
    </w:p>
    <w:p w14:paraId="72DB7246">
      <w:pPr>
        <w:spacing w:line="360" w:lineRule="exact"/>
        <w:rPr>
          <w:rFonts w:ascii="宋体" w:hAnsi="宋体" w:cs="宋体"/>
          <w:color w:val="auto"/>
          <w:highlight w:val="none"/>
        </w:rPr>
      </w:pPr>
      <w:r>
        <w:rPr>
          <w:rFonts w:hint="eastAsia" w:ascii="宋体" w:hAnsi="宋体" w:cs="宋体"/>
          <w:color w:val="auto"/>
          <w:highlight w:val="none"/>
        </w:rPr>
        <w:t>20.3 争议评审</w:t>
      </w:r>
    </w:p>
    <w:p w14:paraId="473CAA48">
      <w:pPr>
        <w:spacing w:line="360" w:lineRule="exact"/>
        <w:rPr>
          <w:rFonts w:ascii="宋体" w:hAnsi="宋体" w:cs="宋体"/>
          <w:color w:val="auto"/>
          <w:highlight w:val="none"/>
        </w:rPr>
      </w:pPr>
      <w:r>
        <w:rPr>
          <w:rFonts w:hint="eastAsia" w:ascii="宋体" w:hAnsi="宋体" w:cs="宋体"/>
          <w:color w:val="auto"/>
          <w:highlight w:val="none"/>
        </w:rPr>
        <w:t>20.4 仲裁或诉讼</w:t>
      </w:r>
    </w:p>
    <w:p w14:paraId="67D37719">
      <w:pPr>
        <w:spacing w:line="360" w:lineRule="exact"/>
        <w:rPr>
          <w:rFonts w:ascii="宋体" w:hAnsi="宋体" w:cs="宋体"/>
          <w:color w:val="auto"/>
          <w:highlight w:val="none"/>
        </w:rPr>
      </w:pPr>
      <w:r>
        <w:rPr>
          <w:rFonts w:hint="eastAsia" w:ascii="宋体" w:hAnsi="宋体" w:cs="宋体"/>
          <w:color w:val="auto"/>
          <w:highlight w:val="none"/>
        </w:rPr>
        <w:t>20.5 争议解决条款效力</w:t>
      </w:r>
    </w:p>
    <w:p w14:paraId="11722303">
      <w:pPr>
        <w:spacing w:line="360" w:lineRule="auto"/>
        <w:ind w:left="3"/>
        <w:jc w:val="center"/>
        <w:outlineLvl w:val="0"/>
        <w:rPr>
          <w:rFonts w:ascii="宋体" w:hAnsi="宋体" w:cs="宋体"/>
          <w:b/>
          <w:bCs/>
          <w:color w:val="auto"/>
          <w:kern w:val="44"/>
          <w:sz w:val="32"/>
          <w:szCs w:val="32"/>
          <w:highlight w:val="none"/>
        </w:rPr>
      </w:pPr>
    </w:p>
    <w:p w14:paraId="166CD2D6">
      <w:pPr>
        <w:spacing w:line="360" w:lineRule="auto"/>
        <w:ind w:left="3"/>
        <w:jc w:val="center"/>
        <w:outlineLvl w:val="0"/>
        <w:rPr>
          <w:rFonts w:ascii="宋体" w:hAnsi="宋体" w:cs="宋体"/>
          <w:b/>
          <w:bCs/>
          <w:color w:val="auto"/>
          <w:kern w:val="44"/>
          <w:sz w:val="32"/>
          <w:szCs w:val="32"/>
          <w:highlight w:val="none"/>
        </w:rPr>
      </w:pPr>
    </w:p>
    <w:p w14:paraId="4DEEAF6C">
      <w:pPr>
        <w:spacing w:line="360" w:lineRule="auto"/>
        <w:ind w:left="3"/>
        <w:jc w:val="center"/>
        <w:outlineLvl w:val="0"/>
        <w:rPr>
          <w:rFonts w:ascii="宋体" w:hAnsi="宋体" w:cs="宋体"/>
          <w:b/>
          <w:bCs/>
          <w:color w:val="auto"/>
          <w:kern w:val="44"/>
          <w:sz w:val="32"/>
          <w:szCs w:val="32"/>
          <w:highlight w:val="none"/>
        </w:rPr>
      </w:pPr>
    </w:p>
    <w:p w14:paraId="637AF814">
      <w:pPr>
        <w:pStyle w:val="45"/>
        <w:spacing w:line="360" w:lineRule="auto"/>
        <w:ind w:left="3"/>
        <w:jc w:val="center"/>
        <w:outlineLvl w:val="0"/>
        <w:rPr>
          <w:color w:val="auto"/>
          <w:highlight w:val="none"/>
        </w:rPr>
      </w:pPr>
    </w:p>
    <w:p w14:paraId="6AD62FDB">
      <w:pPr>
        <w:rPr>
          <w:color w:val="auto"/>
          <w:highlight w:val="none"/>
        </w:rPr>
      </w:pPr>
    </w:p>
    <w:p w14:paraId="1BC79483">
      <w:pPr>
        <w:pStyle w:val="45"/>
        <w:spacing w:line="360" w:lineRule="auto"/>
        <w:ind w:left="3"/>
        <w:jc w:val="center"/>
        <w:outlineLvl w:val="0"/>
        <w:rPr>
          <w:color w:val="auto"/>
          <w:highlight w:val="none"/>
        </w:rPr>
      </w:pPr>
    </w:p>
    <w:p w14:paraId="1B2EBBD7">
      <w:pPr>
        <w:rPr>
          <w:color w:val="auto"/>
          <w:highlight w:val="none"/>
        </w:rPr>
      </w:pPr>
    </w:p>
    <w:p w14:paraId="38C9C58E">
      <w:pPr>
        <w:rPr>
          <w:rFonts w:ascii="宋体" w:hAnsi="宋体" w:cs="宋体"/>
          <w:b/>
          <w:bCs/>
          <w:color w:val="auto"/>
          <w:kern w:val="44"/>
          <w:sz w:val="32"/>
          <w:szCs w:val="32"/>
          <w:highlight w:val="none"/>
        </w:rPr>
      </w:pPr>
      <w:r>
        <w:rPr>
          <w:rFonts w:hint="eastAsia" w:ascii="宋体" w:hAnsi="宋体" w:cs="宋体"/>
          <w:b/>
          <w:bCs/>
          <w:color w:val="auto"/>
          <w:kern w:val="44"/>
          <w:sz w:val="32"/>
          <w:szCs w:val="32"/>
          <w:highlight w:val="none"/>
        </w:rPr>
        <w:br w:type="page"/>
      </w:r>
    </w:p>
    <w:p w14:paraId="4E808D76">
      <w:pPr>
        <w:spacing w:line="360" w:lineRule="auto"/>
        <w:ind w:left="3"/>
        <w:jc w:val="center"/>
        <w:outlineLvl w:val="0"/>
        <w:rPr>
          <w:rFonts w:ascii="宋体" w:hAnsi="宋体" w:cs="宋体"/>
          <w:b/>
          <w:bCs/>
          <w:color w:val="auto"/>
          <w:kern w:val="44"/>
          <w:sz w:val="32"/>
          <w:szCs w:val="32"/>
          <w:highlight w:val="none"/>
        </w:rPr>
      </w:pPr>
      <w:r>
        <w:rPr>
          <w:rFonts w:hint="eastAsia" w:ascii="宋体" w:hAnsi="宋体" w:cs="宋体"/>
          <w:b/>
          <w:bCs/>
          <w:color w:val="auto"/>
          <w:kern w:val="44"/>
          <w:sz w:val="32"/>
          <w:szCs w:val="32"/>
          <w:highlight w:val="none"/>
        </w:rPr>
        <w:t>第三部分  专用合同条款</w:t>
      </w:r>
    </w:p>
    <w:p w14:paraId="06DDA3F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 一般约定</w:t>
      </w:r>
    </w:p>
    <w:p w14:paraId="6EEBFFD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1.1词语定义</w:t>
      </w:r>
    </w:p>
    <w:p w14:paraId="28FE84D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1.1.1  合同</w:t>
      </w:r>
    </w:p>
    <w:p w14:paraId="730377F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1.1.1.10  其他合同文件包括：</w:t>
      </w:r>
    </w:p>
    <w:p w14:paraId="69F8A3F1">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施工组织设计：施工组织</w:t>
      </w:r>
      <w:r>
        <w:rPr>
          <w:color w:val="auto"/>
          <w:highlight w:val="none"/>
        </w:rPr>
        <w:fldChar w:fldCharType="begin"/>
      </w:r>
      <w:r>
        <w:rPr>
          <w:color w:val="auto"/>
          <w:highlight w:val="none"/>
        </w:rPr>
        <w:instrText xml:space="preserve"> HYPERLINK "http://baike.baidu.com/view/14417.htm" \t "_blank" </w:instrText>
      </w:r>
      <w:r>
        <w:rPr>
          <w:color w:val="auto"/>
          <w:highlight w:val="none"/>
        </w:rPr>
        <w:fldChar w:fldCharType="separate"/>
      </w:r>
      <w:r>
        <w:rPr>
          <w:rFonts w:hint="eastAsia" w:ascii="宋体" w:hAnsi="宋体" w:cs="宋体"/>
          <w:color w:val="auto"/>
          <w:highlight w:val="none"/>
          <w:u w:val="single"/>
        </w:rPr>
        <w:t>设计</w:t>
      </w:r>
      <w:r>
        <w:rPr>
          <w:rFonts w:hint="eastAsia" w:ascii="宋体" w:hAnsi="宋体" w:cs="宋体"/>
          <w:color w:val="auto"/>
          <w:highlight w:val="none"/>
          <w:u w:val="single"/>
        </w:rPr>
        <w:fldChar w:fldCharType="end"/>
      </w:r>
      <w:r>
        <w:rPr>
          <w:rFonts w:hint="eastAsia" w:ascii="宋体" w:hAnsi="宋体" w:cs="宋体"/>
          <w:b/>
          <w:color w:val="auto"/>
          <w:highlight w:val="none"/>
          <w:u w:val="single"/>
        </w:rPr>
        <w:t>是用来指导</w:t>
      </w:r>
      <w:r>
        <w:rPr>
          <w:color w:val="auto"/>
          <w:highlight w:val="none"/>
        </w:rPr>
        <w:fldChar w:fldCharType="begin"/>
      </w:r>
      <w:r>
        <w:rPr>
          <w:color w:val="auto"/>
          <w:highlight w:val="none"/>
        </w:rPr>
        <w:instrText xml:space="preserve"> HYPERLINK "http://baike.baidu.com/view/1094820.htm" \t "_blank" </w:instrText>
      </w:r>
      <w:r>
        <w:rPr>
          <w:color w:val="auto"/>
          <w:highlight w:val="none"/>
        </w:rPr>
        <w:fldChar w:fldCharType="separate"/>
      </w:r>
      <w:r>
        <w:rPr>
          <w:rFonts w:hint="eastAsia" w:ascii="宋体" w:hAnsi="宋体" w:cs="宋体"/>
          <w:color w:val="auto"/>
          <w:highlight w:val="none"/>
          <w:u w:val="single"/>
        </w:rPr>
        <w:t>施工项目</w:t>
      </w:r>
      <w:r>
        <w:rPr>
          <w:rFonts w:hint="eastAsia" w:ascii="宋体" w:hAnsi="宋体" w:cs="宋体"/>
          <w:color w:val="auto"/>
          <w:highlight w:val="none"/>
          <w:u w:val="single"/>
        </w:rPr>
        <w:fldChar w:fldCharType="end"/>
      </w:r>
      <w:r>
        <w:rPr>
          <w:rFonts w:hint="eastAsia" w:ascii="宋体" w:hAnsi="宋体" w:cs="宋体"/>
          <w:b/>
          <w:color w:val="auto"/>
          <w:highlight w:val="none"/>
          <w:u w:val="single"/>
        </w:rPr>
        <w:t>全过程各项活动的技术、经济和组织的综合性文件、询标纪要及承诺书。</w:t>
      </w:r>
    </w:p>
    <w:p w14:paraId="1FD3589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1.1.2合同当事人及其他相关方</w:t>
      </w:r>
    </w:p>
    <w:p w14:paraId="5389A125">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1.1.2.4  监理人：</w:t>
      </w:r>
    </w:p>
    <w:p w14:paraId="48BE097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1C26FDD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262A990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5BA7602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w:t>
      </w:r>
    </w:p>
    <w:p w14:paraId="0302FAB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w:t>
      </w:r>
    </w:p>
    <w:p w14:paraId="366CF52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1.1.2.5  设计人：</w:t>
      </w:r>
    </w:p>
    <w:p w14:paraId="7AA2B51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11D56EC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7308199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1E1D7FF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w:t>
      </w:r>
    </w:p>
    <w:p w14:paraId="1AC2C5C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w:t>
      </w:r>
    </w:p>
    <w:p w14:paraId="6F5965B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1.1.3工程和设备</w:t>
      </w:r>
    </w:p>
    <w:p w14:paraId="72182FF4">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规划红线范围   </w:t>
      </w:r>
    </w:p>
    <w:p w14:paraId="0D67DF6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highlight w:val="none"/>
          <w:u w:val="single"/>
        </w:rPr>
        <w:t>规划红线范围内为实施本合同工程需永久占用的场地</w:t>
      </w:r>
      <w:r>
        <w:rPr>
          <w:rFonts w:hint="eastAsia" w:ascii="宋体" w:hAnsi="宋体" w:cs="宋体"/>
          <w:color w:val="auto"/>
          <w:highlight w:val="none"/>
        </w:rPr>
        <w:t>。</w:t>
      </w:r>
    </w:p>
    <w:p w14:paraId="427E26B8">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1.1.3.10 临时占地包括：</w:t>
      </w:r>
      <w:r>
        <w:rPr>
          <w:rFonts w:hint="eastAsia" w:ascii="宋体" w:hAnsi="宋体" w:cs="宋体"/>
          <w:color w:val="auto"/>
          <w:highlight w:val="none"/>
          <w:u w:val="single"/>
        </w:rPr>
        <w:t>指永久占地之外为实施本合同工程需临时占用的场地</w:t>
      </w:r>
      <w:r>
        <w:rPr>
          <w:rFonts w:hint="eastAsia" w:ascii="宋体" w:hAnsi="宋体" w:cs="宋体"/>
          <w:color w:val="auto"/>
          <w:highlight w:val="none"/>
        </w:rPr>
        <w:t>。</w:t>
      </w:r>
    </w:p>
    <w:p w14:paraId="2235460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1.3  法律</w:t>
      </w:r>
    </w:p>
    <w:p w14:paraId="2C55AA8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适用于合同的其他规范性文件：</w:t>
      </w:r>
    </w:p>
    <w:p w14:paraId="32CE88AB">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u w:val="single"/>
        </w:rPr>
        <w:t>1.3.1  杭州市建设工程工程量清单计价实施细则》(杭建市发〔2018〕578号)；</w:t>
      </w:r>
    </w:p>
    <w:p w14:paraId="43F910A0">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u w:val="single"/>
        </w:rPr>
        <w:t>1.3.2  《关于进一步加强杭州市建设工程市场要素价格动态管理的指导意见》（杭建市发〔2018〕579号）；</w:t>
      </w:r>
    </w:p>
    <w:p w14:paraId="4C2E462C">
      <w:pPr>
        <w:spacing w:line="460" w:lineRule="exact"/>
        <w:ind w:firstLine="408" w:firstLineChars="198"/>
        <w:rPr>
          <w:rFonts w:ascii="宋体" w:hAnsi="宋体" w:cs="宋体"/>
          <w:b/>
          <w:bCs/>
          <w:color w:val="auto"/>
          <w:highlight w:val="none"/>
          <w:u w:val="single"/>
        </w:rPr>
      </w:pPr>
      <w:r>
        <w:rPr>
          <w:rFonts w:hint="eastAsia" w:ascii="宋体" w:hAnsi="宋体" w:cs="宋体"/>
          <w:b/>
          <w:bCs/>
          <w:color w:val="auto"/>
          <w:highlight w:val="none"/>
          <w:u w:val="single"/>
        </w:rPr>
        <w:t>1.3.3《关于发布&lt;杭州市新冠病毒肺炎疫情期间在建工程合同及工程价款调整的指导性细则&gt;的通知》（杭建市发〔2020〕164号）</w:t>
      </w:r>
    </w:p>
    <w:p w14:paraId="68C83AA0">
      <w:pPr>
        <w:spacing w:line="460" w:lineRule="exact"/>
        <w:ind w:firstLine="408" w:firstLineChars="198"/>
        <w:rPr>
          <w:rFonts w:ascii="宋体" w:hAnsi="宋体" w:cs="宋体"/>
          <w:color w:val="auto"/>
          <w:highlight w:val="none"/>
          <w:u w:val="single"/>
        </w:rPr>
      </w:pPr>
      <w:r>
        <w:rPr>
          <w:rFonts w:hint="eastAsia" w:ascii="宋体" w:hAnsi="宋体" w:cs="宋体"/>
          <w:b/>
          <w:bCs/>
          <w:color w:val="auto"/>
          <w:highlight w:val="none"/>
          <w:u w:val="single"/>
        </w:rPr>
        <w:t>1.3.4 《关于贯彻《省厅调整安全文明施工费的通知》的通知》（杭建市发〔2022〕54号）</w:t>
      </w:r>
    </w:p>
    <w:p w14:paraId="79674A54">
      <w:pPr>
        <w:spacing w:line="460" w:lineRule="exact"/>
        <w:ind w:firstLine="408" w:firstLineChars="198"/>
        <w:rPr>
          <w:rFonts w:ascii="宋体" w:hAnsi="宋体" w:cs="宋体"/>
          <w:color w:val="auto"/>
          <w:highlight w:val="none"/>
        </w:rPr>
      </w:pPr>
      <w:r>
        <w:rPr>
          <w:rFonts w:hint="eastAsia" w:ascii="宋体" w:hAnsi="宋体" w:cs="宋体"/>
          <w:color w:val="auto"/>
          <w:highlight w:val="none"/>
        </w:rPr>
        <w:t>1.3.5  省市建设行政部门颁发的其他现行有效文件(包括但不仅限于以下文件)：</w:t>
      </w:r>
    </w:p>
    <w:p w14:paraId="2AF2BCF0">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u w:val="single"/>
        </w:rPr>
        <w:t>（1）《关于转发省建设厅&lt;关于进一步加强建筑施工领域企业安全生产工作的实施意见&gt;的通知》（杭建工发〔2011〕130号）；</w:t>
      </w:r>
    </w:p>
    <w:p w14:paraId="310A006D">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u w:val="single"/>
        </w:rPr>
        <w:t>（2）《关于进一步加强建设工程安全质量物联网管理应用平台建设的通知》（杭建工发〔2012〕426号）；</w:t>
      </w:r>
    </w:p>
    <w:p w14:paraId="30719C0E">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u w:val="single"/>
        </w:rPr>
        <w:t>（3）《关于开展建筑工程扬尘在线监测设施安装工作的通知》（杭建工〔2019〕103号）；</w:t>
      </w:r>
    </w:p>
    <w:p w14:paraId="76EC5288">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u w:val="single"/>
        </w:rPr>
        <w:t>（4）《关于巩固G20杭州峰会成果进一步加强建设工程文明施工管理的若干意见》（杭建工发〔2017〕112号）；</w:t>
      </w:r>
    </w:p>
    <w:p w14:paraId="6955A6EB">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（5</w:t>
      </w:r>
      <w:r>
        <w:rPr>
          <w:rFonts w:ascii="宋体" w:hAnsi="宋体" w:cs="宋体"/>
          <w:b/>
          <w:color w:val="auto"/>
          <w:highlight w:val="none"/>
          <w:u w:val="single"/>
        </w:rPr>
        <w:t>）</w:t>
      </w:r>
      <w:r>
        <w:rPr>
          <w:rFonts w:hint="eastAsia" w:ascii="宋体" w:hAnsi="宋体" w:cs="宋体"/>
          <w:b/>
          <w:color w:val="auto"/>
          <w:highlight w:val="none"/>
          <w:u w:val="single"/>
        </w:rPr>
        <w:t>《关于杭州市建筑工地全面推广使用“浙里工程建设现场管控”重大应用（浙里建）的通知》（杭建数改办（2022）1号）</w:t>
      </w:r>
    </w:p>
    <w:p w14:paraId="0C1C2F86">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（6）《杭州市建设工程渣土管理办法》（市政府令第192号）</w:t>
      </w:r>
    </w:p>
    <w:p w14:paraId="4A40305F">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（7）市政府办公厅2022年5月15日发布的《杭州市人民政府办公厅关于进一步规范工程建筑垃圾管理的通知》</w:t>
      </w:r>
    </w:p>
    <w:p w14:paraId="663B63AD">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（8）《关于发布杭州市工程渣土消纳市场信息价的通知》（杭渣土领〔2020〕1号）</w:t>
      </w:r>
    </w:p>
    <w:p w14:paraId="272C4DB1">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（9）市建委2020年10月30日发布的《关于明确杭州市渣土运输及消纳项目计价清单编制和报价口径的通知》</w:t>
      </w:r>
    </w:p>
    <w:p w14:paraId="17932DC8">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（10）《关于转发&lt;关于在全省工程建设领域改革保证金制度的通知&gt;的通知》（杭建市通知〔2020〕4号）</w:t>
      </w:r>
    </w:p>
    <w:p w14:paraId="11C8C4E9">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（11）《关于进一步提升杭州市市政道路建设质量管理的若干意见》（杭建工发〔2021〕32 号）</w:t>
      </w:r>
    </w:p>
    <w:p w14:paraId="5CE1FEFA">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（12）《关于全面推广应用承插型盘扣式脚手架的通知》（杭建工发〔2021〕358号）</w:t>
      </w:r>
    </w:p>
    <w:p w14:paraId="00F0E6ED">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（13）《关于明确杭州市建筑施工领域安全生产责任保险费用计取的通知》（杭建招标造价中心〔2021〕84号 ）</w:t>
      </w:r>
    </w:p>
    <w:p w14:paraId="161F5207">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 14 ）关于进一步规范建设工程建筑垃圾处置相关事项的通知》（杭建工〔2023〕169号）</w:t>
      </w:r>
    </w:p>
    <w:p w14:paraId="42F4ECC9">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(15) 其他 :a 、《杭州市建筑市场管理若干规定》（杭州市人民政府令第 277； 号）；</w:t>
      </w:r>
    </w:p>
    <w:p w14:paraId="5C25C7A8">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b、《杭州市建设工程文明施工管理规定》（杭州市人民政府第 278 号）；</w:t>
      </w:r>
    </w:p>
    <w:p w14:paraId="3266DDDD">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c、《杭州市政府投资项目概算管理办法（试行）》（杭发改投资 [2013]422 号）、杭建监总 [2015]39 号、杭城管委 [2015]127 号、杭城管局﹝2020﹞54 号、《中华人民共和国建筑法》、《中华人民共和国民法典》、《中华人民共和国安全生产法》、《建筑工程质量管理条例》、《建设工程安全生产管理条例》及国家和地方颁布的相关法律、法 规等；</w:t>
      </w:r>
    </w:p>
    <w:p w14:paraId="2652994B">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d、符合“海绵城市”建设相关法律、法规、规范性文件的要求以及交警部门智能化建设的要求。</w:t>
      </w:r>
    </w:p>
    <w:p w14:paraId="55EE78A3">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在合同履行过程中，如有新标准或规范出台，则按最新的标准规范执行。</w:t>
      </w:r>
    </w:p>
    <w:p w14:paraId="546FB06A">
      <w:pPr>
        <w:spacing w:line="460" w:lineRule="exact"/>
        <w:ind w:firstLine="408" w:firstLineChars="198"/>
        <w:rPr>
          <w:rFonts w:ascii="宋体" w:hAnsi="宋体" w:cs="宋体"/>
          <w:color w:val="auto"/>
          <w:highlight w:val="none"/>
        </w:rPr>
      </w:pPr>
      <w:r>
        <w:rPr>
          <w:rFonts w:hint="eastAsia" w:ascii="宋体" w:hAnsi="宋体" w:cs="宋体"/>
          <w:color w:val="auto"/>
          <w:highlight w:val="none"/>
        </w:rPr>
        <w:t>1.3.4  新工艺、新技术的约定：/。</w:t>
      </w:r>
    </w:p>
    <w:p w14:paraId="4A48D18C">
      <w:pPr>
        <w:spacing w:line="460" w:lineRule="exact"/>
        <w:ind w:firstLine="408" w:firstLineChars="198"/>
        <w:rPr>
          <w:rFonts w:ascii="宋体" w:hAnsi="宋体" w:cs="宋体"/>
          <w:color w:val="auto"/>
          <w:highlight w:val="none"/>
        </w:rPr>
      </w:pPr>
      <w:r>
        <w:rPr>
          <w:rFonts w:hint="eastAsia" w:ascii="宋体" w:hAnsi="宋体" w:cs="宋体"/>
          <w:color w:val="auto"/>
          <w:highlight w:val="none"/>
        </w:rPr>
        <w:t>1.3.15  其他：/</w:t>
      </w:r>
    </w:p>
    <w:p w14:paraId="3066BF40">
      <w:pPr>
        <w:spacing w:line="460" w:lineRule="exact"/>
        <w:ind w:firstLine="408" w:firstLineChars="198"/>
        <w:rPr>
          <w:rFonts w:ascii="宋体" w:hAnsi="宋体" w:cs="宋体"/>
          <w:color w:val="auto"/>
          <w:highlight w:val="none"/>
        </w:rPr>
      </w:pPr>
      <w:r>
        <w:rPr>
          <w:rFonts w:hint="eastAsia" w:ascii="宋体" w:hAnsi="宋体" w:cs="宋体"/>
          <w:color w:val="auto"/>
          <w:highlight w:val="none"/>
        </w:rPr>
        <w:t>1.4 标准和规范</w:t>
      </w:r>
    </w:p>
    <w:p w14:paraId="12962BF3">
      <w:pPr>
        <w:spacing w:line="460" w:lineRule="exact"/>
        <w:ind w:firstLine="408" w:firstLineChars="198"/>
        <w:rPr>
          <w:rFonts w:ascii="宋体" w:hAnsi="宋体" w:cs="宋体"/>
          <w:b/>
          <w:color w:val="auto"/>
          <w:highlight w:val="none"/>
          <w:u w:val="single"/>
        </w:rPr>
      </w:pPr>
      <w:r>
        <w:rPr>
          <w:rFonts w:hint="eastAsia" w:ascii="宋体" w:hAnsi="宋体" w:cs="宋体"/>
          <w:color w:val="auto"/>
          <w:highlight w:val="none"/>
        </w:rPr>
        <w:t>1.4.1  适用于工程的标准规范包括：</w:t>
      </w:r>
      <w:r>
        <w:rPr>
          <w:rFonts w:hint="eastAsia" w:ascii="宋体" w:hAnsi="宋体" w:cs="宋体"/>
          <w:b/>
          <w:color w:val="auto"/>
          <w:highlight w:val="none"/>
          <w:u w:val="single"/>
        </w:rPr>
        <w:t>（1）按通用条款约定；</w:t>
      </w:r>
    </w:p>
    <w:p w14:paraId="254E07AB">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F13924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0BC49A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BAB5054">
      <w:pPr>
        <w:spacing w:line="460" w:lineRule="exact"/>
        <w:ind w:firstLine="408" w:firstLineChars="198"/>
        <w:rPr>
          <w:rFonts w:ascii="宋体" w:hAnsi="宋体" w:cs="宋体"/>
          <w:b/>
          <w:bCs/>
          <w:color w:val="auto"/>
          <w:highlight w:val="none"/>
          <w:u w:val="single"/>
        </w:rPr>
      </w:pPr>
      <w:r>
        <w:rPr>
          <w:rFonts w:hint="eastAsia" w:ascii="宋体" w:hAnsi="宋体" w:cs="宋体"/>
          <w:color w:val="auto"/>
          <w:highlight w:val="none"/>
        </w:rPr>
        <w:t>1.4.3  发包人对工程的技术标准和功能要求的特殊要求：</w:t>
      </w:r>
      <w:r>
        <w:rPr>
          <w:rFonts w:hint="eastAsia" w:ascii="宋体" w:hAnsi="宋体" w:cs="宋体"/>
          <w:b/>
          <w:bCs/>
          <w:color w:val="auto"/>
          <w:highlight w:val="none"/>
          <w:u w:val="single"/>
        </w:rPr>
        <w:t>详见设计文件和招标技术要求。</w:t>
      </w:r>
    </w:p>
    <w:p w14:paraId="2461A66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1.5  合同文件的优先顺序</w:t>
      </w:r>
    </w:p>
    <w:p w14:paraId="29FBF3E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合同文件组成及优先顺序为：</w:t>
      </w:r>
    </w:p>
    <w:p w14:paraId="3847D96F">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（1）合同协议书；</w:t>
      </w:r>
    </w:p>
    <w:p w14:paraId="44EDAD95">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（2）中标通知书（或项目发承包基本情况表）；</w:t>
      </w:r>
    </w:p>
    <w:p w14:paraId="4E98315E">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（3）投标函及其附录（如果有）；</w:t>
      </w:r>
    </w:p>
    <w:p w14:paraId="0DCE267B">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（4）专用合同条款及其附件；</w:t>
      </w:r>
    </w:p>
    <w:p w14:paraId="1984CBA8">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（5）通用合同条款；</w:t>
      </w:r>
    </w:p>
    <w:p w14:paraId="065CE419">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（6）技术标准和要求；</w:t>
      </w:r>
    </w:p>
    <w:p w14:paraId="02CE0450">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（7）图纸；</w:t>
      </w:r>
    </w:p>
    <w:p w14:paraId="1D831E6E">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（8）已标价工程量清单或预算书；</w:t>
      </w:r>
    </w:p>
    <w:p w14:paraId="65581BB4">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（9）其他合同文件：</w:t>
      </w:r>
    </w:p>
    <w:p w14:paraId="2CDA0B23">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①施工组织设计；</w:t>
      </w:r>
    </w:p>
    <w:p w14:paraId="0341334F">
      <w:pPr>
        <w:spacing w:line="460" w:lineRule="exact"/>
        <w:ind w:firstLine="408" w:firstLineChars="198"/>
        <w:rPr>
          <w:rFonts w:ascii="宋体" w:hAnsi="宋体" w:cs="宋体"/>
          <w:b/>
          <w:color w:val="auto"/>
          <w:highlight w:val="none"/>
          <w:u w:val="single"/>
        </w:rPr>
      </w:pPr>
      <w:r>
        <w:rPr>
          <w:rFonts w:hint="eastAsia" w:ascii="宋体" w:hAnsi="宋体" w:cs="宋体"/>
          <w:color w:val="auto"/>
          <w:highlight w:val="none"/>
          <w:u w:val="single"/>
        </w:rPr>
        <w:t>②其他：</w:t>
      </w:r>
      <w:r>
        <w:rPr>
          <w:rFonts w:hint="eastAsia" w:ascii="宋体" w:hAnsi="宋体" w:cs="宋体"/>
          <w:b/>
          <w:color w:val="auto"/>
          <w:highlight w:val="none"/>
          <w:u w:val="single"/>
        </w:rPr>
        <w:t>投标文件、招标文件（含招标工程量清单）及招标答疑 （如果有） 、询标纪要（如果有）、变更联系单、会审纪要等双方认为应作为合同构成的其它文件。</w:t>
      </w:r>
    </w:p>
    <w:p w14:paraId="3D1F9F80">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组成合同的各个文件应该认为是一个整体，彼此相互解释，相互补充。如果出现含糊不清或相互矛盾的情况，由发包人工程师做出解释和调整。在这种情况下，除非合同另有规定，组成合同的几个文件的优先支配地位应依次如上所述。任何不列入其上的其他文件，皆不影响合同文件，除非双方另签补充合同。</w:t>
      </w:r>
    </w:p>
    <w:p w14:paraId="130D7106">
      <w:pPr>
        <w:spacing w:line="460" w:lineRule="exact"/>
        <w:ind w:firstLine="408" w:firstLineChars="198"/>
        <w:rPr>
          <w:rFonts w:ascii="宋体" w:hAnsi="宋体" w:cs="宋体"/>
          <w:color w:val="auto"/>
          <w:highlight w:val="none"/>
        </w:rPr>
      </w:pPr>
      <w:r>
        <w:rPr>
          <w:rFonts w:hint="eastAsia" w:ascii="宋体" w:hAnsi="宋体" w:cs="宋体"/>
          <w:color w:val="auto"/>
          <w:highlight w:val="none"/>
        </w:rPr>
        <w:t>1.6图纸和承包人文件</w:t>
      </w:r>
      <w:r>
        <w:rPr>
          <w:rFonts w:hint="eastAsia" w:ascii="宋体" w:hAnsi="宋体" w:cs="宋体"/>
          <w:color w:val="auto"/>
          <w:highlight w:val="none"/>
        </w:rPr>
        <w:tab/>
      </w:r>
    </w:p>
    <w:p w14:paraId="60EB3DF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1.6.1  图纸的提供</w:t>
      </w:r>
    </w:p>
    <w:p w14:paraId="47E7059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b/>
          <w:color w:val="auto"/>
          <w:highlight w:val="none"/>
          <w:u w:val="single"/>
        </w:rPr>
        <w:t>施工合同签署后7日历天内提供，至迟不得晚于第7.3.2项〔开工通知〕载明的开工日期前14天向承包人提供图纸</w:t>
      </w:r>
      <w:r>
        <w:rPr>
          <w:rFonts w:hint="eastAsia" w:ascii="宋体" w:hAnsi="宋体" w:cs="宋体"/>
          <w:color w:val="auto"/>
          <w:highlight w:val="none"/>
        </w:rPr>
        <w:t>；</w:t>
      </w:r>
    </w:p>
    <w:p w14:paraId="0B607BF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b/>
          <w:color w:val="auto"/>
          <w:highlight w:val="none"/>
          <w:u w:val="single"/>
        </w:rPr>
        <w:t>提供完整的施工图纸4套（已包括城建归档等竣工图），承包人要求增加的，发包人可代为复制，复制费由承包人承担；同时提供CAD版电子图纸</w:t>
      </w:r>
      <w:r>
        <w:rPr>
          <w:rFonts w:hint="eastAsia" w:ascii="宋体" w:hAnsi="宋体" w:cs="宋体"/>
          <w:color w:val="auto"/>
          <w:highlight w:val="none"/>
        </w:rPr>
        <w:t>。</w:t>
      </w:r>
    </w:p>
    <w:p w14:paraId="2D5959B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b/>
          <w:color w:val="auto"/>
          <w:highlight w:val="none"/>
          <w:u w:val="single"/>
        </w:rPr>
        <w:t>整套施工图纸（详图纸目录）</w:t>
      </w:r>
      <w:r>
        <w:rPr>
          <w:rFonts w:hint="eastAsia" w:ascii="宋体" w:hAnsi="宋体" w:cs="宋体"/>
          <w:color w:val="auto"/>
          <w:highlight w:val="none"/>
        </w:rPr>
        <w:t>。</w:t>
      </w:r>
    </w:p>
    <w:p w14:paraId="5DAA856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1.6.4  承包人文件</w:t>
      </w:r>
    </w:p>
    <w:p w14:paraId="20109008">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需要由承包人提供的文件，包括：</w:t>
      </w:r>
      <w:r>
        <w:rPr>
          <w:rFonts w:hint="eastAsia" w:ascii="宋体" w:hAnsi="宋体" w:cs="宋体"/>
          <w:b/>
          <w:color w:val="auto"/>
          <w:highlight w:val="none"/>
          <w:u w:val="single"/>
        </w:rPr>
        <w:t>施工组织设计、详细的工期质量安全文明保证措施方案、工程进度计划、月工程量报表、月进度报表、周作业计划、发包人（监理）和政府规定要求必须提供的其他文件</w:t>
      </w:r>
      <w:r>
        <w:rPr>
          <w:rFonts w:hint="eastAsia" w:ascii="宋体" w:hAnsi="宋体" w:cs="宋体"/>
          <w:color w:val="auto"/>
          <w:highlight w:val="none"/>
        </w:rPr>
        <w:t>；</w:t>
      </w:r>
    </w:p>
    <w:p w14:paraId="5726CDA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b/>
          <w:color w:val="auto"/>
          <w:highlight w:val="none"/>
          <w:u w:val="single"/>
        </w:rPr>
        <w:t>施工组织设计、施工总进度计划要求在发包人提供完整的施工图纸后7 天内提供，至迟不得晚于第7.3.2项〔开工通知〕载明的开工日期前7天；各阶段（年、季、月、周）进度计划、单位工程等进度计划按监理工程师要求时间提供；发包人（或监理人）和政府规定要求必须提供的其他文件按发包人要求和政府相关规定时间提供</w:t>
      </w:r>
      <w:r>
        <w:rPr>
          <w:rFonts w:hint="eastAsia" w:ascii="宋体" w:hAnsi="宋体" w:cs="宋体"/>
          <w:color w:val="auto"/>
          <w:highlight w:val="none"/>
        </w:rPr>
        <w:t>；</w:t>
      </w:r>
    </w:p>
    <w:p w14:paraId="7AE9D2B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b/>
          <w:color w:val="auto"/>
          <w:highlight w:val="none"/>
          <w:u w:val="single"/>
        </w:rPr>
        <w:t>施工组织设计、进度计划等类似文件数量要求一式伍份；发包人（或监理人）和政府规定要求必须提供的其他文件数量按发包人要求和政府相关规定</w:t>
      </w:r>
      <w:r>
        <w:rPr>
          <w:rFonts w:hint="eastAsia" w:ascii="宋体" w:hAnsi="宋体" w:cs="宋体"/>
          <w:color w:val="auto"/>
          <w:highlight w:val="none"/>
        </w:rPr>
        <w:t>；</w:t>
      </w:r>
    </w:p>
    <w:p w14:paraId="2E624BE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b/>
          <w:color w:val="auto"/>
          <w:highlight w:val="none"/>
          <w:u w:val="single"/>
        </w:rPr>
        <w:t>以书面形式提供，并按相关要求进行签字和盖章，若发包人要求提供对应电子文档的，应按要求提供电子文档</w:t>
      </w:r>
      <w:r>
        <w:rPr>
          <w:rFonts w:hint="eastAsia" w:ascii="宋体" w:hAnsi="宋体" w:cs="宋体"/>
          <w:color w:val="auto"/>
          <w:highlight w:val="none"/>
        </w:rPr>
        <w:t>；</w:t>
      </w:r>
    </w:p>
    <w:p w14:paraId="099CD10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b/>
          <w:color w:val="auto"/>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highlight w:val="none"/>
        </w:rPr>
        <w:t>。</w:t>
      </w:r>
    </w:p>
    <w:p w14:paraId="1DBB797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1.6.5  现场图纸准备</w:t>
      </w:r>
    </w:p>
    <w:p w14:paraId="1E3C861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承包人应在施工现场另外保存一套完整的图纸和相关资料。供发包人、监理人及有关人员进行工程检查时使用</w:t>
      </w:r>
      <w:r>
        <w:rPr>
          <w:rFonts w:hint="eastAsia" w:ascii="宋体" w:hAnsi="宋体" w:cs="宋体"/>
          <w:color w:val="auto"/>
          <w:highlight w:val="none"/>
        </w:rPr>
        <w:t>。</w:t>
      </w:r>
    </w:p>
    <w:p w14:paraId="50BD4CE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1.7  联络</w:t>
      </w:r>
    </w:p>
    <w:p w14:paraId="0445F7E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1.7.1  发包人和承包人应当在</w:t>
      </w:r>
      <w:r>
        <w:rPr>
          <w:rFonts w:hint="eastAsia" w:ascii="宋体" w:hAnsi="宋体" w:cs="宋体"/>
          <w:color w:val="auto"/>
          <w:highlight w:val="none"/>
          <w:u w:val="single"/>
        </w:rPr>
        <w:t>3</w:t>
      </w:r>
      <w:r>
        <w:rPr>
          <w:rFonts w:hint="eastAsia" w:ascii="宋体" w:hAnsi="宋体" w:cs="宋体"/>
          <w:color w:val="auto"/>
          <w:highlight w:val="none"/>
        </w:rPr>
        <w:t>天内将与合同有关的通知、批准、证明、证书、指示、指令、要求、请求、同意、意见、确定和决定等书面函件送达对方当事人。</w:t>
      </w:r>
    </w:p>
    <w:p w14:paraId="670ECE2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1.7.2 发包人接收文件的地点：；</w:t>
      </w:r>
    </w:p>
    <w:p w14:paraId="5EE94B3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待定</w:t>
      </w:r>
      <w:r>
        <w:rPr>
          <w:rFonts w:hint="eastAsia" w:ascii="宋体" w:hAnsi="宋体" w:cs="宋体"/>
          <w:color w:val="auto"/>
          <w:highlight w:val="none"/>
        </w:rPr>
        <w:t>。</w:t>
      </w:r>
    </w:p>
    <w:p w14:paraId="5752D35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b/>
          <w:color w:val="auto"/>
          <w:highlight w:val="none"/>
          <w:u w:val="single"/>
        </w:rPr>
        <w:t>发包人办公室</w:t>
      </w:r>
      <w:r>
        <w:rPr>
          <w:rFonts w:hint="eastAsia" w:ascii="宋体" w:hAnsi="宋体" w:cs="宋体"/>
          <w:color w:val="auto"/>
          <w:highlight w:val="none"/>
        </w:rPr>
        <w:t>；</w:t>
      </w:r>
    </w:p>
    <w:p w14:paraId="09E43AF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待定</w:t>
      </w:r>
      <w:r>
        <w:rPr>
          <w:rFonts w:hint="eastAsia" w:ascii="宋体" w:hAnsi="宋体" w:cs="宋体"/>
          <w:color w:val="auto"/>
          <w:highlight w:val="none"/>
        </w:rPr>
        <w:t>。</w:t>
      </w:r>
    </w:p>
    <w:p w14:paraId="34CFE85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b/>
          <w:color w:val="auto"/>
          <w:highlight w:val="none"/>
          <w:u w:val="single"/>
        </w:rPr>
        <w:t>发包人办公室</w:t>
      </w:r>
      <w:r>
        <w:rPr>
          <w:rFonts w:hint="eastAsia" w:ascii="宋体" w:hAnsi="宋体" w:cs="宋体"/>
          <w:color w:val="auto"/>
          <w:highlight w:val="none"/>
        </w:rPr>
        <w:t>；</w:t>
      </w:r>
    </w:p>
    <w:p w14:paraId="33E0329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待定</w:t>
      </w:r>
      <w:r>
        <w:rPr>
          <w:rFonts w:hint="eastAsia" w:ascii="宋体" w:hAnsi="宋体" w:cs="宋体"/>
          <w:color w:val="auto"/>
          <w:highlight w:val="none"/>
        </w:rPr>
        <w:t>。</w:t>
      </w:r>
    </w:p>
    <w:p w14:paraId="4812620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1.10  交通运输</w:t>
      </w:r>
    </w:p>
    <w:p w14:paraId="6D75016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1.10.1  出入现场的权利</w:t>
      </w:r>
    </w:p>
    <w:p w14:paraId="6870ABC0">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关于出入现场的权利的约定：</w:t>
      </w:r>
      <w:r>
        <w:rPr>
          <w:rFonts w:hint="eastAsia" w:ascii="宋体" w:hAnsi="宋体" w:cs="宋体"/>
          <w:b/>
          <w:color w:val="auto"/>
          <w:highlight w:val="none"/>
          <w:u w:val="single"/>
        </w:rPr>
        <w:t>由承包人负责建设场内交通，费用纳入措施项目费中。遵照政府有关部门对施工场地交通的管理规定，按规定办理相关手续，费用由承包人负责，发包人给予配合。如承包人未及时办理有关手续而造成的罚款由承包人承担</w:t>
      </w:r>
      <w:r>
        <w:rPr>
          <w:rFonts w:hint="eastAsia" w:ascii="宋体" w:hAnsi="宋体" w:cs="宋体"/>
          <w:color w:val="auto"/>
          <w:highlight w:val="none"/>
        </w:rPr>
        <w:t>。</w:t>
      </w:r>
    </w:p>
    <w:p w14:paraId="0A8745D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1.10.3  场内交通</w:t>
      </w:r>
    </w:p>
    <w:p w14:paraId="4CA7DA7B">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关于场外交通和场内交通的边界的约定：</w:t>
      </w:r>
      <w:r>
        <w:rPr>
          <w:rFonts w:hint="eastAsia" w:ascii="宋体" w:hAnsi="宋体" w:cs="宋体"/>
          <w:b/>
          <w:color w:val="auto"/>
          <w:highlight w:val="none"/>
          <w:u w:val="single"/>
        </w:rPr>
        <w:t>一般以规划红线为界；若有施工现场围墙（挡）的，则以现场围墙（挡）为界；若有发包人提供场外临时用地的，则临时用地范围也为场内交通。场外道路由发包人负责，其中因承包人施工需要需场外借地、修筑施工便道的，其借地费和修筑费用由承包人负责</w:t>
      </w:r>
      <w:r>
        <w:rPr>
          <w:rFonts w:hint="eastAsia" w:ascii="宋体" w:hAnsi="宋体" w:cs="宋体"/>
          <w:color w:val="auto"/>
          <w:highlight w:val="none"/>
        </w:rPr>
        <w:t>。</w:t>
      </w:r>
    </w:p>
    <w:p w14:paraId="2A49C1F5">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b/>
          <w:color w:val="auto"/>
          <w:highlight w:val="none"/>
          <w:u w:val="single"/>
        </w:rPr>
        <w:t>遵照政府有关部门对施工场地交通、环卫和施工噪音的管理规定，按规定办理相关手续，费用由承包人负责，发包人给予配合。如承包人未及时办理有关手续而造成的罚款由承包人承担。 承包人在使用地方道路过程中，必须采取一切措施确保车辆正常通行，做到施工、通车两不误，承包人应根据通车路段的特点，提出通车路段的维护方案，报交警部门批准，并认真组织实施。施工方案和措施应包括但不限于：①设立道路维护、管理小组，配备必要的交通管理标志，制定专人负责道路维护和交通秩序管理工作；②落实施工措施，根据实际情况合理分段、分幅安排施工，合理控制施工长度，维持足够宽度，路面保持良好平整度，做到排水顺畅，路面无低洼积水，确保车辆能安全交会，平稳通过；③加强与交警联系，争取交警参与，建立交通管理制度。由于承包人措施不力，导致堵车或发生事故或损坏地方道路，影响交通安全和正常运行，并造成重大影响的，由此引起的索赔、罚款、诉讼等费用及工程拖延、施工费用增加等，均由承包人自行承担一切法律及经济责任</w:t>
      </w:r>
      <w:r>
        <w:rPr>
          <w:rFonts w:hint="eastAsia" w:ascii="宋体" w:hAnsi="宋体" w:cs="宋体"/>
          <w:color w:val="auto"/>
          <w:highlight w:val="none"/>
        </w:rPr>
        <w:t xml:space="preserve">。  </w:t>
      </w:r>
    </w:p>
    <w:p w14:paraId="6786D14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1.10.4  超大件和超重件的运输</w:t>
      </w:r>
    </w:p>
    <w:p w14:paraId="471B62E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b/>
          <w:color w:val="auto"/>
          <w:highlight w:val="none"/>
          <w:u w:val="single"/>
        </w:rPr>
        <w:t>承包人</w:t>
      </w:r>
      <w:r>
        <w:rPr>
          <w:rFonts w:hint="eastAsia" w:ascii="宋体" w:hAnsi="宋体" w:cs="宋体"/>
          <w:color w:val="auto"/>
          <w:highlight w:val="none"/>
        </w:rPr>
        <w:t>承担。</w:t>
      </w:r>
    </w:p>
    <w:p w14:paraId="31FAC71C">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rPr>
        <w:t>本工程的超大件：</w:t>
      </w:r>
      <w:r>
        <w:rPr>
          <w:rFonts w:hint="eastAsia" w:ascii="宋体" w:hAnsi="宋体" w:cs="宋体"/>
          <w:b/>
          <w:color w:val="auto"/>
          <w:highlight w:val="none"/>
          <w:u w:val="single"/>
        </w:rPr>
        <w:t>详见设计或技术文件</w:t>
      </w:r>
      <w:r>
        <w:rPr>
          <w:rFonts w:hint="eastAsia" w:ascii="宋体" w:hAnsi="宋体" w:cs="宋体"/>
          <w:color w:val="auto"/>
          <w:highlight w:val="none"/>
        </w:rPr>
        <w:t>。</w:t>
      </w:r>
    </w:p>
    <w:p w14:paraId="7D8C07FF">
      <w:pPr>
        <w:spacing w:line="460" w:lineRule="exact"/>
        <w:ind w:firstLine="412" w:firstLineChars="200"/>
        <w:rPr>
          <w:rFonts w:ascii="宋体" w:hAnsi="宋体" w:cs="宋体"/>
          <w:color w:val="auto"/>
          <w:highlight w:val="none"/>
        </w:rPr>
      </w:pPr>
      <w:r>
        <w:rPr>
          <w:rFonts w:hint="eastAsia" w:ascii="宋体" w:hAnsi="宋体" w:cs="宋体"/>
          <w:b/>
          <w:color w:val="auto"/>
          <w:highlight w:val="none"/>
        </w:rPr>
        <w:t>本工程的超重件：</w:t>
      </w:r>
      <w:r>
        <w:rPr>
          <w:rFonts w:hint="eastAsia" w:ascii="宋体" w:hAnsi="宋体" w:cs="宋体"/>
          <w:b/>
          <w:color w:val="auto"/>
          <w:highlight w:val="none"/>
          <w:u w:val="single"/>
        </w:rPr>
        <w:t>详见设计或技术文件</w:t>
      </w:r>
      <w:r>
        <w:rPr>
          <w:rFonts w:hint="eastAsia" w:ascii="宋体" w:hAnsi="宋体" w:cs="宋体"/>
          <w:color w:val="auto"/>
          <w:highlight w:val="none"/>
        </w:rPr>
        <w:t>。</w:t>
      </w:r>
    </w:p>
    <w:p w14:paraId="679218E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1.11知识产权</w:t>
      </w:r>
    </w:p>
    <w:p w14:paraId="2552220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auto"/>
          <w:highlight w:val="none"/>
          <w:u w:val="single"/>
        </w:rPr>
        <w:t>发包人</w:t>
      </w:r>
      <w:r>
        <w:rPr>
          <w:rFonts w:hint="eastAsia" w:ascii="宋体" w:hAnsi="宋体" w:cs="宋体"/>
          <w:color w:val="auto"/>
          <w:highlight w:val="none"/>
        </w:rPr>
        <w:t>。</w:t>
      </w:r>
    </w:p>
    <w:p w14:paraId="1610E87C">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关于发包人提供的上述文件的使用限制的要求：</w:t>
      </w:r>
      <w:r>
        <w:rPr>
          <w:rFonts w:hint="eastAsia" w:ascii="宋体" w:hAnsi="宋体" w:cs="宋体"/>
          <w:b/>
          <w:color w:val="auto"/>
          <w:highlight w:val="none"/>
          <w:u w:val="single"/>
        </w:rPr>
        <w:t>承包人应对发包人提供的全部资料文件进行保密，未经发包人书面同意不得以任何形式复制、披露、泄露、转让给任何第三方，或用于其他工程；否则应承担违约责任并赔偿发包人损失</w:t>
      </w:r>
      <w:r>
        <w:rPr>
          <w:rFonts w:hint="eastAsia" w:ascii="宋体" w:hAnsi="宋体" w:cs="宋体"/>
          <w:color w:val="auto"/>
          <w:highlight w:val="none"/>
        </w:rPr>
        <w:t>。</w:t>
      </w:r>
    </w:p>
    <w:p w14:paraId="13E2B61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b/>
          <w:color w:val="auto"/>
          <w:highlight w:val="none"/>
          <w:u w:val="single"/>
        </w:rPr>
        <w:t>按通用合同条款约定</w:t>
      </w:r>
      <w:r>
        <w:rPr>
          <w:rFonts w:hint="eastAsia" w:ascii="宋体" w:hAnsi="宋体" w:cs="宋体"/>
          <w:color w:val="auto"/>
          <w:highlight w:val="none"/>
        </w:rPr>
        <w:t>。</w:t>
      </w:r>
    </w:p>
    <w:p w14:paraId="4ECEA6EE">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关于承包人提供的上述文件的使用限制的要求：</w:t>
      </w:r>
      <w:r>
        <w:rPr>
          <w:rFonts w:hint="eastAsia" w:ascii="宋体" w:hAnsi="宋体" w:cs="宋体"/>
          <w:b/>
          <w:color w:val="auto"/>
          <w:highlight w:val="none"/>
          <w:u w:val="single"/>
        </w:rPr>
        <w:t>按通用合同条款约定</w:t>
      </w:r>
      <w:r>
        <w:rPr>
          <w:rFonts w:hint="eastAsia" w:ascii="宋体" w:hAnsi="宋体" w:cs="宋体"/>
          <w:color w:val="auto"/>
          <w:highlight w:val="none"/>
        </w:rPr>
        <w:t>。</w:t>
      </w:r>
    </w:p>
    <w:p w14:paraId="0A49DED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b/>
          <w:color w:val="auto"/>
          <w:highlight w:val="none"/>
          <w:u w:val="single"/>
        </w:rPr>
        <w:t>（除发包人指明外）承包人在施工过程中所采用的专利、专有技术、技术秘密的使用费包含在合同价款内</w:t>
      </w:r>
      <w:r>
        <w:rPr>
          <w:rFonts w:hint="eastAsia" w:ascii="宋体" w:hAnsi="宋体" w:cs="宋体"/>
          <w:b/>
          <w:color w:val="auto"/>
          <w:highlight w:val="none"/>
        </w:rPr>
        <w:t>。</w:t>
      </w:r>
    </w:p>
    <w:p w14:paraId="1F17563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1.13  工程量清单错误的修正</w:t>
      </w:r>
    </w:p>
    <w:p w14:paraId="1F4ADE1F">
      <w:pPr>
        <w:spacing w:line="460" w:lineRule="exact"/>
        <w:ind w:firstLine="412" w:firstLineChars="200"/>
        <w:rPr>
          <w:rFonts w:ascii="宋体" w:hAnsi="宋体" w:cs="宋体"/>
          <w:b/>
          <w:color w:val="auto"/>
          <w:highlight w:val="none"/>
        </w:rPr>
      </w:pPr>
      <w:r>
        <w:rPr>
          <w:rFonts w:hint="eastAsia" w:ascii="宋体" w:hAnsi="宋体" w:cs="宋体"/>
          <w:color w:val="auto"/>
          <w:highlight w:val="none"/>
        </w:rPr>
        <w:t>出现工程量清单错误时，是否调整合同价格：</w:t>
      </w:r>
      <w:r>
        <w:rPr>
          <w:rFonts w:hint="eastAsia" w:ascii="宋体" w:hAnsi="宋体" w:cs="宋体"/>
          <w:b/>
          <w:color w:val="auto"/>
          <w:highlight w:val="none"/>
          <w:u w:val="single"/>
        </w:rPr>
        <w:t xml:space="preserve">    是    </w:t>
      </w:r>
      <w:r>
        <w:rPr>
          <w:rFonts w:hint="eastAsia" w:ascii="宋体" w:hAnsi="宋体" w:cs="宋体"/>
          <w:color w:val="auto"/>
          <w:highlight w:val="none"/>
        </w:rPr>
        <w:t>；</w:t>
      </w:r>
    </w:p>
    <w:p w14:paraId="68F2907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允许调整合同价格的工程量偏差范围：</w:t>
      </w:r>
    </w:p>
    <w:p w14:paraId="0E6ACAEC">
      <w:pPr>
        <w:spacing w:line="460" w:lineRule="exact"/>
        <w:ind w:firstLine="412" w:firstLineChars="200"/>
        <w:rPr>
          <w:rFonts w:ascii="宋体" w:hAnsi="宋体" w:cs="宋体"/>
          <w:b/>
          <w:bCs/>
          <w:color w:val="auto"/>
          <w:highlight w:val="none"/>
          <w:u w:val="single"/>
        </w:rPr>
      </w:pPr>
      <w:r>
        <w:rPr>
          <w:rFonts w:hint="eastAsia" w:ascii="宋体" w:hAnsi="宋体" w:cs="宋体"/>
          <w:b/>
          <w:bCs/>
          <w:color w:val="auto"/>
          <w:highlight w:val="none"/>
          <w:u w:val="single"/>
        </w:rPr>
        <w:t>（1）工程量清单存在缺项、漏项的；（2）设计变更的；（3）未按照国家现行计量规则强制性规定计量的。</w:t>
      </w:r>
    </w:p>
    <w:p w14:paraId="3AB8664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调整合同价格的修正时间：</w:t>
      </w:r>
      <w:r>
        <w:rPr>
          <w:rFonts w:hint="eastAsia" w:ascii="宋体" w:hAnsi="宋体" w:cs="宋体"/>
          <w:b/>
          <w:bCs/>
          <w:color w:val="auto"/>
          <w:highlight w:val="none"/>
          <w:u w:val="single"/>
        </w:rPr>
        <w:t xml:space="preserve">除本合同专业条款另有约定外，合同单价不调整，工程量清单在工程结算审核时调整 </w:t>
      </w:r>
      <w:r>
        <w:rPr>
          <w:rFonts w:hint="eastAsia" w:ascii="宋体" w:hAnsi="宋体" w:cs="宋体"/>
          <w:b/>
          <w:bCs/>
          <w:color w:val="auto"/>
          <w:highlight w:val="none"/>
        </w:rPr>
        <w:t>。</w:t>
      </w:r>
    </w:p>
    <w:p w14:paraId="215091D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2发包人</w:t>
      </w:r>
    </w:p>
    <w:p w14:paraId="13723A88">
      <w:pPr>
        <w:spacing w:line="460" w:lineRule="exact"/>
        <w:ind w:firstLine="303" w:firstLineChars="147"/>
        <w:rPr>
          <w:rFonts w:ascii="宋体" w:hAnsi="宋体" w:cs="宋体"/>
          <w:color w:val="auto"/>
          <w:highlight w:val="none"/>
        </w:rPr>
      </w:pPr>
      <w:r>
        <w:rPr>
          <w:rFonts w:hint="eastAsia" w:ascii="宋体" w:hAnsi="宋体" w:cs="宋体"/>
          <w:color w:val="auto"/>
          <w:highlight w:val="none"/>
        </w:rPr>
        <w:t>发包人应根据工程所需配备发包人代表，同时配备1-2名相关人员到岗履职。</w:t>
      </w:r>
    </w:p>
    <w:p w14:paraId="2DDF1923">
      <w:pPr>
        <w:pStyle w:val="45"/>
        <w:ind w:firstLine="412" w:firstLineChars="200"/>
        <w:rPr>
          <w:rFonts w:hAnsi="宋体"/>
          <w:color w:val="auto"/>
          <w:szCs w:val="21"/>
          <w:highlight w:val="none"/>
        </w:rPr>
      </w:pPr>
      <w:r>
        <w:rPr>
          <w:rFonts w:hint="eastAsia" w:hAnsi="宋体"/>
          <w:color w:val="auto"/>
          <w:szCs w:val="21"/>
          <w:highlight w:val="none"/>
        </w:rPr>
        <w:t>建设工程施工前，发包人必须对工程项目建筑垃圾总量、回填利用量进行全面准确测算，并到项目所在地城管部门办理建筑垃圾处置手续。</w:t>
      </w:r>
    </w:p>
    <w:p w14:paraId="48A4B283">
      <w:pPr>
        <w:pStyle w:val="45"/>
        <w:ind w:firstLine="412" w:firstLineChars="200"/>
        <w:rPr>
          <w:rFonts w:hAnsi="宋体"/>
          <w:color w:val="auto"/>
          <w:szCs w:val="21"/>
          <w:highlight w:val="none"/>
        </w:rPr>
      </w:pPr>
      <w:r>
        <w:rPr>
          <w:rFonts w:hint="eastAsia" w:hAnsi="宋体"/>
          <w:color w:val="auto"/>
          <w:szCs w:val="21"/>
          <w:highlight w:val="none"/>
        </w:rPr>
        <w:t>发包人有权开展现场检查，督促承包人落实规范垃圾处置合同分包、车辆装载、车辆冲洗和规范消纳等措施。</w:t>
      </w:r>
    </w:p>
    <w:p w14:paraId="1B0CF7FF">
      <w:pPr>
        <w:ind w:firstLine="412" w:firstLineChars="200"/>
        <w:rPr>
          <w:color w:val="auto"/>
          <w:highlight w:val="none"/>
        </w:rPr>
      </w:pPr>
      <w:r>
        <w:rPr>
          <w:rFonts w:hint="eastAsia" w:ascii="宋体" w:hAnsi="宋体" w:cs="宋体"/>
          <w:b/>
          <w:bCs/>
          <w:color w:val="auto"/>
          <w:szCs w:val="32"/>
          <w:highlight w:val="none"/>
        </w:rPr>
        <w:t>工程结算时，发包人有权对建筑垃圾处置核准证、消纳场地接纳回执联、工程竣工结算清单中建筑垃圾工程量三者进行比对：如实际消纳方量大于(或等于)工程竣工结算清单中建筑垃圾工程量90%的，按竣工结算清单工程量进行结算；如实际消纳方量小于工程竣工结算清单建筑垃圾工程量90%的，可要求承包人提供情况说明并附以佐证材料，无法提供佐证材料的：根据消纳场地接纳回执联工程量进行竣工结算。</w:t>
      </w:r>
    </w:p>
    <w:p w14:paraId="11169D3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2.2  发包人代表</w:t>
      </w:r>
    </w:p>
    <w:p w14:paraId="02A46FBB">
      <w:pPr>
        <w:spacing w:line="460" w:lineRule="exact"/>
        <w:ind w:firstLine="412" w:firstLineChars="200"/>
        <w:rPr>
          <w:rFonts w:hint="default" w:ascii="宋体" w:hAnsi="宋体" w:cs="宋体"/>
          <w:color w:val="auto"/>
          <w:highlight w:val="none"/>
          <w:u w:val="single"/>
        </w:rPr>
      </w:pPr>
      <w:r>
        <w:rPr>
          <w:rFonts w:hint="eastAsia" w:ascii="宋体" w:hAnsi="宋体" w:cs="宋体"/>
          <w:color w:val="auto"/>
          <w:highlight w:val="none"/>
        </w:rPr>
        <w:t>发包人代表：</w:t>
      </w:r>
    </w:p>
    <w:p w14:paraId="1F3F861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u w:val="single"/>
          <w:lang w:val="en-US" w:eastAsia="zh-CN"/>
        </w:rPr>
        <w:t xml:space="preserve">    徐旭        </w:t>
      </w:r>
      <w:r>
        <w:rPr>
          <w:rFonts w:hint="eastAsia" w:ascii="宋体" w:hAnsi="宋体" w:cs="宋体"/>
          <w:color w:val="auto"/>
          <w:highlight w:val="none"/>
        </w:rPr>
        <w:t>；</w:t>
      </w:r>
    </w:p>
    <w:p w14:paraId="320B61A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3995AB4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lang w:val="en-US" w:eastAsia="zh-CN"/>
        </w:rPr>
        <w:t xml:space="preserve">  </w:t>
      </w:r>
      <w:r>
        <w:rPr>
          <w:rFonts w:hint="eastAsia"/>
          <w:color w:val="auto"/>
          <w:highlight w:val="none"/>
          <w:u w:val="single"/>
        </w:rPr>
        <w:t>项目负责人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337DEF4A">
      <w:pPr>
        <w:ind w:firstLine="412" w:firstLineChars="200"/>
        <w:rPr>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5B4DF205">
      <w:pPr>
        <w:ind w:firstLine="412" w:firstLineChars="200"/>
        <w:rPr>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w:t>
      </w:r>
    </w:p>
    <w:p w14:paraId="0367065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w:t>
      </w:r>
    </w:p>
    <w:p w14:paraId="470A740D">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b/>
          <w:color w:val="auto"/>
          <w:highlight w:val="none"/>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hint="eastAsia" w:ascii="宋体" w:hAnsi="宋体" w:cs="宋体"/>
          <w:color w:val="auto"/>
          <w:highlight w:val="none"/>
        </w:rPr>
        <w:t>。</w:t>
      </w:r>
    </w:p>
    <w:p w14:paraId="3722626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2.4  施工现场、施工条件和基础资料的提供</w:t>
      </w:r>
    </w:p>
    <w:p w14:paraId="22EA89A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2.4.1  提供施工现场</w:t>
      </w:r>
    </w:p>
    <w:p w14:paraId="40D256B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于开工日7天内向承包人移交施工现场</w:t>
      </w:r>
      <w:r>
        <w:rPr>
          <w:rFonts w:hint="eastAsia" w:ascii="宋体" w:hAnsi="宋体" w:cs="宋体"/>
          <w:color w:val="auto"/>
          <w:highlight w:val="none"/>
        </w:rPr>
        <w:t>。</w:t>
      </w:r>
    </w:p>
    <w:p w14:paraId="5600E69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2.4.2提供施工条件</w:t>
      </w:r>
    </w:p>
    <w:p w14:paraId="48549C71">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p>
    <w:p w14:paraId="13C61F58">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1）水、电、通讯条件：开工前三天发包人在工程红线范围内或周边提供水源、电源接口；施工现场水电安装费、驳接费及施工用水用电费用由承包人自行承担；电讯由承包人自行解决，所产生的费用自理。承包人应自行考虑并解决，如驳接距离远而产生的用电损耗、地方政府限电断电等类似情况的发生，采取相应措施（如自备发电设备或外部借电等）以保证施工的正常进行，上述相关费用均计入项目措施费中，中标后不再作调整。</w:t>
      </w:r>
    </w:p>
    <w:p w14:paraId="06DFDCA4">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（2）交通条件：现已开通，公共道路与施工场地的连接通道由承包人自行负责，并承担相关费用，中标后不再作调整。承包人还应遵守杭州市交通管理部门限制通行的有关规定。</w:t>
      </w:r>
    </w:p>
    <w:p w14:paraId="43CDE59B">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3）施工现场周围地下管线和邻近建筑物、构筑物、古树名木保护：设计文件和招标资料已明确体现或说明的周围地下管线和邻近建筑物、构筑物的保护工作由承包人负责并承担所需的相关费用，设计文件和招标资料未明确体现或说明的按通用条款约定执行；古树名木保护按通用条款约定执行。</w:t>
      </w:r>
    </w:p>
    <w:p w14:paraId="3AC57F70">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u w:val="single"/>
        </w:rPr>
        <w:t>（4）图纸会审和设计交底时间:开工日3天前，由发包人组织设计人、承包人、监理人进行图纸会审，设计人向承包人进行设计交底</w:t>
      </w:r>
      <w:r>
        <w:rPr>
          <w:rFonts w:hint="eastAsia" w:ascii="宋体" w:hAnsi="宋体" w:cs="宋体"/>
          <w:color w:val="auto"/>
          <w:highlight w:val="none"/>
        </w:rPr>
        <w:t>。</w:t>
      </w:r>
    </w:p>
    <w:p w14:paraId="45F689E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2.5  资金来源证明及支付担保</w:t>
      </w:r>
    </w:p>
    <w:p w14:paraId="787C0F5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4679F05">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C564F4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99ED5E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3承包人</w:t>
      </w:r>
    </w:p>
    <w:p w14:paraId="46D5677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3.1  承包人的一般义务</w:t>
      </w:r>
    </w:p>
    <w:p w14:paraId="08E838E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（9）承包人提交的竣工资料的内容：</w:t>
      </w:r>
      <w:r>
        <w:rPr>
          <w:rFonts w:hint="eastAsia" w:ascii="宋体" w:hAnsi="宋体" w:cs="宋体"/>
          <w:b/>
          <w:color w:val="auto"/>
          <w:highlight w:val="none"/>
          <w:u w:val="single"/>
        </w:rPr>
        <w:t>承包人提交的竣工图及资料应符合招标人及相关部门的存档要求，如因资料不符合招标人及相关部门要求，而产生的资料整理和整改费用，由承包人承担</w:t>
      </w:r>
      <w:r>
        <w:rPr>
          <w:rFonts w:hint="eastAsia" w:ascii="宋体" w:hAnsi="宋体" w:cs="宋体"/>
          <w:color w:val="auto"/>
          <w:highlight w:val="none"/>
        </w:rPr>
        <w:t>。</w:t>
      </w:r>
    </w:p>
    <w:p w14:paraId="1EB7382A">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竣工资料包括：工程原始纪录及验收签证单，材料质保书、检验签证单、材质试验报告，有关设计变更的技术资料，工程的检测数据、质量评定报告等的全部资料。附电子文件U盘(U盘内必须包含所有隐蔽工程的照片、影像资料、CCTV管道监测资料等）。竣工资料不齐者，不得办理工程结算手续。</w:t>
      </w:r>
    </w:p>
    <w:p w14:paraId="360AA7A1">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（1）施工中无设计变更，由承包人在发包的施工图上加盖竣工图章提交发包人；</w:t>
      </w:r>
    </w:p>
    <w:p w14:paraId="266C9B7C">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（2）施工中有少量设计变更，承包人在施工图变更位置注明，并连同经发包人同意的变更联系单，在竣工后由承包人加盖竣工图章提交发包人；</w:t>
      </w:r>
    </w:p>
    <w:p w14:paraId="03BAD4B5">
      <w:pPr>
        <w:spacing w:line="460" w:lineRule="exact"/>
        <w:ind w:firstLine="412" w:firstLineChars="200"/>
        <w:rPr>
          <w:rFonts w:ascii="宋体" w:hAnsi="宋体" w:cs="宋体"/>
          <w:color w:val="auto"/>
          <w:highlight w:val="none"/>
        </w:rPr>
      </w:pPr>
      <w:r>
        <w:rPr>
          <w:rFonts w:hint="eastAsia" w:ascii="宋体" w:hAnsi="宋体" w:cs="宋体"/>
          <w:b/>
          <w:color w:val="auto"/>
          <w:highlight w:val="none"/>
          <w:u w:val="single"/>
        </w:rPr>
        <w:t>（3）施工中对原设计变更较多，原施工图不能作为竣工图的，由承包人委托原设计单位组织重新绘制竣工图，并承担相应费用。</w:t>
      </w:r>
    </w:p>
    <w:p w14:paraId="4F1BCBF3">
      <w:pPr>
        <w:spacing w:line="460" w:lineRule="exact"/>
        <w:ind w:firstLine="412" w:firstLineChars="200"/>
        <w:rPr>
          <w:rFonts w:ascii="宋体" w:hAnsi="宋体" w:cs="宋体"/>
          <w:b/>
          <w:bCs/>
          <w:color w:val="auto"/>
          <w:highlight w:val="none"/>
          <w:u w:val="single"/>
        </w:rPr>
      </w:pPr>
      <w:r>
        <w:rPr>
          <w:rFonts w:hint="eastAsia" w:ascii="宋体" w:hAnsi="宋体" w:cs="宋体"/>
          <w:color w:val="auto"/>
          <w:highlight w:val="none"/>
        </w:rPr>
        <w:t>承包人需要提交的竣工资料套数：</w:t>
      </w:r>
      <w:r>
        <w:rPr>
          <w:rFonts w:hint="eastAsia" w:ascii="宋体" w:hAnsi="宋体" w:cs="宋体"/>
          <w:b/>
          <w:bCs/>
          <w:color w:val="auto"/>
          <w:highlight w:val="none"/>
          <w:u w:val="single"/>
        </w:rPr>
        <w:t>竣工文字资料5套、竣工图5套（含CAD和PDF电子版）、竣工测量成果纸质5份（含电子版）、隐蔽工程影像资料5套、道路检测报告5套。对应内容的电子文件U盘一式2份，竣工图和竣工资料必须有1份为原件。竣工资料不齐者，不得办理工程结算手续。</w:t>
      </w:r>
    </w:p>
    <w:p w14:paraId="5C1E2255">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b/>
          <w:color w:val="auto"/>
          <w:highlight w:val="none"/>
          <w:u w:val="single"/>
        </w:rPr>
        <w:t>全部由承包人承担（包括因竣工资料不符合招标人、监理、城建档案管及其他有关部门要求，而产生的资料整理和整改费用）</w:t>
      </w:r>
      <w:r>
        <w:rPr>
          <w:rFonts w:hint="eastAsia" w:ascii="宋体" w:hAnsi="宋体" w:cs="宋体"/>
          <w:color w:val="auto"/>
          <w:highlight w:val="none"/>
        </w:rPr>
        <w:t>。</w:t>
      </w:r>
    </w:p>
    <w:p w14:paraId="4DBCC20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b/>
          <w:color w:val="auto"/>
          <w:highlight w:val="none"/>
          <w:u w:val="single"/>
        </w:rPr>
        <w:t>工程竣工验收合格后15天内</w:t>
      </w:r>
      <w:r>
        <w:rPr>
          <w:rFonts w:hint="eastAsia" w:ascii="宋体" w:hAnsi="宋体" w:cs="宋体"/>
          <w:color w:val="auto"/>
          <w:highlight w:val="none"/>
        </w:rPr>
        <w:t>。</w:t>
      </w:r>
    </w:p>
    <w:p w14:paraId="2BC2AA4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b/>
          <w:color w:val="auto"/>
          <w:highlight w:val="none"/>
          <w:u w:val="single"/>
        </w:rPr>
        <w:t>竣工图及竣工资料要求以纸质形式提供，其中照片资料要求冲印或彩打后附上，影像资料以U盘形式提供；竣工资料中必须有1套为原件竣工图及竣工资料。2套对应的电子文件以U盘形式提供，其中竣工图要求以CAD和PDF两种形式提供</w:t>
      </w:r>
      <w:r>
        <w:rPr>
          <w:rFonts w:hint="eastAsia" w:ascii="宋体" w:hAnsi="宋体" w:cs="宋体"/>
          <w:color w:val="auto"/>
          <w:highlight w:val="none"/>
        </w:rPr>
        <w:t>。</w:t>
      </w:r>
    </w:p>
    <w:p w14:paraId="0313A73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（10）承包人应履行的其他义务：</w:t>
      </w:r>
    </w:p>
    <w:p w14:paraId="3396EE24">
      <w:pPr>
        <w:spacing w:line="460" w:lineRule="exact"/>
        <w:ind w:firstLine="41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承包人应建立实名制电子考勤系统，做好与杭州市智慧工地实名制管理应用系统以及全国建筑工人管理服务信息平台的数据对接工作。</w:t>
      </w:r>
    </w:p>
    <w:p w14:paraId="25560705">
      <w:pPr>
        <w:spacing w:line="460" w:lineRule="exact"/>
        <w:ind w:firstLine="41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3D03BC7B">
      <w:pPr>
        <w:spacing w:line="460" w:lineRule="exact"/>
        <w:ind w:firstLine="41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承包人应规范建筑垃圾处置分包合同管理，建筑垃圾运输业务应当发包给本工程建筑垃圾处置证核准确定的运输单位。</w:t>
      </w:r>
    </w:p>
    <w:p w14:paraId="5AE62D18">
      <w:pPr>
        <w:spacing w:line="460" w:lineRule="exact"/>
        <w:ind w:firstLine="41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承包人负责根据施工合同约定和相关法律法规要求，编制工程建筑垃圾处置方案，向项目所在地城管部门进行备案，并在工地出入口做好公示及日常维护工作。</w:t>
      </w:r>
    </w:p>
    <w:p w14:paraId="310AB96D">
      <w:pPr>
        <w:spacing w:line="460" w:lineRule="exact"/>
        <w:ind w:firstLine="41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78395457">
      <w:pPr>
        <w:spacing w:line="460" w:lineRule="exact"/>
        <w:ind w:firstLine="41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承包人与运输、处置单位结算相关费用前应当查验接纳回执。</w:t>
      </w:r>
    </w:p>
    <w:p w14:paraId="12559C5C">
      <w:pPr>
        <w:spacing w:line="460" w:lineRule="exact"/>
        <w:ind w:firstLine="412" w:firstLineChars="200"/>
        <w:rPr>
          <w:rFonts w:ascii="宋体" w:hAnsi="宋体" w:cs="宋体"/>
          <w:b/>
          <w:bCs/>
          <w:color w:val="auto"/>
          <w:highlight w:val="none"/>
          <w:u w:val="single"/>
        </w:rPr>
      </w:pPr>
      <w:r>
        <w:rPr>
          <w:rFonts w:hint="eastAsia" w:ascii="宋体" w:hAnsi="宋体" w:cs="宋体"/>
          <w:b/>
          <w:bCs/>
          <w:color w:val="auto"/>
          <w:highlight w:val="none"/>
          <w:u w:val="single"/>
        </w:rPr>
        <w:t>承包人应在工地车辆出入口安装运行符合标准的数字化管控设备，并根据浙江省住房和城乡建设厅等8部门联合印发的《关于浙江省建筑垃圾电子转移联单运行管理工作的实施意见》,落实建筑垃圾转移电子联单运行管理，落实出场每车(次)识别，并督促运输单位与接纳场地扫码识别，形成正常转移电子联单后，再与运输、处置单位结算建筑垃圾运输处置费用。工程结算时，承包人需提供建筑垃圾去向及实际消纳方量情况。</w:t>
      </w:r>
    </w:p>
    <w:p w14:paraId="104FAF64">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ascii="宋体" w:hAnsi="宋体" w:cs="宋体"/>
          <w:color w:val="auto"/>
          <w:highlight w:val="none"/>
        </w:rPr>
      </w:pPr>
      <w:r>
        <w:rPr>
          <w:rFonts w:hint="eastAsia" w:ascii="宋体" w:hAnsi="宋体" w:cs="宋体"/>
          <w:color w:val="auto"/>
          <w:highlight w:val="none"/>
        </w:rPr>
        <w:t>3.2  项目经理</w:t>
      </w:r>
    </w:p>
    <w:p w14:paraId="7E520CDA">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ascii="宋体" w:hAnsi="宋体" w:cs="宋体"/>
          <w:color w:val="auto"/>
          <w:highlight w:val="none"/>
        </w:rPr>
      </w:pPr>
      <w:r>
        <w:rPr>
          <w:rFonts w:hint="eastAsia" w:ascii="宋体" w:hAnsi="宋体" w:cs="宋体"/>
          <w:color w:val="auto"/>
          <w:highlight w:val="none"/>
        </w:rPr>
        <w:t>3.2.1  项目经理：</w:t>
      </w:r>
    </w:p>
    <w:p w14:paraId="652020A1">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hint="eastAsia" w:ascii="宋体" w:hAnsi="宋体" w:cs="宋体"/>
          <w:b/>
          <w:color w:val="auto"/>
          <w:highlight w:val="none"/>
          <w:u w:val="single"/>
        </w:rPr>
      </w:pPr>
      <w:r>
        <w:rPr>
          <w:rFonts w:hint="eastAsia" w:ascii="宋体" w:hAnsi="宋体" w:cs="宋体"/>
          <w:b/>
          <w:color w:val="auto"/>
          <w:highlight w:val="none"/>
          <w:u w:val="single"/>
        </w:rPr>
        <w:t xml:space="preserve">姓名：   </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p>
    <w:p w14:paraId="0E1849C6">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hint="eastAsia" w:ascii="宋体" w:hAnsi="宋体" w:cs="宋体"/>
          <w:b/>
          <w:color w:val="auto"/>
          <w:highlight w:val="none"/>
          <w:u w:val="single"/>
        </w:rPr>
      </w:pPr>
      <w:r>
        <w:rPr>
          <w:rFonts w:hint="eastAsia" w:ascii="宋体" w:hAnsi="宋体" w:cs="宋体"/>
          <w:b/>
          <w:color w:val="auto"/>
          <w:highlight w:val="none"/>
          <w:u w:val="single"/>
        </w:rPr>
        <w:t xml:space="preserve">身份证号：  </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p>
    <w:p w14:paraId="50648AF1">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hint="eastAsia" w:ascii="宋体" w:hAnsi="宋体" w:cs="宋体"/>
          <w:b/>
          <w:color w:val="auto"/>
          <w:highlight w:val="none"/>
          <w:u w:val="single"/>
        </w:rPr>
      </w:pPr>
      <w:r>
        <w:rPr>
          <w:rFonts w:hint="eastAsia" w:ascii="宋体" w:hAnsi="宋体" w:cs="宋体"/>
          <w:b/>
          <w:color w:val="auto"/>
          <w:highlight w:val="none"/>
          <w:u w:val="single"/>
        </w:rPr>
        <w:t xml:space="preserve">建造师执业资格等级：  </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p>
    <w:p w14:paraId="5629F95F">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hint="eastAsia" w:ascii="宋体" w:hAnsi="宋体" w:cs="宋体"/>
          <w:b/>
          <w:color w:val="auto"/>
          <w:highlight w:val="none"/>
          <w:u w:val="single"/>
        </w:rPr>
      </w:pPr>
      <w:r>
        <w:rPr>
          <w:rFonts w:hint="eastAsia" w:ascii="宋体" w:hAnsi="宋体" w:cs="宋体"/>
          <w:b/>
          <w:color w:val="auto"/>
          <w:highlight w:val="none"/>
          <w:u w:val="single"/>
        </w:rPr>
        <w:t>建造师注册证书号：</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p>
    <w:p w14:paraId="35E87B98">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hint="eastAsia" w:ascii="宋体" w:hAnsi="宋体" w:cs="宋体"/>
          <w:b/>
          <w:color w:val="auto"/>
          <w:highlight w:val="none"/>
          <w:u w:val="single"/>
        </w:rPr>
      </w:pPr>
      <w:r>
        <w:rPr>
          <w:rFonts w:hint="eastAsia" w:ascii="宋体" w:hAnsi="宋体" w:cs="宋体"/>
          <w:b/>
          <w:color w:val="auto"/>
          <w:highlight w:val="none"/>
          <w:u w:val="single"/>
        </w:rPr>
        <w:t>建造师执业印章号：                  ；</w:t>
      </w:r>
    </w:p>
    <w:p w14:paraId="650E7556">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hint="eastAsia" w:ascii="宋体" w:hAnsi="宋体" w:cs="宋体"/>
          <w:b/>
          <w:color w:val="auto"/>
          <w:highlight w:val="none"/>
          <w:u w:val="single"/>
        </w:rPr>
      </w:pPr>
      <w:r>
        <w:rPr>
          <w:rFonts w:hint="eastAsia" w:ascii="宋体" w:hAnsi="宋体" w:cs="宋体"/>
          <w:b/>
          <w:color w:val="auto"/>
          <w:highlight w:val="none"/>
          <w:u w:val="single"/>
        </w:rPr>
        <w:t xml:space="preserve">安全生产考核合格证书号：  </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p>
    <w:p w14:paraId="0DCB2B30">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hint="eastAsia" w:ascii="宋体" w:hAnsi="宋体" w:cs="宋体"/>
          <w:b/>
          <w:color w:val="auto"/>
          <w:highlight w:val="none"/>
          <w:u w:val="single"/>
        </w:rPr>
      </w:pPr>
      <w:r>
        <w:rPr>
          <w:rFonts w:hint="eastAsia" w:ascii="宋体" w:hAnsi="宋体" w:cs="宋体"/>
          <w:b/>
          <w:color w:val="auto"/>
          <w:highlight w:val="none"/>
          <w:u w:val="single"/>
        </w:rPr>
        <w:t xml:space="preserve">联系电话： </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p>
    <w:p w14:paraId="0B43EB2C">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hint="eastAsia" w:ascii="宋体" w:hAnsi="宋体" w:cs="宋体"/>
          <w:b/>
          <w:color w:val="auto"/>
          <w:highlight w:val="none"/>
          <w:u w:val="single"/>
        </w:rPr>
      </w:pPr>
      <w:r>
        <w:rPr>
          <w:rFonts w:hint="eastAsia" w:ascii="宋体" w:hAnsi="宋体" w:cs="宋体"/>
          <w:b/>
          <w:color w:val="auto"/>
          <w:highlight w:val="none"/>
          <w:u w:val="single"/>
        </w:rPr>
        <w:t xml:space="preserve">电子信箱： </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p>
    <w:p w14:paraId="2DB34CF3">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hint="eastAsia" w:ascii="宋体" w:hAnsi="宋体" w:cs="宋体"/>
          <w:b/>
          <w:color w:val="auto"/>
          <w:highlight w:val="none"/>
          <w:u w:val="single"/>
        </w:rPr>
      </w:pPr>
      <w:r>
        <w:rPr>
          <w:rFonts w:hint="eastAsia" w:ascii="宋体" w:hAnsi="宋体" w:cs="宋体"/>
          <w:b/>
          <w:color w:val="auto"/>
          <w:highlight w:val="none"/>
          <w:u w:val="single"/>
        </w:rPr>
        <w:t xml:space="preserve">通信地址： </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p>
    <w:p w14:paraId="1496F511">
      <w:pPr>
        <w:keepNext w:val="0"/>
        <w:keepLines w:val="0"/>
        <w:pageBreakBefore w:val="0"/>
        <w:widowControl w:val="0"/>
        <w:kinsoku/>
        <w:wordWrap/>
        <w:overflowPunct/>
        <w:topLinePunct w:val="0"/>
        <w:autoSpaceDE/>
        <w:autoSpaceDN/>
        <w:bidi w:val="0"/>
        <w:adjustRightInd/>
        <w:snapToGrid/>
        <w:spacing w:line="460" w:lineRule="exact"/>
        <w:ind w:firstLine="412" w:firstLineChars="200"/>
        <w:textAlignment w:val="auto"/>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b/>
          <w:color w:val="auto"/>
          <w:highlight w:val="none"/>
          <w:u w:val="single"/>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hint="eastAsia" w:ascii="宋体" w:hAnsi="宋体" w:cs="宋体"/>
          <w:color w:val="auto"/>
          <w:highlight w:val="none"/>
        </w:rPr>
        <w:t>。</w:t>
      </w:r>
    </w:p>
    <w:p w14:paraId="1ABC69F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关于项目经理每月在施工现场的时间要求：</w:t>
      </w:r>
      <w:r>
        <w:rPr>
          <w:rFonts w:hint="eastAsia" w:ascii="宋体" w:hAnsi="宋体" w:cs="宋体"/>
          <w:b/>
          <w:color w:val="auto"/>
          <w:highlight w:val="none"/>
          <w:u w:val="single"/>
        </w:rPr>
        <w:t>项目经理每月到位率为85%及以上（每月按25天，每天按8小时计），重要施工工序或环节时项目经理等重要人员必须到场</w:t>
      </w:r>
      <w:r>
        <w:rPr>
          <w:rFonts w:hint="eastAsia" w:ascii="宋体" w:hAnsi="宋体" w:cs="宋体"/>
          <w:color w:val="auto"/>
          <w:highlight w:val="none"/>
        </w:rPr>
        <w:t>。</w:t>
      </w:r>
    </w:p>
    <w:p w14:paraId="5465F6C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承包人未提交劳动合同，以及没有为项目经理缴纳社会保险证明的违约责任：</w:t>
      </w:r>
      <w:r>
        <w:rPr>
          <w:rFonts w:hint="eastAsia" w:ascii="宋体" w:hAnsi="宋体" w:cs="宋体"/>
          <w:b/>
          <w:color w:val="auto"/>
          <w:highlight w:val="none"/>
          <w:u w:val="single"/>
        </w:rPr>
        <w:t>发包人责令承包人立即改正，并扣减承包人10000元的违约金；若承包人迟迟不予改正的，发包人将按5000元/月继续扣减，直至承包人改正。上述所有违约金直接在当次工程款中扣除，最终以结算审定金额为准。由上述原因造成工程费用和工期增加的，均由承包人承担</w:t>
      </w:r>
      <w:r>
        <w:rPr>
          <w:rFonts w:hint="eastAsia" w:ascii="宋体" w:hAnsi="宋体" w:cs="宋体"/>
          <w:color w:val="auto"/>
          <w:highlight w:val="none"/>
        </w:rPr>
        <w:t>。</w:t>
      </w:r>
    </w:p>
    <w:p w14:paraId="005EDD2A">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项目经理未经批准，擅自离开施工现场的违约责任：</w:t>
      </w:r>
      <w:r>
        <w:rPr>
          <w:rFonts w:hint="eastAsia" w:ascii="宋体" w:hAnsi="宋体" w:cs="宋体"/>
          <w:b/>
          <w:color w:val="auto"/>
          <w:highlight w:val="none"/>
          <w:u w:val="single"/>
        </w:rPr>
        <w:t>项目经理到位率达不到合同约定比例的，扣减承包人5000元/月违约金，到位率严重不达标（低于70%）的，扣减承包人10000元/月违约金；累计2个月到位率均达不到合同约定比例的，发包人除按上述约定扣罚外，有权单方面终止施工合同。项目经理无故缺席或迟到重要施工工序、环节、会议的，发包人有权视情节严重程度处以3000元/次以下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color w:val="auto"/>
          <w:highlight w:val="none"/>
        </w:rPr>
        <w:t>。</w:t>
      </w:r>
    </w:p>
    <w:p w14:paraId="72F7A428">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3.2.3 承包人擅自更换项目经理的违约责任：</w:t>
      </w:r>
    </w:p>
    <w:p w14:paraId="71DE7774">
      <w:pPr>
        <w:spacing w:line="460" w:lineRule="exact"/>
        <w:ind w:firstLine="412" w:firstLineChars="200"/>
        <w:rPr>
          <w:rFonts w:ascii="宋体" w:hAnsi="宋体" w:cs="宋体"/>
          <w:b/>
          <w:color w:val="auto"/>
          <w:highlight w:val="none"/>
          <w:u w:val="single"/>
        </w:rPr>
      </w:pPr>
      <w:r>
        <w:rPr>
          <w:rFonts w:hint="eastAsia" w:ascii="宋体" w:hAnsi="宋体" w:cs="宋体"/>
          <w:color w:val="auto"/>
          <w:highlight w:val="none"/>
        </w:rPr>
        <w:t>（1）承包人确需更换项目经理的，继任项目经理注册执业资格、管理经验的约定：</w:t>
      </w:r>
      <w:r>
        <w:rPr>
          <w:rFonts w:hint="eastAsia" w:ascii="宋体" w:hAnsi="宋体" w:cs="宋体"/>
          <w:b/>
          <w:color w:val="auto"/>
          <w:highlight w:val="none"/>
          <w:u w:val="single"/>
        </w:rPr>
        <w:t>不低于原项目经理的注册执业资格、管理经验及技能水平</w:t>
      </w:r>
      <w:r>
        <w:rPr>
          <w:rFonts w:hint="eastAsia" w:ascii="宋体" w:hAnsi="宋体" w:cs="宋体"/>
          <w:b/>
          <w:color w:val="auto"/>
          <w:highlight w:val="none"/>
        </w:rPr>
        <w:t>。</w:t>
      </w:r>
    </w:p>
    <w:p w14:paraId="3D3033FC">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（2）承包人擅自更换项目经理的违约责任：</w:t>
      </w:r>
      <w:r>
        <w:rPr>
          <w:rFonts w:hint="eastAsia" w:ascii="宋体" w:hAnsi="宋体" w:cs="宋体"/>
          <w:b/>
          <w:color w:val="auto"/>
          <w:highlight w:val="none"/>
          <w:u w:val="single"/>
        </w:rPr>
        <w:t>不允许承包人更换项目经理，如因特殊情况确需更换项目经理的，需报发包人、建设主管部门和招投标监督管理部门批准后，方可予以更换。承包人未按上述约定擅自更换项目经理的视为承包人违约，并按 50000元/人/次扣减承包人违约金。上述违约金直接在当次工程款中扣除，最终以结算审定金额为准</w:t>
      </w:r>
      <w:r>
        <w:rPr>
          <w:rFonts w:hint="eastAsia" w:ascii="宋体" w:hAnsi="宋体" w:cs="宋体"/>
          <w:color w:val="auto"/>
          <w:highlight w:val="none"/>
        </w:rPr>
        <w:t>。</w:t>
      </w:r>
    </w:p>
    <w:p w14:paraId="4F0A7F5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3.2.4 承包人无正当理由拒绝更换项目经理的违约责任：</w:t>
      </w:r>
      <w:r>
        <w:rPr>
          <w:rFonts w:hint="eastAsia" w:ascii="宋体" w:hAnsi="宋体" w:cs="宋体"/>
          <w:b/>
          <w:color w:val="auto"/>
          <w:highlight w:val="none"/>
          <w:u w:val="single"/>
        </w:rPr>
        <w:t>按 20000元/人/次付扣减承包人违约金，上述违约金直接在当次工程款中扣除，最终以结算审定金额为准</w:t>
      </w:r>
      <w:r>
        <w:rPr>
          <w:rFonts w:hint="eastAsia" w:ascii="宋体" w:hAnsi="宋体" w:cs="宋体"/>
          <w:color w:val="auto"/>
          <w:highlight w:val="none"/>
        </w:rPr>
        <w:t>。</w:t>
      </w:r>
    </w:p>
    <w:p w14:paraId="0C52302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3.3  承包人人员</w:t>
      </w:r>
    </w:p>
    <w:p w14:paraId="2AB8E35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b/>
          <w:color w:val="auto"/>
          <w:highlight w:val="none"/>
          <w:u w:val="single"/>
        </w:rPr>
        <w:t>承包人应在施工合同签署后7日历天内按合同文件（投标承诺）提供项目管理机构及施工现场管理人员安排报告。承包人实际到位的主要管理人员与合同文件（投标承诺）不一致时，发包人有权处以5万元的违约扣款，若确需调换部分人员的，必须征得发包人的书面认同；若未经同意擅自调换，发包人有权终止合同并追究其违约责任</w:t>
      </w:r>
      <w:r>
        <w:rPr>
          <w:rFonts w:hint="eastAsia" w:ascii="宋体" w:hAnsi="宋体" w:cs="宋体"/>
          <w:color w:val="auto"/>
          <w:highlight w:val="none"/>
        </w:rPr>
        <w:t>。</w:t>
      </w:r>
    </w:p>
    <w:p w14:paraId="5B29A41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3.3.2  承包人需更换主要施工管理人员的，继任人员的数量、注册执业资格、管理经验的约定：</w:t>
      </w:r>
      <w:r>
        <w:rPr>
          <w:rFonts w:hint="eastAsia" w:ascii="宋体" w:hAnsi="宋体" w:cs="宋体"/>
          <w:b/>
          <w:color w:val="auto"/>
          <w:highlight w:val="none"/>
          <w:u w:val="single"/>
        </w:rPr>
        <w:t>不得低于原主要施工管理人员的注册执业资格、管理经验及技能水平</w:t>
      </w:r>
      <w:r>
        <w:rPr>
          <w:rFonts w:hint="eastAsia" w:ascii="宋体" w:hAnsi="宋体" w:cs="宋体"/>
          <w:color w:val="auto"/>
          <w:highlight w:val="none"/>
        </w:rPr>
        <w:t>。</w:t>
      </w:r>
    </w:p>
    <w:p w14:paraId="5928A50F">
      <w:pPr>
        <w:spacing w:line="460" w:lineRule="exact"/>
        <w:ind w:firstLine="412" w:firstLineChars="200"/>
        <w:rPr>
          <w:rFonts w:ascii="宋体" w:hAnsi="宋体" w:cs="宋体"/>
          <w:b/>
          <w:color w:val="auto"/>
          <w:highlight w:val="none"/>
          <w:u w:val="single"/>
        </w:rPr>
      </w:pPr>
      <w:r>
        <w:rPr>
          <w:rFonts w:hint="eastAsia" w:ascii="宋体" w:hAnsi="宋体" w:cs="宋体"/>
          <w:color w:val="auto"/>
          <w:highlight w:val="none"/>
        </w:rPr>
        <w:t>3.3.3  承包人无正当理由拒绝撤换主要施工管理人员的违约责任：</w:t>
      </w:r>
      <w:r>
        <w:rPr>
          <w:rFonts w:hint="eastAsia" w:ascii="宋体" w:hAnsi="宋体" w:cs="宋体"/>
          <w:b/>
          <w:color w:val="auto"/>
          <w:highlight w:val="none"/>
          <w:u w:val="single"/>
        </w:rPr>
        <w:t>承包人以下人员，经监理提出，发包人同意，必须在3天内调离本工程范围，否则按2000元/人/次付扣减承包人违约金；同时，承包人应在3天内用发包人批准的合格的人员代替上述调离的人员。上述违约金直接在当次工程款中扣除，最终以结算审定金额为准</w:t>
      </w:r>
      <w:r>
        <w:rPr>
          <w:rFonts w:hint="eastAsia" w:ascii="宋体" w:hAnsi="宋体" w:cs="宋体"/>
          <w:color w:val="auto"/>
          <w:highlight w:val="none"/>
        </w:rPr>
        <w:t>。</w:t>
      </w:r>
      <w:r>
        <w:rPr>
          <w:rFonts w:hint="eastAsia" w:ascii="宋体" w:hAnsi="宋体" w:cs="宋体"/>
          <w:b/>
          <w:color w:val="auto"/>
          <w:highlight w:val="none"/>
          <w:u w:val="single"/>
        </w:rPr>
        <w:t>发包人有证据确认无法胜任的工作者，包括：</w:t>
      </w:r>
    </w:p>
    <w:p w14:paraId="30A5D85F">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a.对分部分项工程施工进度及施工质量达不到合同要求负有责任的施工人员、不熟悉本专业工作的施工人员等；</w:t>
      </w:r>
    </w:p>
    <w:p w14:paraId="045B14CD">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b.不能积极配合监理及发包人正常工作者；</w:t>
      </w:r>
    </w:p>
    <w:p w14:paraId="5B14A0B1">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c.违反发包方或承包人工地现场管理规定者；</w:t>
      </w:r>
    </w:p>
    <w:p w14:paraId="7B94877C">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d.无证上岗者（适用于按规定必须有上岗证）；</w:t>
      </w:r>
    </w:p>
    <w:p w14:paraId="40E9008A">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e.与本合同规定名册不符者；</w:t>
      </w:r>
    </w:p>
    <w:p w14:paraId="77C94C99">
      <w:pPr>
        <w:spacing w:line="460" w:lineRule="exact"/>
        <w:ind w:firstLine="412" w:firstLineChars="200"/>
        <w:rPr>
          <w:rFonts w:ascii="宋体" w:hAnsi="宋体" w:cs="宋体"/>
          <w:color w:val="auto"/>
          <w:highlight w:val="none"/>
        </w:rPr>
      </w:pPr>
      <w:r>
        <w:rPr>
          <w:rFonts w:hint="eastAsia" w:ascii="宋体" w:hAnsi="宋体" w:cs="宋体"/>
          <w:b/>
          <w:color w:val="auto"/>
          <w:highlight w:val="none"/>
          <w:u w:val="single"/>
        </w:rPr>
        <w:t>f.与本工程施工无关的人员</w:t>
      </w:r>
      <w:r>
        <w:rPr>
          <w:rFonts w:hint="eastAsia" w:ascii="宋体" w:hAnsi="宋体" w:cs="宋体"/>
          <w:color w:val="auto"/>
          <w:highlight w:val="none"/>
        </w:rPr>
        <w:t>。</w:t>
      </w:r>
    </w:p>
    <w:p w14:paraId="479E0C8F">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b/>
          <w:color w:val="auto"/>
          <w:highlight w:val="none"/>
          <w:u w:val="single"/>
        </w:rPr>
        <w:t>主要施工管理人员到位率要求在90%（含）及以上，以日历天为计算基数。承包人应在主要施工管理人员离场前24小时前，向监理人提交书面离场申请（还应注明临时代行人员情况及其职责范围），并征得发包人书面同意后，方可离场</w:t>
      </w:r>
      <w:r>
        <w:rPr>
          <w:rFonts w:hint="eastAsia" w:ascii="宋体" w:hAnsi="宋体" w:cs="宋体"/>
          <w:color w:val="auto"/>
          <w:highlight w:val="none"/>
        </w:rPr>
        <w:t>。</w:t>
      </w:r>
    </w:p>
    <w:p w14:paraId="0C1EE932">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3.3.5承包人擅自更换主要施工管理人员的违约责任：</w:t>
      </w:r>
      <w:r>
        <w:rPr>
          <w:rFonts w:hint="eastAsia" w:ascii="宋体" w:hAnsi="宋体" w:cs="宋体"/>
          <w:b/>
          <w:color w:val="auto"/>
          <w:highlight w:val="none"/>
          <w:u w:val="single"/>
        </w:rPr>
        <w:t>不允许承包人更换主要施工管理人员，如因特殊情况确需更换的，须经发包人同意并备案。承包人未按上述约定擅自更换主要施工管理人员的视为承包人违约，并按 10000元/人/次付扣减承包人违约金。上述违约金直接在当次工程款中扣除，最终以结算审定金额为准</w:t>
      </w:r>
      <w:r>
        <w:rPr>
          <w:rFonts w:hint="eastAsia" w:ascii="宋体" w:hAnsi="宋体" w:cs="宋体"/>
          <w:color w:val="auto"/>
          <w:highlight w:val="none"/>
        </w:rPr>
        <w:t>。</w:t>
      </w:r>
    </w:p>
    <w:p w14:paraId="4677730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b/>
          <w:color w:val="auto"/>
          <w:highlight w:val="none"/>
          <w:u w:val="single"/>
        </w:rPr>
        <w:t>发包人将扣减承包人2000元/月/人的违约金；主要施工管理人员无故缺席或迟到重要施工工序、环节、会议的，另按500元/次/人扣减违约金，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color w:val="auto"/>
          <w:highlight w:val="none"/>
        </w:rPr>
        <w:t>。</w:t>
      </w:r>
    </w:p>
    <w:p w14:paraId="187FC7A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3.5  分包</w:t>
      </w:r>
    </w:p>
    <w:p w14:paraId="5541B065">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3.5.1分包的一般约定</w:t>
      </w:r>
    </w:p>
    <w:p w14:paraId="21AD5A88">
      <w:pPr>
        <w:spacing w:line="460" w:lineRule="exact"/>
        <w:ind w:firstLine="412" w:firstLineChars="200"/>
        <w:rPr>
          <w:rFonts w:ascii="宋体" w:hAnsi="宋体" w:cs="宋体"/>
          <w:b/>
          <w:bCs/>
          <w:color w:val="auto"/>
          <w:highlight w:val="none"/>
          <w:u w:val="single"/>
        </w:rPr>
      </w:pPr>
      <w:r>
        <w:rPr>
          <w:rFonts w:hint="eastAsia" w:ascii="宋体" w:hAnsi="宋体" w:cs="宋体"/>
          <w:color w:val="auto"/>
          <w:highlight w:val="none"/>
        </w:rPr>
        <w:t>禁止分包的工程包括：</w:t>
      </w:r>
      <w:r>
        <w:rPr>
          <w:rFonts w:hint="eastAsia" w:ascii="宋体" w:hAnsi="宋体" w:cs="宋体"/>
          <w:b/>
          <w:bCs/>
          <w:color w:val="auto"/>
          <w:highlight w:val="none"/>
          <w:u w:val="single"/>
        </w:rPr>
        <w:t>按通用合同条款约定。</w:t>
      </w:r>
    </w:p>
    <w:p w14:paraId="6E0F4A8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主体结构、关键性工作的范围：</w:t>
      </w:r>
      <w:r>
        <w:rPr>
          <w:rFonts w:hint="eastAsia" w:ascii="宋体" w:hAnsi="宋体" w:cs="宋体"/>
          <w:b/>
          <w:bCs/>
          <w:color w:val="auto"/>
          <w:highlight w:val="none"/>
          <w:u w:val="single"/>
        </w:rPr>
        <w:t>合同范围均为关键性工作范围</w:t>
      </w:r>
      <w:r>
        <w:rPr>
          <w:rFonts w:hint="eastAsia" w:ascii="宋体" w:hAnsi="宋体" w:cs="宋体"/>
          <w:color w:val="auto"/>
          <w:highlight w:val="none"/>
        </w:rPr>
        <w:t>。</w:t>
      </w:r>
    </w:p>
    <w:p w14:paraId="1CCAD7E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3.5.2  分包的确定</w:t>
      </w:r>
    </w:p>
    <w:p w14:paraId="1593F95F">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b/>
          <w:bCs/>
          <w:color w:val="auto"/>
          <w:highlight w:val="none"/>
          <w:u w:val="single"/>
        </w:rPr>
        <w:t>未经招标人同意，不得分包</w:t>
      </w:r>
      <w:r>
        <w:rPr>
          <w:rFonts w:hint="eastAsia" w:ascii="宋体" w:hAnsi="宋体" w:cs="宋体"/>
          <w:color w:val="auto"/>
          <w:highlight w:val="none"/>
        </w:rPr>
        <w:t>。</w:t>
      </w:r>
    </w:p>
    <w:p w14:paraId="17AC8E63">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其他关于分包的约定：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59AF98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3.5.4  分包合同价款</w:t>
      </w:r>
    </w:p>
    <w:p w14:paraId="0088BE38">
      <w:pPr>
        <w:spacing w:line="460" w:lineRule="exact"/>
        <w:ind w:firstLine="412" w:firstLineChars="200"/>
        <w:rPr>
          <w:rFonts w:ascii="宋体" w:hAnsi="宋体" w:cs="宋体"/>
          <w:b/>
          <w:color w:val="auto"/>
          <w:highlight w:val="none"/>
          <w:u w:val="single"/>
        </w:rPr>
      </w:pPr>
      <w:r>
        <w:rPr>
          <w:rFonts w:hint="eastAsia" w:ascii="宋体" w:hAnsi="宋体" w:cs="宋体"/>
          <w:color w:val="auto"/>
          <w:highlight w:val="none"/>
        </w:rPr>
        <w:t>关于分包合同价款支付的约定：</w:t>
      </w:r>
      <w:r>
        <w:rPr>
          <w:rFonts w:hint="eastAsia" w:ascii="宋体" w:hAnsi="宋体" w:cs="宋体"/>
          <w:bCs/>
          <w:color w:val="auto"/>
          <w:highlight w:val="none"/>
          <w:u w:val="single"/>
        </w:rPr>
        <w:t xml:space="preserve"> /。</w:t>
      </w:r>
    </w:p>
    <w:p w14:paraId="499DAF3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3.6  工程照管与成品、半成品保护</w:t>
      </w:r>
    </w:p>
    <w:p w14:paraId="058722B7">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承包人负责照管工程及工程相关的材料、工程设备的起始时间：</w:t>
      </w:r>
      <w:r>
        <w:rPr>
          <w:rFonts w:hint="eastAsia" w:ascii="宋体" w:hAnsi="宋体" w:cs="宋体"/>
          <w:b/>
          <w:color w:val="auto"/>
          <w:highlight w:val="none"/>
          <w:u w:val="single"/>
        </w:rPr>
        <w:t>自发包人向承包人移交施工现场之日起，直到颁发工程接收证书之日止</w:t>
      </w:r>
      <w:r>
        <w:rPr>
          <w:rFonts w:hint="eastAsia" w:ascii="宋体" w:hAnsi="宋体" w:cs="宋体"/>
          <w:color w:val="auto"/>
          <w:highlight w:val="none"/>
        </w:rPr>
        <w:t>。</w:t>
      </w:r>
    </w:p>
    <w:p w14:paraId="26DC6CE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3.7履约担保</w:t>
      </w:r>
    </w:p>
    <w:p w14:paraId="0D1B1EA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cs="宋体"/>
          <w:b/>
          <w:color w:val="auto"/>
          <w:highlight w:val="none"/>
          <w:u w:val="single"/>
        </w:rPr>
        <w:t>是</w:t>
      </w:r>
      <w:r>
        <w:rPr>
          <w:rFonts w:hint="eastAsia" w:ascii="宋体" w:hAnsi="宋体" w:cs="宋体"/>
          <w:color w:val="auto"/>
          <w:highlight w:val="none"/>
        </w:rPr>
        <w:t>。</w:t>
      </w:r>
    </w:p>
    <w:p w14:paraId="4FE1397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承包人提供履约担保的形式、金额及期限的，采用以下第</w:t>
      </w:r>
      <w:r>
        <w:rPr>
          <w:rFonts w:hint="eastAsia" w:ascii="宋体" w:hAnsi="宋体" w:cs="宋体"/>
          <w:color w:val="auto"/>
          <w:highlight w:val="none"/>
          <w:u w:val="single"/>
        </w:rPr>
        <w:t>（1）（2）（3）</w:t>
      </w:r>
      <w:r>
        <w:rPr>
          <w:rFonts w:hint="eastAsia" w:ascii="宋体" w:hAnsi="宋体" w:cs="宋体"/>
          <w:color w:val="auto"/>
          <w:highlight w:val="none"/>
        </w:rPr>
        <w:t>种方式：</w:t>
      </w:r>
    </w:p>
    <w:p w14:paraId="41732D1D">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保证保险，金额及期限为：签订合同后承包人提交合同总价</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的履约保证金，其中工程质量保证金占35%，工期保证金占35%，安全文明施工保证金占20%，项目经理到岗率90%以上占10%，承包人的提供保函的有效期为合同签订日至竣工验收（保函期限不得少于180天）合格后90天，在竣工验收合格后10日内返还；</w:t>
      </w:r>
    </w:p>
    <w:p w14:paraId="2B862322">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银行保函，金额及期限为：签订合同后承包人提交合同总价</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的履约保证金，其中工程质量保证金占35%，工期保证金占35%，安全文明施工保证金占20%，项目经理到岗率90%以上占10%，承包人的提供保函的有效期为合同签订日至竣工验收（保函期限不得少于180天）合格后90天，在竣工验收合格后10日内返还；</w:t>
      </w:r>
    </w:p>
    <w:p w14:paraId="2367FD8B">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其他方式：融资担保公司保函，签订合同后承包人提交合同总价</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 xml:space="preserve">%的履约保证金，其中工程质量保证金占35%，工期保证金占35%，安全文明施工保证金占20%，项目经理到岗率90%以上占10%，承包人的提供保函的有效期为合同签订日至竣工验收（保函期限不得少于180天）合格后90天，在竣工验收合格后10日内返还 </w:t>
      </w:r>
      <w:r>
        <w:rPr>
          <w:rFonts w:hint="eastAsia" w:ascii="宋体" w:hAnsi="宋体" w:cs="宋体"/>
          <w:color w:val="auto"/>
          <w:highlight w:val="none"/>
        </w:rPr>
        <w:t>。</w:t>
      </w:r>
    </w:p>
    <w:p w14:paraId="70CC00A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4 监理人</w:t>
      </w:r>
    </w:p>
    <w:p w14:paraId="4F1D555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4.1  监理人的一般规定</w:t>
      </w:r>
    </w:p>
    <w:p w14:paraId="313B026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b/>
          <w:color w:val="auto"/>
          <w:highlight w:val="none"/>
          <w:u w:val="single"/>
        </w:rPr>
        <w:t>按监理合同约定实行</w:t>
      </w:r>
      <w:r>
        <w:rPr>
          <w:rFonts w:hint="eastAsia" w:ascii="宋体" w:hAnsi="宋体" w:cs="宋体"/>
          <w:color w:val="auto"/>
          <w:highlight w:val="none"/>
        </w:rPr>
        <w:t>。</w:t>
      </w:r>
    </w:p>
    <w:p w14:paraId="3DBEEC8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b/>
          <w:color w:val="auto"/>
          <w:highlight w:val="none"/>
          <w:u w:val="single"/>
        </w:rPr>
        <w:t>按监理合同约定实行</w:t>
      </w:r>
      <w:r>
        <w:rPr>
          <w:rFonts w:hint="eastAsia" w:ascii="宋体" w:hAnsi="宋体" w:cs="宋体"/>
          <w:color w:val="auto"/>
          <w:highlight w:val="none"/>
        </w:rPr>
        <w:t>。</w:t>
      </w:r>
    </w:p>
    <w:p w14:paraId="51DF7826">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highlight w:val="none"/>
          <w:u w:val="single"/>
        </w:rPr>
        <w:t>由承包人提供并承担费用</w:t>
      </w:r>
      <w:r>
        <w:rPr>
          <w:rFonts w:hint="eastAsia" w:ascii="宋体" w:hAnsi="宋体" w:cs="宋体"/>
          <w:color w:val="auto"/>
          <w:highlight w:val="none"/>
        </w:rPr>
        <w:t>。</w:t>
      </w:r>
    </w:p>
    <w:p w14:paraId="78C83D8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4.2监理人员</w:t>
      </w:r>
    </w:p>
    <w:p w14:paraId="7AD9DCE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总监理工程师：</w:t>
      </w:r>
    </w:p>
    <w:p w14:paraId="0B41D03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2C57733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6E778E6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7C0790F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57F860C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w:t>
      </w:r>
    </w:p>
    <w:p w14:paraId="343BD7E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w:t>
      </w:r>
    </w:p>
    <w:p w14:paraId="7CA56AE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关于监理人的其他约定：</w:t>
      </w:r>
      <w:r>
        <w:rPr>
          <w:rFonts w:ascii="宋体" w:hAnsi="宋体" w:cs="宋体"/>
          <w:color w:val="auto"/>
          <w:highlight w:val="none"/>
          <w:u w:val="single"/>
        </w:rPr>
        <w:t>/</w:t>
      </w:r>
      <w:r>
        <w:rPr>
          <w:rFonts w:hint="eastAsia" w:ascii="宋体" w:hAnsi="宋体" w:cs="宋体"/>
          <w:color w:val="auto"/>
          <w:highlight w:val="none"/>
        </w:rPr>
        <w:t>。</w:t>
      </w:r>
    </w:p>
    <w:p w14:paraId="1C05D0F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4.4  商定或确定</w:t>
      </w:r>
    </w:p>
    <w:p w14:paraId="371FE81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14:paraId="7D36953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质量问题</w:t>
      </w:r>
      <w:r>
        <w:rPr>
          <w:rFonts w:hint="eastAsia" w:ascii="宋体" w:hAnsi="宋体" w:cs="宋体"/>
          <w:color w:val="auto"/>
          <w:highlight w:val="none"/>
        </w:rPr>
        <w:t>；</w:t>
      </w:r>
    </w:p>
    <w:p w14:paraId="446D28C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进度问题</w:t>
      </w:r>
      <w:r>
        <w:rPr>
          <w:rFonts w:hint="eastAsia" w:ascii="宋体" w:hAnsi="宋体" w:cs="宋体"/>
          <w:color w:val="auto"/>
          <w:highlight w:val="none"/>
        </w:rPr>
        <w:t>；</w:t>
      </w:r>
    </w:p>
    <w:p w14:paraId="08A8D50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工程款支付计量问题</w:t>
      </w:r>
      <w:r>
        <w:rPr>
          <w:rFonts w:hint="eastAsia" w:ascii="宋体" w:hAnsi="宋体" w:cs="宋体"/>
          <w:color w:val="auto"/>
          <w:highlight w:val="none"/>
        </w:rPr>
        <w:t>。</w:t>
      </w:r>
    </w:p>
    <w:p w14:paraId="5763EE2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5工程质量</w:t>
      </w:r>
    </w:p>
    <w:p w14:paraId="2401F2A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5.1质量要求</w:t>
      </w:r>
    </w:p>
    <w:p w14:paraId="06642259">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5.1.1特殊质量标准和要求：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65D5FA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关于工程奖项的约定：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B27AD25">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5.3  隐蔽工程检查</w:t>
      </w:r>
    </w:p>
    <w:p w14:paraId="22289CB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5.3.2 承包人提前通知监理人隐蔽工程检查的期限的约定：</w:t>
      </w:r>
    </w:p>
    <w:p w14:paraId="553DD759">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u w:val="single"/>
        </w:rPr>
        <w:t>双方约定中间验收部位：承包人自检合格后在隐蔽工程和中间验收 48 小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14:paraId="6252287D">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u w:val="single"/>
        </w:rPr>
        <w:t>隐蔽工程验收前，承包人必须提交隐蔽工程验收的必要资料，经监理人、承包人共同现场验收后填写；分部分项工程验收前，承包人需提供与本分部分项工程验收的相关的施工技术资料并经验收合格后才能进入下一道工序。对需验收而未验收就进入下一道工序的，承包人每次需向发包人支付违约金 5000 元，且发包人有权要求剥露验收，相应费用由承包人承担，且工期不予顺延。</w:t>
      </w:r>
    </w:p>
    <w:p w14:paraId="49DB3A68">
      <w:pPr>
        <w:spacing w:line="460" w:lineRule="exact"/>
        <w:ind w:firstLine="433" w:firstLineChars="210"/>
        <w:rPr>
          <w:rFonts w:ascii="宋体" w:hAnsi="宋体" w:cs="宋体"/>
          <w:b/>
          <w:bCs/>
          <w:color w:val="auto"/>
          <w:highlight w:val="none"/>
        </w:rPr>
      </w:pPr>
      <w:r>
        <w:rPr>
          <w:rFonts w:hint="eastAsia" w:ascii="宋体" w:hAnsi="宋体" w:cs="宋体"/>
          <w:b/>
          <w:bCs/>
          <w:color w:val="auto"/>
          <w:highlight w:val="none"/>
        </w:rPr>
        <w:t>监理人不能按时进行检查时，应提前</w:t>
      </w:r>
      <w:r>
        <w:rPr>
          <w:rFonts w:hint="eastAsia" w:ascii="宋体" w:hAnsi="宋体" w:cs="宋体"/>
          <w:b/>
          <w:bCs/>
          <w:color w:val="auto"/>
          <w:highlight w:val="none"/>
          <w:u w:val="single"/>
        </w:rPr>
        <w:t xml:space="preserve">24 </w:t>
      </w:r>
      <w:r>
        <w:rPr>
          <w:rFonts w:hint="eastAsia" w:ascii="宋体" w:hAnsi="宋体" w:cs="宋体"/>
          <w:b/>
          <w:bCs/>
          <w:color w:val="auto"/>
          <w:highlight w:val="none"/>
        </w:rPr>
        <w:t>小时提交书面延期要求。</w:t>
      </w:r>
    </w:p>
    <w:p w14:paraId="58BD16C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b/>
          <w:color w:val="auto"/>
          <w:highlight w:val="none"/>
          <w:u w:val="single"/>
        </w:rPr>
        <w:t>24</w:t>
      </w:r>
      <w:r>
        <w:rPr>
          <w:rFonts w:hint="eastAsia" w:ascii="宋体" w:hAnsi="宋体" w:cs="宋体"/>
          <w:color w:val="auto"/>
          <w:highlight w:val="none"/>
        </w:rPr>
        <w:t>小时。</w:t>
      </w:r>
    </w:p>
    <w:p w14:paraId="76BFBA1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6  安全文明施工与环境保护</w:t>
      </w:r>
    </w:p>
    <w:p w14:paraId="49F323F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6.1  安全文明施工</w:t>
      </w:r>
    </w:p>
    <w:p w14:paraId="76677B7C">
      <w:pPr>
        <w:spacing w:line="460" w:lineRule="exact"/>
        <w:ind w:firstLine="408" w:firstLineChars="198"/>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b/>
          <w:color w:val="auto"/>
          <w:highlight w:val="none"/>
          <w:u w:val="single"/>
        </w:rPr>
        <w:t>施工现场按照《建筑施工安全检查标准》（JGJ59-2011）评定达到“合格”标准</w:t>
      </w:r>
      <w:r>
        <w:rPr>
          <w:rFonts w:hint="eastAsia" w:ascii="宋体" w:hAnsi="宋体" w:cs="宋体"/>
          <w:color w:val="auto"/>
          <w:highlight w:val="none"/>
        </w:rPr>
        <w:t>。</w:t>
      </w:r>
    </w:p>
    <w:p w14:paraId="2F727A3E">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6.1.4关于治安保卫的特别约定：</w:t>
      </w:r>
      <w:r>
        <w:rPr>
          <w:rFonts w:hint="eastAsia" w:ascii="宋体" w:hAnsi="宋体" w:cs="宋体"/>
          <w:b/>
          <w:color w:val="auto"/>
          <w:highlight w:val="none"/>
          <w:u w:val="single"/>
        </w:rPr>
        <w:t>按通用合同条款约定</w:t>
      </w:r>
      <w:r>
        <w:rPr>
          <w:rFonts w:hint="eastAsia" w:ascii="宋体" w:hAnsi="宋体" w:cs="宋体"/>
          <w:color w:val="auto"/>
          <w:highlight w:val="none"/>
        </w:rPr>
        <w:t>。</w:t>
      </w:r>
    </w:p>
    <w:p w14:paraId="5001C6B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b/>
          <w:color w:val="auto"/>
          <w:highlight w:val="none"/>
          <w:u w:val="single"/>
        </w:rPr>
        <w:t>按通用合同条款约定</w:t>
      </w:r>
      <w:r>
        <w:rPr>
          <w:rFonts w:hint="eastAsia" w:ascii="宋体" w:hAnsi="宋体" w:cs="宋体"/>
          <w:color w:val="auto"/>
          <w:highlight w:val="none"/>
        </w:rPr>
        <w:t>。</w:t>
      </w:r>
    </w:p>
    <w:p w14:paraId="414A8BF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6.1.5  文明施工</w:t>
      </w:r>
    </w:p>
    <w:p w14:paraId="3158A25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合同当事人对文明施工的要求：</w:t>
      </w:r>
    </w:p>
    <w:p w14:paraId="2A1E1582">
      <w:pPr>
        <w:spacing w:line="460" w:lineRule="exact"/>
        <w:ind w:firstLine="408" w:firstLineChars="198"/>
        <w:rPr>
          <w:rFonts w:ascii="宋体" w:hAnsi="宋体" w:cs="宋体"/>
          <w:color w:val="auto"/>
          <w:highlight w:val="none"/>
          <w:u w:val="single"/>
          <w:lang w:val="zh-CN"/>
        </w:rPr>
      </w:pPr>
      <w:r>
        <w:rPr>
          <w:rFonts w:hint="eastAsia" w:ascii="宋体" w:hAnsi="宋体" w:cs="宋体"/>
          <w:color w:val="auto"/>
          <w:highlight w:val="none"/>
        </w:rPr>
        <w:t>（1）</w:t>
      </w:r>
      <w:r>
        <w:rPr>
          <w:rFonts w:hint="eastAsia" w:ascii="宋体" w:hAnsi="宋体" w:cs="宋体"/>
          <w:color w:val="auto"/>
          <w:highlight w:val="none"/>
          <w:u w:val="single"/>
          <w:lang w:val="zh-CN"/>
        </w:rPr>
        <w:t>遵守地方政府和有关部门对施工场地交通、环卫、安全和施工噪音等管理规定，并办理相关审批手续</w:t>
      </w:r>
      <w:r>
        <w:rPr>
          <w:rFonts w:hint="eastAsia" w:ascii="宋体" w:hAnsi="宋体" w:cs="宋体"/>
          <w:color w:val="auto"/>
          <w:highlight w:val="none"/>
          <w:lang w:val="zh-CN"/>
        </w:rPr>
        <w:t>。</w:t>
      </w:r>
    </w:p>
    <w:p w14:paraId="6DBF0B0B">
      <w:pPr>
        <w:spacing w:line="460" w:lineRule="exact"/>
        <w:ind w:firstLine="408" w:firstLineChars="198"/>
        <w:rPr>
          <w:rFonts w:ascii="宋体" w:hAnsi="宋体" w:cs="宋体"/>
          <w:color w:val="auto"/>
          <w:highlight w:val="none"/>
          <w:lang w:val="zh-CN"/>
        </w:rPr>
      </w:pPr>
      <w:r>
        <w:rPr>
          <w:rFonts w:hint="eastAsia" w:ascii="宋体" w:hAnsi="宋体" w:cs="宋体"/>
          <w:color w:val="auto"/>
          <w:highlight w:val="none"/>
          <w:lang w:val="zh-CN"/>
        </w:rPr>
        <w:t>（2）</w:t>
      </w:r>
      <w:r>
        <w:rPr>
          <w:rFonts w:hint="eastAsia" w:ascii="宋体" w:hAnsi="宋体" w:cs="宋体"/>
          <w:color w:val="auto"/>
          <w:highlight w:val="none"/>
          <w:u w:val="single"/>
          <w:lang w:val="zh-CN"/>
        </w:rPr>
        <w:t>承包人应采取有效措施尽量减小尘土和噪音污染，需要进行夜间作业时应经有关部门批准</w:t>
      </w:r>
      <w:r>
        <w:rPr>
          <w:rFonts w:hint="eastAsia" w:ascii="宋体" w:hAnsi="宋体" w:cs="宋体"/>
          <w:color w:val="auto"/>
          <w:highlight w:val="none"/>
          <w:lang w:val="zh-CN"/>
        </w:rPr>
        <w:t>。</w:t>
      </w:r>
    </w:p>
    <w:p w14:paraId="31C43220">
      <w:pPr>
        <w:spacing w:line="460" w:lineRule="exact"/>
        <w:ind w:firstLine="408" w:firstLineChars="198"/>
        <w:rPr>
          <w:rFonts w:ascii="宋体" w:hAnsi="宋体" w:cs="宋体"/>
          <w:color w:val="auto"/>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u w:val="single"/>
          <w:lang w:val="zh-CN"/>
        </w:rPr>
        <w:t>其他：</w:t>
      </w:r>
    </w:p>
    <w:p w14:paraId="67EDA9B2">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 xml:space="preserve">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对承包人处以相应的经济处罚。  </w:t>
      </w:r>
    </w:p>
    <w:p w14:paraId="58311CAE">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②承包人进场后与发包人签订现场安全文明施工协议书，由承包人编制专项详细方案，经双方确认后，承包人严格按此方案要求实施。认真落实各项安全保护措施，并随时接受行业安全检查人员、发包人或监理工程师及有关部门的监督检查。</w:t>
      </w:r>
    </w:p>
    <w:p w14:paraId="372F3F55">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③承包人必须按照《杭州市建设工程文明施工管理规定》等省市区工程建设安全文明施工的有关规定，做好安全生产、文明施工；安全生产、文明施工费用必须足额投入，专款专用，否则发包人有权拒绝支付该项费用。</w:t>
      </w:r>
    </w:p>
    <w:p w14:paraId="5EA149E1">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④承包人应随时接受发包人、监理人及有关部门的监督检查；巡查时发现环境保护、安全文明施工达不到要求的，第一次给予承包人警告并责令整改，第二次除立即整改外并向承包人扣罚0.5万元违约金，三次及以上，每次向承包人扣罚0.5-10万元违约金并扣除相应的措施费。被上级部门通报批评或媒体曝光的，视情节扣罚0.5-20万违约金；扣罚的款项发包人有权直接在履约担保金中扣除（不仅限于安全文明履约担保金），不足部分在当月工程款中扣除。</w:t>
      </w:r>
    </w:p>
    <w:p w14:paraId="5A007EA0">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⑤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14:paraId="77876CD0">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⑥安全施工所发生的费用承包人已在投标报价中包干，发生重大伤亡事故或其他事故，承包人应及时上报发包人，并承担全部赔偿责任（非承包人原因除外）。若发生伤亡事故，按照人民币5-50万元/人向发包人支付违约金，并确保在15天内，按照相关程序积极妥善处理好善后事宜，否则发包人有权直接处理。</w:t>
      </w:r>
    </w:p>
    <w:p w14:paraId="6C82E017">
      <w:pPr>
        <w:spacing w:line="460" w:lineRule="exact"/>
        <w:ind w:firstLine="408" w:firstLineChars="198"/>
        <w:rPr>
          <w:rFonts w:ascii="宋体" w:hAnsi="宋体" w:cs="宋体"/>
          <w:b/>
          <w:color w:val="auto"/>
          <w:highlight w:val="none"/>
          <w:u w:val="single"/>
          <w:lang w:val="zh-CN"/>
        </w:rPr>
      </w:pPr>
      <w:r>
        <w:rPr>
          <w:rFonts w:hint="eastAsia" w:ascii="宋体" w:hAnsi="宋体" w:cs="宋体"/>
          <w:b/>
          <w:bCs/>
          <w:color w:val="auto"/>
          <w:highlight w:val="none"/>
          <w:u w:val="single"/>
          <w:lang w:val="zh-CN"/>
        </w:rPr>
        <w:t>⑦工程竣工验</w:t>
      </w:r>
      <w:r>
        <w:rPr>
          <w:rFonts w:hint="eastAsia" w:ascii="宋体" w:hAnsi="宋体" w:cs="宋体"/>
          <w:b/>
          <w:color w:val="auto"/>
          <w:highlight w:val="none"/>
          <w:u w:val="single"/>
          <w:lang w:val="zh-CN"/>
        </w:rPr>
        <w:t>收交接完成后3天内，拆除所有的临时设施、设备和废料垃圾，并按要求清理干净并恢复因施工损坏的绿化，如不按时拆除、修复，发包人有权进行拆除、修复，所需费用从承包人工程款中扣回</w:t>
      </w:r>
      <w:r>
        <w:rPr>
          <w:rFonts w:hint="eastAsia" w:ascii="宋体" w:hAnsi="宋体" w:cs="宋体"/>
          <w:b/>
          <w:color w:val="auto"/>
          <w:highlight w:val="none"/>
          <w:lang w:val="zh-CN"/>
        </w:rPr>
        <w:t>。</w:t>
      </w:r>
    </w:p>
    <w:p w14:paraId="32BC6933">
      <w:pPr>
        <w:spacing w:line="460" w:lineRule="exact"/>
        <w:ind w:firstLine="408" w:firstLineChars="198"/>
        <w:rPr>
          <w:rFonts w:ascii="宋体" w:hAnsi="宋体" w:cs="宋体"/>
          <w:color w:val="auto"/>
          <w:highlight w:val="none"/>
          <w:u w:val="single"/>
          <w:lang w:val="zh-CN"/>
        </w:rPr>
      </w:pPr>
      <w:r>
        <w:rPr>
          <w:rFonts w:hint="eastAsia" w:ascii="宋体" w:hAnsi="宋体" w:cs="宋体"/>
          <w:color w:val="auto"/>
          <w:highlight w:val="none"/>
          <w:lang w:val="zh-CN"/>
        </w:rPr>
        <w:t>（4）</w:t>
      </w:r>
      <w:r>
        <w:rPr>
          <w:rFonts w:hint="eastAsia" w:ascii="宋体" w:hAnsi="宋体" w:cs="宋体"/>
          <w:color w:val="auto"/>
          <w:highlight w:val="none"/>
          <w:u w:val="single"/>
          <w:lang w:val="zh-CN"/>
        </w:rPr>
        <w:t xml:space="preserve">上述手续办理费用约定如下： </w:t>
      </w:r>
      <w:r>
        <w:rPr>
          <w:rFonts w:hint="eastAsia" w:ascii="宋体" w:hAnsi="宋体" w:cs="宋体"/>
          <w:b/>
          <w:color w:val="auto"/>
          <w:highlight w:val="none"/>
          <w:u w:val="single"/>
        </w:rPr>
        <w:t>承包人已在投标报价中包干，发生重大伤亡事故或其他事故，承包人应及时上报发包人，并承担全部赔偿责任</w:t>
      </w:r>
      <w:r>
        <w:rPr>
          <w:rFonts w:hint="eastAsia" w:ascii="宋体" w:hAnsi="宋体" w:cs="宋体"/>
          <w:color w:val="auto"/>
          <w:highlight w:val="none"/>
          <w:lang w:val="zh-CN"/>
        </w:rPr>
        <w:t>。</w:t>
      </w:r>
    </w:p>
    <w:p w14:paraId="27CB0EDA">
      <w:pPr>
        <w:spacing w:line="460" w:lineRule="exact"/>
        <w:ind w:firstLine="309" w:firstLineChars="150"/>
        <w:rPr>
          <w:rFonts w:ascii="宋体" w:hAnsi="宋体" w:cs="宋体"/>
          <w:color w:val="auto"/>
          <w:highlight w:val="none"/>
        </w:rPr>
      </w:pPr>
      <w:bookmarkStart w:id="410" w:name="ed_2023Y3M14D15H51M30"/>
      <w:r>
        <w:rPr>
          <w:rFonts w:hint="eastAsia" w:ascii="宋体" w:hAnsi="宋体" w:cs="宋体"/>
          <w:color w:val="auto"/>
          <w:highlight w:val="none"/>
        </w:rPr>
        <w:t>6.1.6  关于安全文明施工费支付比例和支付期限的约定，按以下</w:t>
      </w:r>
      <w:r>
        <w:rPr>
          <w:rFonts w:hint="eastAsia" w:ascii="宋体" w:hAnsi="宋体" w:cs="宋体"/>
          <w:color w:val="auto"/>
          <w:highlight w:val="none"/>
          <w:u w:val="single"/>
        </w:rPr>
        <w:t>第（1）种方式</w:t>
      </w:r>
      <w:r>
        <w:rPr>
          <w:rFonts w:hint="eastAsia" w:ascii="宋体" w:hAnsi="宋体" w:cs="宋体"/>
          <w:color w:val="auto"/>
          <w:highlight w:val="none"/>
        </w:rPr>
        <w:t>约定：</w:t>
      </w:r>
    </w:p>
    <w:bookmarkEnd w:id="410"/>
    <w:p w14:paraId="72D0871F">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发包人应在开工后28天内预付安全文明施工费总额的60%，剩余部分支付按以下第（ ① ）种方式约定：</w:t>
      </w:r>
    </w:p>
    <w:p w14:paraId="37A10479">
      <w:pPr>
        <w:spacing w:line="460" w:lineRule="exact"/>
        <w:ind w:firstLine="408" w:firstLineChars="198"/>
        <w:rPr>
          <w:rFonts w:ascii="宋体" w:hAnsi="宋体" w:cs="宋体"/>
          <w:color w:val="auto"/>
          <w:highlight w:val="none"/>
        </w:rPr>
      </w:pPr>
      <w:r>
        <w:rPr>
          <w:rFonts w:hint="eastAsia" w:ascii="宋体" w:hAnsi="宋体" w:cs="宋体"/>
          <w:color w:val="auto"/>
          <w:highlight w:val="none"/>
        </w:rPr>
        <w:t>①</w:t>
      </w:r>
      <w:r>
        <w:rPr>
          <w:rFonts w:hint="eastAsia" w:ascii="宋体" w:hAnsi="宋体" w:cs="宋体"/>
          <w:color w:val="auto"/>
          <w:highlight w:val="none"/>
          <w:u w:val="single"/>
        </w:rPr>
        <w:t>视相关措施的落实情况与进度款同期支付</w:t>
      </w:r>
      <w:r>
        <w:rPr>
          <w:rFonts w:hint="eastAsia" w:ascii="宋体" w:hAnsi="宋体" w:cs="宋体"/>
          <w:color w:val="auto"/>
          <w:highlight w:val="none"/>
        </w:rPr>
        <w:t>。</w:t>
      </w:r>
    </w:p>
    <w:p w14:paraId="78233489">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rPr>
        <w:t>②</w:t>
      </w:r>
      <w:r>
        <w:rPr>
          <w:rFonts w:hint="eastAsia" w:ascii="宋体" w:hAnsi="宋体" w:cs="宋体"/>
          <w:color w:val="auto"/>
          <w:highlight w:val="none"/>
          <w:u w:val="single"/>
        </w:rPr>
        <w:t xml:space="preserve">其他：    </w:t>
      </w:r>
      <w:r>
        <w:rPr>
          <w:rFonts w:hint="eastAsia" w:ascii="宋体" w:hAnsi="宋体" w:cs="宋体"/>
          <w:b/>
          <w:color w:val="auto"/>
          <w:highlight w:val="none"/>
          <w:u w:val="single"/>
        </w:rPr>
        <w:t xml:space="preserve">   /        </w:t>
      </w:r>
      <w:r>
        <w:rPr>
          <w:rFonts w:hint="eastAsia" w:ascii="宋体" w:hAnsi="宋体" w:cs="宋体"/>
          <w:color w:val="auto"/>
          <w:highlight w:val="none"/>
        </w:rPr>
        <w:t>。</w:t>
      </w:r>
    </w:p>
    <w:p w14:paraId="7F3474F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（2）其他：</w:t>
      </w:r>
      <w:r>
        <w:rPr>
          <w:rFonts w:hint="eastAsia" w:ascii="宋体" w:hAnsi="宋体" w:cs="宋体"/>
          <w:b/>
          <w:color w:val="auto"/>
          <w:highlight w:val="none"/>
          <w:u w:val="single"/>
        </w:rPr>
        <w:t>视相关措施的落实情况与进度款同期支付</w:t>
      </w:r>
      <w:r>
        <w:rPr>
          <w:rFonts w:hint="eastAsia" w:ascii="宋体" w:hAnsi="宋体" w:cs="宋体"/>
          <w:color w:val="auto"/>
          <w:highlight w:val="none"/>
        </w:rPr>
        <w:t xml:space="preserve"> 。</w:t>
      </w:r>
    </w:p>
    <w:p w14:paraId="75F59C9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7工期和进度</w:t>
      </w:r>
    </w:p>
    <w:p w14:paraId="41C944B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7.1  施工组织设计</w:t>
      </w:r>
    </w:p>
    <w:p w14:paraId="31B02EE3">
      <w:pPr>
        <w:spacing w:line="460" w:lineRule="exact"/>
        <w:ind w:firstLine="412" w:firstLineChars="200"/>
        <w:rPr>
          <w:rFonts w:ascii="宋体" w:hAnsi="宋体" w:cs="宋体"/>
          <w:b/>
          <w:bCs/>
          <w:color w:val="auto"/>
          <w:highlight w:val="none"/>
          <w:u w:val="single"/>
        </w:rPr>
      </w:pPr>
      <w:r>
        <w:rPr>
          <w:rFonts w:hint="eastAsia" w:ascii="宋体" w:hAnsi="宋体" w:cs="宋体"/>
          <w:color w:val="auto"/>
          <w:highlight w:val="none"/>
        </w:rPr>
        <w:t>7.1.1  合同当事人约定的施工组织设计应包括的其他内容：</w:t>
      </w:r>
      <w:r>
        <w:rPr>
          <w:rFonts w:hint="eastAsia" w:ascii="宋体" w:hAnsi="宋体" w:cs="宋体"/>
          <w:b/>
          <w:bCs/>
          <w:color w:val="auto"/>
          <w:highlight w:val="none"/>
          <w:u w:val="single"/>
        </w:rPr>
        <w:t>按监理工程师要求。</w:t>
      </w:r>
    </w:p>
    <w:p w14:paraId="608A2D4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7.1.2  施工组织设计的提交和修改</w:t>
      </w:r>
    </w:p>
    <w:p w14:paraId="0DE0E320">
      <w:pPr>
        <w:spacing w:line="460" w:lineRule="exact"/>
        <w:ind w:firstLine="433" w:firstLineChars="210"/>
        <w:rPr>
          <w:rFonts w:ascii="宋体" w:hAnsi="宋体" w:cs="宋体"/>
          <w:color w:val="auto"/>
          <w:highlight w:val="none"/>
          <w:u w:val="single"/>
        </w:rPr>
      </w:pPr>
      <w:r>
        <w:rPr>
          <w:rFonts w:hint="eastAsia" w:ascii="宋体" w:hAnsi="宋体" w:cs="宋体"/>
          <w:color w:val="auto"/>
          <w:highlight w:val="none"/>
        </w:rPr>
        <w:t>承包人提交详细施工组织设计的期限的约定：</w:t>
      </w:r>
      <w:r>
        <w:rPr>
          <w:rFonts w:hint="eastAsia" w:ascii="宋体" w:hAnsi="宋体" w:cs="宋体"/>
          <w:b/>
          <w:color w:val="auto"/>
          <w:highlight w:val="none"/>
          <w:u w:val="single"/>
        </w:rPr>
        <w:t>合同签订后（  7  ）天内提供详细施工组织设计（施工方案）和进度计划</w:t>
      </w:r>
      <w:r>
        <w:rPr>
          <w:rFonts w:hint="eastAsia" w:ascii="宋体" w:hAnsi="宋体" w:cs="宋体"/>
          <w:b/>
          <w:color w:val="auto"/>
          <w:highlight w:val="none"/>
        </w:rPr>
        <w:t>。</w:t>
      </w:r>
    </w:p>
    <w:p w14:paraId="3EC30A5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b/>
          <w:color w:val="auto"/>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highlight w:val="none"/>
        </w:rPr>
        <w:t>。</w:t>
      </w:r>
    </w:p>
    <w:p w14:paraId="329A37F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7.2  施工进度计划</w:t>
      </w:r>
    </w:p>
    <w:p w14:paraId="78E049B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7.2.2  施工进度计划的修订</w:t>
      </w:r>
    </w:p>
    <w:p w14:paraId="5F27ADD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b/>
          <w:color w:val="auto"/>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highlight w:val="none"/>
        </w:rPr>
        <w:t>。</w:t>
      </w:r>
    </w:p>
    <w:p w14:paraId="7D6D7F3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7.3  开工</w:t>
      </w:r>
    </w:p>
    <w:p w14:paraId="49E37D9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7.3.1  开工准备</w:t>
      </w:r>
    </w:p>
    <w:p w14:paraId="532ACCE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关于承包人提交工程开工报审表的期限：</w:t>
      </w:r>
      <w:r>
        <w:rPr>
          <w:rFonts w:hint="eastAsia" w:ascii="宋体" w:hAnsi="宋体" w:cs="宋体"/>
          <w:b/>
          <w:color w:val="auto"/>
          <w:highlight w:val="none"/>
          <w:u w:val="single"/>
        </w:rPr>
        <w:t>按通用合同条款约定</w:t>
      </w:r>
      <w:r>
        <w:rPr>
          <w:rFonts w:hint="eastAsia" w:ascii="宋体" w:hAnsi="宋体" w:cs="宋体"/>
          <w:color w:val="auto"/>
          <w:highlight w:val="none"/>
        </w:rPr>
        <w:t>。</w:t>
      </w:r>
    </w:p>
    <w:p w14:paraId="621FCE93">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关于发包人应完成的其他开工准备工作及期限：</w:t>
      </w:r>
      <w:r>
        <w:rPr>
          <w:rFonts w:hint="eastAsia" w:ascii="宋体" w:hAnsi="宋体" w:cs="宋体"/>
          <w:b/>
          <w:color w:val="auto"/>
          <w:highlight w:val="none"/>
          <w:u w:val="single"/>
        </w:rPr>
        <w:t>同施工组织设计的提交时间</w:t>
      </w:r>
      <w:r>
        <w:rPr>
          <w:rFonts w:hint="eastAsia" w:ascii="宋体" w:hAnsi="宋体" w:cs="宋体"/>
          <w:color w:val="auto"/>
          <w:highlight w:val="none"/>
        </w:rPr>
        <w:t>。</w:t>
      </w:r>
    </w:p>
    <w:p w14:paraId="5F17E53B">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关于承包人应完成的其他开工准备工作及期限：</w:t>
      </w:r>
      <w:r>
        <w:rPr>
          <w:rFonts w:hint="eastAsia" w:ascii="宋体" w:hAnsi="宋体" w:cs="宋体"/>
          <w:b/>
          <w:color w:val="auto"/>
          <w:highlight w:val="none"/>
          <w:u w:val="single"/>
        </w:rPr>
        <w:t>同施工组织设计的提交时间</w:t>
      </w:r>
      <w:r>
        <w:rPr>
          <w:rFonts w:hint="eastAsia" w:ascii="宋体" w:hAnsi="宋体" w:cs="宋体"/>
          <w:color w:val="auto"/>
          <w:highlight w:val="none"/>
        </w:rPr>
        <w:t>。</w:t>
      </w:r>
    </w:p>
    <w:p w14:paraId="5079DE9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7.3.2  开工通知</w:t>
      </w:r>
    </w:p>
    <w:p w14:paraId="2FAC58B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b/>
          <w:color w:val="auto"/>
          <w:highlight w:val="none"/>
          <w:u w:val="single"/>
        </w:rPr>
        <w:t>90</w:t>
      </w:r>
      <w:r>
        <w:rPr>
          <w:rFonts w:hint="eastAsia" w:ascii="宋体" w:hAnsi="宋体" w:cs="宋体"/>
          <w:color w:val="auto"/>
          <w:highlight w:val="none"/>
        </w:rPr>
        <w:t>天内发出开工通知的，承包人有权提出价格调整要求，或者解除合同。</w:t>
      </w:r>
    </w:p>
    <w:p w14:paraId="0050575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7.4  测量放线</w:t>
      </w:r>
    </w:p>
    <w:p w14:paraId="352D81E6">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7.4.1  发包人通过监理人向承包人提供测量基准点、基准线和水准点及其书面资料的期限：</w:t>
      </w:r>
      <w:r>
        <w:rPr>
          <w:rFonts w:hint="eastAsia" w:ascii="宋体" w:hAnsi="宋体" w:cs="宋体"/>
          <w:b/>
          <w:color w:val="auto"/>
          <w:highlight w:val="none"/>
          <w:u w:val="single"/>
        </w:rPr>
        <w:t>开工前5天，将水准点和坐标控制点以书面形式通过监理人提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r>
        <w:rPr>
          <w:rFonts w:hint="eastAsia" w:ascii="宋体" w:hAnsi="宋体" w:cs="宋体"/>
          <w:color w:val="auto"/>
          <w:highlight w:val="none"/>
        </w:rPr>
        <w:t>。</w:t>
      </w:r>
    </w:p>
    <w:p w14:paraId="11FF663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7.5工期延误</w:t>
      </w:r>
    </w:p>
    <w:p w14:paraId="6D5D128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7.5.1因发包人原因导致工期延误</w:t>
      </w:r>
    </w:p>
    <w:p w14:paraId="73A6DBF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（7）因发包人原因导致工期延误的其他情形：</w:t>
      </w:r>
    </w:p>
    <w:p w14:paraId="3E724FFE">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rPr>
        <w:t>①</w:t>
      </w:r>
      <w:r>
        <w:rPr>
          <w:rFonts w:hint="eastAsia" w:ascii="宋体" w:hAnsi="宋体" w:cs="宋体"/>
          <w:color w:val="auto"/>
          <w:highlight w:val="none"/>
          <w:u w:val="single"/>
        </w:rPr>
        <w:t>重大设计变更引起的工期延误</w:t>
      </w:r>
      <w:r>
        <w:rPr>
          <w:rFonts w:hint="eastAsia" w:ascii="宋体" w:hAnsi="宋体" w:cs="宋体"/>
          <w:color w:val="auto"/>
          <w:highlight w:val="none"/>
        </w:rPr>
        <w:t>；</w:t>
      </w:r>
    </w:p>
    <w:p w14:paraId="75091C25">
      <w:pPr>
        <w:spacing w:line="460" w:lineRule="exact"/>
        <w:ind w:firstLine="408" w:firstLineChars="198"/>
        <w:rPr>
          <w:rFonts w:ascii="宋体" w:hAnsi="宋体" w:cs="宋体"/>
          <w:b/>
          <w:color w:val="auto"/>
          <w:highlight w:val="none"/>
          <w:u w:val="single"/>
        </w:rPr>
      </w:pPr>
      <w:r>
        <w:rPr>
          <w:rFonts w:hint="eastAsia" w:ascii="宋体" w:hAnsi="宋体" w:cs="宋体"/>
          <w:color w:val="auto"/>
          <w:highlight w:val="none"/>
        </w:rPr>
        <w:t>②</w:t>
      </w:r>
      <w:r>
        <w:rPr>
          <w:rFonts w:hint="eastAsia" w:ascii="宋体" w:hAnsi="宋体" w:cs="宋体"/>
          <w:color w:val="auto"/>
          <w:highlight w:val="none"/>
          <w:u w:val="single"/>
        </w:rPr>
        <w:t>其他：</w:t>
      </w:r>
      <w:r>
        <w:rPr>
          <w:rFonts w:hint="eastAsia" w:ascii="宋体" w:hAnsi="宋体" w:cs="宋体"/>
          <w:b/>
          <w:color w:val="auto"/>
          <w:highlight w:val="none"/>
          <w:u w:val="single"/>
        </w:rPr>
        <w:t>通用条款7.5.1款第（6）项“监理人未按合同约定发出指示、批准等文件”是指在监理人未按合同约定发出指示、批准的情况下，承包人同时向发包人、监理人发出书面催告后的合理期限内，监理人仍未发出指示、批准。</w:t>
      </w:r>
    </w:p>
    <w:p w14:paraId="18BA90F0">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若因发包人原因导致局部工程施工受到影响，承包人应采取合理措施予以弥补，延期工程如果不在工程施工进度网络计划的关键线路上，工程总工期不予延长。</w:t>
      </w:r>
    </w:p>
    <w:p w14:paraId="67BFD7A7">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14:paraId="6018B762">
      <w:pPr>
        <w:spacing w:line="460" w:lineRule="exact"/>
        <w:ind w:firstLine="408" w:firstLineChars="198"/>
        <w:rPr>
          <w:rFonts w:ascii="宋体" w:hAnsi="宋体" w:cs="宋体"/>
          <w:b/>
          <w:color w:val="auto"/>
          <w:highlight w:val="none"/>
          <w:u w:val="single"/>
        </w:rPr>
      </w:pPr>
      <w:r>
        <w:rPr>
          <w:rFonts w:hint="eastAsia" w:ascii="宋体" w:hAnsi="宋体" w:cs="宋体"/>
          <w:b/>
          <w:color w:val="auto"/>
          <w:highlight w:val="none"/>
          <w:u w:val="single"/>
        </w:rPr>
        <w:t>承包人按协议条款约定的开工日期开始施工，具体开、停和复工的时间以发包人（或监理单位）的签证为准。除经监理和发包人联系单签证同意外，工期一律不得顺延</w:t>
      </w:r>
      <w:r>
        <w:rPr>
          <w:rFonts w:hint="eastAsia" w:ascii="宋体" w:hAnsi="宋体" w:cs="宋体"/>
          <w:b/>
          <w:color w:val="auto"/>
          <w:highlight w:val="none"/>
        </w:rPr>
        <w:t>。</w:t>
      </w:r>
    </w:p>
    <w:p w14:paraId="6F2AA30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7.5.2 因承包人原因导致工期延误</w:t>
      </w:r>
    </w:p>
    <w:p w14:paraId="302F829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因承包人原因造成工期延误，逾期竣工违约金的计算方法为：</w:t>
      </w:r>
      <w:r>
        <w:rPr>
          <w:rFonts w:hint="eastAsia" w:ascii="宋体" w:hAnsi="宋体" w:cs="宋体"/>
          <w:b/>
          <w:color w:val="auto"/>
          <w:highlight w:val="none"/>
          <w:u w:val="single"/>
        </w:rPr>
        <w:t>因承包人原因不能按照协议书约定的竣工日期或工程师同意顺延的工期竣工的，每延误一天扣罚承包人结算审定总价的万分之二的违约金，累计最高限额不超过工期履约保证金（签约合同价的</w:t>
      </w:r>
      <w:r>
        <w:rPr>
          <w:rFonts w:hint="eastAsia" w:ascii="宋体" w:hAnsi="宋体" w:cs="宋体"/>
          <w:b/>
          <w:color w:val="auto"/>
          <w:highlight w:val="none"/>
          <w:u w:val="single"/>
          <w:lang w:val="en-US" w:eastAsia="zh-CN"/>
        </w:rPr>
        <w:t>1</w:t>
      </w:r>
      <w:r>
        <w:rPr>
          <w:rFonts w:hint="eastAsia" w:ascii="宋体" w:hAnsi="宋体" w:cs="宋体"/>
          <w:b/>
          <w:color w:val="auto"/>
          <w:highlight w:val="none"/>
          <w:u w:val="single"/>
        </w:rPr>
        <w:t>%）；如因承包人原因造成工期严重滞后（工期延误60天及以上），又无明显改进措施的，除按上述条款对承包人进行扣罚外，发包人有权单方面终止本承包合同并要求承包人无条件退场，同时发包人有权安排其它施工单位进场施工；承包人须承担由此产生的一切损失，相关费用经审计确认后从承包人合同价款中扣除</w:t>
      </w:r>
      <w:r>
        <w:rPr>
          <w:rFonts w:hint="eastAsia" w:ascii="宋体" w:hAnsi="宋体" w:cs="宋体"/>
          <w:color w:val="auto"/>
          <w:highlight w:val="none"/>
        </w:rPr>
        <w:t>。</w:t>
      </w:r>
    </w:p>
    <w:p w14:paraId="593B927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b/>
          <w:color w:val="auto"/>
          <w:highlight w:val="none"/>
          <w:u w:val="single"/>
        </w:rPr>
        <w:t>工期履约保证金（签约合同价的</w:t>
      </w:r>
      <w:r>
        <w:rPr>
          <w:rFonts w:hint="eastAsia" w:ascii="宋体" w:hAnsi="宋体" w:cs="宋体"/>
          <w:b/>
          <w:color w:val="auto"/>
          <w:highlight w:val="none"/>
          <w:u w:val="single"/>
          <w:lang w:val="en-US" w:eastAsia="zh-CN"/>
        </w:rPr>
        <w:t>1</w:t>
      </w:r>
      <w:r>
        <w:rPr>
          <w:rFonts w:hint="eastAsia" w:ascii="宋体" w:hAnsi="宋体" w:cs="宋体"/>
          <w:b/>
          <w:color w:val="auto"/>
          <w:highlight w:val="none"/>
          <w:u w:val="single"/>
        </w:rPr>
        <w:t>%）</w:t>
      </w:r>
      <w:r>
        <w:rPr>
          <w:rFonts w:hint="eastAsia" w:ascii="宋体" w:hAnsi="宋体" w:cs="宋体"/>
          <w:color w:val="auto"/>
          <w:highlight w:val="none"/>
        </w:rPr>
        <w:t>。</w:t>
      </w:r>
    </w:p>
    <w:p w14:paraId="671D995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7.6 不利物质条件</w:t>
      </w:r>
    </w:p>
    <w:p w14:paraId="700ABEF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不利物质条件的其他情形和有关约定：</w:t>
      </w:r>
    </w:p>
    <w:p w14:paraId="0D00247B">
      <w:pPr>
        <w:spacing w:line="460" w:lineRule="exact"/>
        <w:ind w:firstLine="408" w:firstLineChars="198"/>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施工场地周围地下管线：</w:t>
      </w:r>
      <w:r>
        <w:rPr>
          <w:rFonts w:hint="eastAsia" w:ascii="宋体" w:hAnsi="宋体" w:cs="宋体"/>
          <w:b/>
          <w:color w:val="auto"/>
          <w:highlight w:val="none"/>
          <w:u w:val="single"/>
        </w:rPr>
        <w:t>发包人在招标前提供已知原有地下管线资料，承包人在施工前对地下管线提出保护方案，经发包人及有关部门审核后，费用由承包人承担。发包人未提供且招标文件未明确需承包人承担的保护工作，承包人需向发包人及时报告施工现场内须保护的新发现的未知地下管线由承包人负责开挖样洞并及时报告工程监理人及发包人，承包人提出保护方案，经发包人及有关部门审核后，费用由发包人承担</w:t>
      </w:r>
      <w:r>
        <w:rPr>
          <w:rFonts w:hint="eastAsia" w:ascii="宋体" w:hAnsi="宋体" w:cs="宋体"/>
          <w:color w:val="auto"/>
          <w:highlight w:val="none"/>
        </w:rPr>
        <w:t>；</w:t>
      </w:r>
    </w:p>
    <w:p w14:paraId="0B1A085B">
      <w:pPr>
        <w:spacing w:line="460" w:lineRule="exact"/>
        <w:ind w:firstLine="408" w:firstLineChars="198"/>
        <w:rPr>
          <w:rFonts w:ascii="宋体" w:hAnsi="宋体" w:cs="宋体"/>
          <w:b/>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地下障碍物和污染物：</w:t>
      </w:r>
      <w:r>
        <w:rPr>
          <w:rFonts w:hint="eastAsia" w:ascii="宋体" w:hAnsi="宋体" w:cs="宋体"/>
          <w:b/>
          <w:color w:val="auto"/>
          <w:highlight w:val="none"/>
          <w:u w:val="single"/>
        </w:rPr>
        <w:t>及时报告发包人、监理工程师，并由承包人提出处置方案，经发包人及有关部门审核后，费用由发包人承担。因承包人处置不当造成的损失，其费用由承包人承担；招标时发包人已明确告之的地下障碍物和污染物，处理费用由承包人承担</w:t>
      </w:r>
      <w:r>
        <w:rPr>
          <w:rFonts w:hint="eastAsia" w:ascii="宋体" w:hAnsi="宋体" w:cs="宋体"/>
          <w:b/>
          <w:color w:val="auto"/>
          <w:highlight w:val="none"/>
        </w:rPr>
        <w:t>；</w:t>
      </w:r>
    </w:p>
    <w:p w14:paraId="13AD1CA8">
      <w:pPr>
        <w:spacing w:line="460" w:lineRule="exact"/>
        <w:ind w:firstLine="408" w:firstLineChars="198"/>
        <w:rPr>
          <w:rFonts w:ascii="宋体" w:hAnsi="宋体" w:cs="宋体"/>
          <w:b/>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邻近建筑物、构筑物的保护要求：</w:t>
      </w:r>
      <w:r>
        <w:rPr>
          <w:rFonts w:hint="eastAsia" w:ascii="宋体" w:hAnsi="宋体" w:cs="宋体"/>
          <w:b/>
          <w:color w:val="auto"/>
          <w:highlight w:val="none"/>
          <w:u w:val="single"/>
        </w:rPr>
        <w:t>由承包人提出保护方案，经发包人及有关部门审核后，费用由发包人承担。因承包人施工不当造成的损失，其费用由承包人承担</w:t>
      </w:r>
      <w:r>
        <w:rPr>
          <w:rFonts w:hint="eastAsia" w:ascii="宋体" w:hAnsi="宋体" w:cs="宋体"/>
          <w:b/>
          <w:color w:val="auto"/>
          <w:highlight w:val="none"/>
        </w:rPr>
        <w:t>；</w:t>
      </w:r>
    </w:p>
    <w:p w14:paraId="670E6DAC">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 xml:space="preserve">其他： /  </w:t>
      </w:r>
      <w:r>
        <w:rPr>
          <w:rFonts w:hint="eastAsia" w:ascii="宋体" w:hAnsi="宋体" w:cs="宋体"/>
          <w:color w:val="auto"/>
          <w:highlight w:val="none"/>
        </w:rPr>
        <w:t>。</w:t>
      </w:r>
    </w:p>
    <w:p w14:paraId="54A9E40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7.7异常恶劣的气候条件</w:t>
      </w:r>
    </w:p>
    <w:p w14:paraId="2F11B47A">
      <w:pPr>
        <w:spacing w:line="460" w:lineRule="exact"/>
        <w:ind w:firstLine="412" w:firstLineChars="200"/>
        <w:rPr>
          <w:rFonts w:ascii="宋体" w:hAnsi="宋体" w:cs="宋体"/>
          <w:b/>
          <w:color w:val="auto"/>
          <w:highlight w:val="none"/>
        </w:rPr>
      </w:pPr>
      <w:r>
        <w:rPr>
          <w:rFonts w:hint="eastAsia" w:ascii="宋体" w:hAnsi="宋体" w:cs="宋体"/>
          <w:color w:val="auto"/>
          <w:highlight w:val="none"/>
        </w:rPr>
        <w:t>发包人和承包人同意以下情形视为异常恶劣的气候条件：</w:t>
      </w:r>
    </w:p>
    <w:p w14:paraId="3386FA04">
      <w:pPr>
        <w:spacing w:line="460" w:lineRule="exact"/>
        <w:ind w:firstLine="412" w:firstLineChars="200"/>
        <w:rPr>
          <w:rFonts w:ascii="宋体" w:hAnsi="宋体" w:cs="宋体"/>
          <w:b/>
          <w:color w:val="auto"/>
          <w:highlight w:val="none"/>
        </w:rPr>
      </w:pPr>
      <w:r>
        <w:rPr>
          <w:rFonts w:hint="eastAsia" w:ascii="宋体" w:hAnsi="宋体" w:cs="宋体"/>
          <w:color w:val="auto"/>
          <w:highlight w:val="none"/>
        </w:rPr>
        <w:t>（1）</w:t>
      </w:r>
      <w:r>
        <w:rPr>
          <w:rFonts w:hint="eastAsia" w:ascii="宋体" w:hAnsi="宋体" w:cs="宋体"/>
          <w:b/>
          <w:color w:val="auto"/>
          <w:highlight w:val="none"/>
          <w:u w:val="single"/>
        </w:rPr>
        <w:t>十级以上台风</w:t>
      </w:r>
      <w:r>
        <w:rPr>
          <w:rFonts w:hint="eastAsia" w:ascii="宋体" w:hAnsi="宋体" w:cs="宋体"/>
          <w:color w:val="auto"/>
          <w:highlight w:val="none"/>
        </w:rPr>
        <w:t>；</w:t>
      </w:r>
    </w:p>
    <w:p w14:paraId="4BD38CC4">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b/>
          <w:color w:val="auto"/>
          <w:highlight w:val="none"/>
          <w:u w:val="single"/>
        </w:rPr>
        <w:t>连续十天暴雨</w:t>
      </w:r>
      <w:r>
        <w:rPr>
          <w:rFonts w:hint="eastAsia" w:ascii="宋体" w:hAnsi="宋体" w:cs="宋体"/>
          <w:color w:val="auto"/>
          <w:highlight w:val="none"/>
        </w:rPr>
        <w:t>；</w:t>
      </w:r>
    </w:p>
    <w:p w14:paraId="0EAA4F0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b/>
          <w:color w:val="auto"/>
          <w:highlight w:val="none"/>
          <w:u w:val="single"/>
        </w:rPr>
        <w:t>启动防汛预警一级响应的天气</w:t>
      </w:r>
      <w:r>
        <w:rPr>
          <w:rFonts w:hint="eastAsia" w:ascii="宋体" w:hAnsi="宋体" w:cs="宋体"/>
          <w:color w:val="auto"/>
          <w:highlight w:val="none"/>
        </w:rPr>
        <w:t>。</w:t>
      </w:r>
    </w:p>
    <w:p w14:paraId="24714E23">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u w:val="single"/>
        </w:rPr>
        <w:t>以上恶劣的气候以当地气象部门或相关权威部门发布信息为准</w:t>
      </w:r>
      <w:r>
        <w:rPr>
          <w:rFonts w:hint="eastAsia" w:ascii="宋体" w:hAnsi="宋体" w:cs="宋体"/>
          <w:b/>
          <w:color w:val="auto"/>
          <w:highlight w:val="none"/>
        </w:rPr>
        <w:t>。</w:t>
      </w:r>
    </w:p>
    <w:p w14:paraId="5FEA573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7.9  提前竣工的奖励</w:t>
      </w:r>
    </w:p>
    <w:p w14:paraId="1863A0E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7.9.2  提前竣工的奖励：</w:t>
      </w:r>
      <w:r>
        <w:rPr>
          <w:rFonts w:hint="eastAsia" w:ascii="宋体" w:hAnsi="宋体" w:cs="宋体"/>
          <w:b/>
          <w:color w:val="auto"/>
          <w:highlight w:val="none"/>
          <w:u w:val="single"/>
        </w:rPr>
        <w:t xml:space="preserve">   /   </w:t>
      </w:r>
      <w:r>
        <w:rPr>
          <w:rFonts w:hint="eastAsia" w:ascii="宋体" w:hAnsi="宋体" w:cs="宋体"/>
          <w:color w:val="auto"/>
          <w:highlight w:val="none"/>
        </w:rPr>
        <w:t>。</w:t>
      </w:r>
    </w:p>
    <w:p w14:paraId="1B7D559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8材料与设备</w:t>
      </w:r>
    </w:p>
    <w:p w14:paraId="5179B28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8.4  材料与工程设备的保管与使用</w:t>
      </w:r>
    </w:p>
    <w:p w14:paraId="742FDBCE">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8.4.1  发包人供应的材料设备的保管费用的承担：</w:t>
      </w:r>
      <w:r>
        <w:rPr>
          <w:rFonts w:hint="eastAsia" w:ascii="宋体" w:hAnsi="宋体" w:cs="宋体"/>
          <w:b/>
          <w:color w:val="auto"/>
          <w:highlight w:val="none"/>
          <w:u w:val="single"/>
        </w:rPr>
        <w:t>发包人供应并由承包人使用或安装的材料设备，承包人派人参加清点后由承包人妥善保管，相应保管费（包括提供仓库、保管）、安装过程中的二次搬运和设备就位费、检验试验费均包含在投标总价中，不另行计取。因承包人原因发生丢失损坏，由承包人负责赔偿。发包人未通知承包人清点，承包人不负责材料设备的保管，丢失损坏由发包人负责</w:t>
      </w:r>
      <w:r>
        <w:rPr>
          <w:rFonts w:hint="eastAsia" w:ascii="宋体" w:hAnsi="宋体" w:cs="宋体"/>
          <w:color w:val="auto"/>
          <w:highlight w:val="none"/>
        </w:rPr>
        <w:t>。</w:t>
      </w:r>
    </w:p>
    <w:p w14:paraId="2BD20E7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8.6  样品</w:t>
      </w:r>
    </w:p>
    <w:p w14:paraId="47576A4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8.6.1  样品的报送与封存</w:t>
      </w:r>
    </w:p>
    <w:p w14:paraId="751ED82A">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需要承包人报送样品的材料或工程设备，样品的种类、名称、规格、数量要求：</w:t>
      </w:r>
      <w:r>
        <w:rPr>
          <w:rFonts w:hint="eastAsia" w:ascii="宋体" w:hAnsi="宋体" w:cs="宋体"/>
          <w:b/>
          <w:color w:val="auto"/>
          <w:highlight w:val="none"/>
          <w:u w:val="single"/>
        </w:rPr>
        <w:t>按发包人或监理人的书面要求提供</w:t>
      </w:r>
      <w:r>
        <w:rPr>
          <w:rFonts w:hint="eastAsia" w:ascii="宋体" w:hAnsi="宋体" w:cs="宋体"/>
          <w:color w:val="auto"/>
          <w:highlight w:val="none"/>
        </w:rPr>
        <w:t>。</w:t>
      </w:r>
    </w:p>
    <w:p w14:paraId="01BB391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8.8施工设备和临时设施</w:t>
      </w:r>
    </w:p>
    <w:p w14:paraId="42AB631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8.8.1  承包人提供的施工设备和临时设施</w:t>
      </w:r>
    </w:p>
    <w:p w14:paraId="5D659A9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关于修建临时设施费用承担的约定：</w:t>
      </w:r>
      <w:r>
        <w:rPr>
          <w:rFonts w:hint="eastAsia" w:ascii="宋体" w:hAnsi="宋体" w:cs="宋体"/>
          <w:b/>
          <w:color w:val="auto"/>
          <w:highlight w:val="none"/>
          <w:u w:val="single"/>
        </w:rPr>
        <w:t>由承包人承担。如在施工红线范围外，需外借场地，由承包人自行借地，费用由承包人支付，发包人配合</w:t>
      </w:r>
      <w:r>
        <w:rPr>
          <w:rFonts w:hint="eastAsia" w:ascii="宋体" w:hAnsi="宋体" w:cs="宋体"/>
          <w:color w:val="auto"/>
          <w:highlight w:val="none"/>
        </w:rPr>
        <w:t>。</w:t>
      </w:r>
    </w:p>
    <w:p w14:paraId="654B470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9试验与检验</w:t>
      </w:r>
    </w:p>
    <w:p w14:paraId="0EEEF60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9.1试验设备与试验人员</w:t>
      </w:r>
    </w:p>
    <w:p w14:paraId="20B327B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9.1.2 试验设备</w:t>
      </w:r>
    </w:p>
    <w:p w14:paraId="2A641CB2">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施工现场需要配置的试验场所：</w:t>
      </w:r>
      <w:r>
        <w:rPr>
          <w:rFonts w:hint="eastAsia" w:ascii="宋体" w:hAnsi="宋体" w:cs="宋体"/>
          <w:b/>
          <w:color w:val="auto"/>
          <w:highlight w:val="none"/>
          <w:u w:val="single"/>
        </w:rPr>
        <w:t>按有关规定和发包人或监理人要求执行，由承包人承担相应费用</w:t>
      </w:r>
      <w:r>
        <w:rPr>
          <w:rFonts w:hint="eastAsia" w:ascii="宋体" w:hAnsi="宋体" w:cs="宋体"/>
          <w:color w:val="auto"/>
          <w:highlight w:val="none"/>
        </w:rPr>
        <w:t>。</w:t>
      </w:r>
    </w:p>
    <w:p w14:paraId="3E4DD0B2">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施工现场需要配备的试验设备：</w:t>
      </w:r>
      <w:r>
        <w:rPr>
          <w:rFonts w:hint="eastAsia" w:ascii="宋体" w:hAnsi="宋体" w:cs="宋体"/>
          <w:b/>
          <w:color w:val="auto"/>
          <w:highlight w:val="none"/>
          <w:u w:val="single"/>
        </w:rPr>
        <w:t>按有关规定和发包人或监理人要求执行，由承包人承担相应费用</w:t>
      </w:r>
      <w:r>
        <w:rPr>
          <w:rFonts w:hint="eastAsia" w:ascii="宋体" w:hAnsi="宋体" w:cs="宋体"/>
          <w:color w:val="auto"/>
          <w:highlight w:val="none"/>
        </w:rPr>
        <w:t>。</w:t>
      </w:r>
    </w:p>
    <w:p w14:paraId="10D2A7CE">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施工现场需要具备的其他试验条件：</w:t>
      </w:r>
      <w:r>
        <w:rPr>
          <w:rFonts w:hint="eastAsia" w:ascii="宋体" w:hAnsi="宋体" w:cs="宋体"/>
          <w:b/>
          <w:color w:val="auto"/>
          <w:highlight w:val="none"/>
          <w:u w:val="single"/>
        </w:rPr>
        <w:t>按有关规定和发包人或监理人要求执行，由承包人承担相应费用</w:t>
      </w:r>
      <w:r>
        <w:rPr>
          <w:rFonts w:hint="eastAsia" w:ascii="宋体" w:hAnsi="宋体" w:cs="宋体"/>
          <w:color w:val="auto"/>
          <w:highlight w:val="none"/>
        </w:rPr>
        <w:t>。</w:t>
      </w:r>
    </w:p>
    <w:p w14:paraId="7093A8E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9.3  材料、工程设备和工程的试验和检验</w:t>
      </w:r>
    </w:p>
    <w:p w14:paraId="3C61BE0B">
      <w:pPr>
        <w:spacing w:line="460" w:lineRule="exact"/>
        <w:ind w:firstLine="389" w:firstLineChars="189"/>
        <w:rPr>
          <w:rFonts w:ascii="宋体" w:hAnsi="宋体" w:cs="宋体"/>
          <w:b/>
          <w:color w:val="auto"/>
          <w:highlight w:val="none"/>
          <w:u w:val="single"/>
        </w:rPr>
      </w:pPr>
      <w:r>
        <w:rPr>
          <w:rFonts w:hint="eastAsia" w:ascii="宋体" w:hAnsi="宋体" w:cs="宋体"/>
          <w:color w:val="auto"/>
          <w:highlight w:val="none"/>
        </w:rPr>
        <w:t>试验、检测单位资质条件约定：</w:t>
      </w:r>
      <w:r>
        <w:rPr>
          <w:rFonts w:hint="eastAsia" w:ascii="宋体" w:hAnsi="宋体" w:cs="宋体"/>
          <w:b/>
          <w:color w:val="auto"/>
          <w:highlight w:val="none"/>
          <w:u w:val="single"/>
        </w:rPr>
        <w:t>具备国家相关部门颁布的资质条件和发包人或监理人要求执行；</w:t>
      </w:r>
    </w:p>
    <w:p w14:paraId="21DCB253">
      <w:pPr>
        <w:spacing w:line="460" w:lineRule="exact"/>
        <w:ind w:firstLine="389" w:firstLineChars="189"/>
        <w:rPr>
          <w:rFonts w:ascii="宋体" w:hAnsi="宋体" w:cs="宋体"/>
          <w:b/>
          <w:color w:val="auto"/>
          <w:highlight w:val="none"/>
          <w:u w:val="single"/>
        </w:rPr>
      </w:pPr>
      <w:r>
        <w:rPr>
          <w:rFonts w:hint="eastAsia" w:ascii="宋体" w:hAnsi="宋体" w:cs="宋体"/>
          <w:color w:val="auto"/>
          <w:highlight w:val="none"/>
        </w:rPr>
        <w:t>试验、检测单位选择约定：</w:t>
      </w:r>
      <w:r>
        <w:rPr>
          <w:rFonts w:hint="eastAsia" w:ascii="宋体" w:hAnsi="宋体" w:cs="宋体"/>
          <w:b/>
          <w:color w:val="auto"/>
          <w:highlight w:val="none"/>
          <w:u w:val="single"/>
        </w:rPr>
        <w:t>承包人按合同约定的资质条件要求，自行选定择信誉、服务良好的检测机构，但需报送监理人和发包人审核后最终确定</w:t>
      </w:r>
      <w:r>
        <w:rPr>
          <w:rFonts w:hint="eastAsia" w:ascii="宋体" w:hAnsi="宋体" w:cs="宋体"/>
          <w:b/>
          <w:color w:val="auto"/>
          <w:highlight w:val="none"/>
        </w:rPr>
        <w:t>；</w:t>
      </w:r>
    </w:p>
    <w:p w14:paraId="738A3232">
      <w:pPr>
        <w:spacing w:line="460" w:lineRule="exact"/>
        <w:ind w:firstLine="389" w:firstLineChars="189"/>
        <w:rPr>
          <w:rFonts w:ascii="宋体" w:hAnsi="宋体" w:cs="宋体"/>
          <w:color w:val="auto"/>
          <w:highlight w:val="none"/>
        </w:rPr>
      </w:pPr>
      <w:r>
        <w:rPr>
          <w:rFonts w:hint="eastAsia" w:ascii="宋体" w:hAnsi="宋体" w:cs="宋体"/>
          <w:color w:val="auto"/>
          <w:highlight w:val="none"/>
        </w:rPr>
        <w:t>试验、检测费用约定：</w:t>
      </w:r>
      <w:r>
        <w:rPr>
          <w:rFonts w:hint="eastAsia" w:ascii="宋体" w:hAnsi="宋体" w:cs="宋体"/>
          <w:b/>
          <w:color w:val="auto"/>
          <w:highlight w:val="none"/>
          <w:u w:val="single"/>
        </w:rPr>
        <w:t>按规范、设计、市建委要求，工程施工过程及移交验收所需的检验试验费用，全部由承包人承担，已包含在投标报价中。涉及发包人现场抽查检测项目第一次由发包人负责承担检测费用，若检测不合格，复检由承包人委托共同认可的专业单位进行检测，复检检测费用由承包人承担</w:t>
      </w:r>
      <w:r>
        <w:rPr>
          <w:rFonts w:hint="eastAsia" w:ascii="宋体" w:hAnsi="宋体" w:cs="宋体"/>
          <w:color w:val="auto"/>
          <w:highlight w:val="none"/>
        </w:rPr>
        <w:t>。</w:t>
      </w:r>
    </w:p>
    <w:p w14:paraId="23862CA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9.4  现场工艺试验</w:t>
      </w:r>
    </w:p>
    <w:p w14:paraId="03D6BE8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b/>
          <w:color w:val="auto"/>
          <w:highlight w:val="none"/>
          <w:u w:val="single"/>
        </w:rPr>
        <w:t>按有关规定和发包人或监理人要求执行</w:t>
      </w:r>
      <w:r>
        <w:rPr>
          <w:rFonts w:hint="eastAsia" w:ascii="宋体" w:hAnsi="宋体" w:cs="宋体"/>
          <w:color w:val="auto"/>
          <w:highlight w:val="none"/>
        </w:rPr>
        <w:t>。</w:t>
      </w:r>
    </w:p>
    <w:p w14:paraId="66158C5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10变更</w:t>
      </w:r>
    </w:p>
    <w:p w14:paraId="0880F05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10.1  变更的范围</w:t>
      </w:r>
    </w:p>
    <w:p w14:paraId="34D0FC6B">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关于变更的范围的约定：</w:t>
      </w:r>
      <w:r>
        <w:rPr>
          <w:rFonts w:hint="eastAsia" w:ascii="宋体" w:hAnsi="宋体" w:cs="宋体"/>
          <w:color w:val="auto"/>
          <w:highlight w:val="none"/>
          <w:u w:val="single"/>
        </w:rPr>
        <w:t>按通用合同条款约定</w:t>
      </w:r>
      <w:r>
        <w:rPr>
          <w:rFonts w:hint="eastAsia" w:ascii="宋体" w:hAnsi="宋体" w:cs="宋体"/>
          <w:color w:val="auto"/>
          <w:highlight w:val="none"/>
        </w:rPr>
        <w:t>。</w:t>
      </w:r>
    </w:p>
    <w:p w14:paraId="4D8696F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10.4变更估价</w:t>
      </w:r>
    </w:p>
    <w:p w14:paraId="66B414F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10.4.1变更估价原则</w:t>
      </w:r>
    </w:p>
    <w:p w14:paraId="668D4C2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关于变更估价的约定:</w:t>
      </w:r>
    </w:p>
    <w:p w14:paraId="55A40C10">
      <w:pPr>
        <w:spacing w:line="460" w:lineRule="exact"/>
        <w:ind w:firstLine="305" w:firstLineChars="148"/>
        <w:rPr>
          <w:rFonts w:ascii="宋体" w:hAnsi="宋体" w:cs="宋体"/>
          <w:b/>
          <w:color w:val="auto"/>
          <w:highlight w:val="none"/>
          <w:u w:val="single"/>
        </w:rPr>
      </w:pPr>
      <w:r>
        <w:rPr>
          <w:rFonts w:hint="eastAsia" w:ascii="宋体" w:hAnsi="宋体" w:cs="宋体"/>
          <w:b/>
          <w:color w:val="auto"/>
          <w:highlight w:val="none"/>
        </w:rPr>
        <w:t>（1）</w:t>
      </w:r>
      <w:r>
        <w:rPr>
          <w:rFonts w:hint="eastAsia" w:ascii="宋体" w:hAnsi="宋体" w:cs="宋体"/>
          <w:b/>
          <w:color w:val="auto"/>
          <w:highlight w:val="none"/>
          <w:u w:val="single"/>
        </w:rPr>
        <w:t>已标价工程量清单或预算书有相同项目的，按照相同项目单价确定</w:t>
      </w:r>
      <w:r>
        <w:rPr>
          <w:rFonts w:hint="eastAsia" w:ascii="宋体" w:hAnsi="宋体" w:cs="宋体"/>
          <w:b/>
          <w:color w:val="auto"/>
          <w:highlight w:val="none"/>
        </w:rPr>
        <w:t>。</w:t>
      </w:r>
    </w:p>
    <w:p w14:paraId="7C1633DB">
      <w:pPr>
        <w:spacing w:line="460" w:lineRule="exact"/>
        <w:ind w:firstLine="305" w:firstLineChars="148"/>
        <w:rPr>
          <w:rFonts w:ascii="宋体" w:hAnsi="宋体" w:cs="宋体"/>
          <w:b/>
          <w:color w:val="auto"/>
          <w:highlight w:val="none"/>
          <w:u w:val="single"/>
        </w:rPr>
      </w:pPr>
      <w:r>
        <w:rPr>
          <w:rFonts w:hint="eastAsia" w:ascii="宋体" w:hAnsi="宋体" w:cs="宋体"/>
          <w:b/>
          <w:color w:val="auto"/>
          <w:highlight w:val="none"/>
        </w:rPr>
        <w:t>（2）</w:t>
      </w:r>
      <w:r>
        <w:rPr>
          <w:rFonts w:hint="eastAsia" w:ascii="宋体" w:hAnsi="宋体" w:cs="宋体"/>
          <w:b/>
          <w:color w:val="auto"/>
          <w:highlight w:val="none"/>
          <w:u w:val="single"/>
        </w:rPr>
        <w:t>已标价工程量清单或预算书中无相同项目，但有类似项目的，参照类似项目的单价确定</w:t>
      </w:r>
      <w:r>
        <w:rPr>
          <w:rFonts w:hint="eastAsia" w:ascii="宋体" w:hAnsi="宋体" w:cs="宋体"/>
          <w:b/>
          <w:color w:val="auto"/>
          <w:highlight w:val="none"/>
        </w:rPr>
        <w:t>。</w:t>
      </w:r>
    </w:p>
    <w:p w14:paraId="6D0F227C">
      <w:pPr>
        <w:spacing w:line="460" w:lineRule="exact"/>
        <w:ind w:firstLine="305" w:firstLineChars="148"/>
        <w:rPr>
          <w:rFonts w:ascii="宋体" w:hAnsi="宋体" w:cs="宋体"/>
          <w:b/>
          <w:color w:val="auto"/>
          <w:highlight w:val="none"/>
          <w:u w:val="single"/>
        </w:rPr>
      </w:pPr>
      <w:r>
        <w:rPr>
          <w:rFonts w:hint="eastAsia" w:ascii="宋体" w:hAnsi="宋体" w:cs="宋体"/>
          <w:b/>
          <w:color w:val="auto"/>
          <w:highlight w:val="none"/>
        </w:rPr>
        <w:t>（3）</w:t>
      </w:r>
      <w:r>
        <w:rPr>
          <w:rFonts w:hint="eastAsia" w:ascii="宋体" w:hAnsi="宋体" w:cs="宋体"/>
          <w:b/>
          <w:color w:val="auto"/>
          <w:highlight w:val="none"/>
          <w:u w:val="single"/>
        </w:rPr>
        <w:t>已标价工程量清单或预算书中无相同项目及类似项目单价的，其单价的确定，按以下约定： ① 清单项目中项目特征或工程内容发生部分变更的，应以原综合单价为基础，仅就变更部分相应定额子目调整综合单价。材料变化的仅调整材料编制期信息价的差价（无信息价的按实施期市场价之差价，价差由甲方、监理、施工方确认，最终以审计审核为准）。 ② 合同中没有适用或类似工程项目单价的：套用浙江省18版预算定额和费用定额或现行相应专业定额，综合费用按相应类别工程费率的下限计取，施工组织措施费不另计算，规费、税金、农民工工伤保险按投标口径执行；材料价格有投标价的执行投标价，无投标价的执行合同工期前80%的信息价平均值，对当地信息价正刊没有公布的材料，发包人应在充分市场询价基础上，参照同期同类材料市场价格水平，提出变更工程项目的综合单价并报发包人确认后调整，最终以审计部门审核价为准；当零星工程发生签证台班数量，机械单价有投标价的执行投标价，无投标价的执行预算定额单价；按照上述方法计算后乘以优惠得出结算价格，优惠率=中标价（扣除甲供材料款）/最高投标限价（扣除甲供材料款）</w:t>
      </w:r>
    </w:p>
    <w:p w14:paraId="32B98AAB">
      <w:pPr>
        <w:spacing w:line="460" w:lineRule="exact"/>
        <w:ind w:firstLine="305" w:firstLineChars="148"/>
        <w:rPr>
          <w:rFonts w:ascii="宋体" w:hAnsi="宋体" w:cs="宋体"/>
          <w:b/>
          <w:color w:val="auto"/>
          <w:highlight w:val="none"/>
          <w:u w:val="single"/>
        </w:rPr>
      </w:pPr>
      <w:r>
        <w:rPr>
          <w:rFonts w:hint="eastAsia" w:ascii="宋体" w:hAnsi="宋体" w:cs="宋体"/>
          <w:b/>
          <w:color w:val="auto"/>
          <w:highlight w:val="none"/>
        </w:rPr>
        <w:t>（4）</w:t>
      </w:r>
      <w:r>
        <w:rPr>
          <w:rFonts w:hint="eastAsia" w:ascii="宋体" w:hAnsi="宋体" w:cs="宋体"/>
          <w:b/>
          <w:color w:val="auto"/>
          <w:highlight w:val="none"/>
          <w:u w:val="single"/>
        </w:rPr>
        <w:t xml:space="preserve">工程量清单错误和（或）设计变更导致实际完成的工程量与已标价工程量清单或预算书中列明的该项目工程量的变化的，其单价均不允许调整 </w:t>
      </w:r>
      <w:r>
        <w:rPr>
          <w:rFonts w:hint="eastAsia" w:ascii="宋体" w:hAnsi="宋体" w:cs="宋体"/>
          <w:b/>
          <w:color w:val="auto"/>
          <w:highlight w:val="none"/>
        </w:rPr>
        <w:t>。</w:t>
      </w:r>
    </w:p>
    <w:p w14:paraId="6A90AA1B">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rPr>
        <w:t>（5）</w:t>
      </w:r>
      <w:r>
        <w:rPr>
          <w:rFonts w:hint="eastAsia" w:ascii="宋体" w:hAnsi="宋体" w:cs="宋体"/>
          <w:b/>
          <w:color w:val="auto"/>
          <w:highlight w:val="none"/>
          <w:u w:val="single"/>
        </w:rPr>
        <w:t>其他：① 施工组织措施费、</w:t>
      </w:r>
      <w:bookmarkStart w:id="411" w:name="ed_2023Y3M14D15H59M51"/>
      <w:r>
        <w:rPr>
          <w:rFonts w:hint="eastAsia" w:ascii="宋体" w:hAnsi="宋体" w:cs="宋体"/>
          <w:b/>
          <w:color w:val="auto"/>
          <w:highlight w:val="none"/>
          <w:u w:val="single"/>
        </w:rPr>
        <w:t>施工技术措施费在招标范围未发生变化情况下，按投标报价包干</w:t>
      </w:r>
      <w:bookmarkEnd w:id="411"/>
      <w:r>
        <w:rPr>
          <w:rFonts w:hint="eastAsia" w:ascii="宋体" w:hAnsi="宋体" w:cs="宋体"/>
          <w:b/>
          <w:color w:val="auto"/>
          <w:highlight w:val="none"/>
          <w:u w:val="single"/>
        </w:rPr>
        <w:t>（计价规范有具体计量规则的技术措施项目除外）。在招标范围发生重大变化引起施工技术措施项目费增加或减少时，根据相关变更依据或相关行政主管部门的批复意见进行相应调整，原技术措施费项目清单中已有的措施项目，按原有技术措施费的组价方法或单价调整；原措施费项目清单中没有的措施项目，协商解决；组织措施费除非合同条款另有明确约定，否则均不作调整。工程实施过程中经批准甩项工程量的措施费按投标报价口径同比例扣除。</w:t>
      </w:r>
    </w:p>
    <w:p w14:paraId="5F95990E">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②上述所有涉及价格、工程量、工期等的变更签证，最终以审计审核为准。</w:t>
      </w:r>
    </w:p>
    <w:p w14:paraId="593F78A1">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③上述变更引起合同价款的调整，经区重大变更审查委员会批准的部分，在签订补充协议后，可在下一个工程进度款支付点支付，支付比例同工程进度款同比例。</w:t>
      </w:r>
    </w:p>
    <w:p w14:paraId="49F9F2A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10.5  承包人的合理化建议</w:t>
      </w:r>
    </w:p>
    <w:p w14:paraId="06F867F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b/>
          <w:color w:val="auto"/>
          <w:highlight w:val="none"/>
          <w:u w:val="single"/>
        </w:rPr>
        <w:t>按通用合同条款约定</w:t>
      </w:r>
      <w:r>
        <w:rPr>
          <w:rFonts w:hint="eastAsia" w:ascii="宋体" w:hAnsi="宋体" w:cs="宋体"/>
          <w:color w:val="auto"/>
          <w:highlight w:val="none"/>
        </w:rPr>
        <w:t>。</w:t>
      </w:r>
    </w:p>
    <w:p w14:paraId="175BF24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b/>
          <w:color w:val="auto"/>
          <w:highlight w:val="none"/>
          <w:u w:val="single"/>
        </w:rPr>
        <w:t>按通用合同条款约定</w:t>
      </w:r>
      <w:r>
        <w:rPr>
          <w:rFonts w:hint="eastAsia" w:ascii="宋体" w:hAnsi="宋体" w:cs="宋体"/>
          <w:color w:val="auto"/>
          <w:highlight w:val="none"/>
        </w:rPr>
        <w:t>。</w:t>
      </w:r>
    </w:p>
    <w:p w14:paraId="5542F85E">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承包人提出的合理化建议降低了合同价格或者提高了工程经济效益的奖励的方法和金额为：</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53A35D2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10.7暂估价</w:t>
      </w:r>
    </w:p>
    <w:p w14:paraId="1FB5F10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暂估价材料和工程设备的明细详见附件11：《暂估价一览表》。</w:t>
      </w:r>
    </w:p>
    <w:p w14:paraId="318166E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w:t>
      </w:r>
      <w:bookmarkStart w:id="412" w:name="_Toc318581177"/>
      <w:bookmarkStart w:id="413" w:name="_Toc312678035"/>
      <w:bookmarkStart w:id="414" w:name="_Toc312677509"/>
      <w:r>
        <w:rPr>
          <w:rFonts w:hint="eastAsia" w:ascii="宋体" w:hAnsi="宋体" w:cs="宋体"/>
          <w:color w:val="auto"/>
          <w:highlight w:val="none"/>
        </w:rPr>
        <w:t>0.7.1依法必须招标的暂估价项目</w:t>
      </w:r>
    </w:p>
    <w:bookmarkEnd w:id="412"/>
    <w:bookmarkEnd w:id="413"/>
    <w:bookmarkEnd w:id="414"/>
    <w:p w14:paraId="4F6508A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b/>
          <w:color w:val="auto"/>
          <w:highlight w:val="none"/>
          <w:u w:val="single"/>
        </w:rPr>
        <w:t xml:space="preserve">  / </w:t>
      </w:r>
      <w:r>
        <w:rPr>
          <w:rFonts w:hint="eastAsia" w:ascii="宋体" w:hAnsi="宋体" w:cs="宋体"/>
          <w:color w:val="auto"/>
          <w:highlight w:val="none"/>
        </w:rPr>
        <w:t>种方式确定。</w:t>
      </w:r>
    </w:p>
    <w:p w14:paraId="1F40B3A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10.7.2  不属于依法必须招标的暂估价项目</w:t>
      </w:r>
    </w:p>
    <w:p w14:paraId="773D8ED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b/>
          <w:color w:val="auto"/>
          <w:highlight w:val="none"/>
          <w:u w:val="single"/>
        </w:rPr>
        <w:t xml:space="preserve">  / </w:t>
      </w:r>
      <w:r>
        <w:rPr>
          <w:rFonts w:hint="eastAsia" w:ascii="宋体" w:hAnsi="宋体" w:cs="宋体"/>
          <w:color w:val="auto"/>
          <w:highlight w:val="none"/>
        </w:rPr>
        <w:t>种方式确定。</w:t>
      </w:r>
    </w:p>
    <w:p w14:paraId="6DEE5F8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第3种方式：承包人直接实施的暂估价项目</w:t>
      </w:r>
    </w:p>
    <w:p w14:paraId="75B0950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b/>
          <w:color w:val="auto"/>
          <w:highlight w:val="none"/>
          <w:u w:val="single"/>
        </w:rPr>
        <w:t xml:space="preserve">  / </w:t>
      </w:r>
      <w:r>
        <w:rPr>
          <w:rFonts w:hint="eastAsia" w:ascii="宋体" w:hAnsi="宋体" w:cs="宋体"/>
          <w:color w:val="auto"/>
          <w:highlight w:val="none"/>
        </w:rPr>
        <w:t>。</w:t>
      </w:r>
    </w:p>
    <w:p w14:paraId="7A4DF0D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10.8 暂列金额</w:t>
      </w:r>
    </w:p>
    <w:p w14:paraId="5FC6D175">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合同当事人关于暂列金额使用的约定：</w:t>
      </w:r>
      <w:r>
        <w:rPr>
          <w:rFonts w:hint="eastAsia" w:ascii="宋体" w:hAnsi="宋体" w:cs="宋体"/>
          <w:b/>
          <w:color w:val="auto"/>
          <w:highlight w:val="none"/>
          <w:u w:val="single"/>
        </w:rPr>
        <w:t xml:space="preserve">  / </w:t>
      </w:r>
      <w:r>
        <w:rPr>
          <w:rFonts w:hint="eastAsia" w:ascii="宋体" w:hAnsi="宋体" w:cs="宋体"/>
          <w:color w:val="auto"/>
          <w:highlight w:val="none"/>
        </w:rPr>
        <w:t>。</w:t>
      </w:r>
    </w:p>
    <w:p w14:paraId="394A2E5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11价格调整</w:t>
      </w:r>
    </w:p>
    <w:p w14:paraId="7B0B94A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11.1市场价格波动引起的调整</w:t>
      </w:r>
    </w:p>
    <w:p w14:paraId="4C3F9D2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市场价格波动是否调整合同价格的约定：</w:t>
      </w:r>
      <w:r>
        <w:rPr>
          <w:rFonts w:hint="eastAsia" w:ascii="宋体" w:hAnsi="宋体" w:cs="宋体"/>
          <w:b/>
          <w:color w:val="auto"/>
          <w:highlight w:val="none"/>
          <w:u w:val="single"/>
        </w:rPr>
        <w:t>否</w:t>
      </w:r>
      <w:r>
        <w:rPr>
          <w:rFonts w:hint="eastAsia" w:ascii="宋体" w:hAnsi="宋体" w:cs="宋体"/>
          <w:color w:val="auto"/>
          <w:highlight w:val="none"/>
        </w:rPr>
        <w:t>。</w:t>
      </w:r>
    </w:p>
    <w:p w14:paraId="3D461CD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b/>
          <w:bCs/>
          <w:color w:val="auto"/>
          <w:highlight w:val="none"/>
          <w:u w:val="single"/>
        </w:rPr>
        <w:t xml:space="preserve"> / </w:t>
      </w:r>
      <w:r>
        <w:rPr>
          <w:rFonts w:hint="eastAsia" w:ascii="宋体" w:hAnsi="宋体" w:cs="宋体"/>
          <w:color w:val="auto"/>
          <w:highlight w:val="none"/>
        </w:rPr>
        <w:t>种方式对合同价格进行调整：</w:t>
      </w:r>
    </w:p>
    <w:p w14:paraId="1DA1AA7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第1种方式：采用价格指数进行价格调整。</w:t>
      </w:r>
    </w:p>
    <w:p w14:paraId="28F4CC05">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28599A5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第2种方式：采用造价信息进行价格调整。</w:t>
      </w:r>
    </w:p>
    <w:p w14:paraId="161FB2E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（2）关于基准价格的约定：</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79E332D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
          <w:color w:val="auto"/>
          <w:highlight w:val="none"/>
          <w:u w:val="single"/>
        </w:rPr>
        <w:t xml:space="preserve">/  </w:t>
      </w:r>
      <w:r>
        <w:rPr>
          <w:rFonts w:hint="eastAsia" w:ascii="宋体" w:hAnsi="宋体" w:cs="宋体"/>
          <w:color w:val="auto"/>
          <w:highlight w:val="none"/>
        </w:rPr>
        <w:t>%时，或材料单价跌幅以已标价工程量清单或预算书中载明材料单价为基础超过</w:t>
      </w:r>
      <w:r>
        <w:rPr>
          <w:rFonts w:hint="eastAsia" w:ascii="宋体" w:hAnsi="宋体" w:cs="宋体"/>
          <w:b/>
          <w:color w:val="auto"/>
          <w:highlight w:val="none"/>
          <w:u w:val="single"/>
        </w:rPr>
        <w:t xml:space="preserve">/  </w:t>
      </w:r>
      <w:r>
        <w:rPr>
          <w:rFonts w:hint="eastAsia" w:ascii="宋体" w:hAnsi="宋体" w:cs="宋体"/>
          <w:color w:val="auto"/>
          <w:highlight w:val="none"/>
        </w:rPr>
        <w:t>%时，其超过部分据实调整。</w:t>
      </w:r>
    </w:p>
    <w:p w14:paraId="0DE601E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w:t>
      </w:r>
      <w:r>
        <w:rPr>
          <w:rFonts w:hint="eastAsia" w:ascii="宋体" w:hAnsi="宋体" w:cs="宋体"/>
          <w:b/>
          <w:color w:val="auto"/>
          <w:highlight w:val="none"/>
          <w:u w:val="single"/>
        </w:rPr>
        <w:t xml:space="preserve">/  </w:t>
      </w:r>
      <w:r>
        <w:rPr>
          <w:rFonts w:hint="eastAsia" w:ascii="宋体" w:hAnsi="宋体" w:cs="宋体"/>
          <w:color w:val="auto"/>
          <w:highlight w:val="none"/>
        </w:rPr>
        <w:t>%时，其超过部分据实调整。</w:t>
      </w:r>
    </w:p>
    <w:p w14:paraId="18F695D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b/>
          <w:color w:val="auto"/>
          <w:highlight w:val="none"/>
          <w:u w:val="single"/>
        </w:rPr>
        <w:t xml:space="preserve">/  </w:t>
      </w:r>
      <w:r>
        <w:rPr>
          <w:rFonts w:hint="eastAsia" w:ascii="宋体" w:hAnsi="宋体" w:cs="宋体"/>
          <w:color w:val="auto"/>
          <w:highlight w:val="none"/>
        </w:rPr>
        <w:t>%时，其超过部分据实调整。</w:t>
      </w:r>
    </w:p>
    <w:p w14:paraId="660FE188">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rPr>
        <w:t>第3种方式：采用政策性文件进行价格调整。</w:t>
      </w:r>
    </w:p>
    <w:p w14:paraId="0C3C7A5C">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rPr>
        <w:t>政府投资工程因市场价格波动引起的调整按以下</w:t>
      </w:r>
      <w:r>
        <w:rPr>
          <w:rFonts w:hint="eastAsia" w:ascii="宋体" w:hAnsi="宋体" w:cs="宋体"/>
          <w:b/>
          <w:color w:val="auto"/>
          <w:highlight w:val="none"/>
          <w:u w:val="single"/>
        </w:rPr>
        <w:t>第（一）种方式</w:t>
      </w:r>
      <w:r>
        <w:rPr>
          <w:rFonts w:hint="eastAsia" w:ascii="宋体" w:hAnsi="宋体" w:cs="宋体"/>
          <w:b/>
          <w:color w:val="auto"/>
          <w:highlight w:val="none"/>
        </w:rPr>
        <w:t>约定执行：</w:t>
      </w:r>
    </w:p>
    <w:p w14:paraId="61378AA0">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u w:val="single"/>
        </w:rPr>
        <w:t>（1）按《关于进一步加强杭州市建设工程市场要素价格动态管理的指导意见》（杭建市发〔2018〕579号）执行</w:t>
      </w:r>
      <w:r>
        <w:rPr>
          <w:rFonts w:hint="eastAsia" w:ascii="宋体" w:hAnsi="宋体" w:cs="宋体"/>
          <w:b/>
          <w:color w:val="auto"/>
          <w:highlight w:val="none"/>
        </w:rPr>
        <w:t>；</w:t>
      </w:r>
    </w:p>
    <w:p w14:paraId="7B86828F">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u w:val="single"/>
        </w:rPr>
        <w:t xml:space="preserve">（2）其他：  /  </w:t>
      </w:r>
      <w:r>
        <w:rPr>
          <w:rFonts w:hint="eastAsia" w:ascii="宋体" w:hAnsi="宋体" w:cs="宋体"/>
          <w:b/>
          <w:color w:val="auto"/>
          <w:highlight w:val="none"/>
        </w:rPr>
        <w:t>。</w:t>
      </w:r>
    </w:p>
    <w:p w14:paraId="1C7D7E52">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rPr>
        <w:t>其中：</w:t>
      </w:r>
    </w:p>
    <w:p w14:paraId="7F89977E">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rPr>
        <w:t>1、风险范围及幅度的约定：</w:t>
      </w:r>
    </w:p>
    <w:p w14:paraId="2180E803">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（1）人工费的风险幅度（ 5 %）</w:t>
      </w:r>
    </w:p>
    <w:p w14:paraId="0D7C274A">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（2）材料价格的风险幅度（ 5 %）</w:t>
      </w:r>
    </w:p>
    <w:p w14:paraId="3369F8F7">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rPr>
        <w:t>2、材料价款动态调整结算方式采用以下</w:t>
      </w:r>
      <w:r>
        <w:rPr>
          <w:rFonts w:hint="eastAsia" w:ascii="宋体" w:hAnsi="宋体" w:cs="宋体"/>
          <w:b/>
          <w:color w:val="auto"/>
          <w:highlight w:val="none"/>
          <w:u w:val="single"/>
        </w:rPr>
        <w:t>第（ 3 ）种方式</w:t>
      </w:r>
      <w:r>
        <w:rPr>
          <w:rFonts w:hint="eastAsia" w:ascii="宋体" w:hAnsi="宋体" w:cs="宋体"/>
          <w:b/>
          <w:color w:val="auto"/>
          <w:highlight w:val="none"/>
        </w:rPr>
        <w:t>约定：</w:t>
      </w:r>
    </w:p>
    <w:p w14:paraId="522930AD">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rPr>
        <w:t>（1）</w:t>
      </w:r>
      <w:r>
        <w:rPr>
          <w:rFonts w:hint="eastAsia" w:ascii="宋体" w:hAnsi="宋体" w:cs="宋体"/>
          <w:b/>
          <w:color w:val="auto"/>
          <w:highlight w:val="none"/>
          <w:u w:val="single"/>
        </w:rPr>
        <w:t xml:space="preserve">按时间进度分段结算：                           </w:t>
      </w:r>
      <w:r>
        <w:rPr>
          <w:rFonts w:hint="eastAsia" w:ascii="宋体" w:hAnsi="宋体" w:cs="宋体"/>
          <w:b/>
          <w:color w:val="auto"/>
          <w:highlight w:val="none"/>
        </w:rPr>
        <w:t>。</w:t>
      </w:r>
    </w:p>
    <w:p w14:paraId="6C793AE5">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rPr>
        <w:t>（2）</w:t>
      </w:r>
      <w:r>
        <w:rPr>
          <w:rFonts w:hint="eastAsia" w:ascii="宋体" w:hAnsi="宋体" w:cs="宋体"/>
          <w:b/>
          <w:color w:val="auto"/>
          <w:highlight w:val="none"/>
          <w:u w:val="single"/>
        </w:rPr>
        <w:t xml:space="preserve">按工程形象部位(目标)分段结算：                 </w:t>
      </w:r>
      <w:r>
        <w:rPr>
          <w:rFonts w:hint="eastAsia" w:ascii="宋体" w:hAnsi="宋体" w:cs="宋体"/>
          <w:b/>
          <w:color w:val="auto"/>
          <w:highlight w:val="none"/>
        </w:rPr>
        <w:t>。</w:t>
      </w:r>
    </w:p>
    <w:p w14:paraId="67B2A409">
      <w:pPr>
        <w:spacing w:line="460" w:lineRule="exact"/>
        <w:ind w:firstLine="412" w:firstLineChars="200"/>
        <w:rPr>
          <w:rFonts w:ascii="宋体" w:hAnsi="宋体" w:cs="宋体"/>
          <w:b/>
          <w:color w:val="auto"/>
          <w:highlight w:val="none"/>
        </w:rPr>
      </w:pPr>
      <w:r>
        <w:rPr>
          <w:rFonts w:hint="eastAsia" w:ascii="宋体" w:hAnsi="宋体" w:cs="宋体"/>
          <w:b/>
          <w:color w:val="auto"/>
          <w:highlight w:val="none"/>
        </w:rPr>
        <w:t>（3）</w:t>
      </w:r>
      <w:r>
        <w:rPr>
          <w:rFonts w:hint="eastAsia" w:ascii="宋体" w:hAnsi="宋体" w:cs="宋体"/>
          <w:b/>
          <w:color w:val="auto"/>
          <w:highlight w:val="none"/>
          <w:u w:val="single"/>
        </w:rPr>
        <w:t xml:space="preserve">竣工后一次性结算：                             </w:t>
      </w:r>
      <w:r>
        <w:rPr>
          <w:rFonts w:hint="eastAsia" w:ascii="宋体" w:hAnsi="宋体" w:cs="宋体"/>
          <w:b/>
          <w:color w:val="auto"/>
          <w:highlight w:val="none"/>
        </w:rPr>
        <w:t>。</w:t>
      </w:r>
    </w:p>
    <w:p w14:paraId="515A043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12  合同价格、计量与支付</w:t>
      </w:r>
    </w:p>
    <w:p w14:paraId="6C01B42F">
      <w:pPr>
        <w:spacing w:line="460" w:lineRule="exact"/>
        <w:ind w:firstLine="412" w:firstLineChars="200"/>
        <w:rPr>
          <w:rFonts w:ascii="宋体" w:hAnsi="宋体" w:cs="宋体"/>
          <w:b/>
          <w:color w:val="auto"/>
          <w:highlight w:val="none"/>
        </w:rPr>
      </w:pPr>
      <w:r>
        <w:rPr>
          <w:rFonts w:hint="eastAsia" w:ascii="宋体" w:hAnsi="宋体" w:cs="宋体"/>
          <w:color w:val="auto"/>
          <w:highlight w:val="none"/>
        </w:rPr>
        <w:t>12.1 合同价格形式</w:t>
      </w:r>
    </w:p>
    <w:p w14:paraId="2028FF3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12.1.1  单价合同。</w:t>
      </w:r>
    </w:p>
    <w:p w14:paraId="06F091DF">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综合单价包含的风险范围：</w:t>
      </w:r>
    </w:p>
    <w:p w14:paraId="32985735">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rPr>
        <w:t>（1）</w:t>
      </w:r>
      <w:r>
        <w:rPr>
          <w:rFonts w:hint="eastAsia" w:ascii="宋体" w:hAnsi="宋体" w:cs="宋体"/>
          <w:b/>
          <w:color w:val="auto"/>
          <w:highlight w:val="none"/>
          <w:u w:val="single"/>
        </w:rPr>
        <w:t>应由承包人承担的工、料、机在投标编制期或预算书编制期与合同实施期间所发生的市场价格波动。</w:t>
      </w:r>
    </w:p>
    <w:p w14:paraId="47BDB56E">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rPr>
        <w:t>（2）</w:t>
      </w:r>
      <w:r>
        <w:rPr>
          <w:rFonts w:hint="eastAsia" w:ascii="宋体" w:hAnsi="宋体" w:cs="宋体"/>
          <w:b/>
          <w:color w:val="auto"/>
          <w:highlight w:val="none"/>
          <w:u w:val="single"/>
        </w:rPr>
        <w:t>其他：</w:t>
      </w:r>
    </w:p>
    <w:p w14:paraId="1F69E3D4">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①技术规范要求的费用；</w:t>
      </w:r>
    </w:p>
    <w:p w14:paraId="43FE7F14">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②非承包人原因引起的一周内累计8小时以内停水、停电、停气；</w:t>
      </w:r>
    </w:p>
    <w:p w14:paraId="0607E443">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③承包人对工程现场环境以及招标人提供的招标文件、图纸等资料做出错误的推论、理解而导致报价失误；</w:t>
      </w:r>
    </w:p>
    <w:p w14:paraId="39543644">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④工程量清单描述不全或现行预算定额未包括或计价规范未描述到，但又是完成分项工程必须的工作内容；</w:t>
      </w:r>
    </w:p>
    <w:p w14:paraId="144CD349">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⑤合同及各合同附件约定的，要求包干的项目；</w:t>
      </w:r>
    </w:p>
    <w:p w14:paraId="13A55554">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⑥作为一个有经验的承包人应能预计的可能发生的其他费用</w:t>
      </w:r>
      <w:r>
        <w:rPr>
          <w:rFonts w:hint="eastAsia" w:ascii="宋体" w:hAnsi="宋体" w:cs="宋体"/>
          <w:b/>
          <w:color w:val="auto"/>
          <w:highlight w:val="none"/>
        </w:rPr>
        <w:t>。</w:t>
      </w:r>
    </w:p>
    <w:p w14:paraId="185F21B7">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风险费用的计算方法：。</w:t>
      </w:r>
    </w:p>
    <w:p w14:paraId="20035F0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风险范围以外合同价格的调整方法：</w:t>
      </w:r>
      <w:r>
        <w:rPr>
          <w:rFonts w:hint="eastAsia" w:ascii="宋体" w:hAnsi="宋体" w:cs="宋体"/>
          <w:b/>
          <w:color w:val="auto"/>
          <w:highlight w:val="none"/>
          <w:u w:val="single"/>
        </w:rPr>
        <w:t>以上风险范围之内的费用投标人在投标报价时自行考虑，工程结算时均不作调整</w:t>
      </w:r>
      <w:r>
        <w:rPr>
          <w:rFonts w:hint="eastAsia" w:ascii="宋体" w:hAnsi="宋体" w:cs="宋体"/>
          <w:b/>
          <w:color w:val="auto"/>
          <w:highlight w:val="none"/>
        </w:rPr>
        <w:t>。</w:t>
      </w:r>
    </w:p>
    <w:p w14:paraId="522B9301">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rPr>
        <w:t>（1）</w:t>
      </w:r>
      <w:r>
        <w:rPr>
          <w:rFonts w:hint="eastAsia" w:ascii="宋体" w:hAnsi="宋体" w:cs="宋体"/>
          <w:b/>
          <w:color w:val="auto"/>
          <w:highlight w:val="none"/>
          <w:u w:val="single"/>
        </w:rPr>
        <w:t>市场价格波动引起的调整按本合同11.1第3种方式的约定计算</w:t>
      </w:r>
      <w:r>
        <w:rPr>
          <w:rFonts w:hint="eastAsia" w:ascii="宋体" w:hAnsi="宋体" w:cs="宋体"/>
          <w:b/>
          <w:color w:val="auto"/>
          <w:highlight w:val="none"/>
        </w:rPr>
        <w:t>。</w:t>
      </w:r>
    </w:p>
    <w:p w14:paraId="0B1D7DE1">
      <w:pPr>
        <w:spacing w:line="460" w:lineRule="exact"/>
        <w:ind w:firstLine="430" w:firstLineChars="209"/>
        <w:rPr>
          <w:rFonts w:ascii="宋体" w:hAnsi="宋体" w:cs="宋体"/>
          <w:b/>
          <w:color w:val="auto"/>
          <w:highlight w:val="none"/>
          <w:u w:val="single"/>
        </w:rPr>
      </w:pPr>
      <w:r>
        <w:rPr>
          <w:rFonts w:hint="eastAsia" w:ascii="宋体" w:hAnsi="宋体" w:cs="宋体"/>
          <w:b/>
          <w:color w:val="auto"/>
          <w:highlight w:val="none"/>
        </w:rPr>
        <w:t>（2）</w:t>
      </w:r>
      <w:r>
        <w:rPr>
          <w:rFonts w:hint="eastAsia" w:ascii="宋体" w:hAnsi="宋体" w:cs="宋体"/>
          <w:b/>
          <w:color w:val="auto"/>
          <w:highlight w:val="none"/>
          <w:u w:val="single"/>
        </w:rPr>
        <w:t>其他：①实物工程量数量按实调整；②变更估价按本合同10.4.1 的约定计算</w:t>
      </w:r>
      <w:r>
        <w:rPr>
          <w:rFonts w:hint="eastAsia" w:ascii="宋体" w:hAnsi="宋体" w:cs="宋体"/>
          <w:b/>
          <w:color w:val="auto"/>
          <w:highlight w:val="none"/>
        </w:rPr>
        <w:t>。</w:t>
      </w:r>
    </w:p>
    <w:p w14:paraId="33B5FA8A">
      <w:pPr>
        <w:spacing w:line="460" w:lineRule="exact"/>
        <w:ind w:firstLine="433" w:firstLineChars="210"/>
        <w:rPr>
          <w:rFonts w:ascii="宋体" w:hAnsi="宋体" w:cs="宋体"/>
          <w:color w:val="auto"/>
          <w:highlight w:val="none"/>
        </w:rPr>
      </w:pPr>
      <w:r>
        <w:rPr>
          <w:rFonts w:hint="eastAsia" w:ascii="宋体" w:hAnsi="宋体" w:cs="宋体"/>
          <w:color w:val="auto"/>
          <w:highlight w:val="none"/>
        </w:rPr>
        <w:t>12.1.2  总价合同。</w:t>
      </w:r>
    </w:p>
    <w:p w14:paraId="1AA059DE">
      <w:pPr>
        <w:spacing w:line="460" w:lineRule="exact"/>
        <w:ind w:firstLine="433" w:firstLineChars="210"/>
        <w:rPr>
          <w:rFonts w:ascii="宋体" w:hAnsi="宋体" w:cs="宋体"/>
          <w:color w:val="auto"/>
          <w:highlight w:val="none"/>
          <w:u w:val="single"/>
        </w:rPr>
      </w:pPr>
      <w:r>
        <w:rPr>
          <w:rFonts w:hint="eastAsia" w:ascii="宋体" w:hAnsi="宋体" w:cs="宋体"/>
          <w:color w:val="auto"/>
          <w:highlight w:val="none"/>
        </w:rPr>
        <w:t>总价包含的风险范围：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CBF4276">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风险费用的计算方法：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72E9AEC">
      <w:pPr>
        <w:spacing w:line="460" w:lineRule="exact"/>
        <w:ind w:firstLine="412" w:firstLineChars="200"/>
        <w:rPr>
          <w:rFonts w:ascii="宋体" w:hAnsi="宋体" w:cs="宋体"/>
          <w:b/>
          <w:color w:val="auto"/>
          <w:highlight w:val="none"/>
          <w:u w:val="single"/>
        </w:rPr>
      </w:pPr>
      <w:r>
        <w:rPr>
          <w:rFonts w:hint="eastAsia" w:ascii="宋体" w:hAnsi="宋体" w:cs="宋体"/>
          <w:color w:val="auto"/>
          <w:highlight w:val="none"/>
        </w:rPr>
        <w:t>风险范围以外合同价格的调整方法：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EB41CDE">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12.1.3  其他价格方式：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2C7788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12.2  预付款</w:t>
      </w:r>
    </w:p>
    <w:p w14:paraId="6E6E60C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12.2.1  预付款的支付</w:t>
      </w:r>
    </w:p>
    <w:p w14:paraId="53F6FDC2">
      <w:pPr>
        <w:spacing w:line="460" w:lineRule="exact"/>
        <w:ind w:firstLine="412" w:firstLineChars="200"/>
        <w:rPr>
          <w:rFonts w:ascii="宋体" w:hAnsi="宋体" w:cs="宋体"/>
          <w:b/>
          <w:bCs/>
          <w:color w:val="auto"/>
          <w:highlight w:val="none"/>
        </w:rPr>
      </w:pPr>
      <w:r>
        <w:rPr>
          <w:rFonts w:hint="eastAsia" w:ascii="宋体" w:hAnsi="宋体" w:cs="宋体"/>
          <w:color w:val="auto"/>
          <w:highlight w:val="none"/>
        </w:rPr>
        <w:t>预付款支付比例或金额：</w:t>
      </w:r>
      <w:r>
        <w:rPr>
          <w:rFonts w:hint="eastAsia" w:ascii="宋体" w:hAnsi="宋体" w:cs="宋体"/>
          <w:b/>
          <w:bCs/>
          <w:color w:val="auto"/>
          <w:highlight w:val="none"/>
          <w:u w:val="single"/>
        </w:rPr>
        <w:t>进场开工后发包人根据实际考虑支付，最高不超过合同价</w:t>
      </w:r>
      <w:r>
        <w:rPr>
          <w:rFonts w:hint="eastAsia" w:ascii="宋体" w:hAnsi="宋体" w:cs="宋体"/>
          <w:b/>
          <w:bCs/>
          <w:color w:val="auto"/>
          <w:highlight w:val="none"/>
          <w:u w:val="single"/>
          <w:lang w:val="en-US" w:eastAsia="zh-CN"/>
        </w:rPr>
        <w:t>4</w:t>
      </w:r>
      <w:r>
        <w:rPr>
          <w:rFonts w:hint="eastAsia" w:ascii="宋体" w:hAnsi="宋体" w:cs="宋体"/>
          <w:b/>
          <w:bCs/>
          <w:color w:val="auto"/>
          <w:highlight w:val="none"/>
          <w:u w:val="single"/>
        </w:rPr>
        <w:t>0%</w:t>
      </w:r>
      <w:r>
        <w:rPr>
          <w:rFonts w:hint="eastAsia" w:ascii="宋体" w:hAnsi="宋体" w:cs="宋体"/>
          <w:b/>
          <w:bCs/>
          <w:color w:val="auto"/>
          <w:highlight w:val="none"/>
        </w:rPr>
        <w:t>。</w:t>
      </w:r>
    </w:p>
    <w:p w14:paraId="21D0FCB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工资预付款支付比例或金额：</w:t>
      </w:r>
      <w:r>
        <w:rPr>
          <w:rFonts w:hint="eastAsia" w:ascii="宋体" w:hAnsi="宋体" w:cs="宋体"/>
          <w:b/>
          <w:color w:val="auto"/>
          <w:highlight w:val="none"/>
          <w:u w:val="single"/>
        </w:rPr>
        <w:t>/</w:t>
      </w:r>
      <w:r>
        <w:rPr>
          <w:rFonts w:hint="eastAsia" w:ascii="宋体" w:hAnsi="宋体" w:cs="宋体"/>
          <w:color w:val="auto"/>
          <w:highlight w:val="none"/>
        </w:rPr>
        <w:t>。</w:t>
      </w:r>
    </w:p>
    <w:p w14:paraId="0E6CB1A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b/>
          <w:bCs/>
          <w:color w:val="auto"/>
          <w:highlight w:val="none"/>
          <w:u w:val="single"/>
        </w:rPr>
        <w:t>承包人提交履约保证金后，</w:t>
      </w:r>
      <w:r>
        <w:rPr>
          <w:rFonts w:hint="eastAsia" w:ascii="宋体" w:hAnsi="宋体" w:cs="宋体"/>
          <w:b/>
          <w:color w:val="auto"/>
          <w:highlight w:val="none"/>
          <w:u w:val="single"/>
        </w:rPr>
        <w:t>工程开工前</w:t>
      </w:r>
      <w:r>
        <w:rPr>
          <w:rFonts w:hint="eastAsia" w:ascii="宋体" w:hAnsi="宋体" w:cs="宋体"/>
          <w:color w:val="auto"/>
          <w:highlight w:val="none"/>
        </w:rPr>
        <w:t>。</w:t>
      </w:r>
    </w:p>
    <w:p w14:paraId="0B682A7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b/>
          <w:color w:val="auto"/>
          <w:highlight w:val="none"/>
          <w:u w:val="single"/>
        </w:rPr>
        <w:t>预付款计入合同总价</w:t>
      </w:r>
      <w:r>
        <w:rPr>
          <w:rFonts w:hint="eastAsia" w:ascii="宋体" w:hAnsi="宋体" w:cs="宋体"/>
          <w:color w:val="auto"/>
          <w:highlight w:val="none"/>
        </w:rPr>
        <w:t>。</w:t>
      </w:r>
    </w:p>
    <w:p w14:paraId="2BCFB21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12.2.2  预付款担保</w:t>
      </w:r>
    </w:p>
    <w:p w14:paraId="7C9C998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15F83A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预付款担保的形式为：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84AE7F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12.3  计量</w:t>
      </w:r>
    </w:p>
    <w:p w14:paraId="7257B04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12.3.1  计量原则</w:t>
      </w:r>
    </w:p>
    <w:p w14:paraId="3D16925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工程量计算规则：</w:t>
      </w:r>
    </w:p>
    <w:p w14:paraId="00073E8C">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rPr>
        <w:t>（1）</w:t>
      </w:r>
      <w:r>
        <w:rPr>
          <w:rFonts w:hint="eastAsia" w:ascii="宋体" w:hAnsi="宋体" w:cs="宋体"/>
          <w:b/>
          <w:color w:val="auto"/>
          <w:highlight w:val="none"/>
          <w:u w:val="single"/>
        </w:rPr>
        <w:t>实行工程量清单计价的工程项目，其工程量的计算规则应按国家标准工程量计算规范及省级行业主管部门颁布的补充规定执行。</w:t>
      </w:r>
    </w:p>
    <w:p w14:paraId="4F568373">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rPr>
        <w:t>（2）</w:t>
      </w:r>
      <w:r>
        <w:rPr>
          <w:rFonts w:hint="eastAsia" w:ascii="宋体" w:hAnsi="宋体" w:cs="宋体"/>
          <w:b/>
          <w:color w:val="auto"/>
          <w:highlight w:val="none"/>
          <w:u w:val="single"/>
        </w:rPr>
        <w:t>不实行工程量清单计价的工程项目，工程量的计算规则应按省、市行业主管部门颁布的各专业工程定额的工程量计算规则执行。</w:t>
      </w:r>
    </w:p>
    <w:p w14:paraId="6580D82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12.3.2  计量周期</w:t>
      </w:r>
    </w:p>
    <w:p w14:paraId="69A0A69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b/>
          <w:color w:val="auto"/>
          <w:highlight w:val="none"/>
          <w:u w:val="single"/>
        </w:rPr>
        <w:t>按工程进度支付</w:t>
      </w:r>
      <w:r>
        <w:rPr>
          <w:rFonts w:hint="eastAsia" w:ascii="宋体" w:hAnsi="宋体" w:cs="宋体"/>
          <w:color w:val="auto"/>
          <w:highlight w:val="none"/>
        </w:rPr>
        <w:t>。</w:t>
      </w:r>
    </w:p>
    <w:p w14:paraId="15A36FC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12.3.3  单价合同的计量</w:t>
      </w:r>
    </w:p>
    <w:p w14:paraId="5F8D449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b/>
          <w:color w:val="auto"/>
          <w:highlight w:val="none"/>
          <w:u w:val="single"/>
        </w:rPr>
        <w:t>每月17日前，承包人向监理工程师提交一式伍份当月已完工程量报告；监理工程师在收到工程量报告后7天内审核完毕后报送发包人工程师。若工程师对承包人申报的工程量存有疑问，有权要求承包人派员与工程师共同复核，此时，承包人应积极配合和指派合格的代表协助工程师进行复核并按工程师的要求提供补充的计量资料；如承包人不配合，发包人有权按工程师审核的工程量作为支付依据</w:t>
      </w:r>
      <w:r>
        <w:rPr>
          <w:rFonts w:hint="eastAsia" w:ascii="宋体" w:hAnsi="宋体" w:cs="宋体"/>
          <w:color w:val="auto"/>
          <w:highlight w:val="none"/>
        </w:rPr>
        <w:t>。</w:t>
      </w:r>
    </w:p>
    <w:p w14:paraId="09A4EE8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工资性工程款比例约定：</w:t>
      </w:r>
      <w:r>
        <w:rPr>
          <w:rFonts w:hint="eastAsia" w:ascii="宋体" w:hAnsi="宋体" w:cs="宋体"/>
          <w:color w:val="auto"/>
          <w:highlight w:val="none"/>
          <w:u w:val="single"/>
        </w:rPr>
        <w:t>/</w:t>
      </w:r>
      <w:r>
        <w:rPr>
          <w:rFonts w:hint="eastAsia" w:ascii="宋体" w:hAnsi="宋体" w:cs="宋体"/>
          <w:color w:val="auto"/>
          <w:highlight w:val="none"/>
        </w:rPr>
        <w:t>。</w:t>
      </w:r>
    </w:p>
    <w:p w14:paraId="21EC00AE">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12.3.4  总价合同的计量</w:t>
      </w:r>
    </w:p>
    <w:p w14:paraId="1949091E">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F580623">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工资性工程款比例约定：</w:t>
      </w:r>
      <w:r>
        <w:rPr>
          <w:rFonts w:hint="eastAsia" w:ascii="宋体" w:hAnsi="宋体" w:cs="宋体"/>
          <w:b/>
          <w:color w:val="auto"/>
          <w:szCs w:val="21"/>
          <w:highlight w:val="none"/>
          <w:u w:val="single"/>
        </w:rPr>
        <w:t>/</w:t>
      </w:r>
      <w:r>
        <w:rPr>
          <w:rFonts w:hint="eastAsia" w:ascii="宋体" w:hAnsi="宋体" w:cs="宋体"/>
          <w:color w:val="auto"/>
          <w:szCs w:val="21"/>
          <w:highlight w:val="none"/>
        </w:rPr>
        <w:t>。</w:t>
      </w:r>
    </w:p>
    <w:p w14:paraId="7475954A">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12.3.5  总价合同采用支付分解表计量支付的，是否适用第12.3.4 项〔总价合同的计量〕约定进行计量：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B647F91">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12.3.6其他价格形式合同的计量</w:t>
      </w:r>
    </w:p>
    <w:p w14:paraId="0152F4D2">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36601F1">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40E4FD06">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12.4.1  付款周期</w:t>
      </w:r>
    </w:p>
    <w:p w14:paraId="4BDA5F67">
      <w:pPr>
        <w:spacing w:line="460" w:lineRule="exact"/>
        <w:ind w:firstLine="412"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关于付款周期的约定：</w:t>
      </w:r>
    </w:p>
    <w:p w14:paraId="35C7A7A1">
      <w:pPr>
        <w:spacing w:line="460" w:lineRule="exact"/>
        <w:ind w:firstLine="412" w:firstLineChars="200"/>
        <w:rPr>
          <w:rFonts w:ascii="宋体" w:hAnsi="宋体" w:cs="宋体"/>
          <w:b/>
          <w:color w:val="auto"/>
          <w:sz w:val="21"/>
          <w:szCs w:val="21"/>
          <w:highlight w:val="none"/>
          <w:u w:val="single"/>
        </w:rPr>
      </w:pPr>
      <w:r>
        <w:rPr>
          <w:rFonts w:hint="eastAsia" w:ascii="宋体" w:hAnsi="宋体" w:cs="宋体"/>
          <w:b/>
          <w:color w:val="auto"/>
          <w:sz w:val="21"/>
          <w:szCs w:val="21"/>
          <w:highlight w:val="none"/>
          <w:u w:val="single"/>
        </w:rPr>
        <w:t>双方约定的工程款（进度款）支付的方式和时间：</w:t>
      </w:r>
    </w:p>
    <w:p w14:paraId="1186487F">
      <w:pPr>
        <w:snapToGrid w:val="0"/>
        <w:spacing w:line="360" w:lineRule="auto"/>
        <w:ind w:firstLine="41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1）进场施工后支付合同总价</w:t>
      </w:r>
      <w:r>
        <w:rPr>
          <w:rFonts w:hint="eastAsia" w:ascii="宋体" w:hAnsi="宋体" w:cs="宋体"/>
          <w:b/>
          <w:color w:val="auto"/>
          <w:sz w:val="21"/>
          <w:szCs w:val="21"/>
          <w:highlight w:val="none"/>
          <w:lang w:val="en-US" w:eastAsia="zh-CN"/>
        </w:rPr>
        <w:t>40</w:t>
      </w:r>
      <w:r>
        <w:rPr>
          <w:rFonts w:hint="eastAsia" w:ascii="宋体" w:hAnsi="宋体" w:cs="宋体"/>
          <w:b/>
          <w:color w:val="auto"/>
          <w:sz w:val="21"/>
          <w:szCs w:val="21"/>
          <w:highlight w:val="none"/>
        </w:rPr>
        <w:t>%的预付款（含安全文明施工费总额的60%）</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实际支付时间以财政下达资金时间为准。</w:t>
      </w:r>
    </w:p>
    <w:p w14:paraId="5047E7BF">
      <w:pPr>
        <w:spacing w:line="460" w:lineRule="exact"/>
        <w:ind w:firstLine="412" w:firstLineChars="200"/>
        <w:rPr>
          <w:rFonts w:ascii="宋体" w:hAnsi="宋体" w:cs="宋体"/>
          <w:b/>
          <w:color w:val="auto"/>
          <w:sz w:val="21"/>
          <w:szCs w:val="21"/>
          <w:highlight w:val="none"/>
          <w:u w:val="single"/>
        </w:rPr>
      </w:pPr>
      <w:r>
        <w:rPr>
          <w:rFonts w:hint="eastAsia" w:ascii="宋体" w:hAnsi="宋体" w:cs="宋体"/>
          <w:b/>
          <w:color w:val="auto"/>
          <w:sz w:val="21"/>
          <w:szCs w:val="21"/>
          <w:highlight w:val="none"/>
          <w:u w:val="single"/>
        </w:rPr>
        <w:t>支付条件：合同签订后5天内承包人提交合同总价</w:t>
      </w:r>
      <w:r>
        <w:rPr>
          <w:rFonts w:hint="eastAsia" w:ascii="宋体" w:hAnsi="宋体" w:cs="宋体"/>
          <w:b/>
          <w:bCs w:val="0"/>
          <w:color w:val="auto"/>
          <w:sz w:val="21"/>
          <w:szCs w:val="21"/>
          <w:highlight w:val="none"/>
          <w:u w:val="single"/>
          <w:lang w:val="en-US" w:eastAsia="zh-CN"/>
        </w:rPr>
        <w:t>1</w:t>
      </w:r>
      <w:r>
        <w:rPr>
          <w:rFonts w:hint="eastAsia" w:ascii="宋体" w:hAnsi="宋体" w:cs="宋体"/>
          <w:b/>
          <w:bCs w:val="0"/>
          <w:color w:val="auto"/>
          <w:sz w:val="21"/>
          <w:szCs w:val="21"/>
          <w:highlight w:val="none"/>
          <w:u w:val="single"/>
        </w:rPr>
        <w:t>%</w:t>
      </w:r>
      <w:r>
        <w:rPr>
          <w:rFonts w:hint="eastAsia" w:ascii="宋体" w:hAnsi="宋体" w:cs="宋体"/>
          <w:b/>
          <w:color w:val="auto"/>
          <w:sz w:val="21"/>
          <w:szCs w:val="21"/>
          <w:highlight w:val="none"/>
          <w:u w:val="single"/>
        </w:rPr>
        <w:t>的履约保证金；履约保证金期限不少于6个月，承包人未按规定时间缴纳履约保证金一经发现扣5000元违约金，如工程延期履约保证金未及时续保的一经发现扣5000元违约金。</w:t>
      </w:r>
    </w:p>
    <w:p w14:paraId="73D0F174">
      <w:pPr>
        <w:spacing w:line="460" w:lineRule="exact"/>
        <w:ind w:firstLine="412" w:firstLineChars="200"/>
        <w:rPr>
          <w:rFonts w:hint="eastAsia" w:ascii="宋体" w:hAnsi="宋体" w:eastAsia="宋体" w:cs="宋体"/>
          <w:b/>
          <w:color w:val="auto"/>
          <w:sz w:val="21"/>
          <w:szCs w:val="21"/>
          <w:highlight w:val="none"/>
          <w:u w:val="single"/>
          <w:lang w:eastAsia="zh-CN"/>
        </w:rPr>
      </w:pPr>
      <w:r>
        <w:rPr>
          <w:rFonts w:hint="eastAsia" w:ascii="宋体" w:hAnsi="宋体" w:cs="宋体"/>
          <w:b/>
          <w:color w:val="auto"/>
          <w:sz w:val="21"/>
          <w:szCs w:val="21"/>
          <w:highlight w:val="none"/>
          <w:u w:val="single"/>
        </w:rPr>
        <w:t>2)工程竣工验收合格后15天内，且承包人提交完整的竣工资料并上报结算送审资料后，支付至</w:t>
      </w:r>
      <w:bookmarkStart w:id="415" w:name="ed_2023Y3M14D15H25M47"/>
      <w:r>
        <w:rPr>
          <w:rFonts w:hint="eastAsia" w:ascii="宋体" w:hAnsi="宋体" w:cs="宋体"/>
          <w:b/>
          <w:color w:val="auto"/>
          <w:sz w:val="21"/>
          <w:szCs w:val="21"/>
          <w:highlight w:val="none"/>
          <w:u w:val="single"/>
        </w:rPr>
        <w:t>合同价款的85%</w:t>
      </w:r>
      <w:bookmarkEnd w:id="415"/>
      <w:r>
        <w:rPr>
          <w:rFonts w:hint="eastAsia" w:ascii="宋体" w:hAnsi="宋体" w:cs="宋体"/>
          <w:b/>
          <w:color w:val="auto"/>
          <w:sz w:val="21"/>
          <w:szCs w:val="21"/>
          <w:highlight w:val="none"/>
          <w:u w:val="single"/>
          <w:lang w:eastAsia="zh-CN"/>
        </w:rPr>
        <w:t>，</w:t>
      </w:r>
      <w:r>
        <w:rPr>
          <w:rFonts w:hint="eastAsia" w:ascii="宋体" w:hAnsi="宋体" w:cs="宋体"/>
          <w:b/>
          <w:color w:val="auto"/>
          <w:sz w:val="21"/>
          <w:szCs w:val="21"/>
          <w:highlight w:val="none"/>
          <w:lang w:val="en-US" w:eastAsia="zh-CN"/>
        </w:rPr>
        <w:t>实际支付时间以财政下达资金时间为准。</w:t>
      </w:r>
    </w:p>
    <w:p w14:paraId="470E6EF0">
      <w:pPr>
        <w:spacing w:line="460" w:lineRule="exact"/>
        <w:ind w:firstLine="412" w:firstLineChars="200"/>
        <w:rPr>
          <w:rFonts w:hint="eastAsia" w:ascii="宋体" w:hAnsi="宋体" w:eastAsia="宋体" w:cs="宋体"/>
          <w:b/>
          <w:color w:val="auto"/>
          <w:sz w:val="21"/>
          <w:szCs w:val="21"/>
          <w:highlight w:val="none"/>
          <w:u w:val="single"/>
          <w:lang w:eastAsia="zh-CN"/>
        </w:rPr>
      </w:pPr>
      <w:r>
        <w:rPr>
          <w:rFonts w:hint="eastAsia" w:ascii="宋体" w:hAnsi="宋体" w:cs="宋体"/>
          <w:b/>
          <w:color w:val="auto"/>
          <w:sz w:val="21"/>
          <w:szCs w:val="21"/>
          <w:highlight w:val="none"/>
          <w:u w:val="single"/>
        </w:rPr>
        <w:t>支付条件：①承包人提交下列资料：A、监理工程师签署的全部工程验收合格的资料；B、监理工程师签署的缺陷修补完成的证明材料；C、工程结算书；D、完成所有竣工资料并符合有关部门要求；②承包人提交经监理工程师及发包人审核同意的工程量计价单；③在支付时，承包人应先交清水电费及其他发包人代为支付的其他费用；④工程结算接收目录表</w:t>
      </w:r>
      <w:r>
        <w:rPr>
          <w:rFonts w:hint="eastAsia" w:ascii="宋体" w:hAnsi="宋体" w:cs="宋体"/>
          <w:b/>
          <w:color w:val="auto"/>
          <w:sz w:val="21"/>
          <w:szCs w:val="21"/>
          <w:highlight w:val="none"/>
          <w:u w:val="single"/>
          <w:lang w:eastAsia="zh-CN"/>
        </w:rPr>
        <w:t>。</w:t>
      </w:r>
      <w:r>
        <w:rPr>
          <w:rFonts w:hint="eastAsia" w:ascii="宋体" w:hAnsi="宋体" w:cs="宋体"/>
          <w:b/>
          <w:color w:val="auto"/>
          <w:sz w:val="21"/>
          <w:szCs w:val="21"/>
          <w:highlight w:val="none"/>
          <w:u w:val="single"/>
          <w:lang w:val="en-US" w:eastAsia="zh-CN"/>
        </w:rPr>
        <w:t>少以上任一必须的材料，发包人有权暂不付款并不承担违约责任。</w:t>
      </w:r>
    </w:p>
    <w:p w14:paraId="532DBEEF">
      <w:pPr>
        <w:numPr>
          <w:ilvl w:val="0"/>
          <w:numId w:val="1"/>
        </w:numPr>
        <w:autoSpaceDE w:val="0"/>
        <w:autoSpaceDN w:val="0"/>
        <w:spacing w:line="460" w:lineRule="exact"/>
        <w:ind w:firstLine="412" w:firstLineChars="200"/>
        <w:jc w:val="left"/>
        <w:rPr>
          <w:rFonts w:ascii="宋体" w:hAnsi="宋体" w:cs="宋体"/>
          <w:b/>
          <w:color w:val="auto"/>
          <w:sz w:val="21"/>
          <w:szCs w:val="21"/>
          <w:highlight w:val="none"/>
          <w:u w:val="single"/>
        </w:rPr>
      </w:pPr>
      <w:r>
        <w:rPr>
          <w:rFonts w:hint="eastAsia" w:ascii="宋体" w:hAnsi="宋体" w:cs="宋体"/>
          <w:b/>
          <w:color w:val="auto"/>
          <w:sz w:val="21"/>
          <w:szCs w:val="21"/>
          <w:highlight w:val="none"/>
          <w:u w:val="single"/>
        </w:rPr>
        <w:t>工程财务决算经审计完成后支付至审计价的</w:t>
      </w:r>
      <w:r>
        <w:rPr>
          <w:rFonts w:hint="eastAsia" w:ascii="宋体" w:hAnsi="宋体" w:cs="宋体"/>
          <w:b/>
          <w:color w:val="auto"/>
          <w:sz w:val="21"/>
          <w:szCs w:val="21"/>
          <w:highlight w:val="none"/>
          <w:u w:val="single"/>
          <w:lang w:val="en-US" w:eastAsia="zh-CN"/>
        </w:rPr>
        <w:t>100</w:t>
      </w:r>
      <w:r>
        <w:rPr>
          <w:rFonts w:hint="eastAsia" w:ascii="宋体" w:hAnsi="宋体" w:cs="宋体"/>
          <w:b/>
          <w:color w:val="auto"/>
          <w:sz w:val="21"/>
          <w:szCs w:val="21"/>
          <w:highlight w:val="none"/>
          <w:u w:val="single"/>
        </w:rPr>
        <w:t>%</w:t>
      </w:r>
      <w:r>
        <w:rPr>
          <w:rFonts w:hint="eastAsia" w:ascii="宋体" w:hAnsi="宋体" w:cs="宋体"/>
          <w:b/>
          <w:color w:val="auto"/>
          <w:sz w:val="21"/>
          <w:szCs w:val="21"/>
          <w:highlight w:val="none"/>
          <w:u w:val="single"/>
          <w:lang w:eastAsia="zh-CN"/>
        </w:rPr>
        <w:t>，</w:t>
      </w:r>
      <w:r>
        <w:rPr>
          <w:rFonts w:hint="eastAsia" w:ascii="宋体" w:hAnsi="宋体" w:cs="宋体"/>
          <w:b/>
          <w:color w:val="auto"/>
          <w:sz w:val="21"/>
          <w:szCs w:val="21"/>
          <w:highlight w:val="none"/>
          <w:lang w:val="en-US" w:eastAsia="zh-CN"/>
        </w:rPr>
        <w:t>实际支付时间以财政下达资金时间为准。</w:t>
      </w:r>
    </w:p>
    <w:p w14:paraId="1F1A58AE">
      <w:pPr>
        <w:spacing w:line="460" w:lineRule="exact"/>
        <w:ind w:firstLine="41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u w:val="single"/>
        </w:rPr>
        <w:t>支付条件：招标人收到财政最终</w:t>
      </w:r>
      <w:r>
        <w:rPr>
          <w:rFonts w:hint="eastAsia" w:ascii="宋体" w:hAnsi="宋体" w:cs="宋体"/>
          <w:b/>
          <w:color w:val="auto"/>
          <w:sz w:val="21"/>
          <w:szCs w:val="21"/>
          <w:highlight w:val="none"/>
          <w:u w:val="single"/>
          <w:lang w:val="en-US" w:eastAsia="zh-CN"/>
        </w:rPr>
        <w:t>资金文件</w:t>
      </w:r>
      <w:r>
        <w:rPr>
          <w:rFonts w:hint="eastAsia" w:ascii="宋体" w:hAnsi="宋体" w:cs="宋体"/>
          <w:b/>
          <w:color w:val="auto"/>
          <w:sz w:val="21"/>
          <w:szCs w:val="21"/>
          <w:highlight w:val="none"/>
          <w:u w:val="single"/>
        </w:rPr>
        <w:t>；</w:t>
      </w:r>
    </w:p>
    <w:p w14:paraId="406876CE">
      <w:pPr>
        <w:numPr>
          <w:ilvl w:val="0"/>
          <w:numId w:val="1"/>
        </w:numPr>
        <w:spacing w:line="460" w:lineRule="exact"/>
        <w:ind w:firstLine="412" w:firstLineChars="200"/>
        <w:rPr>
          <w:rFonts w:ascii="宋体" w:hAnsi="宋体" w:cs="宋体"/>
          <w:b/>
          <w:bCs w:val="0"/>
          <w:color w:val="auto"/>
          <w:sz w:val="21"/>
          <w:szCs w:val="21"/>
          <w:highlight w:val="none"/>
          <w:u w:val="single"/>
        </w:rPr>
      </w:pPr>
      <w:r>
        <w:rPr>
          <w:rFonts w:hint="eastAsia" w:ascii="宋体" w:hAnsi="宋体" w:cs="宋体"/>
          <w:b/>
          <w:bCs w:val="0"/>
          <w:color w:val="auto"/>
          <w:sz w:val="21"/>
          <w:szCs w:val="21"/>
          <w:highlight w:val="none"/>
          <w:u w:val="single"/>
        </w:rPr>
        <w:t>质量保证金为经审计后结算价的1.5%，采用银行转账或工程保函形式，在最后一笔工程款支付前由承包人另行提供至发包人账户。</w:t>
      </w:r>
    </w:p>
    <w:p w14:paraId="17018EED">
      <w:pPr>
        <w:spacing w:line="460" w:lineRule="exact"/>
        <w:ind w:firstLine="412" w:firstLineChars="200"/>
        <w:rPr>
          <w:rFonts w:ascii="宋体" w:hAnsi="宋体" w:cs="宋体"/>
          <w:b/>
          <w:color w:val="auto"/>
          <w:sz w:val="21"/>
          <w:szCs w:val="21"/>
          <w:highlight w:val="none"/>
          <w:u w:val="single"/>
        </w:rPr>
      </w:pPr>
      <w:r>
        <w:rPr>
          <w:rFonts w:hint="eastAsia" w:ascii="宋体" w:hAnsi="宋体" w:cs="宋体"/>
          <w:b/>
          <w:color w:val="auto"/>
          <w:sz w:val="21"/>
          <w:szCs w:val="21"/>
          <w:highlight w:val="none"/>
          <w:u w:val="single"/>
          <w:lang w:val="en-US" w:eastAsia="zh-CN"/>
        </w:rPr>
        <w:t>5）各支付节点</w:t>
      </w:r>
      <w:r>
        <w:rPr>
          <w:rFonts w:hint="eastAsia" w:ascii="宋体" w:hAnsi="宋体" w:cs="宋体"/>
          <w:b/>
          <w:color w:val="auto"/>
          <w:sz w:val="21"/>
          <w:szCs w:val="21"/>
          <w:highlight w:val="none"/>
          <w:u w:val="single"/>
        </w:rPr>
        <w:t>实际支付时间：以财政下达资金时间为准</w:t>
      </w:r>
      <w:r>
        <w:rPr>
          <w:rFonts w:hint="eastAsia" w:ascii="宋体" w:hAnsi="宋体" w:cs="宋体"/>
          <w:color w:val="auto"/>
          <w:sz w:val="21"/>
          <w:szCs w:val="21"/>
          <w:highlight w:val="none"/>
        </w:rPr>
        <w:t>。</w:t>
      </w:r>
      <w:r>
        <w:rPr>
          <w:rFonts w:hint="eastAsia" w:ascii="宋体" w:hAnsi="宋体" w:cs="宋体"/>
          <w:b/>
          <w:color w:val="auto"/>
          <w:sz w:val="21"/>
          <w:szCs w:val="21"/>
          <w:highlight w:val="none"/>
          <w:u w:val="single"/>
        </w:rPr>
        <w:t>发包人向承包人支付每笔款项前承包人应向发包人提供与当期合同款等额的正规有效增值税发票，未及时提供相应发票的，发包人有权暂不付款且不承担逾期违约的责任。承包人清楚本合同为政府项目，如因审批流程致使付款延迟的，不视为发包人违约。</w:t>
      </w:r>
    </w:p>
    <w:p w14:paraId="44E6AB97">
      <w:pPr>
        <w:spacing w:line="460" w:lineRule="exact"/>
        <w:ind w:firstLine="412" w:firstLineChars="200"/>
        <w:rPr>
          <w:rFonts w:hint="eastAsia" w:ascii="宋体" w:hAnsi="宋体" w:cs="宋体"/>
          <w:color w:val="auto"/>
          <w:sz w:val="21"/>
          <w:szCs w:val="21"/>
          <w:highlight w:val="none"/>
        </w:rPr>
      </w:pPr>
      <w:r>
        <w:rPr>
          <w:rFonts w:hint="eastAsia" w:ascii="宋体" w:hAnsi="宋体" w:eastAsia="宋体" w:cs="宋体"/>
          <w:b/>
          <w:color w:val="auto"/>
          <w:sz w:val="21"/>
          <w:szCs w:val="21"/>
          <w:highlight w:val="none"/>
          <w:u w:val="single"/>
          <w:lang w:val="en-US" w:eastAsia="zh-CN"/>
        </w:rPr>
        <w:t>6）</w:t>
      </w:r>
      <w:r>
        <w:rPr>
          <w:rFonts w:hint="eastAsia" w:ascii="宋体" w:hAnsi="宋体" w:cs="宋体"/>
          <w:b/>
          <w:color w:val="auto"/>
          <w:sz w:val="21"/>
          <w:szCs w:val="21"/>
          <w:highlight w:val="none"/>
          <w:u w:val="single"/>
          <w:lang w:val="en-US" w:eastAsia="zh-CN"/>
        </w:rPr>
        <w:t>因履行合同发生争议的，甲方有权暂不支付除农民工工资以外的合同价款直至争议解决并不承担违约责任。因承包人履行合同不符合约定的，发包人有权从任何一笔待支付款项、履约保证金、质量保证金中扣减因此产生的违约金、实际损失等所有相关费用。</w:t>
      </w:r>
    </w:p>
    <w:p w14:paraId="240AEBD9">
      <w:pPr>
        <w:spacing w:line="460" w:lineRule="exact"/>
        <w:ind w:firstLine="412" w:firstLineChars="200"/>
        <w:rPr>
          <w:rFonts w:ascii="宋体" w:hAnsi="宋体" w:cs="宋体"/>
          <w:color w:val="auto"/>
          <w:sz w:val="21"/>
          <w:szCs w:val="21"/>
          <w:highlight w:val="none"/>
        </w:rPr>
      </w:pPr>
      <w:r>
        <w:rPr>
          <w:rFonts w:hint="eastAsia" w:ascii="宋体" w:hAnsi="宋体" w:cs="宋体"/>
          <w:color w:val="auto"/>
          <w:sz w:val="21"/>
          <w:szCs w:val="21"/>
          <w:highlight w:val="none"/>
        </w:rPr>
        <w:t>12.4.2进度付款申请单的编制</w:t>
      </w:r>
    </w:p>
    <w:p w14:paraId="56B9EDDC">
      <w:pPr>
        <w:spacing w:line="460" w:lineRule="exact"/>
        <w:ind w:firstLine="412"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关于进度付款申请单编制的约定：</w:t>
      </w:r>
      <w:r>
        <w:rPr>
          <w:rFonts w:hint="eastAsia" w:ascii="宋体" w:hAnsi="宋体" w:cs="宋体"/>
          <w:b/>
          <w:color w:val="auto"/>
          <w:sz w:val="21"/>
          <w:szCs w:val="21"/>
          <w:highlight w:val="none"/>
          <w:u w:val="single"/>
        </w:rPr>
        <w:t>按通用合同条款约定，一式伍份</w:t>
      </w:r>
      <w:r>
        <w:rPr>
          <w:rFonts w:hint="eastAsia" w:ascii="宋体" w:hAnsi="宋体" w:cs="宋体"/>
          <w:color w:val="auto"/>
          <w:sz w:val="21"/>
          <w:szCs w:val="21"/>
          <w:highlight w:val="none"/>
        </w:rPr>
        <w:t>。</w:t>
      </w:r>
    </w:p>
    <w:p w14:paraId="4C68618C">
      <w:pPr>
        <w:spacing w:line="460" w:lineRule="exact"/>
        <w:ind w:firstLine="412" w:firstLineChars="200"/>
        <w:rPr>
          <w:rFonts w:ascii="宋体" w:hAnsi="宋体" w:cs="宋体"/>
          <w:color w:val="auto"/>
          <w:sz w:val="21"/>
          <w:szCs w:val="21"/>
          <w:highlight w:val="none"/>
        </w:rPr>
      </w:pPr>
      <w:r>
        <w:rPr>
          <w:rFonts w:hint="eastAsia" w:ascii="宋体" w:hAnsi="宋体" w:cs="宋体"/>
          <w:color w:val="auto"/>
          <w:sz w:val="21"/>
          <w:szCs w:val="21"/>
          <w:highlight w:val="none"/>
        </w:rPr>
        <w:t>12.4.3 进度付款申请单的提交</w:t>
      </w:r>
    </w:p>
    <w:p w14:paraId="2A65063B">
      <w:pPr>
        <w:spacing w:line="460" w:lineRule="exact"/>
        <w:ind w:firstLine="412" w:firstLineChars="200"/>
        <w:rPr>
          <w:rFonts w:ascii="宋体" w:hAnsi="宋体" w:cs="宋体"/>
          <w:color w:val="auto"/>
          <w:sz w:val="21"/>
          <w:szCs w:val="21"/>
          <w:highlight w:val="none"/>
        </w:rPr>
      </w:pPr>
      <w:r>
        <w:rPr>
          <w:rFonts w:hint="eastAsia" w:ascii="宋体" w:hAnsi="宋体" w:cs="宋体"/>
          <w:color w:val="auto"/>
          <w:sz w:val="21"/>
          <w:szCs w:val="21"/>
          <w:highlight w:val="none"/>
        </w:rPr>
        <w:t>（1）单价合同进度付款申请单提交的约定：</w:t>
      </w:r>
      <w:r>
        <w:rPr>
          <w:rFonts w:hint="eastAsia" w:ascii="宋体" w:hAnsi="宋体" w:cs="宋体"/>
          <w:b/>
          <w:color w:val="auto"/>
          <w:sz w:val="21"/>
          <w:szCs w:val="21"/>
          <w:highlight w:val="none"/>
          <w:u w:val="single"/>
        </w:rPr>
        <w:t>每月20日上报</w:t>
      </w:r>
      <w:r>
        <w:rPr>
          <w:rFonts w:hint="eastAsia" w:ascii="宋体" w:hAnsi="宋体" w:cs="宋体"/>
          <w:color w:val="auto"/>
          <w:sz w:val="21"/>
          <w:szCs w:val="21"/>
          <w:highlight w:val="none"/>
        </w:rPr>
        <w:t>。</w:t>
      </w:r>
    </w:p>
    <w:p w14:paraId="1340E23A">
      <w:pPr>
        <w:spacing w:line="460" w:lineRule="exact"/>
        <w:ind w:firstLine="412" w:firstLineChars="200"/>
        <w:rPr>
          <w:rFonts w:ascii="宋体" w:hAnsi="宋体" w:cs="宋体"/>
          <w:color w:val="auto"/>
          <w:sz w:val="21"/>
          <w:szCs w:val="21"/>
          <w:highlight w:val="none"/>
        </w:rPr>
      </w:pPr>
      <w:r>
        <w:rPr>
          <w:rFonts w:hint="eastAsia" w:ascii="宋体" w:hAnsi="宋体" w:cs="宋体"/>
          <w:color w:val="auto"/>
          <w:sz w:val="21"/>
          <w:szCs w:val="21"/>
          <w:highlight w:val="none"/>
        </w:rPr>
        <w:t>（2）总价合同进度付款申请单提交的约定：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281CB7AA">
      <w:pPr>
        <w:spacing w:line="460" w:lineRule="exact"/>
        <w:ind w:firstLine="412"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（3）其他价格形式合同进度付款申请单提交的约定：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3AD3EE73">
      <w:pPr>
        <w:spacing w:line="460" w:lineRule="exact"/>
        <w:ind w:firstLine="412" w:firstLineChars="200"/>
        <w:rPr>
          <w:rFonts w:ascii="宋体" w:hAnsi="宋体" w:cs="宋体"/>
          <w:color w:val="auto"/>
          <w:sz w:val="21"/>
          <w:szCs w:val="21"/>
          <w:highlight w:val="none"/>
        </w:rPr>
      </w:pPr>
      <w:r>
        <w:rPr>
          <w:rFonts w:hint="eastAsia" w:ascii="宋体" w:hAnsi="宋体" w:cs="宋体"/>
          <w:color w:val="auto"/>
          <w:sz w:val="21"/>
          <w:szCs w:val="21"/>
          <w:highlight w:val="none"/>
        </w:rPr>
        <w:t>12.4.4  进度款审核和支付</w:t>
      </w:r>
    </w:p>
    <w:p w14:paraId="546633F1">
      <w:pPr>
        <w:spacing w:line="460" w:lineRule="exact"/>
        <w:ind w:firstLine="412" w:firstLineChars="200"/>
        <w:rPr>
          <w:rFonts w:ascii="宋体" w:hAnsi="宋体" w:cs="宋体"/>
          <w:color w:val="auto"/>
          <w:sz w:val="21"/>
          <w:szCs w:val="21"/>
          <w:highlight w:val="none"/>
        </w:rPr>
      </w:pPr>
      <w:r>
        <w:rPr>
          <w:rFonts w:hint="eastAsia" w:ascii="宋体" w:hAnsi="宋体" w:cs="宋体"/>
          <w:color w:val="auto"/>
          <w:sz w:val="21"/>
          <w:szCs w:val="21"/>
          <w:highlight w:val="none"/>
        </w:rPr>
        <w:t>（1）监理人审查并报送发包人的期限：</w:t>
      </w:r>
      <w:r>
        <w:rPr>
          <w:rFonts w:hint="eastAsia" w:ascii="宋体" w:hAnsi="宋体" w:cs="宋体"/>
          <w:b/>
          <w:color w:val="auto"/>
          <w:sz w:val="21"/>
          <w:szCs w:val="21"/>
          <w:highlight w:val="none"/>
          <w:u w:val="single"/>
        </w:rPr>
        <w:t>监理人应在收到承包人进度付款申请单以及相关资料后7天内完成审查并报送发包人</w:t>
      </w:r>
      <w:r>
        <w:rPr>
          <w:rFonts w:hint="eastAsia" w:ascii="宋体" w:hAnsi="宋体" w:cs="宋体"/>
          <w:color w:val="auto"/>
          <w:sz w:val="21"/>
          <w:szCs w:val="21"/>
          <w:highlight w:val="none"/>
        </w:rPr>
        <w:t>。</w:t>
      </w:r>
    </w:p>
    <w:p w14:paraId="0BDC3A50">
      <w:pPr>
        <w:spacing w:line="460" w:lineRule="exact"/>
        <w:ind w:firstLine="412" w:firstLineChars="200"/>
        <w:rPr>
          <w:rFonts w:ascii="宋体" w:hAnsi="宋体" w:cs="宋体"/>
          <w:color w:val="auto"/>
          <w:szCs w:val="21"/>
          <w:highlight w:val="none"/>
        </w:rPr>
      </w:pPr>
      <w:r>
        <w:rPr>
          <w:rFonts w:hint="eastAsia" w:ascii="宋体" w:hAnsi="宋体" w:cs="宋体"/>
          <w:color w:val="auto"/>
          <w:sz w:val="21"/>
          <w:szCs w:val="21"/>
          <w:highlight w:val="none"/>
        </w:rPr>
        <w:t>发包人完成审批并签发进度款支付证书的期限：</w:t>
      </w:r>
      <w:r>
        <w:rPr>
          <w:rFonts w:hint="eastAsia" w:ascii="宋体" w:hAnsi="宋体" w:cs="宋体"/>
          <w:b/>
          <w:color w:val="auto"/>
          <w:sz w:val="21"/>
          <w:szCs w:val="21"/>
          <w:highlight w:val="none"/>
          <w:u w:val="single"/>
        </w:rPr>
        <w:t>发包人应在收到后20天内完成审批并签发进度款支付证书</w:t>
      </w:r>
      <w:r>
        <w:rPr>
          <w:rFonts w:hint="eastAsia" w:ascii="宋体" w:hAnsi="宋体" w:cs="宋体"/>
          <w:color w:val="auto"/>
          <w:sz w:val="21"/>
          <w:szCs w:val="21"/>
          <w:highlight w:val="none"/>
        </w:rPr>
        <w:t>。</w:t>
      </w:r>
    </w:p>
    <w:p w14:paraId="2E95EC1E">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b/>
          <w:color w:val="auto"/>
          <w:szCs w:val="21"/>
          <w:highlight w:val="none"/>
          <w:u w:val="single"/>
        </w:rPr>
        <w:t>工程款（进度款）以支票或汇票等形式由财政部门直接支付，支付时间以财政核准时间为准；在特殊情况下，因进度款不能及时支付，承包人不得因进度款支付问题而影响工程进度和质量</w:t>
      </w:r>
      <w:r>
        <w:rPr>
          <w:rFonts w:hint="eastAsia" w:ascii="宋体" w:hAnsi="宋体" w:cs="宋体"/>
          <w:color w:val="auto"/>
          <w:szCs w:val="21"/>
          <w:highlight w:val="none"/>
        </w:rPr>
        <w:t>。</w:t>
      </w:r>
    </w:p>
    <w:p w14:paraId="38331214">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5A843EAE">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12.4.6支付分解表的编制</w:t>
      </w:r>
    </w:p>
    <w:p w14:paraId="03AF31A9">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5AAAEE5">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3、单价合同的总价项目支付分解表的编制与审批：</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7459E5E6">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13验收和工程试车</w:t>
      </w:r>
    </w:p>
    <w:p w14:paraId="3632ADFA">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0CA51910">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13.1.2  监理人不能按时进行验收时，应提前</w:t>
      </w:r>
      <w:r>
        <w:rPr>
          <w:rFonts w:hint="eastAsia" w:ascii="宋体" w:hAnsi="宋体" w:cs="宋体"/>
          <w:b/>
          <w:color w:val="auto"/>
          <w:szCs w:val="21"/>
          <w:highlight w:val="none"/>
          <w:u w:val="single"/>
        </w:rPr>
        <w:t>24</w:t>
      </w:r>
      <w:r>
        <w:rPr>
          <w:rFonts w:hint="eastAsia" w:ascii="宋体" w:hAnsi="宋体" w:cs="宋体"/>
          <w:color w:val="auto"/>
          <w:szCs w:val="21"/>
          <w:highlight w:val="none"/>
        </w:rPr>
        <w:t>小时提交书面延期要求。</w:t>
      </w:r>
    </w:p>
    <w:p w14:paraId="284D888B">
      <w:pPr>
        <w:spacing w:line="460" w:lineRule="exact"/>
        <w:ind w:firstLine="412" w:firstLineChars="200"/>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color w:val="auto"/>
          <w:szCs w:val="21"/>
          <w:highlight w:val="none"/>
          <w:u w:val="single"/>
        </w:rPr>
        <w:t>48</w:t>
      </w:r>
      <w:r>
        <w:rPr>
          <w:rFonts w:hint="eastAsia" w:ascii="宋体" w:hAnsi="宋体" w:cs="宋体"/>
          <w:color w:val="auto"/>
          <w:szCs w:val="21"/>
          <w:highlight w:val="none"/>
        </w:rPr>
        <w:t>小时。</w:t>
      </w:r>
    </w:p>
    <w:p w14:paraId="6600F4C5">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13.2  竣工验收</w:t>
      </w:r>
    </w:p>
    <w:p w14:paraId="7D7F9F9D">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13.2.2  竣工验收程序</w:t>
      </w:r>
    </w:p>
    <w:p w14:paraId="5187288F">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关于竣工验收程序的约定：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29F88271">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发包人不按照本项约定组织竣工验收、颁发工程接收证书的违约金的计算方法：</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F7B2D46">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13.2.5  移交、接收全部与部分工程</w:t>
      </w:r>
    </w:p>
    <w:p w14:paraId="69A937DC">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承包人向发包人移交工程的期限：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4BF193CA">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2D96A9B">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b/>
          <w:color w:val="auto"/>
          <w:szCs w:val="21"/>
          <w:highlight w:val="none"/>
          <w:u w:val="single"/>
        </w:rPr>
        <w:t>工程验收合格承包人应在发包人要求时间内向发包人移交全部工程，承包人无正当理由不移交工程的，每延误一天扣罚承包人合同签约价万分之二的违约金，且因逾期移交工程而给发包人造成经济损失的，由承包人负责赔偿损失</w:t>
      </w:r>
      <w:r>
        <w:rPr>
          <w:rFonts w:hint="eastAsia" w:ascii="宋体" w:hAnsi="宋体" w:cs="宋体"/>
          <w:color w:val="auto"/>
          <w:szCs w:val="21"/>
          <w:highlight w:val="none"/>
        </w:rPr>
        <w:t>。</w:t>
      </w:r>
    </w:p>
    <w:p w14:paraId="59A8C338">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13.3  工程试车</w:t>
      </w:r>
    </w:p>
    <w:p w14:paraId="6AE6C079">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13.3.1  试车程序</w:t>
      </w:r>
    </w:p>
    <w:p w14:paraId="3EEFB30F">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工程试车内容：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D0FB07C">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（1）单机无负荷试车费用由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承担；</w:t>
      </w:r>
    </w:p>
    <w:p w14:paraId="0CBD8921">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（2）无负荷联动试车费用由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承担。</w:t>
      </w:r>
    </w:p>
    <w:p w14:paraId="2D2015B5">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13.3.3  投料试车</w:t>
      </w:r>
    </w:p>
    <w:p w14:paraId="1FDC0F8D">
      <w:pPr>
        <w:spacing w:line="460" w:lineRule="exact"/>
        <w:ind w:firstLine="412" w:firstLineChars="200"/>
        <w:rPr>
          <w:rFonts w:ascii="宋体" w:hAnsi="宋体" w:cs="宋体"/>
          <w:color w:val="auto"/>
          <w:highlight w:val="none"/>
          <w:u w:val="single"/>
        </w:rPr>
      </w:pPr>
      <w:r>
        <w:rPr>
          <w:rFonts w:hint="eastAsia" w:ascii="宋体" w:hAnsi="宋体" w:cs="宋体"/>
          <w:color w:val="auto"/>
          <w:szCs w:val="21"/>
          <w:highlight w:val="none"/>
        </w:rPr>
        <w:t>关于投料试车相关事项的约定：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8ADCB31">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13.6  竣工退场</w:t>
      </w:r>
    </w:p>
    <w:p w14:paraId="4EB94DA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13.6.1竣工退场</w:t>
      </w:r>
    </w:p>
    <w:p w14:paraId="6C556015">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承包人完成竣工退场的期限：</w:t>
      </w:r>
      <w:r>
        <w:rPr>
          <w:rFonts w:hint="eastAsia" w:ascii="宋体" w:hAnsi="宋体" w:cs="宋体"/>
          <w:b/>
          <w:bCs/>
          <w:color w:val="auto"/>
          <w:highlight w:val="none"/>
          <w:u w:val="single"/>
        </w:rPr>
        <w:t>工程移交完成后14天内</w:t>
      </w:r>
      <w:r>
        <w:rPr>
          <w:rFonts w:hint="eastAsia" w:ascii="宋体" w:hAnsi="宋体" w:cs="宋体"/>
          <w:color w:val="auto"/>
          <w:highlight w:val="none"/>
        </w:rPr>
        <w:t>。</w:t>
      </w:r>
    </w:p>
    <w:p w14:paraId="50BA215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14  竣工结算</w:t>
      </w:r>
    </w:p>
    <w:p w14:paraId="5F2A2DC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14.1  竣工结算申请</w:t>
      </w:r>
    </w:p>
    <w:p w14:paraId="56CBB3D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承包人提交竣工结算申请单的期限：</w:t>
      </w:r>
      <w:r>
        <w:rPr>
          <w:rFonts w:hint="eastAsia" w:ascii="宋体" w:hAnsi="宋体" w:cs="宋体"/>
          <w:b/>
          <w:color w:val="auto"/>
          <w:highlight w:val="none"/>
          <w:u w:val="single"/>
        </w:rPr>
        <w:t>整体工程竣工验收合格后15日历天内，承包人向发包人递交竣工结算报告及完整的结算资料伍份</w:t>
      </w:r>
      <w:r>
        <w:rPr>
          <w:rFonts w:hint="eastAsia" w:ascii="宋体" w:hAnsi="宋体" w:cs="宋体"/>
          <w:color w:val="auto"/>
          <w:highlight w:val="none"/>
        </w:rPr>
        <w:t>。</w:t>
      </w:r>
    </w:p>
    <w:p w14:paraId="2B8950AE">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竣工结算申请单应包括的内容：</w:t>
      </w:r>
      <w:r>
        <w:rPr>
          <w:rFonts w:hint="eastAsia" w:ascii="宋体" w:hAnsi="宋体" w:cs="宋体"/>
          <w:b/>
          <w:color w:val="auto"/>
          <w:highlight w:val="none"/>
          <w:u w:val="single"/>
        </w:rPr>
        <w:t>按通用合同条款约定及发包人要求格式及内容</w:t>
      </w:r>
      <w:r>
        <w:rPr>
          <w:rFonts w:hint="eastAsia" w:ascii="宋体" w:hAnsi="宋体" w:cs="宋体"/>
          <w:color w:val="auto"/>
          <w:highlight w:val="none"/>
        </w:rPr>
        <w:t>。</w:t>
      </w:r>
    </w:p>
    <w:p w14:paraId="2C9029F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14.2  竣工结算审核</w:t>
      </w:r>
    </w:p>
    <w:p w14:paraId="783E074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发包人审批竣工付款申请单的期限：</w:t>
      </w:r>
      <w:r>
        <w:rPr>
          <w:rFonts w:hint="eastAsia" w:ascii="宋体" w:hAnsi="宋体" w:cs="宋体"/>
          <w:b/>
          <w:color w:val="auto"/>
          <w:highlight w:val="none"/>
          <w:u w:val="single"/>
        </w:rPr>
        <w:t>发包人、审计部门应在竣工验收合格、承包人提供完整结算资料以及具备其它结算条件后及时按有关规定核实承包人递交的结算报告及结算资料，但并不受通用条款所述的时间约束。承包人报送工程结算，工程价款审计后核减额超过送审造价5%幅度以外的审查费用及核增部分审查费用由施工单位支付，</w:t>
      </w:r>
    </w:p>
    <w:p w14:paraId="3EF90934">
      <w:pPr>
        <w:spacing w:line="460" w:lineRule="exact"/>
        <w:ind w:firstLine="412" w:firstLineChars="200"/>
        <w:rPr>
          <w:rFonts w:ascii="宋体" w:hAnsi="宋体" w:cs="宋体"/>
          <w:b/>
          <w:color w:val="auto"/>
          <w:highlight w:val="none"/>
          <w:u w:val="single"/>
        </w:rPr>
      </w:pPr>
      <w:r>
        <w:rPr>
          <w:rFonts w:hint="eastAsia" w:ascii="宋体" w:hAnsi="宋体" w:cs="宋体"/>
          <w:b/>
          <w:color w:val="auto"/>
          <w:highlight w:val="none"/>
          <w:u w:val="single"/>
        </w:rPr>
        <w:t>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41EE83DE">
      <w:pPr>
        <w:spacing w:line="460" w:lineRule="exact"/>
        <w:ind w:firstLine="412" w:firstLineChars="200"/>
        <w:rPr>
          <w:rFonts w:ascii="宋体" w:hAnsi="宋体" w:cs="宋体"/>
          <w:color w:val="auto"/>
          <w:highlight w:val="none"/>
        </w:rPr>
      </w:pPr>
      <w:r>
        <w:rPr>
          <w:rFonts w:hint="eastAsia" w:ascii="宋体" w:hAnsi="宋体" w:cs="宋体"/>
          <w:b/>
          <w:color w:val="auto"/>
          <w:highlight w:val="none"/>
          <w:u w:val="single"/>
        </w:rPr>
        <w:t>发包人向承包人提交审核报告（审计报告）初稿后30日内，承包人未书面提出异议或异议内容无合法依据的，视为承包人认可该报告数据，审核中介机构可以出具单方审核报告，发包人按审核报告结算工程款</w:t>
      </w:r>
      <w:r>
        <w:rPr>
          <w:rFonts w:hint="eastAsia" w:ascii="宋体" w:hAnsi="宋体" w:cs="宋体"/>
          <w:color w:val="auto"/>
          <w:highlight w:val="none"/>
        </w:rPr>
        <w:t>。</w:t>
      </w:r>
    </w:p>
    <w:p w14:paraId="3F95012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发包人完成竣工付款的期限：</w:t>
      </w:r>
      <w:r>
        <w:rPr>
          <w:rFonts w:hint="eastAsia" w:ascii="宋体" w:hAnsi="宋体" w:cs="宋体"/>
          <w:b/>
          <w:color w:val="auto"/>
          <w:highlight w:val="none"/>
          <w:u w:val="single"/>
        </w:rPr>
        <w:t>发包人应在签发竣工付款证书后的90 天内，完成对承包人的竣工付款。发包人逾期支付的，无论时间长短，均按照中国人民银行发布的同期同类贷款基准利率支付违约金</w:t>
      </w:r>
      <w:r>
        <w:rPr>
          <w:rFonts w:hint="eastAsia" w:ascii="宋体" w:hAnsi="宋体" w:cs="宋体"/>
          <w:color w:val="auto"/>
          <w:highlight w:val="none"/>
        </w:rPr>
        <w:t>。</w:t>
      </w:r>
    </w:p>
    <w:p w14:paraId="53973AF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关于竣工付款证书异议部分复核的方式和程序：</w:t>
      </w:r>
      <w:r>
        <w:rPr>
          <w:rFonts w:hint="eastAsia" w:ascii="宋体" w:hAnsi="宋体" w:cs="宋体"/>
          <w:b/>
          <w:color w:val="auto"/>
          <w:highlight w:val="none"/>
          <w:u w:val="single"/>
        </w:rPr>
        <w:t>按通用合同条款约定</w:t>
      </w:r>
      <w:r>
        <w:rPr>
          <w:rFonts w:hint="eastAsia" w:ascii="宋体" w:hAnsi="宋体" w:cs="宋体"/>
          <w:color w:val="auto"/>
          <w:highlight w:val="none"/>
        </w:rPr>
        <w:t>。</w:t>
      </w:r>
    </w:p>
    <w:p w14:paraId="6C3C3A1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14.4  最终结清</w:t>
      </w:r>
    </w:p>
    <w:p w14:paraId="4F1B92C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14.4.1  最终结清申请单</w:t>
      </w:r>
    </w:p>
    <w:p w14:paraId="4D1E801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承包人提交最终结清申请单的份数：</w:t>
      </w:r>
      <w:r>
        <w:rPr>
          <w:rFonts w:hint="eastAsia" w:ascii="宋体" w:hAnsi="宋体" w:cs="宋体"/>
          <w:b/>
          <w:color w:val="auto"/>
          <w:highlight w:val="none"/>
          <w:u w:val="single"/>
        </w:rPr>
        <w:t>承包人应在质量保修期终止证书颁发后7天内，向发包人提交一式伍份的最终结清申请单，并提供相关证明材料。最终结清申请单应列明质量保证金、应扣除的质量保证金、质量保修期内发生的增减费用</w:t>
      </w:r>
      <w:r>
        <w:rPr>
          <w:rFonts w:hint="eastAsia" w:ascii="宋体" w:hAnsi="宋体" w:cs="宋体"/>
          <w:color w:val="auto"/>
          <w:highlight w:val="none"/>
        </w:rPr>
        <w:t>。</w:t>
      </w:r>
    </w:p>
    <w:p w14:paraId="71C3A97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承包人提交最终结算申请单的期限：</w:t>
      </w:r>
      <w:r>
        <w:rPr>
          <w:rFonts w:hint="eastAsia" w:ascii="宋体" w:hAnsi="宋体" w:cs="宋体"/>
          <w:b/>
          <w:color w:val="auto"/>
          <w:highlight w:val="none"/>
          <w:u w:val="single"/>
        </w:rPr>
        <w:t>按通用合同条款约定</w:t>
      </w:r>
      <w:r>
        <w:rPr>
          <w:rFonts w:hint="eastAsia" w:ascii="宋体" w:hAnsi="宋体" w:cs="宋体"/>
          <w:color w:val="auto"/>
          <w:highlight w:val="none"/>
        </w:rPr>
        <w:t>。</w:t>
      </w:r>
    </w:p>
    <w:p w14:paraId="61560FE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14.4.2  最终结清证书和支付</w:t>
      </w:r>
    </w:p>
    <w:p w14:paraId="2706220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b/>
          <w:color w:val="auto"/>
          <w:highlight w:val="none"/>
          <w:u w:val="single"/>
        </w:rPr>
        <w:t>发包人应在收到承包人提交的最终结清申请单后30天内完成审批并向承包人颁发最终结清证书。发包人逾期未完成审批，又未提出修改意见的，承包人应向发包人发出书面催告，在收到承包人书面催告后7天内发包人仍未回复的，视为发包人同意承包人提交的最终结清申请单</w:t>
      </w:r>
      <w:r>
        <w:rPr>
          <w:rFonts w:hint="eastAsia" w:ascii="宋体" w:hAnsi="宋体" w:cs="宋体"/>
          <w:color w:val="auto"/>
          <w:highlight w:val="none"/>
        </w:rPr>
        <w:t>。</w:t>
      </w:r>
    </w:p>
    <w:p w14:paraId="66847B7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b/>
          <w:color w:val="auto"/>
          <w:highlight w:val="none"/>
          <w:u w:val="single"/>
        </w:rPr>
        <w:t>发包人应在颁发最终结清证书后30天内完成支付。发包人逾期支付的，无论时间长短，均以应付款为基数，按照中国人民银行发布的同期同类贷款基准利率支付违约金</w:t>
      </w:r>
      <w:r>
        <w:rPr>
          <w:rFonts w:hint="eastAsia" w:ascii="宋体" w:hAnsi="宋体" w:cs="宋体"/>
          <w:color w:val="auto"/>
          <w:highlight w:val="none"/>
        </w:rPr>
        <w:t>。</w:t>
      </w:r>
    </w:p>
    <w:p w14:paraId="6170589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15缺陷责任期与保修</w:t>
      </w:r>
    </w:p>
    <w:p w14:paraId="2F550AF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15.2  缺陷责任期</w:t>
      </w:r>
    </w:p>
    <w:p w14:paraId="64864800">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缺陷责任期的具体期限：</w:t>
      </w:r>
      <w:r>
        <w:rPr>
          <w:rFonts w:hint="eastAsia" w:ascii="宋体" w:hAnsi="宋体" w:cs="宋体"/>
          <w:b/>
          <w:color w:val="auto"/>
          <w:highlight w:val="none"/>
          <w:u w:val="single"/>
        </w:rPr>
        <w:t>24个月</w:t>
      </w:r>
      <w:r>
        <w:rPr>
          <w:rFonts w:hint="eastAsia" w:ascii="宋体" w:hAnsi="宋体" w:cs="宋体"/>
          <w:color w:val="auto"/>
          <w:highlight w:val="none"/>
        </w:rPr>
        <w:t>。</w:t>
      </w:r>
    </w:p>
    <w:p w14:paraId="079E778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15.3 质量保证金</w:t>
      </w:r>
    </w:p>
    <w:p w14:paraId="1B7C2E5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b/>
          <w:bCs/>
          <w:color w:val="auto"/>
          <w:highlight w:val="none"/>
          <w:u w:val="single"/>
        </w:rPr>
        <w:t>是</w:t>
      </w:r>
      <w:r>
        <w:rPr>
          <w:rFonts w:hint="eastAsia" w:ascii="宋体" w:hAnsi="宋体" w:cs="宋体"/>
          <w:b/>
          <w:bCs/>
          <w:color w:val="auto"/>
          <w:highlight w:val="none"/>
        </w:rPr>
        <w:t>。</w:t>
      </w:r>
    </w:p>
    <w:p w14:paraId="0E2373D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793AB68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15.3.1 承包人提供质量保证金的方式</w:t>
      </w:r>
    </w:p>
    <w:p w14:paraId="47BEB78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b/>
          <w:color w:val="auto"/>
          <w:highlight w:val="none"/>
          <w:u w:val="single"/>
        </w:rPr>
        <w:t>（4）</w:t>
      </w:r>
      <w:r>
        <w:rPr>
          <w:rFonts w:hint="eastAsia" w:ascii="宋体" w:hAnsi="宋体" w:cs="宋体"/>
          <w:color w:val="auto"/>
          <w:highlight w:val="none"/>
        </w:rPr>
        <w:t>种方式：</w:t>
      </w:r>
    </w:p>
    <w:p w14:paraId="3C18040C">
      <w:pPr>
        <w:numPr>
          <w:ilvl w:val="0"/>
          <w:numId w:val="2"/>
        </w:numPr>
        <w:spacing w:line="460" w:lineRule="exact"/>
        <w:ind w:firstLine="412" w:firstLineChars="200"/>
        <w:rPr>
          <w:rFonts w:ascii="宋体" w:hAnsi="宋体" w:cs="宋体"/>
          <w:color w:val="auto"/>
          <w:highlight w:val="none"/>
        </w:rPr>
      </w:pPr>
      <w:r>
        <w:rPr>
          <w:rFonts w:hint="eastAsia" w:ascii="宋体" w:hAnsi="宋体" w:cs="宋体"/>
          <w:color w:val="auto"/>
          <w:highlight w:val="none"/>
        </w:rPr>
        <w:t>质量保证金保函，保证金额为：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DF6043D">
      <w:pPr>
        <w:spacing w:line="460" w:lineRule="exact"/>
        <w:ind w:firstLine="412" w:firstLineChars="200"/>
        <w:rPr>
          <w:rFonts w:ascii="宋体" w:hAnsi="宋体" w:cs="宋体"/>
          <w:color w:val="auto"/>
          <w:highlight w:val="none"/>
        </w:rPr>
      </w:pPr>
      <w:r>
        <w:rPr>
          <w:rFonts w:hint="eastAsia" w:ascii="宋体" w:hAnsi="宋体" w:cs="宋体"/>
          <w:bCs/>
          <w:color w:val="auto"/>
          <w:highlight w:val="none"/>
        </w:rPr>
        <w:t>（2）保证保险，保证金额为：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11DC48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  /  </w:t>
      </w:r>
      <w:r>
        <w:rPr>
          <w:rFonts w:hint="eastAsia" w:ascii="宋体" w:hAnsi="宋体" w:cs="宋体"/>
          <w:color w:val="auto"/>
          <w:highlight w:val="none"/>
        </w:rPr>
        <w:t>%的工程款；</w:t>
      </w:r>
    </w:p>
    <w:p w14:paraId="6593DAA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（4）其他方式:</w:t>
      </w:r>
      <w:r>
        <w:rPr>
          <w:rFonts w:hint="eastAsia" w:ascii="宋体" w:hAnsi="宋体" w:cs="宋体"/>
          <w:b/>
          <w:color w:val="auto"/>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1"/>
          <w:szCs w:val="21"/>
          <w:highlight w:val="none"/>
          <w:u w:val="single"/>
        </w:rPr>
        <w:t>经审计后结算价的1.5%，采用银行转账或工程保函形式，另行提供</w:t>
      </w:r>
      <w:r>
        <w:rPr>
          <w:rFonts w:hint="eastAsia" w:ascii="宋体" w:hAnsi="宋体" w:cs="宋体"/>
          <w:b/>
          <w:bCs/>
          <w:color w:val="auto"/>
          <w:highlight w:val="none"/>
          <w:u w:val="single"/>
        </w:rPr>
        <w:t>。</w:t>
      </w:r>
    </w:p>
    <w:p w14:paraId="46C856A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15.3.2  质量保证金的扣留</w:t>
      </w:r>
    </w:p>
    <w:p w14:paraId="20E80530">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（3）</w:t>
      </w:r>
      <w:r>
        <w:rPr>
          <w:rFonts w:hint="eastAsia" w:ascii="宋体" w:hAnsi="宋体" w:cs="宋体"/>
          <w:color w:val="auto"/>
          <w:highlight w:val="none"/>
        </w:rPr>
        <w:t>种方式：</w:t>
      </w:r>
    </w:p>
    <w:p w14:paraId="67DC2E0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（1）在支付工程进度款时逐次扣留，在此情形下，质量保证金的计算基数不包括预付款的支付、扣回以及价格调整的金额；</w:t>
      </w:r>
    </w:p>
    <w:p w14:paraId="15DDB52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（2）工程竣工结算时一次性扣留质量保证金；</w:t>
      </w:r>
    </w:p>
    <w:p w14:paraId="41026D3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（3）其他扣留方式:</w:t>
      </w:r>
      <w:r>
        <w:rPr>
          <w:rFonts w:hint="eastAsia" w:ascii="宋体" w:hAnsi="宋体" w:cs="宋体"/>
          <w:b/>
          <w:bCs/>
          <w:color w:val="auto"/>
          <w:highlight w:val="none"/>
          <w:u w:val="single"/>
        </w:rPr>
        <w:t xml:space="preserve">  </w:t>
      </w:r>
      <w:r>
        <w:rPr>
          <w:rFonts w:hint="eastAsia" w:ascii="宋体" w:hAnsi="宋体" w:eastAsia="宋体" w:cs="宋体"/>
          <w:b/>
          <w:bCs w:val="0"/>
          <w:color w:val="auto"/>
          <w:sz w:val="21"/>
          <w:szCs w:val="21"/>
          <w:highlight w:val="none"/>
          <w:u w:val="single"/>
        </w:rPr>
        <w:t>审计结算完成后，支付最后一笔工程款之前，由承包人另行提供至发包人账户</w:t>
      </w:r>
      <w:r>
        <w:rPr>
          <w:rFonts w:hint="eastAsia" w:ascii="宋体" w:hAnsi="宋体" w:cs="宋体"/>
          <w:color w:val="auto"/>
          <w:highlight w:val="none"/>
        </w:rPr>
        <w:t>。</w:t>
      </w:r>
    </w:p>
    <w:p w14:paraId="41C5614E">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关于质量保证金的补充约定：</w:t>
      </w:r>
      <w:r>
        <w:rPr>
          <w:rFonts w:hint="eastAsia" w:ascii="宋体" w:hAnsi="宋体" w:cs="宋体"/>
          <w:b/>
          <w:color w:val="auto"/>
          <w:highlight w:val="none"/>
          <w:u w:val="single"/>
        </w:rPr>
        <w:t>质量保证金不计利息</w:t>
      </w:r>
      <w:r>
        <w:rPr>
          <w:rFonts w:hint="eastAsia" w:ascii="宋体" w:hAnsi="宋体" w:cs="宋体"/>
          <w:color w:val="auto"/>
          <w:highlight w:val="none"/>
        </w:rPr>
        <w:t>。</w:t>
      </w:r>
    </w:p>
    <w:p w14:paraId="785BF08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15.4  保修</w:t>
      </w:r>
    </w:p>
    <w:p w14:paraId="5A9092B1">
      <w:pPr>
        <w:spacing w:line="460" w:lineRule="exact"/>
        <w:ind w:firstLine="402" w:firstLineChars="195"/>
        <w:rPr>
          <w:rFonts w:ascii="宋体" w:hAnsi="宋体" w:cs="宋体"/>
          <w:color w:val="auto"/>
          <w:highlight w:val="none"/>
        </w:rPr>
      </w:pPr>
      <w:r>
        <w:rPr>
          <w:rFonts w:hint="eastAsia" w:ascii="宋体" w:hAnsi="宋体" w:cs="宋体"/>
          <w:color w:val="auto"/>
          <w:highlight w:val="none"/>
        </w:rPr>
        <w:t>15.4.1保修责任</w:t>
      </w:r>
    </w:p>
    <w:p w14:paraId="46CB2576">
      <w:pPr>
        <w:spacing w:line="460" w:lineRule="exact"/>
        <w:ind w:firstLine="402" w:firstLineChars="195"/>
        <w:rPr>
          <w:rFonts w:ascii="宋体" w:hAnsi="宋体" w:cs="宋体"/>
          <w:color w:val="auto"/>
          <w:highlight w:val="none"/>
          <w:u w:val="single"/>
        </w:rPr>
      </w:pPr>
      <w:r>
        <w:rPr>
          <w:rFonts w:hint="eastAsia" w:ascii="宋体" w:hAnsi="宋体" w:cs="宋体"/>
          <w:color w:val="auto"/>
          <w:highlight w:val="none"/>
        </w:rPr>
        <w:t>工程保修期为：</w:t>
      </w:r>
      <w:r>
        <w:rPr>
          <w:rFonts w:hint="eastAsia" w:ascii="宋体" w:hAnsi="宋体" w:cs="宋体"/>
          <w:b/>
          <w:color w:val="auto"/>
          <w:highlight w:val="none"/>
          <w:u w:val="single"/>
        </w:rPr>
        <w:t>详见《工程质量保修书》</w:t>
      </w:r>
      <w:r>
        <w:rPr>
          <w:rFonts w:hint="eastAsia" w:ascii="宋体" w:hAnsi="宋体" w:cs="宋体"/>
          <w:color w:val="auto"/>
          <w:highlight w:val="none"/>
        </w:rPr>
        <w:t>。</w:t>
      </w:r>
    </w:p>
    <w:p w14:paraId="5629853D">
      <w:pPr>
        <w:spacing w:line="460" w:lineRule="exact"/>
        <w:ind w:firstLine="402" w:firstLineChars="195"/>
        <w:rPr>
          <w:rFonts w:ascii="宋体" w:hAnsi="宋体" w:cs="宋体"/>
          <w:color w:val="auto"/>
          <w:highlight w:val="none"/>
        </w:rPr>
      </w:pPr>
      <w:r>
        <w:rPr>
          <w:rFonts w:hint="eastAsia" w:ascii="宋体" w:hAnsi="宋体" w:cs="宋体"/>
          <w:color w:val="auto"/>
          <w:highlight w:val="none"/>
        </w:rPr>
        <w:t>15.4.3  修复通知</w:t>
      </w:r>
    </w:p>
    <w:p w14:paraId="001D3421">
      <w:pPr>
        <w:spacing w:line="460" w:lineRule="exact"/>
        <w:ind w:firstLine="402" w:firstLineChars="195"/>
        <w:rPr>
          <w:rFonts w:ascii="宋体" w:hAnsi="宋体" w:cs="宋体"/>
          <w:color w:val="auto"/>
          <w:highlight w:val="none"/>
          <w:u w:val="single"/>
        </w:rPr>
      </w:pPr>
      <w:r>
        <w:rPr>
          <w:rFonts w:hint="eastAsia" w:ascii="宋体" w:hAnsi="宋体" w:cs="宋体"/>
          <w:color w:val="auto"/>
          <w:highlight w:val="none"/>
        </w:rPr>
        <w:t>承包人收到保修通知并到达工程现场的合理时间：</w:t>
      </w:r>
      <w:r>
        <w:rPr>
          <w:rFonts w:hint="eastAsia" w:ascii="宋体" w:hAnsi="宋体" w:cs="宋体"/>
          <w:b/>
          <w:color w:val="auto"/>
          <w:highlight w:val="none"/>
          <w:u w:val="single"/>
        </w:rPr>
        <w:t>承包人应在收到通知后面24小时内到达工程现场并修复缺陷或损坏，遇紧急情况应在收到通知后面2小时内到达</w:t>
      </w:r>
      <w:r>
        <w:rPr>
          <w:rFonts w:hint="eastAsia" w:ascii="宋体" w:hAnsi="宋体" w:cs="宋体"/>
          <w:color w:val="auto"/>
          <w:highlight w:val="none"/>
        </w:rPr>
        <w:t>。</w:t>
      </w:r>
    </w:p>
    <w:p w14:paraId="7D30BEA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  违约</w:t>
      </w:r>
    </w:p>
    <w:p w14:paraId="4D8032F3">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16.1  发包人违约</w:t>
      </w:r>
    </w:p>
    <w:p w14:paraId="4F29D58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16.1.1  发包人违约的情形</w:t>
      </w:r>
    </w:p>
    <w:p w14:paraId="2211134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发包人违约的其他情形：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0D0014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16.1.2发包人违约的责任</w:t>
      </w:r>
    </w:p>
    <w:p w14:paraId="5E5A43AF">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发包人违约责任的承担方式和计算方法：</w:t>
      </w:r>
    </w:p>
    <w:p w14:paraId="5A46D55A">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（1）因发包人原因未能在计划开工日期前7天内下达开工通知的违约责任：</w:t>
      </w:r>
      <w:r>
        <w:rPr>
          <w:rFonts w:hint="eastAsia" w:ascii="宋体" w:hAnsi="宋体" w:cs="宋体"/>
          <w:b/>
          <w:color w:val="auto"/>
          <w:highlight w:val="none"/>
          <w:u w:val="single"/>
        </w:rPr>
        <w:t>由发包人承担因其违约给承包人延误的工期，但承包人不得向发包人提出除工期顺延外的任何索赔要求</w:t>
      </w:r>
      <w:r>
        <w:rPr>
          <w:rFonts w:hint="eastAsia" w:ascii="宋体" w:hAnsi="宋体" w:cs="宋体"/>
          <w:color w:val="auto"/>
          <w:highlight w:val="none"/>
        </w:rPr>
        <w:t>。</w:t>
      </w:r>
    </w:p>
    <w:p w14:paraId="506957A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（2）因发包人原因未能按合同约定支付合同价款的违约责任：</w:t>
      </w:r>
      <w:r>
        <w:rPr>
          <w:rFonts w:hint="eastAsia" w:ascii="宋体" w:hAnsi="宋体" w:cs="宋体"/>
          <w:b/>
          <w:color w:val="auto"/>
          <w:highlight w:val="none"/>
          <w:u w:val="single"/>
        </w:rPr>
        <w:t>发包人超过约定的支付时间不支付合同价款的，承包人可向发包人发出要求付款的通知，发包人收到承包人通知后30天内仍不能按要求付款，可与承包人协商签订延期付款协议，经承包人同意后可延期支付，并由发包人以逾期应付款为基数，按照中国人民银行发布的同期同类贷款基准利率支付违约金，除此之外不承担其他任何责任</w:t>
      </w:r>
      <w:r>
        <w:rPr>
          <w:rFonts w:hint="eastAsia" w:ascii="宋体" w:hAnsi="宋体" w:cs="宋体"/>
          <w:color w:val="auto"/>
          <w:highlight w:val="none"/>
        </w:rPr>
        <w:t>。</w:t>
      </w:r>
    </w:p>
    <w:p w14:paraId="3D9D4AE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（3）发包人违反第10.1款〔变更的范围〕第（2）项约定，自行实施被取消的工作或转由他人实施的违约责任：</w:t>
      </w:r>
      <w:r>
        <w:rPr>
          <w:rFonts w:hint="eastAsia" w:ascii="宋体" w:hAnsi="宋体" w:cs="宋体"/>
          <w:b/>
          <w:color w:val="auto"/>
          <w:highlight w:val="none"/>
          <w:u w:val="single"/>
        </w:rPr>
        <w:t>由发包人承担由此给承包人造成的直接损失，不另计违约金及承包人利润</w:t>
      </w:r>
      <w:r>
        <w:rPr>
          <w:rFonts w:hint="eastAsia" w:ascii="宋体" w:hAnsi="宋体" w:cs="宋体"/>
          <w:color w:val="auto"/>
          <w:highlight w:val="none"/>
        </w:rPr>
        <w:t>。</w:t>
      </w:r>
    </w:p>
    <w:p w14:paraId="54022DF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s="宋体"/>
          <w:b/>
          <w:color w:val="auto"/>
          <w:highlight w:val="none"/>
          <w:u w:val="single"/>
        </w:rPr>
        <w:t>由发包人承担因其违约给承包人延误的工期；若给承包人造成损失的，由发包人承担由此给承包人造成的直接损失</w:t>
      </w:r>
      <w:r>
        <w:rPr>
          <w:rFonts w:hint="eastAsia" w:ascii="宋体" w:hAnsi="宋体" w:cs="宋体"/>
          <w:color w:val="auto"/>
          <w:highlight w:val="none"/>
        </w:rPr>
        <w:t>。</w:t>
      </w:r>
    </w:p>
    <w:p w14:paraId="76D4B6E0">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（5）因发包人违反合同约定造成暂停施工的违约责任：</w:t>
      </w:r>
      <w:r>
        <w:rPr>
          <w:rFonts w:hint="eastAsia" w:ascii="宋体" w:hAnsi="宋体" w:cs="宋体"/>
          <w:b/>
          <w:color w:val="auto"/>
          <w:highlight w:val="none"/>
          <w:u w:val="single"/>
        </w:rPr>
        <w:t>由发包人承担因其违约给承包人延误的工期，不另计违约金及承包人利润</w:t>
      </w:r>
      <w:r>
        <w:rPr>
          <w:rFonts w:hint="eastAsia" w:ascii="宋体" w:hAnsi="宋体" w:cs="宋体"/>
          <w:color w:val="auto"/>
          <w:highlight w:val="none"/>
        </w:rPr>
        <w:t>。</w:t>
      </w:r>
    </w:p>
    <w:p w14:paraId="4D6CA35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（6）发包人无正当理由没有在约定期限内发出复工指示，导致承包人无法复工的违约责任：</w:t>
      </w:r>
      <w:r>
        <w:rPr>
          <w:rFonts w:hint="eastAsia" w:ascii="宋体" w:hAnsi="宋体" w:cs="宋体"/>
          <w:b/>
          <w:color w:val="auto"/>
          <w:highlight w:val="none"/>
          <w:u w:val="single"/>
        </w:rPr>
        <w:t>由发包人承担因其违约给承包人延误的工期，不另计违约金及承包人利润</w:t>
      </w:r>
      <w:r>
        <w:rPr>
          <w:rFonts w:hint="eastAsia" w:ascii="宋体" w:hAnsi="宋体" w:cs="宋体"/>
          <w:color w:val="auto"/>
          <w:highlight w:val="none"/>
        </w:rPr>
        <w:t>。</w:t>
      </w:r>
    </w:p>
    <w:p w14:paraId="5370457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（7）其他：</w:t>
      </w:r>
      <w:r>
        <w:rPr>
          <w:rFonts w:hint="eastAsia" w:ascii="宋体" w:hAnsi="宋体" w:cs="宋体"/>
          <w:b/>
          <w:color w:val="auto"/>
          <w:highlight w:val="none"/>
          <w:u w:val="single"/>
        </w:rPr>
        <w:t>因发包人原因造成监理人未能在计划开工日期之日起90天内发出开工通知的，承包人提出价格调整要求的，调整后的价格报发包人审核确认后生效；承包人提出解除合同的，发包人仅承担承包人实际发生的费用，承包人其他损失及利润不予补偿</w:t>
      </w:r>
      <w:r>
        <w:rPr>
          <w:rFonts w:hint="eastAsia" w:ascii="宋体" w:hAnsi="宋体" w:cs="宋体"/>
          <w:color w:val="auto"/>
          <w:highlight w:val="none"/>
        </w:rPr>
        <w:t>。</w:t>
      </w:r>
    </w:p>
    <w:p w14:paraId="1E8C709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16.1.3因发包人违约解除合同</w:t>
      </w:r>
    </w:p>
    <w:p w14:paraId="5C6AF9B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承包人按16.1.1项〔发包人违约的情形〕约定暂停施工满</w:t>
      </w:r>
      <w:r>
        <w:rPr>
          <w:rFonts w:hint="eastAsia" w:ascii="宋体" w:hAnsi="宋体" w:cs="宋体"/>
          <w:b/>
          <w:bCs/>
          <w:color w:val="auto"/>
          <w:highlight w:val="none"/>
          <w:u w:val="single"/>
        </w:rPr>
        <w:t>90</w:t>
      </w:r>
      <w:r>
        <w:rPr>
          <w:rFonts w:hint="eastAsia" w:ascii="宋体" w:hAnsi="宋体" w:cs="宋体"/>
          <w:color w:val="auto"/>
          <w:highlight w:val="none"/>
        </w:rPr>
        <w:t>天后发包人仍不纠正其违约行为并致使合同目的不能实现的，承包人有权解除合同。</w:t>
      </w:r>
    </w:p>
    <w:p w14:paraId="49B0C68D">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16.2承包人违约</w:t>
      </w:r>
    </w:p>
    <w:p w14:paraId="44913B79">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16.2.1  承包人违约的情形</w:t>
      </w:r>
    </w:p>
    <w:p w14:paraId="6C0789F8">
      <w:pPr>
        <w:spacing w:line="460" w:lineRule="exact"/>
        <w:ind w:firstLine="412" w:firstLineChars="200"/>
        <w:rPr>
          <w:rFonts w:hint="eastAsia" w:ascii="宋体" w:hAnsi="宋体" w:cs="宋体"/>
          <w:color w:val="auto"/>
          <w:highlight w:val="none"/>
          <w:u w:val="single"/>
        </w:rPr>
      </w:pPr>
      <w:r>
        <w:rPr>
          <w:rFonts w:hint="eastAsia" w:ascii="宋体" w:hAnsi="宋体" w:cs="宋体"/>
          <w:color w:val="auto"/>
          <w:highlight w:val="none"/>
        </w:rPr>
        <w:t>承包人违约的其他情形：</w:t>
      </w:r>
      <w:r>
        <w:rPr>
          <w:rFonts w:hint="eastAsia" w:ascii="宋体" w:hAnsi="宋体" w:cs="宋体"/>
          <w:color w:val="auto"/>
          <w:highlight w:val="none"/>
          <w:u w:val="single"/>
        </w:rPr>
        <w:t xml:space="preserve">  按通用条款约定。</w:t>
      </w:r>
    </w:p>
    <w:p w14:paraId="0DC8CC40">
      <w:pPr>
        <w:spacing w:line="460" w:lineRule="exact"/>
        <w:ind w:firstLine="412" w:firstLineChars="200"/>
        <w:rPr>
          <w:rFonts w:hint="eastAsia" w:ascii="宋体" w:hAnsi="宋体" w:cs="宋体"/>
          <w:color w:val="auto"/>
          <w:highlight w:val="none"/>
          <w:u w:val="single"/>
        </w:rPr>
      </w:pPr>
      <w:r>
        <w:rPr>
          <w:rFonts w:hint="eastAsia" w:ascii="宋体" w:hAnsi="宋体" w:cs="宋体"/>
          <w:color w:val="auto"/>
          <w:highlight w:val="none"/>
          <w:u w:val="single"/>
        </w:rPr>
        <w:t>（1）承包人未按3.1（10）条规定分包渣土运输业务的，承包人应支付5000元违约金；</w:t>
      </w:r>
    </w:p>
    <w:p w14:paraId="65158FA3">
      <w:pPr>
        <w:spacing w:line="460" w:lineRule="exact"/>
        <w:ind w:firstLine="412" w:firstLineChars="200"/>
        <w:rPr>
          <w:rFonts w:hint="eastAsia" w:ascii="宋体" w:hAnsi="宋体" w:cs="宋体"/>
          <w:color w:val="auto"/>
          <w:highlight w:val="none"/>
          <w:u w:val="single"/>
        </w:rPr>
      </w:pPr>
      <w:r>
        <w:rPr>
          <w:rFonts w:hint="eastAsia" w:ascii="宋体" w:hAnsi="宋体" w:cs="宋体"/>
          <w:color w:val="auto"/>
          <w:highlight w:val="none"/>
          <w:u w:val="single"/>
        </w:rPr>
        <w:t>（2）承包人未按照3.1（10）条规定加强建筑垃圾处置分包合同履约监管，出现分包单位使用不符合规定的车辆进出施工现场运输建筑垃圾或将建筑垃圾运输至非指定消纳场所等现象的，承包人应支付5000元违约金；</w:t>
      </w:r>
    </w:p>
    <w:p w14:paraId="2749F506">
      <w:pPr>
        <w:spacing w:line="460" w:lineRule="exact"/>
        <w:ind w:firstLine="412" w:firstLineChars="200"/>
        <w:rPr>
          <w:rFonts w:hint="eastAsia" w:ascii="宋体" w:hAnsi="宋体" w:cs="宋体"/>
          <w:color w:val="auto"/>
          <w:highlight w:val="none"/>
          <w:u w:val="single"/>
        </w:rPr>
      </w:pPr>
      <w:r>
        <w:rPr>
          <w:rFonts w:hint="eastAsia" w:ascii="宋体" w:hAnsi="宋体" w:cs="宋体"/>
          <w:color w:val="auto"/>
          <w:highlight w:val="none"/>
          <w:u w:val="single"/>
        </w:rPr>
        <w:t>（3）承包人未做好工程垃圾处理出土处置台账的，承包人应支付5000元违约金；</w:t>
      </w:r>
    </w:p>
    <w:p w14:paraId="259B601A">
      <w:pPr>
        <w:spacing w:line="460" w:lineRule="exact"/>
        <w:ind w:firstLine="412" w:firstLineChars="200"/>
        <w:rPr>
          <w:rFonts w:hint="eastAsia" w:ascii="宋体" w:hAnsi="宋体" w:cs="宋体"/>
          <w:color w:val="auto"/>
          <w:highlight w:val="none"/>
          <w:u w:val="single"/>
        </w:rPr>
      </w:pPr>
      <w:r>
        <w:rPr>
          <w:rFonts w:hint="eastAsia" w:ascii="宋体" w:hAnsi="宋体" w:cs="宋体"/>
          <w:color w:val="auto"/>
          <w:highlight w:val="none"/>
          <w:u w:val="single"/>
        </w:rPr>
        <w:t>（4）承包人在结算前未查验接纳回执，与运输、处置单位结算相关费用的，承包人应支付5000元违约金；</w:t>
      </w:r>
    </w:p>
    <w:p w14:paraId="0D336F80">
      <w:pPr>
        <w:spacing w:line="460" w:lineRule="exact"/>
        <w:ind w:firstLine="412" w:firstLineChars="200"/>
        <w:rPr>
          <w:rFonts w:hint="eastAsia" w:ascii="宋体" w:hAnsi="宋体" w:cs="宋体"/>
          <w:color w:val="auto"/>
          <w:highlight w:val="none"/>
          <w:u w:val="single"/>
          <w:lang w:eastAsia="zh-CN"/>
        </w:rPr>
      </w:pPr>
      <w:r>
        <w:rPr>
          <w:rFonts w:hint="eastAsia" w:ascii="宋体" w:hAnsi="宋体" w:cs="宋体"/>
          <w:color w:val="auto"/>
          <w:highlight w:val="none"/>
          <w:u w:val="single"/>
        </w:rPr>
        <w:t>（5）承包人未按照已备案的渣土处置方案落实渣土处置措施的，承包人应支付5000元违约金</w:t>
      </w:r>
      <w:r>
        <w:rPr>
          <w:rFonts w:hint="eastAsia" w:ascii="宋体" w:hAnsi="宋体" w:cs="宋体"/>
          <w:color w:val="auto"/>
          <w:highlight w:val="none"/>
          <w:u w:val="single"/>
          <w:lang w:eastAsia="zh-CN"/>
        </w:rPr>
        <w:t>；</w:t>
      </w:r>
    </w:p>
    <w:p w14:paraId="4FD12365">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（6）承包人在结算前承包人提供全部、完整的工程材料归档文件，承包人未提供完整的工程材料归档文件，造成无法向档案馆归档等情形，承包人应支付10000元违约金，在最后一笔支付款项中予以中扣除；</w:t>
      </w:r>
    </w:p>
    <w:p w14:paraId="614A105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16.2.2  承包人违约的责任</w:t>
      </w:r>
    </w:p>
    <w:p w14:paraId="4834D87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承包人违约责任的承担方式和计算方法：</w:t>
      </w:r>
    </w:p>
    <w:p w14:paraId="2F940BDE">
      <w:pPr>
        <w:pStyle w:val="35"/>
        <w:spacing w:line="460" w:lineRule="exact"/>
        <w:ind w:firstLine="472" w:firstLineChars="200"/>
        <w:rPr>
          <w:rFonts w:hAnsi="宋体" w:cs="宋体"/>
          <w:b/>
          <w:color w:val="auto"/>
          <w:highlight w:val="none"/>
          <w:u w:val="single"/>
        </w:rPr>
      </w:pPr>
      <w:r>
        <w:rPr>
          <w:rFonts w:hAnsi="宋体" w:cs="宋体"/>
          <w:b/>
          <w:color w:val="auto"/>
          <w:sz w:val="24"/>
          <w:szCs w:val="24"/>
          <w:highlight w:val="none"/>
          <w:u w:val="single"/>
        </w:rPr>
        <w:t>（</w:t>
      </w:r>
      <w:r>
        <w:rPr>
          <w:rFonts w:hAnsi="宋体" w:cs="宋体"/>
          <w:b/>
          <w:color w:val="auto"/>
          <w:highlight w:val="none"/>
          <w:u w:val="single"/>
        </w:rPr>
        <w:t>1）承包人违反合同约定进行转包或违法分包的违约责任：发包人有权解除合同，没收全部履约保证金，如给发包人造成的损失超过保证金数额的还应当对超过部份予以赔偿，并依法承担相应的法律责任。</w:t>
      </w:r>
    </w:p>
    <w:p w14:paraId="2980AA59">
      <w:pPr>
        <w:pStyle w:val="35"/>
        <w:spacing w:line="460" w:lineRule="exact"/>
        <w:ind w:firstLine="412" w:firstLineChars="200"/>
        <w:rPr>
          <w:rFonts w:hAnsi="宋体" w:cs="宋体"/>
          <w:b/>
          <w:color w:val="auto"/>
          <w:highlight w:val="none"/>
          <w:u w:val="single"/>
        </w:rPr>
      </w:pPr>
      <w:r>
        <w:rPr>
          <w:rFonts w:hAnsi="宋体" w:cs="宋体"/>
          <w:b/>
          <w:color w:val="auto"/>
          <w:highlight w:val="none"/>
          <w:u w:val="single"/>
        </w:rPr>
        <w:t>（2）承包人违反合同约定采购和使用不合格的材料和工程设备的违约责任：承包人应重新采购合格的材料和工程设备，并自行承担相关费用和造成的损失且工期不得顺延；若由此还给发包人造成损失的，由承包人负责赔偿。</w:t>
      </w:r>
    </w:p>
    <w:p w14:paraId="4BDA68C3">
      <w:pPr>
        <w:spacing w:line="460" w:lineRule="exact"/>
        <w:ind w:firstLine="482"/>
        <w:rPr>
          <w:rFonts w:ascii="宋体" w:hAnsi="宋体" w:cs="宋体"/>
          <w:color w:val="auto"/>
          <w:highlight w:val="none"/>
          <w:u w:val="single"/>
        </w:rPr>
      </w:pPr>
      <w:r>
        <w:rPr>
          <w:rFonts w:hint="eastAsia" w:ascii="宋体" w:hAnsi="宋体" w:cs="宋体"/>
          <w:color w:val="auto"/>
          <w:highlight w:val="none"/>
          <w:u w:val="single"/>
        </w:rPr>
        <w:t>a、发包人指定、承包人采购的材料、设备，承包人应在发包人指定的生产厂家或品牌范围之内采购材料、设备，未经发包人批准，承包人擅自在指定范围之外采购的，承包人除无条件更换符合要求的产品外，需向发包人支付20000元/次的违约金，且承担由此发生的费用，因此延误工期的，责任由承包人承担；</w:t>
      </w:r>
    </w:p>
    <w:p w14:paraId="202BEE57">
      <w:pPr>
        <w:spacing w:line="460" w:lineRule="exact"/>
        <w:ind w:firstLine="482"/>
        <w:rPr>
          <w:rFonts w:ascii="宋体" w:hAnsi="宋体" w:cs="宋体"/>
          <w:color w:val="auto"/>
          <w:highlight w:val="none"/>
          <w:u w:val="single"/>
        </w:rPr>
      </w:pPr>
      <w:r>
        <w:rPr>
          <w:rFonts w:hint="eastAsia" w:ascii="宋体" w:hAnsi="宋体" w:cs="宋体"/>
          <w:color w:val="auto"/>
          <w:highlight w:val="none"/>
          <w:u w:val="single"/>
        </w:rPr>
        <w:t>b、承包人采购的材料设备未经验收即进场施工的，除承包人每次需向发包人支付5000元的违约金之外，发包人并有权要求承包人对不符合要求的材料设备进行更换，承包人应按发包人、监理人要求的时间将不符合要求的材料设备运出施工场地，重新采购符合要求的产品，承担由此发生的费用，延误的工期不予顺延。如不能按时完成上述工作，发包人有权对材料进行自行采购，采购所发生的材料费、运输费及其他交易费用从承包人的竣工结算款中扣除；</w:t>
      </w:r>
    </w:p>
    <w:p w14:paraId="34A4B15B">
      <w:pPr>
        <w:spacing w:line="460" w:lineRule="exact"/>
        <w:ind w:firstLine="482"/>
        <w:rPr>
          <w:rFonts w:ascii="宋体" w:hAnsi="宋体" w:cs="宋体"/>
          <w:color w:val="auto"/>
          <w:highlight w:val="none"/>
          <w:u w:val="single"/>
        </w:rPr>
      </w:pPr>
      <w:r>
        <w:rPr>
          <w:rFonts w:hint="eastAsia" w:ascii="宋体" w:hAnsi="宋体" w:cs="宋体"/>
          <w:color w:val="auto"/>
          <w:highlight w:val="none"/>
          <w:u w:val="single"/>
        </w:rPr>
        <w:t>c、承包人采购的同一材料设备，连续2 次不符合要求的，发包人有权决定将该材料设备的供应变更为由发包人采购或发包人指定承包人采购的方式。相关费用均由承包人承担；</w:t>
      </w:r>
    </w:p>
    <w:p w14:paraId="5E733E7C">
      <w:pPr>
        <w:spacing w:line="460" w:lineRule="exact"/>
        <w:ind w:firstLine="482"/>
        <w:rPr>
          <w:rFonts w:ascii="宋体" w:hAnsi="宋体" w:cs="宋体"/>
          <w:color w:val="auto"/>
          <w:highlight w:val="none"/>
          <w:u w:val="single"/>
        </w:rPr>
      </w:pPr>
      <w:r>
        <w:rPr>
          <w:rFonts w:hint="eastAsia" w:ascii="宋体" w:hAnsi="宋体" w:cs="宋体"/>
          <w:color w:val="auto"/>
          <w:highlight w:val="none"/>
          <w:u w:val="single"/>
        </w:rPr>
        <w:t>d、除招标文件要求外，本工程选用的材料必须达到国家质量标准及环保要求，发包人或者发包人委托的第三方检测机构检查中发现承包人使用不合格或不符合本工程质量要求的劣质材料设备施工，一经发现，发包人或监理有权制止使用，甚至停工、返工或中止合同，并要求承包人免费更换及赔偿损失。无论发包人及监理是否发现和制止，由于使用不合格或不符合本工程质量要求的劣质材料施工后所引起的一切责任均由承包人自负。</w:t>
      </w:r>
    </w:p>
    <w:p w14:paraId="0590C0E8">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u w:val="single"/>
        </w:rPr>
        <w:t>e、施工过程中一旦发现承包人使用假冒产品或存在以次充好的现象，发包人有权解除合同，并处以合同总价1%的处罚。</w:t>
      </w:r>
    </w:p>
    <w:p w14:paraId="24C96FF5">
      <w:pPr>
        <w:pStyle w:val="35"/>
        <w:spacing w:line="460" w:lineRule="exact"/>
        <w:ind w:firstLine="412" w:firstLineChars="200"/>
        <w:rPr>
          <w:rFonts w:hAnsi="宋体" w:cs="宋体"/>
          <w:b/>
          <w:color w:val="auto"/>
          <w:highlight w:val="none"/>
          <w:u w:val="single"/>
        </w:rPr>
      </w:pPr>
      <w:r>
        <w:rPr>
          <w:rFonts w:hAnsi="宋体" w:cs="宋体"/>
          <w:b/>
          <w:color w:val="auto"/>
          <w:highlight w:val="none"/>
          <w:u w:val="single"/>
        </w:rPr>
        <w:t xml:space="preserve">（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7E2691E4">
      <w:pPr>
        <w:pStyle w:val="35"/>
        <w:spacing w:line="460" w:lineRule="exact"/>
        <w:ind w:firstLine="463" w:firstLineChars="225"/>
        <w:rPr>
          <w:rFonts w:hAnsi="宋体" w:cs="宋体"/>
          <w:b/>
          <w:color w:val="auto"/>
          <w:highlight w:val="none"/>
          <w:u w:val="single"/>
        </w:rPr>
      </w:pPr>
      <w:r>
        <w:rPr>
          <w:rFonts w:hAnsi="宋体" w:cs="宋体"/>
          <w:b/>
          <w:color w:val="auto"/>
          <w:highlight w:val="none"/>
          <w:u w:val="single"/>
        </w:rPr>
        <w:t>在施工过程中，经政府有关部门和发包人、监理人定期检查，如果工程质量未达到国家有关规定要求而受到通报批评或缺陷较多的，发包人除要求承包人限期整改外，每次向承包人处以5000-50000元的违约扣款。</w:t>
      </w:r>
    </w:p>
    <w:p w14:paraId="56C819FC">
      <w:pPr>
        <w:pStyle w:val="35"/>
        <w:spacing w:line="460" w:lineRule="exact"/>
        <w:ind w:firstLine="463" w:firstLineChars="225"/>
        <w:rPr>
          <w:rFonts w:hAnsi="宋体" w:cs="宋体"/>
          <w:b/>
          <w:color w:val="auto"/>
          <w:highlight w:val="none"/>
          <w:u w:val="single"/>
        </w:rPr>
      </w:pPr>
      <w:r>
        <w:rPr>
          <w:rFonts w:hAnsi="宋体" w:cs="宋体"/>
          <w:b/>
          <w:color w:val="auto"/>
          <w:highlight w:val="none"/>
          <w:u w:val="single"/>
        </w:rPr>
        <w:t>承包人必须严格按合同条款、施工图纸及设计说明文件、施工验收规范、国家和省市的有关质量验收标准，精心组织施工，确保工程质量达到国家合格验收标准。</w:t>
      </w:r>
    </w:p>
    <w:p w14:paraId="39E1128F">
      <w:pPr>
        <w:pStyle w:val="35"/>
        <w:spacing w:line="460" w:lineRule="exact"/>
        <w:ind w:firstLine="412" w:firstLineChars="200"/>
        <w:rPr>
          <w:rFonts w:hAnsi="宋体" w:cs="宋体"/>
          <w:b/>
          <w:color w:val="auto"/>
          <w:highlight w:val="none"/>
          <w:u w:val="single"/>
        </w:rPr>
      </w:pPr>
      <w:r>
        <w:rPr>
          <w:rFonts w:hAnsi="宋体" w:cs="宋体"/>
          <w:b/>
          <w:color w:val="auto"/>
          <w:highlight w:val="none"/>
          <w:u w:val="single"/>
        </w:rPr>
        <w:t>（4）承包人违反第8.9款〔材料与设备专用要求〕的约定，未经批准，私自将已按照合同约定进入施工现场的材料或设备撤离施工现场的违约责任：承包人应及时停止撤离，并承担相应损失。</w:t>
      </w:r>
    </w:p>
    <w:p w14:paraId="51E84CBF">
      <w:pPr>
        <w:pStyle w:val="35"/>
        <w:spacing w:line="460" w:lineRule="exact"/>
        <w:ind w:firstLine="412" w:firstLineChars="200"/>
        <w:rPr>
          <w:rFonts w:hAnsi="宋体" w:cs="宋体"/>
          <w:b/>
          <w:color w:val="auto"/>
          <w:highlight w:val="none"/>
          <w:u w:val="single"/>
        </w:rPr>
      </w:pPr>
      <w:r>
        <w:rPr>
          <w:rFonts w:hAnsi="宋体" w:cs="宋体"/>
          <w:b/>
          <w:color w:val="auto"/>
          <w:highlight w:val="none"/>
          <w:u w:val="single"/>
        </w:rPr>
        <w:t xml:space="preserve">（5）承包人未能按施工进度计划及时完成合同约定的工作，造成工期延误的违约责任：同专用条款7.5.2款约定。 </w:t>
      </w:r>
    </w:p>
    <w:p w14:paraId="510ECB1A">
      <w:pPr>
        <w:pStyle w:val="35"/>
        <w:spacing w:line="460" w:lineRule="exact"/>
        <w:ind w:firstLine="412" w:firstLineChars="200"/>
        <w:rPr>
          <w:rFonts w:hAnsi="宋体" w:cs="宋体"/>
          <w:b/>
          <w:color w:val="auto"/>
          <w:highlight w:val="none"/>
          <w:u w:val="single"/>
        </w:rPr>
      </w:pPr>
      <w:r>
        <w:rPr>
          <w:rFonts w:hAnsi="宋体" w:cs="宋体"/>
          <w:b/>
          <w:color w:val="auto"/>
          <w:highlight w:val="none"/>
          <w:u w:val="single"/>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上述违约金额在质量保证金中直接扣除，且承包人应在收到发包人扣罚通知后7天内补足质量保证金，若承包人未按要求补足质量保证金的，发包人有权在退还质量保证金时双倍扣罚上述修复费用。</w:t>
      </w:r>
    </w:p>
    <w:p w14:paraId="459F9FED">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（7）承包人明确表示或者以其行为表明不履行合同主要义务的：发包人有权将该工程指定其它单位施工，其发生费用由承包人承担。发包人将向有关行政主管部门通报有关情况，由行政主管部门进行处罚。</w:t>
      </w:r>
    </w:p>
    <w:p w14:paraId="33AE1600">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u w:val="single"/>
        </w:rPr>
        <w:t>（8）承包人未能按照合同约定履行其他义务的：扣罚其它履约保证金。</w:t>
      </w:r>
    </w:p>
    <w:p w14:paraId="71BA3B50">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u w:val="single"/>
        </w:rPr>
        <w:t>（9）承包人未能如期上报工程结算的每逾期一天扣罚1000元（工程结算上报及时率履约保证金为扣罚上限，在结算款中扣除，发包人原因导致结算上报延缓的除外）。</w:t>
      </w:r>
    </w:p>
    <w:p w14:paraId="38826BA5">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u w:val="single"/>
        </w:rPr>
        <w:t>（10）在签订本施工合同时，发包人、承包人将签订《安全文明施工责任书》及《建设工程扬尘污染整治、保证质量和进度责任书》，发包人将不定期地进行安全、文明施工及扬尘控制检查，若被发包人发现有违约现象，每发生一次将扣罚安全文明履约保证金1000 元整，同时无条件即时进行整改，若未及时按要求进行整改的，加倍扣罚；若有被建设行政主管部门、质量安全监督部门或其它监管部门抄告、通报批评、处罚等情况或被新闻媒体曝光等，每发生一次扣罚安全生产、文明施工履约保证金5000 元，同时无条件即时进行整改，若未及时按要求进行整改的，加倍扣罚；若被发包人扣罚安全文明履约保证金累计超过三次以上（含三次）且整改态度不端正的，发包人有权将该工程指令分包或另择其他单位施工，其发生的费用由承包人承担，同时根据情况扣罚部分或全部安全文明履约保证金。</w:t>
      </w:r>
    </w:p>
    <w:p w14:paraId="1114DE14">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u w:val="single"/>
        </w:rPr>
        <w:t>承包人必须加强工程运输车安全管理,具体措施暂按《关于加强工程运输车辆安全管理的相关规定》（初稿）执行，否则每次违约扣罚安安全生产、文明施工履约保证金的20%。</w:t>
      </w:r>
    </w:p>
    <w:p w14:paraId="20352EC9">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u w:val="single"/>
        </w:rPr>
        <w:t>（11）从工程开工起到工程移交止，安排专人配合发包人处理工程范围内所有投诉、在工程开工至移交前数字城管及时解决率达到98%以上，解决率100%。承包单位须在相关数字城管投诉要求期间内完成相关整改内容，费用由承包人自行承担，未在规定时间内整改的，每次扣罚安全文明履约保证金的15%。</w:t>
      </w:r>
    </w:p>
    <w:p w14:paraId="059CF09D">
      <w:pPr>
        <w:pStyle w:val="35"/>
        <w:spacing w:line="460" w:lineRule="exact"/>
        <w:ind w:firstLine="412" w:firstLineChars="200"/>
        <w:rPr>
          <w:rFonts w:hAnsi="宋体" w:cs="宋体"/>
          <w:b/>
          <w:color w:val="auto"/>
          <w:highlight w:val="none"/>
          <w:u w:val="single"/>
        </w:rPr>
      </w:pPr>
      <w:r>
        <w:rPr>
          <w:rFonts w:hAnsi="宋体" w:cs="宋体"/>
          <w:b/>
          <w:color w:val="auto"/>
          <w:highlight w:val="none"/>
          <w:u w:val="single"/>
        </w:rPr>
        <w:t xml:space="preserve">（12）双方约定的承包人其他违约责任: </w:t>
      </w:r>
    </w:p>
    <w:p w14:paraId="5CE030F0">
      <w:pPr>
        <w:pStyle w:val="35"/>
        <w:spacing w:line="460" w:lineRule="exact"/>
        <w:ind w:firstLine="463" w:firstLineChars="225"/>
        <w:rPr>
          <w:rFonts w:hAnsi="宋体" w:cs="宋体"/>
          <w:b/>
          <w:color w:val="auto"/>
          <w:highlight w:val="none"/>
          <w:u w:val="single"/>
        </w:rPr>
      </w:pPr>
      <w:r>
        <w:rPr>
          <w:rFonts w:hAnsi="宋体" w:cs="宋体"/>
          <w:b/>
          <w:color w:val="auto"/>
          <w:highlight w:val="none"/>
          <w:u w:val="single"/>
        </w:rPr>
        <w:t>1）在施工过程中，因承包人原因引起的政府有关部门通报批评或媒体不良曝光，有政府处罚意见的按处罚意见执行，无处罚意见的视情节轻重，每次处以5000元到50000元的</w:t>
      </w:r>
      <w:r>
        <w:rPr>
          <w:rFonts w:hint="eastAsia" w:hAnsi="宋体" w:cs="宋体"/>
          <w:b/>
          <w:color w:val="auto"/>
          <w:highlight w:val="none"/>
          <w:u w:val="single"/>
        </w:rPr>
        <w:t>违约金</w:t>
      </w:r>
      <w:r>
        <w:rPr>
          <w:rFonts w:hAnsi="宋体" w:cs="宋体"/>
          <w:b/>
          <w:color w:val="auto"/>
          <w:highlight w:val="none"/>
          <w:u w:val="single"/>
        </w:rPr>
        <w:t>。</w:t>
      </w:r>
    </w:p>
    <w:p w14:paraId="75402AE2">
      <w:pPr>
        <w:pStyle w:val="35"/>
        <w:spacing w:line="460" w:lineRule="exact"/>
        <w:ind w:firstLine="463" w:firstLineChars="225"/>
        <w:rPr>
          <w:rFonts w:hAnsi="宋体" w:cs="宋体"/>
          <w:b/>
          <w:color w:val="auto"/>
          <w:highlight w:val="none"/>
          <w:u w:val="single"/>
        </w:rPr>
      </w:pPr>
      <w:r>
        <w:rPr>
          <w:rFonts w:hAnsi="宋体" w:cs="宋体"/>
          <w:b/>
          <w:color w:val="auto"/>
          <w:highlight w:val="none"/>
          <w:u w:val="single"/>
        </w:rPr>
        <w:t>2）施工过程中发现有违反施工及验收规范的操作行为，视情节轻重，每次处以500元到20000元的</w:t>
      </w:r>
      <w:r>
        <w:rPr>
          <w:rFonts w:hint="eastAsia" w:hAnsi="宋体" w:cs="宋体"/>
          <w:b/>
          <w:color w:val="auto"/>
          <w:highlight w:val="none"/>
          <w:u w:val="single"/>
        </w:rPr>
        <w:t>违约金</w:t>
      </w:r>
      <w:r>
        <w:rPr>
          <w:rFonts w:hAnsi="宋体" w:cs="宋体"/>
          <w:b/>
          <w:color w:val="auto"/>
          <w:highlight w:val="none"/>
          <w:u w:val="single"/>
        </w:rPr>
        <w:t>。</w:t>
      </w:r>
    </w:p>
    <w:p w14:paraId="362489CE">
      <w:pPr>
        <w:pStyle w:val="35"/>
        <w:spacing w:line="460" w:lineRule="exact"/>
        <w:ind w:firstLine="463" w:firstLineChars="225"/>
        <w:rPr>
          <w:rFonts w:hAnsi="宋体" w:cs="宋体"/>
          <w:b/>
          <w:color w:val="auto"/>
          <w:highlight w:val="none"/>
          <w:u w:val="single"/>
        </w:rPr>
      </w:pPr>
      <w:r>
        <w:rPr>
          <w:rFonts w:hAnsi="宋体" w:cs="宋体"/>
          <w:b/>
          <w:color w:val="auto"/>
          <w:highlight w:val="none"/>
          <w:u w:val="single"/>
        </w:rPr>
        <w:t>3）本工程的所有隐蔽工程必须经监理验收合格签字确认后方可隐蔽，如隐蔽工程未经监理工程师验收合格签字认可，而承包人擅自隐蔽的，每发生一次除全部返工并承担返工费用外，发包人将视情节严重扣罚承包人500元到20000元的</w:t>
      </w:r>
      <w:r>
        <w:rPr>
          <w:rFonts w:hint="eastAsia" w:hAnsi="宋体" w:cs="宋体"/>
          <w:b/>
          <w:color w:val="auto"/>
          <w:highlight w:val="none"/>
          <w:u w:val="single"/>
        </w:rPr>
        <w:t>违约金</w:t>
      </w:r>
      <w:r>
        <w:rPr>
          <w:rFonts w:hAnsi="宋体" w:cs="宋体"/>
          <w:b/>
          <w:color w:val="auto"/>
          <w:highlight w:val="none"/>
          <w:u w:val="single"/>
        </w:rPr>
        <w:t xml:space="preserve">。 </w:t>
      </w:r>
    </w:p>
    <w:p w14:paraId="454A58F8">
      <w:pPr>
        <w:pStyle w:val="35"/>
        <w:spacing w:line="460" w:lineRule="exact"/>
        <w:ind w:firstLine="412" w:firstLineChars="200"/>
        <w:rPr>
          <w:rFonts w:hAnsi="宋体" w:cs="宋体"/>
          <w:b/>
          <w:color w:val="auto"/>
          <w:highlight w:val="none"/>
          <w:u w:val="single"/>
        </w:rPr>
      </w:pPr>
      <w:r>
        <w:rPr>
          <w:rFonts w:hAnsi="宋体" w:cs="宋体"/>
          <w:b/>
          <w:color w:val="auto"/>
          <w:highlight w:val="none"/>
          <w:u w:val="single"/>
        </w:rPr>
        <w:t xml:space="preserve">4）施工中不能达到安全文明施工的相关要求，不能配合总承包人进行安全文明施工工作的，经总承包人确认后发包人有权停止支付剩余安全文明施工费用，待安全文明施工工作符合合同约定和相关要求后发包人恢复支付；情节严重时，发包人有权视情节严重对承包人处以罚款（最高不超过履约担保的30%）。 </w:t>
      </w:r>
    </w:p>
    <w:p w14:paraId="1BBE48AD">
      <w:pPr>
        <w:spacing w:line="460" w:lineRule="exact"/>
        <w:ind w:firstLine="41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5）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严重对承包人处以罚款，情节恶劣时发包人有权单方面终止本承包合同，并由承包人承担由此造成的一切损失。</w:t>
      </w:r>
    </w:p>
    <w:p w14:paraId="353FBC24">
      <w:pPr>
        <w:pStyle w:val="35"/>
        <w:spacing w:line="460" w:lineRule="exact"/>
        <w:ind w:firstLine="412" w:firstLineChars="200"/>
        <w:rPr>
          <w:rFonts w:hAnsi="宋体" w:cs="宋体"/>
          <w:b/>
          <w:color w:val="auto"/>
          <w:highlight w:val="none"/>
          <w:u w:val="single"/>
        </w:rPr>
      </w:pPr>
      <w:r>
        <w:rPr>
          <w:rFonts w:hAnsi="宋体" w:cs="宋体"/>
          <w:b/>
          <w:color w:val="auto"/>
          <w:highlight w:val="none"/>
          <w:u w:val="single"/>
        </w:rPr>
        <w:t>6）监理发出的监理通知书，承包人需按通知书要求进行整改，若不按期整改完毕，发包人有权处以1000元每次的处罚。</w:t>
      </w:r>
    </w:p>
    <w:p w14:paraId="6B01E846">
      <w:pPr>
        <w:spacing w:line="460" w:lineRule="exact"/>
        <w:ind w:firstLine="412" w:firstLineChars="200"/>
        <w:rPr>
          <w:rFonts w:ascii="宋体" w:hAnsi="宋体" w:cs="宋体"/>
          <w:color w:val="auto"/>
          <w:szCs w:val="21"/>
          <w:highlight w:val="none"/>
          <w:u w:val="single"/>
        </w:rPr>
      </w:pPr>
      <w:r>
        <w:rPr>
          <w:rFonts w:hint="eastAsia" w:ascii="宋体" w:hAnsi="宋体" w:cs="宋体"/>
          <w:b/>
          <w:color w:val="auto"/>
          <w:szCs w:val="21"/>
          <w:highlight w:val="none"/>
          <w:u w:val="single"/>
        </w:rPr>
        <w:t>7）承包人不履行合同义务，或不按合同约定履行合同义务的其他情况，承包人承担违约责任，发包人保留索赔其他损失的权利</w:t>
      </w:r>
      <w:r>
        <w:rPr>
          <w:rFonts w:hint="eastAsia" w:ascii="宋体" w:hAnsi="宋体" w:cs="宋体"/>
          <w:color w:val="auto"/>
          <w:szCs w:val="21"/>
          <w:highlight w:val="none"/>
        </w:rPr>
        <w:t>。</w:t>
      </w:r>
    </w:p>
    <w:p w14:paraId="05BAC41F">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16.2.3因承包人违约解除合同</w:t>
      </w:r>
    </w:p>
    <w:p w14:paraId="25DD2E96">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关于承包人违约解除合同的特别约定：</w:t>
      </w:r>
    </w:p>
    <w:p w14:paraId="08E7D98B">
      <w:pPr>
        <w:spacing w:line="460" w:lineRule="exact"/>
        <w:ind w:firstLine="41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（1）合同解除后发包人将本工程另行发包，承包人应负责保管施工场地直至与新的施工单位办理移交。新的施工单位签约价与本合同签约价之间的差额作为发包人损失全部由承包人承担。</w:t>
      </w:r>
    </w:p>
    <w:p w14:paraId="6C2429F3">
      <w:pPr>
        <w:spacing w:line="460" w:lineRule="exact"/>
        <w:ind w:firstLine="412" w:firstLineChars="200"/>
        <w:rPr>
          <w:rFonts w:ascii="宋体" w:hAnsi="宋体" w:cs="宋体"/>
          <w:color w:val="auto"/>
          <w:szCs w:val="21"/>
          <w:highlight w:val="none"/>
          <w:u w:val="single"/>
        </w:rPr>
      </w:pPr>
      <w:r>
        <w:rPr>
          <w:rFonts w:hint="eastAsia" w:ascii="宋体" w:hAnsi="宋体" w:cs="宋体"/>
          <w:b/>
          <w:color w:val="auto"/>
          <w:szCs w:val="21"/>
          <w:highlight w:val="none"/>
          <w:u w:val="single"/>
        </w:rPr>
        <w:t>（2）合同解除后，承包人对由其完成的工程，仍应按《工程质量保修书》约定履行质量保修义务。</w:t>
      </w:r>
    </w:p>
    <w:p w14:paraId="4CE1FBAD">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s="宋体"/>
          <w:b/>
          <w:color w:val="auto"/>
          <w:szCs w:val="21"/>
          <w:highlight w:val="none"/>
          <w:u w:val="single"/>
        </w:rPr>
        <w:t>由发包人支付承包人相应费用（成本费用，不计利润）</w:t>
      </w:r>
      <w:r>
        <w:rPr>
          <w:rFonts w:hint="eastAsia" w:ascii="宋体" w:hAnsi="宋体" w:cs="宋体"/>
          <w:color w:val="auto"/>
          <w:szCs w:val="21"/>
          <w:highlight w:val="none"/>
        </w:rPr>
        <w:t>。</w:t>
      </w:r>
    </w:p>
    <w:p w14:paraId="690F6DA1">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17不可抗力</w:t>
      </w:r>
    </w:p>
    <w:p w14:paraId="244BEE94">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2EE606B7">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2D21E3B3">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2D4B6ABA">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b/>
          <w:bCs/>
          <w:color w:val="auto"/>
          <w:szCs w:val="21"/>
          <w:highlight w:val="none"/>
          <w:u w:val="single"/>
        </w:rPr>
        <w:t>30</w:t>
      </w:r>
      <w:r>
        <w:rPr>
          <w:rFonts w:hint="eastAsia" w:ascii="宋体" w:hAnsi="宋体" w:cs="宋体"/>
          <w:color w:val="auto"/>
          <w:szCs w:val="21"/>
          <w:highlight w:val="none"/>
        </w:rPr>
        <w:t>天内完成款项的支付。</w:t>
      </w:r>
    </w:p>
    <w:p w14:paraId="06AB987C">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18保险</w:t>
      </w:r>
    </w:p>
    <w:p w14:paraId="1ACB7DA7">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632090A8">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b/>
          <w:color w:val="auto"/>
          <w:szCs w:val="21"/>
          <w:highlight w:val="none"/>
          <w:u w:val="single"/>
        </w:rPr>
        <w:t>承包人应投保工程一切险，并承担相应费用</w:t>
      </w:r>
      <w:r>
        <w:rPr>
          <w:rFonts w:hint="eastAsia" w:ascii="宋体" w:hAnsi="宋体" w:cs="宋体"/>
          <w:color w:val="auto"/>
          <w:szCs w:val="21"/>
          <w:highlight w:val="none"/>
        </w:rPr>
        <w:t>。</w:t>
      </w:r>
    </w:p>
    <w:p w14:paraId="7A0EC948">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18.3  其他保险</w:t>
      </w:r>
    </w:p>
    <w:p w14:paraId="7CB73F38">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关于其他保险的约定：</w:t>
      </w:r>
      <w:r>
        <w:rPr>
          <w:rFonts w:hint="eastAsia" w:ascii="宋体" w:hAnsi="宋体" w:cs="宋体"/>
          <w:b/>
          <w:color w:val="auto"/>
          <w:szCs w:val="21"/>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宋体"/>
          <w:color w:val="auto"/>
          <w:szCs w:val="21"/>
          <w:highlight w:val="none"/>
        </w:rPr>
        <w:t>。</w:t>
      </w:r>
    </w:p>
    <w:p w14:paraId="38735BE1">
      <w:pPr>
        <w:spacing w:line="4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b/>
          <w:color w:val="auto"/>
          <w:szCs w:val="21"/>
          <w:highlight w:val="none"/>
          <w:u w:val="single"/>
        </w:rPr>
        <w:t>是，并承担相应费用</w:t>
      </w:r>
      <w:r>
        <w:rPr>
          <w:rFonts w:hint="eastAsia" w:ascii="宋体" w:hAnsi="宋体" w:cs="宋体"/>
          <w:color w:val="auto"/>
          <w:szCs w:val="21"/>
          <w:highlight w:val="none"/>
        </w:rPr>
        <w:t>。</w:t>
      </w:r>
    </w:p>
    <w:p w14:paraId="25A2E1EC">
      <w:pPr>
        <w:spacing w:line="4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7FF973CA">
      <w:pPr>
        <w:spacing w:line="460" w:lineRule="exact"/>
        <w:ind w:firstLine="412" w:firstLineChars="200"/>
        <w:rPr>
          <w:rFonts w:ascii="宋体" w:hAnsi="宋体" w:cs="宋体"/>
          <w:color w:val="auto"/>
          <w:highlight w:val="none"/>
          <w:u w:val="single"/>
        </w:rPr>
      </w:pPr>
      <w:r>
        <w:rPr>
          <w:rFonts w:hint="eastAsia" w:ascii="宋体" w:hAnsi="宋体" w:cs="宋体"/>
          <w:color w:val="auto"/>
          <w:szCs w:val="21"/>
          <w:highlight w:val="none"/>
        </w:rPr>
        <w:t>关于变更保险合同时的通知义务的约定：</w:t>
      </w:r>
      <w:r>
        <w:rPr>
          <w:rFonts w:hint="eastAsia" w:ascii="宋体" w:hAnsi="宋体" w:cs="宋体"/>
          <w:b/>
          <w:color w:val="auto"/>
          <w:szCs w:val="21"/>
          <w:highlight w:val="none"/>
          <w:u w:val="single"/>
        </w:rPr>
        <w:t>按通用合同条</w:t>
      </w:r>
      <w:r>
        <w:rPr>
          <w:rFonts w:hint="eastAsia" w:ascii="宋体" w:hAnsi="宋体" w:cs="宋体"/>
          <w:b/>
          <w:color w:val="auto"/>
          <w:highlight w:val="none"/>
          <w:u w:val="single"/>
        </w:rPr>
        <w:t>款约定</w:t>
      </w:r>
      <w:r>
        <w:rPr>
          <w:rFonts w:hint="eastAsia" w:ascii="宋体" w:hAnsi="宋体" w:cs="宋体"/>
          <w:color w:val="auto"/>
          <w:highlight w:val="none"/>
        </w:rPr>
        <w:t>。</w:t>
      </w:r>
    </w:p>
    <w:p w14:paraId="35B975C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20争议解决</w:t>
      </w:r>
    </w:p>
    <w:p w14:paraId="45FC1862">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20.3  争议评审</w:t>
      </w:r>
    </w:p>
    <w:p w14:paraId="69B8FA9B">
      <w:pPr>
        <w:spacing w:line="460" w:lineRule="exact"/>
        <w:ind w:firstLine="309" w:firstLineChars="150"/>
        <w:rPr>
          <w:rFonts w:ascii="宋体" w:hAnsi="宋体" w:cs="宋体"/>
          <w:color w:val="auto"/>
          <w:highlight w:val="none"/>
          <w:u w:val="single"/>
        </w:rPr>
      </w:pPr>
      <w:r>
        <w:rPr>
          <w:rFonts w:hint="eastAsia" w:ascii="宋体" w:hAnsi="宋体" w:cs="宋体"/>
          <w:color w:val="auto"/>
          <w:highlight w:val="none"/>
        </w:rPr>
        <w:t>合同当事人是否同意将工程争议提交争议评审小组决定：</w:t>
      </w:r>
      <w:r>
        <w:rPr>
          <w:rFonts w:hint="eastAsia" w:ascii="宋体" w:hAnsi="宋体" w:cs="宋体"/>
          <w:b/>
          <w:color w:val="auto"/>
          <w:highlight w:val="none"/>
          <w:u w:val="single"/>
        </w:rPr>
        <w:t>否</w:t>
      </w:r>
      <w:r>
        <w:rPr>
          <w:rFonts w:hint="eastAsia" w:ascii="宋体" w:hAnsi="宋体" w:cs="宋体"/>
          <w:color w:val="auto"/>
          <w:highlight w:val="none"/>
        </w:rPr>
        <w:t>。</w:t>
      </w:r>
    </w:p>
    <w:p w14:paraId="36DBEA1B">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20.3.1  争议评审小组的确定</w:t>
      </w:r>
    </w:p>
    <w:p w14:paraId="30606D77">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5B892AE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062660C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3D40ED2E">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0A11C46D">
      <w:pPr>
        <w:spacing w:line="460" w:lineRule="exact"/>
        <w:ind w:firstLine="412" w:firstLineChars="200"/>
        <w:rPr>
          <w:rFonts w:ascii="宋体" w:hAnsi="宋体" w:cs="宋体"/>
          <w:color w:val="auto"/>
          <w:highlight w:val="none"/>
          <w:u w:val="single"/>
        </w:rPr>
      </w:pPr>
      <w:r>
        <w:rPr>
          <w:rFonts w:hint="eastAsia" w:ascii="宋体" w:hAnsi="宋体" w:cs="宋体"/>
          <w:color w:val="auto"/>
          <w:highlight w:val="none"/>
        </w:rPr>
        <w:t>20.3.2  争议评审小组的决定</w:t>
      </w:r>
    </w:p>
    <w:p w14:paraId="73DF1D06">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b/>
          <w:color w:val="auto"/>
          <w:highlight w:val="none"/>
          <w:u w:val="single"/>
        </w:rPr>
        <w:t xml:space="preserve">/  </w:t>
      </w:r>
      <w:r>
        <w:rPr>
          <w:rFonts w:hint="eastAsia" w:ascii="宋体" w:hAnsi="宋体" w:cs="宋体"/>
          <w:color w:val="auto"/>
          <w:highlight w:val="none"/>
        </w:rPr>
        <w:t>。</w:t>
      </w:r>
    </w:p>
    <w:p w14:paraId="7920CBF7">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20.4  仲裁或诉讼</w:t>
      </w:r>
    </w:p>
    <w:p w14:paraId="7FCA2FB8">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因合同及合同有关事项发生的争议，双方当事人一致同意提交下列解决方式中第</w:t>
      </w:r>
      <w:r>
        <w:rPr>
          <w:rFonts w:hint="eastAsia" w:ascii="宋体" w:hAnsi="宋体" w:cs="宋体"/>
          <w:b/>
          <w:bCs/>
          <w:color w:val="auto"/>
          <w:highlight w:val="none"/>
          <w:u w:val="single"/>
        </w:rPr>
        <w:t>（2）</w:t>
      </w:r>
      <w:r>
        <w:rPr>
          <w:rFonts w:hint="eastAsia" w:ascii="宋体" w:hAnsi="宋体" w:cs="宋体"/>
          <w:color w:val="auto"/>
          <w:highlight w:val="none"/>
        </w:rPr>
        <w:t>种方式解决争议的除外：</w:t>
      </w:r>
    </w:p>
    <w:p w14:paraId="38D74A9C">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（1）提交仲裁委员会申请仲裁；</w:t>
      </w:r>
    </w:p>
    <w:p w14:paraId="0CD332C4">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（2）依法向</w:t>
      </w:r>
      <w:r>
        <w:rPr>
          <w:rFonts w:hint="eastAsia" w:ascii="宋体" w:hAnsi="宋体" w:cs="宋体"/>
          <w:b/>
          <w:color w:val="auto"/>
          <w:highlight w:val="none"/>
          <w:u w:val="single"/>
        </w:rPr>
        <w:t>工程所在地</w:t>
      </w:r>
      <w:r>
        <w:rPr>
          <w:rFonts w:hint="eastAsia" w:ascii="宋体" w:hAnsi="宋体" w:cs="宋体"/>
          <w:color w:val="auto"/>
          <w:highlight w:val="none"/>
        </w:rPr>
        <w:t>人民法院起诉。</w:t>
      </w:r>
    </w:p>
    <w:p w14:paraId="0CA323B4">
      <w:pPr>
        <w:spacing w:line="460" w:lineRule="exact"/>
        <w:ind w:firstLine="408" w:firstLineChars="198"/>
        <w:rPr>
          <w:rFonts w:ascii="宋体" w:hAnsi="宋体" w:cs="宋体"/>
          <w:b/>
          <w:color w:val="auto"/>
          <w:highlight w:val="none"/>
        </w:rPr>
      </w:pPr>
      <w:r>
        <w:rPr>
          <w:rFonts w:hint="eastAsia" w:ascii="宋体" w:hAnsi="宋体" w:cs="宋体"/>
          <w:b/>
          <w:color w:val="auto"/>
          <w:highlight w:val="none"/>
        </w:rPr>
        <w:t>21．其他补充事项的约定</w:t>
      </w:r>
    </w:p>
    <w:p w14:paraId="22AE5E67">
      <w:pPr>
        <w:spacing w:line="460" w:lineRule="exact"/>
        <w:ind w:firstLine="408" w:firstLineChars="198"/>
        <w:rPr>
          <w:rFonts w:ascii="宋体" w:hAnsi="宋体" w:cs="宋体"/>
          <w:snapToGrid w:val="0"/>
          <w:color w:val="auto"/>
          <w:highlight w:val="none"/>
          <w:u w:val="single"/>
        </w:rPr>
      </w:pPr>
      <w:r>
        <w:rPr>
          <w:rFonts w:hint="eastAsia" w:ascii="宋体" w:hAnsi="宋体" w:cs="宋体"/>
          <w:b/>
          <w:color w:val="auto"/>
          <w:highlight w:val="none"/>
        </w:rPr>
        <w:t>21.1</w:t>
      </w:r>
      <w:r>
        <w:rPr>
          <w:rFonts w:hint="eastAsia" w:ascii="宋体" w:hAnsi="宋体" w:cs="宋体"/>
          <w:snapToGrid w:val="0"/>
          <w:color w:val="auto"/>
          <w:highlight w:val="none"/>
          <w:u w:val="single"/>
        </w:rPr>
        <w:t xml:space="preserve">在工程保修期中，若发生质量问题，承包人应及时派专业人员维修，若承包人不及时维修，发包人有权自行委托第三方进行维修，所发生费用从承包人质保金中扣除； 若质保金不足部分则在收到发包人扣罚通知后7天内补足差额，若承包人未按要求补足差额的，发包人有权在结算时双倍扣罚上述修复费用。  </w:t>
      </w:r>
    </w:p>
    <w:p w14:paraId="585A9FB5">
      <w:pPr>
        <w:spacing w:line="460" w:lineRule="exact"/>
        <w:ind w:firstLine="408" w:firstLineChars="198"/>
        <w:rPr>
          <w:rFonts w:ascii="宋体" w:hAnsi="宋体" w:cs="宋体"/>
          <w:snapToGrid w:val="0"/>
          <w:color w:val="auto"/>
          <w:highlight w:val="none"/>
          <w:u w:val="single"/>
        </w:rPr>
      </w:pPr>
      <w:r>
        <w:rPr>
          <w:rFonts w:hint="eastAsia" w:ascii="宋体" w:hAnsi="宋体" w:cs="宋体"/>
          <w:b/>
          <w:color w:val="auto"/>
          <w:highlight w:val="none"/>
        </w:rPr>
        <w:t>21.2</w:t>
      </w:r>
      <w:r>
        <w:rPr>
          <w:rFonts w:hint="eastAsia" w:ascii="宋体" w:hAnsi="宋体" w:cs="宋体"/>
          <w:snapToGrid w:val="0"/>
          <w:color w:val="auto"/>
          <w:highlight w:val="none"/>
          <w:u w:val="single"/>
        </w:rPr>
        <w:t>承包人收到开工令后，必须立即开工，无正当理由不得延误开工日期，在招标人提出书面警告后五天内仍不开工，将视作违约，没收履约保证金并上报相关建设主管部门。</w:t>
      </w:r>
    </w:p>
    <w:p w14:paraId="6A229517">
      <w:pPr>
        <w:spacing w:line="460" w:lineRule="exact"/>
        <w:ind w:firstLine="408" w:firstLineChars="198"/>
        <w:rPr>
          <w:rFonts w:ascii="宋体" w:hAnsi="宋体" w:cs="宋体"/>
          <w:b/>
          <w:color w:val="auto"/>
          <w:highlight w:val="none"/>
        </w:rPr>
      </w:pPr>
      <w:r>
        <w:rPr>
          <w:rFonts w:hint="eastAsia" w:ascii="宋体" w:hAnsi="宋体" w:cs="宋体"/>
          <w:snapToGrid w:val="0"/>
          <w:color w:val="auto"/>
          <w:highlight w:val="none"/>
          <w:u w:val="single"/>
        </w:rPr>
        <w:t>21.3本工程建设地点位于市中心，交通流量极大，在施工过程中必须遵循少扰民原则，杜绝有责投诉，确保安全文明施工、文明用语。若与沿线居民、单位发生纠纷或产生有责投诉，承包人必须积极解决，消除影响并承担违约责任。鉴于施工过程中涉及环保、交警、市政、公安及地下管线保护等相关部门手续，由承包人负责联系处理，所发生费用除发包人应承担的费用外其余均由承包人承担。</w:t>
      </w:r>
    </w:p>
    <w:p w14:paraId="68FCB68B">
      <w:pPr>
        <w:spacing w:line="460" w:lineRule="exact"/>
        <w:ind w:firstLine="412" w:firstLineChars="200"/>
        <w:rPr>
          <w:rFonts w:ascii="宋体" w:hAnsi="宋体" w:cs="宋体"/>
          <w:b/>
          <w:color w:val="auto"/>
          <w:kern w:val="1"/>
          <w:sz w:val="24"/>
          <w:highlight w:val="none"/>
          <w:u w:val="single"/>
        </w:rPr>
      </w:pPr>
      <w:r>
        <w:rPr>
          <w:rFonts w:hint="eastAsia" w:ascii="宋体" w:hAnsi="宋体" w:cs="宋体"/>
          <w:b/>
          <w:color w:val="auto"/>
          <w:highlight w:val="none"/>
          <w:u w:val="single"/>
        </w:rPr>
        <w:t>21.4</w:t>
      </w:r>
      <w:r>
        <w:rPr>
          <w:rFonts w:hint="eastAsia" w:ascii="宋体" w:hAnsi="宋体" w:cs="宋体"/>
          <w:b/>
          <w:color w:val="auto"/>
          <w:kern w:val="1"/>
          <w:szCs w:val="21"/>
          <w:highlight w:val="none"/>
          <w:u w:val="single"/>
        </w:rPr>
        <w:t>承包人在施工过程中应做好道路影像资料收集，在施工过程中及施工完成后做好相应的宣传工作（市级及以上平台录用）。</w:t>
      </w:r>
    </w:p>
    <w:p w14:paraId="0DD58403">
      <w:pPr>
        <w:ind w:firstLine="412" w:firstLineChars="200"/>
        <w:rPr>
          <w:rFonts w:hint="eastAsia"/>
          <w:b/>
          <w:color w:val="auto"/>
          <w:highlight w:val="none"/>
          <w:u w:val="single"/>
        </w:rPr>
      </w:pPr>
      <w:r>
        <w:rPr>
          <w:rFonts w:hint="eastAsia"/>
          <w:b w:val="0"/>
          <w:bCs/>
          <w:color w:val="auto"/>
          <w:highlight w:val="none"/>
          <w:u w:val="single"/>
        </w:rPr>
        <w:t>21.</w:t>
      </w:r>
      <w:r>
        <w:rPr>
          <w:rFonts w:hint="eastAsia"/>
          <w:b w:val="0"/>
          <w:bCs/>
          <w:color w:val="auto"/>
          <w:highlight w:val="none"/>
          <w:u w:val="single"/>
          <w:lang w:val="en-US" w:eastAsia="zh-CN"/>
        </w:rPr>
        <w:t>5</w:t>
      </w:r>
      <w:r>
        <w:rPr>
          <w:rFonts w:hint="eastAsia"/>
          <w:b/>
          <w:color w:val="auto"/>
          <w:highlight w:val="none"/>
          <w:u w:val="single"/>
        </w:rPr>
        <w:t>因承包人未提供相应的隐蔽工程影像资料，在工程结算审计过程中，应承担审计单位对相应工程量不予计取的风险。</w:t>
      </w:r>
    </w:p>
    <w:p w14:paraId="195FE4B4">
      <w:pPr>
        <w:ind w:firstLine="412" w:firstLineChars="200"/>
        <w:rPr>
          <w:rFonts w:hint="default" w:eastAsia="宋体"/>
          <w:color w:val="auto"/>
          <w:highlight w:val="none"/>
          <w:u w:val="single"/>
          <w:lang w:val="en-US" w:eastAsia="zh-CN"/>
        </w:rPr>
      </w:pPr>
      <w:r>
        <w:rPr>
          <w:rFonts w:hint="eastAsia" w:ascii="宋体" w:hAnsi="宋体" w:cs="宋体"/>
          <w:b/>
          <w:color w:val="auto"/>
          <w:highlight w:val="none"/>
          <w:u w:val="single"/>
          <w:lang w:val="en-US" w:eastAsia="zh-CN"/>
        </w:rPr>
        <w:t>21.6</w:t>
      </w:r>
      <w:r>
        <w:rPr>
          <w:rFonts w:hint="eastAsia" w:ascii="宋体" w:hAnsi="宋体" w:eastAsia="宋体" w:cs="宋体"/>
          <w:b/>
          <w:bCs/>
          <w:color w:val="auto"/>
          <w:kern w:val="2"/>
          <w:sz w:val="21"/>
          <w:szCs w:val="21"/>
          <w:highlight w:val="none"/>
          <w:u w:val="single"/>
        </w:rPr>
        <w:t>人行道板，平石，侧石等需要现场切割的尽量集中场地切割后运至现场。如特殊原因需要现场切割的必须做好降尘处理，提供现场降尘设备并满足环保部门对降尘的相关要求</w:t>
      </w:r>
    </w:p>
    <w:p w14:paraId="411B5F56">
      <w:pPr>
        <w:ind w:firstLine="412" w:firstLineChars="200"/>
        <w:rPr>
          <w:b/>
          <w:color w:val="auto"/>
          <w:highlight w:val="none"/>
          <w:u w:val="single"/>
        </w:rPr>
      </w:pPr>
    </w:p>
    <w:p w14:paraId="7265DE5A">
      <w:pPr>
        <w:spacing w:line="460" w:lineRule="exact"/>
        <w:ind w:firstLine="412" w:firstLineChars="200"/>
        <w:rPr>
          <w:rFonts w:ascii="宋体" w:hAnsi="宋体" w:cs="宋体"/>
          <w:color w:val="auto"/>
          <w:highlight w:val="none"/>
        </w:rPr>
      </w:pPr>
      <w:r>
        <w:rPr>
          <w:rFonts w:hint="eastAsia" w:ascii="宋体" w:hAnsi="宋体" w:cs="宋体"/>
          <w:color w:val="auto"/>
          <w:highlight w:val="none"/>
        </w:rPr>
        <w:t>附件：</w:t>
      </w:r>
    </w:p>
    <w:p w14:paraId="0A709E98">
      <w:pPr>
        <w:snapToGrid w:val="0"/>
        <w:spacing w:line="360" w:lineRule="auto"/>
        <w:ind w:firstLine="412" w:firstLineChars="200"/>
        <w:rPr>
          <w:rFonts w:ascii="宋体" w:hAnsi="宋体" w:cs="宋体"/>
          <w:color w:val="auto"/>
          <w:highlight w:val="none"/>
        </w:rPr>
      </w:pPr>
      <w:r>
        <w:rPr>
          <w:rFonts w:hint="eastAsia" w:ascii="宋体" w:hAnsi="宋体" w:cs="宋体"/>
          <w:color w:val="auto"/>
          <w:highlight w:val="none"/>
        </w:rPr>
        <w:t>1.工程质量保修书</w:t>
      </w:r>
    </w:p>
    <w:p w14:paraId="03A95323">
      <w:pPr>
        <w:snapToGrid w:val="0"/>
        <w:spacing w:line="360" w:lineRule="auto"/>
        <w:ind w:firstLine="412" w:firstLineChars="200"/>
        <w:rPr>
          <w:rFonts w:hint="eastAsia" w:ascii="宋体" w:hAnsi="宋体" w:eastAsia="宋体" w:cs="宋体"/>
          <w:color w:val="auto"/>
          <w:highlight w:val="none"/>
          <w:lang w:eastAsia="zh-CN"/>
        </w:rPr>
      </w:pPr>
      <w:r>
        <w:rPr>
          <w:rFonts w:hint="eastAsia" w:ascii="宋体" w:hAnsi="宋体" w:cs="宋体"/>
          <w:color w:val="auto"/>
          <w:highlight w:val="none"/>
        </w:rPr>
        <w:t>2.施工单位考核细则</w:t>
      </w:r>
    </w:p>
    <w:p w14:paraId="36278719">
      <w:pPr>
        <w:pStyle w:val="5"/>
        <w:tabs>
          <w:tab w:val="left" w:pos="532"/>
          <w:tab w:val="clear" w:pos="432"/>
        </w:tabs>
        <w:snapToGrid w:val="0"/>
        <w:spacing w:before="0" w:after="0" w:line="360" w:lineRule="auto"/>
        <w:rPr>
          <w:rFonts w:hint="eastAsia" w:ascii="宋体" w:hAnsi="宋体" w:cs="宋体"/>
          <w:b w:val="0"/>
          <w:bCs w:val="0"/>
          <w:color w:val="auto"/>
          <w:kern w:val="2"/>
          <w:sz w:val="21"/>
          <w:szCs w:val="24"/>
          <w:highlight w:val="none"/>
          <w:lang w:val="en-US" w:eastAsia="zh-CN"/>
        </w:rPr>
      </w:pPr>
      <w:r>
        <w:rPr>
          <w:rFonts w:hint="eastAsia" w:ascii="宋体" w:hAnsi="宋体" w:cs="宋体"/>
          <w:color w:val="auto"/>
          <w:highlight w:val="none"/>
        </w:rPr>
        <w:tab/>
      </w:r>
      <w:r>
        <w:rPr>
          <w:rFonts w:hint="eastAsia" w:ascii="宋体" w:hAnsi="宋体" w:cs="宋体"/>
          <w:b w:val="0"/>
          <w:bCs w:val="0"/>
          <w:color w:val="auto"/>
          <w:kern w:val="2"/>
          <w:sz w:val="21"/>
          <w:szCs w:val="24"/>
          <w:highlight w:val="none"/>
        </w:rPr>
        <w:t>3.</w:t>
      </w:r>
      <w:r>
        <w:rPr>
          <w:rFonts w:hint="eastAsia" w:ascii="宋体" w:hAnsi="宋体" w:cs="宋体"/>
          <w:b w:val="0"/>
          <w:bCs w:val="0"/>
          <w:color w:val="auto"/>
          <w:kern w:val="2"/>
          <w:sz w:val="21"/>
          <w:szCs w:val="24"/>
          <w:highlight w:val="none"/>
          <w:lang w:val="en-US" w:eastAsia="zh-CN"/>
        </w:rPr>
        <w:t>拱墅区综合行政执法局建设工程质量管理实施规定（试行）</w:t>
      </w:r>
    </w:p>
    <w:p w14:paraId="1CF322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olor w:val="auto"/>
          <w:highlight w:val="none"/>
          <w:lang w:val="en-US" w:eastAsia="zh-CN"/>
        </w:rPr>
      </w:pPr>
      <w:r>
        <w:rPr>
          <w:rFonts w:hint="eastAsia" w:ascii="宋体" w:hAnsi="宋体" w:cs="宋体"/>
          <w:b w:val="0"/>
          <w:bCs w:val="0"/>
          <w:color w:val="auto"/>
          <w:kern w:val="2"/>
          <w:sz w:val="21"/>
          <w:szCs w:val="24"/>
          <w:highlight w:val="none"/>
          <w:lang w:val="en-US" w:eastAsia="zh-CN"/>
        </w:rPr>
        <w:t xml:space="preserve">    4.安全生产责任书</w:t>
      </w:r>
    </w:p>
    <w:p w14:paraId="6298CFDF">
      <w:pPr>
        <w:spacing w:line="460" w:lineRule="exact"/>
        <w:ind w:firstLine="412" w:firstLineChars="200"/>
        <w:rPr>
          <w:rFonts w:ascii="宋体" w:hAnsi="宋体" w:cs="宋体"/>
          <w:color w:val="auto"/>
          <w:highlight w:val="none"/>
        </w:rPr>
      </w:pPr>
    </w:p>
    <w:p w14:paraId="1605095E">
      <w:pPr>
        <w:spacing w:line="460" w:lineRule="exact"/>
        <w:rPr>
          <w:rFonts w:ascii="宋体" w:hAnsi="宋体" w:cs="宋体"/>
          <w:color w:val="auto"/>
          <w:sz w:val="32"/>
          <w:highlight w:val="none"/>
        </w:rPr>
        <w:sectPr>
          <w:headerReference r:id="rId9" w:type="default"/>
          <w:footerReference r:id="rId10" w:type="default"/>
          <w:pgSz w:w="11906" w:h="16838"/>
          <w:pgMar w:top="1247" w:right="1417" w:bottom="1247" w:left="1417" w:header="851" w:footer="851" w:gutter="0"/>
          <w:cols w:space="720" w:num="1"/>
          <w:docGrid w:type="linesAndChars" w:linePitch="578" w:charSpace="-849"/>
        </w:sectPr>
      </w:pPr>
    </w:p>
    <w:p w14:paraId="5356CD0A">
      <w:pPr>
        <w:rPr>
          <w:rFonts w:ascii="宋体" w:hAnsi="宋体" w:cs="宋体"/>
          <w:color w:val="auto"/>
          <w:highlight w:val="none"/>
        </w:rPr>
      </w:pPr>
      <w:r>
        <w:rPr>
          <w:rFonts w:hint="eastAsia" w:ascii="宋体" w:hAnsi="宋体" w:cs="宋体"/>
          <w:color w:val="auto"/>
          <w:highlight w:val="none"/>
        </w:rPr>
        <w:t>附件：1</w:t>
      </w:r>
    </w:p>
    <w:p w14:paraId="06D9EE75">
      <w:pPr>
        <w:spacing w:line="56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工程质量保修书</w:t>
      </w:r>
    </w:p>
    <w:p w14:paraId="019FBD9A">
      <w:pPr>
        <w:rPr>
          <w:rFonts w:ascii="宋体" w:hAnsi="宋体" w:cs="宋体"/>
          <w:color w:val="auto"/>
          <w:sz w:val="32"/>
          <w:highlight w:val="none"/>
        </w:rPr>
      </w:pPr>
    </w:p>
    <w:p w14:paraId="2C8FAA89">
      <w:pPr>
        <w:spacing w:line="460" w:lineRule="atLeast"/>
        <w:ind w:firstLine="420" w:firstLineChars="200"/>
        <w:rPr>
          <w:rFonts w:ascii="宋体" w:hAnsi="宋体" w:cs="宋体"/>
          <w:color w:val="auto"/>
          <w:highlight w:val="none"/>
          <w:u w:val="single"/>
        </w:rPr>
      </w:pPr>
      <w:r>
        <w:rPr>
          <w:rFonts w:hint="eastAsia" w:ascii="宋体" w:hAnsi="宋体" w:cs="宋体"/>
          <w:color w:val="auto"/>
          <w:highlight w:val="none"/>
        </w:rPr>
        <w:t>发包人（全称）：</w:t>
      </w:r>
      <w:r>
        <w:rPr>
          <w:rFonts w:hint="eastAsia" w:ascii="宋体" w:hAnsi="宋体" w:cs="宋体"/>
          <w:color w:val="auto"/>
          <w:highlight w:val="none"/>
          <w:u w:val="single"/>
        </w:rPr>
        <w:t xml:space="preserve"> 杭州市拱墅区市政养护所 </w:t>
      </w:r>
    </w:p>
    <w:p w14:paraId="6B23608B">
      <w:pPr>
        <w:spacing w:line="460" w:lineRule="atLeast"/>
        <w:ind w:firstLine="420" w:firstLineChars="200"/>
        <w:rPr>
          <w:rFonts w:hint="eastAsia" w:ascii="宋体" w:hAnsi="宋体" w:eastAsia="宋体" w:cs="宋体"/>
          <w:color w:val="auto"/>
          <w:highlight w:val="none"/>
          <w:u w:val="single"/>
          <w:lang w:eastAsia="zh-CN"/>
        </w:rPr>
      </w:pPr>
      <w:r>
        <w:rPr>
          <w:rFonts w:hint="eastAsia" w:ascii="宋体" w:hAnsi="宋体" w:cs="宋体"/>
          <w:color w:val="auto"/>
          <w:highlight w:val="none"/>
        </w:rPr>
        <w:t>承包人（全称）：</w:t>
      </w:r>
      <w:r>
        <w:rPr>
          <w:rFonts w:hint="eastAsia" w:ascii="宋体" w:hAnsi="宋体" w:cs="宋体"/>
          <w:color w:val="auto"/>
          <w:highlight w:val="none"/>
          <w:u w:val="single"/>
          <w:lang w:val="en-US" w:eastAsia="zh-CN"/>
        </w:rPr>
        <w:t xml:space="preserve"> </w:t>
      </w:r>
    </w:p>
    <w:p w14:paraId="750711DF">
      <w:pPr>
        <w:spacing w:line="460" w:lineRule="atLeast"/>
        <w:rPr>
          <w:rFonts w:ascii="宋体" w:hAnsi="宋体" w:cs="宋体"/>
          <w:color w:val="auto"/>
          <w:highlight w:val="none"/>
          <w:u w:val="single"/>
        </w:rPr>
      </w:pPr>
    </w:p>
    <w:p w14:paraId="06404465">
      <w:pPr>
        <w:spacing w:line="460" w:lineRule="atLeast"/>
        <w:ind w:left="609" w:leftChars="190" w:hanging="210" w:hangingChars="100"/>
        <w:rPr>
          <w:rFonts w:ascii="宋体" w:hAnsi="宋体" w:cs="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（工程全称）签订工程质量保修书。</w:t>
      </w:r>
    </w:p>
    <w:p w14:paraId="27444B94">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一、工程质量保修范围和内容</w:t>
      </w:r>
    </w:p>
    <w:p w14:paraId="6087F967">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1357B537">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color w:val="auto"/>
          <w:highlight w:val="none"/>
          <w:u w:val="single"/>
        </w:rPr>
        <w:t>对施工承包范围内的所有内容实行保修</w:t>
      </w:r>
      <w:r>
        <w:rPr>
          <w:rFonts w:hint="eastAsia" w:ascii="宋体" w:hAnsi="宋体" w:cs="宋体"/>
          <w:color w:val="auto"/>
          <w:highlight w:val="none"/>
        </w:rPr>
        <w:t>。</w:t>
      </w:r>
    </w:p>
    <w:p w14:paraId="32888756">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二、质量保修期</w:t>
      </w:r>
    </w:p>
    <w:p w14:paraId="06138191">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根据《建设工程质量管理条例》及有关规定，工程的质量保修期如下：</w:t>
      </w:r>
    </w:p>
    <w:p w14:paraId="75781AB9">
      <w:pPr>
        <w:spacing w:line="460" w:lineRule="atLeast"/>
        <w:ind w:firstLine="420" w:firstLineChars="200"/>
        <w:rPr>
          <w:rFonts w:ascii="宋体" w:hAnsi="宋体" w:cs="宋体"/>
          <w:color w:val="auto"/>
          <w:spacing w:val="-4"/>
          <w:highlight w:val="none"/>
        </w:rPr>
      </w:pPr>
      <w:r>
        <w:rPr>
          <w:rFonts w:hint="eastAsia" w:ascii="宋体" w:hAnsi="宋体" w:cs="宋体"/>
          <w:color w:val="auto"/>
          <w:highlight w:val="none"/>
        </w:rPr>
        <w:t>1．</w:t>
      </w:r>
      <w:r>
        <w:rPr>
          <w:rFonts w:hint="eastAsia" w:ascii="宋体" w:hAnsi="宋体" w:cs="宋体"/>
          <w:color w:val="auto"/>
          <w:spacing w:val="-4"/>
          <w:highlight w:val="none"/>
        </w:rPr>
        <w:t>地基基础工程和主体结构工程为设计文件规定的工程合理使用年限；</w:t>
      </w:r>
    </w:p>
    <w:p w14:paraId="2E32DAB5">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2．屋面防水工程、有防水要求的卫生间、房间和外墙面的防渗为</w:t>
      </w:r>
      <w:r>
        <w:rPr>
          <w:rFonts w:hint="eastAsia" w:ascii="宋体" w:hAnsi="宋体" w:cs="宋体"/>
          <w:color w:val="auto"/>
          <w:highlight w:val="none"/>
          <w:u w:val="single"/>
        </w:rPr>
        <w:t xml:space="preserve">  /  </w:t>
      </w:r>
      <w:r>
        <w:rPr>
          <w:rFonts w:hint="eastAsia" w:ascii="宋体" w:hAnsi="宋体" w:cs="宋体"/>
          <w:color w:val="auto"/>
          <w:highlight w:val="none"/>
        </w:rPr>
        <w:t>年；</w:t>
      </w:r>
    </w:p>
    <w:p w14:paraId="4D7A2272">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3．装修工程为</w:t>
      </w:r>
      <w:r>
        <w:rPr>
          <w:rFonts w:hint="eastAsia" w:ascii="宋体" w:hAnsi="宋体" w:cs="宋体"/>
          <w:color w:val="auto"/>
          <w:highlight w:val="none"/>
          <w:u w:val="single"/>
        </w:rPr>
        <w:t xml:space="preserve">  /  </w:t>
      </w:r>
      <w:r>
        <w:rPr>
          <w:rFonts w:hint="eastAsia" w:ascii="宋体" w:hAnsi="宋体" w:cs="宋体"/>
          <w:color w:val="auto"/>
          <w:highlight w:val="none"/>
        </w:rPr>
        <w:t>年；</w:t>
      </w:r>
    </w:p>
    <w:p w14:paraId="5552C779">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4．电气管线、给排水管道、设备安装工程为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0C8B7984">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5．供热与供冷系统为</w:t>
      </w:r>
      <w:r>
        <w:rPr>
          <w:rFonts w:hint="eastAsia" w:ascii="宋体" w:hAnsi="宋体" w:cs="宋体"/>
          <w:color w:val="auto"/>
          <w:highlight w:val="none"/>
          <w:u w:val="single"/>
        </w:rPr>
        <w:t xml:space="preserve">  /  </w:t>
      </w:r>
      <w:r>
        <w:rPr>
          <w:rFonts w:hint="eastAsia" w:ascii="宋体" w:hAnsi="宋体" w:cs="宋体"/>
          <w:color w:val="auto"/>
          <w:highlight w:val="none"/>
        </w:rPr>
        <w:t>个采暖期、供冷期；</w:t>
      </w:r>
    </w:p>
    <w:p w14:paraId="1D5EF6A2">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6．住宅小区内的给排水设施、道路等配套工程为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786C1F62">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7．其他项目保修期限约定</w:t>
      </w:r>
      <w:r>
        <w:rPr>
          <w:rFonts w:hint="eastAsia" w:ascii="宋体" w:hAnsi="宋体" w:cs="宋体"/>
          <w:color w:val="auto"/>
          <w:szCs w:val="21"/>
          <w:highlight w:val="none"/>
        </w:rPr>
        <w:t>如下：</w:t>
      </w:r>
      <w:r>
        <w:rPr>
          <w:rFonts w:ascii="宋体" w:hAnsi="宋体" w:cs="宋体"/>
          <w:color w:val="auto"/>
          <w:szCs w:val="21"/>
          <w:highlight w:val="none"/>
        </w:rPr>
        <w:t>道路工程质量保修期为3年</w:t>
      </w:r>
      <w:r>
        <w:rPr>
          <w:rFonts w:hint="eastAsia" w:ascii="宋体" w:hAnsi="宋体" w:cs="宋体"/>
          <w:color w:val="auto"/>
          <w:szCs w:val="21"/>
          <w:highlight w:val="none"/>
        </w:rPr>
        <w:t>。</w:t>
      </w:r>
    </w:p>
    <w:p w14:paraId="69531364">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质量保修期自工程竣工验收合格之日起计算。</w:t>
      </w:r>
    </w:p>
    <w:p w14:paraId="108CC8BE">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三、缺陷责任期</w:t>
      </w:r>
    </w:p>
    <w:p w14:paraId="78A2DE74">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工程缺陷责任期为</w:t>
      </w:r>
      <w:r>
        <w:rPr>
          <w:rFonts w:hint="eastAsia" w:ascii="宋体" w:hAnsi="宋体" w:cs="宋体"/>
          <w:color w:val="auto"/>
          <w:highlight w:val="none"/>
          <w:u w:val="single"/>
        </w:rPr>
        <w:t>24</w:t>
      </w:r>
      <w:r>
        <w:rPr>
          <w:rFonts w:hint="eastAsia" w:ascii="宋体" w:hAnsi="宋体" w:cs="宋体"/>
          <w:color w:val="auto"/>
          <w:highlight w:val="none"/>
        </w:rPr>
        <w:t>个月，缺陷责任期自工程通过竣工验收之日起计算。单位工程先于全部工程进行验收，单位工程缺陷责任期自单位工程验收合格之日期起算。</w:t>
      </w:r>
    </w:p>
    <w:p w14:paraId="64E4275F">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缺陷责任期终止后，发包人应退还剩余的质量保证金。</w:t>
      </w:r>
    </w:p>
    <w:p w14:paraId="7266A9E7">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四、质量保修责任</w:t>
      </w:r>
    </w:p>
    <w:p w14:paraId="768E0F44">
      <w:pPr>
        <w:spacing w:line="460" w:lineRule="atLeast"/>
        <w:ind w:firstLine="504" w:firstLineChars="240"/>
        <w:rPr>
          <w:rFonts w:ascii="宋体" w:hAnsi="宋体" w:cs="宋体"/>
          <w:color w:val="auto"/>
          <w:highlight w:val="none"/>
        </w:rPr>
      </w:pPr>
      <w:r>
        <w:rPr>
          <w:rFonts w:hint="eastAsia" w:ascii="宋体" w:hAnsi="宋体" w:cs="宋体"/>
          <w:color w:val="auto"/>
          <w:highlight w:val="none"/>
        </w:rPr>
        <w:t>1．属于保修范围、内容的项目，承包人应当在接到保修通知之日起7天内派人保修。承包人不在约定期限内派人保修的，发包人可以委托他人修理。</w:t>
      </w:r>
    </w:p>
    <w:p w14:paraId="1CDBD124">
      <w:pPr>
        <w:spacing w:line="460" w:lineRule="atLeast"/>
        <w:ind w:firstLine="430" w:firstLineChars="205"/>
        <w:rPr>
          <w:rFonts w:ascii="宋体" w:hAnsi="宋体" w:cs="宋体"/>
          <w:color w:val="auto"/>
          <w:highlight w:val="none"/>
        </w:rPr>
      </w:pPr>
      <w:r>
        <w:rPr>
          <w:rFonts w:hint="eastAsia" w:ascii="宋体" w:hAnsi="宋体" w:cs="宋体"/>
          <w:color w:val="auto"/>
          <w:highlight w:val="none"/>
        </w:rPr>
        <w:t>2．发生紧急事故需抢修的，承包人在接到事故通知后，应当立即到达事故现场抢修。</w:t>
      </w:r>
    </w:p>
    <w:p w14:paraId="08FB2D71">
      <w:pPr>
        <w:spacing w:line="460" w:lineRule="atLeast"/>
        <w:ind w:firstLine="430" w:firstLineChars="205"/>
        <w:rPr>
          <w:rFonts w:ascii="宋体" w:hAnsi="宋体" w:cs="宋体"/>
          <w:color w:val="auto"/>
          <w:highlight w:val="none"/>
        </w:rPr>
      </w:pPr>
      <w:r>
        <w:rPr>
          <w:rFonts w:hint="eastAsia" w:ascii="宋体" w:hAnsi="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870C16">
      <w:pPr>
        <w:spacing w:line="460" w:lineRule="atLeast"/>
        <w:ind w:firstLine="430" w:firstLineChars="205"/>
        <w:rPr>
          <w:rFonts w:ascii="宋体" w:hAnsi="宋体" w:cs="宋体"/>
          <w:color w:val="auto"/>
          <w:highlight w:val="none"/>
        </w:rPr>
      </w:pPr>
      <w:r>
        <w:rPr>
          <w:rFonts w:hint="eastAsia" w:ascii="宋体" w:hAnsi="宋体" w:cs="宋体"/>
          <w:color w:val="auto"/>
          <w:highlight w:val="none"/>
        </w:rPr>
        <w:t>4．质量保修完成后，由发包人组织验收。</w:t>
      </w:r>
    </w:p>
    <w:p w14:paraId="3AAB6F09">
      <w:pPr>
        <w:spacing w:line="460" w:lineRule="atLeast"/>
        <w:ind w:firstLine="420" w:firstLineChars="200"/>
        <w:rPr>
          <w:rFonts w:ascii="宋体" w:hAnsi="宋体" w:cs="宋体"/>
          <w:color w:val="auto"/>
          <w:highlight w:val="none"/>
        </w:rPr>
      </w:pPr>
      <w:r>
        <w:rPr>
          <w:rFonts w:hint="eastAsia" w:ascii="宋体" w:hAnsi="宋体" w:cs="宋体"/>
          <w:color w:val="auto"/>
          <w:highlight w:val="none"/>
        </w:rPr>
        <w:t>五、保修费用</w:t>
      </w:r>
    </w:p>
    <w:p w14:paraId="045B510A">
      <w:pPr>
        <w:spacing w:line="460" w:lineRule="atLeast"/>
        <w:ind w:firstLine="430" w:firstLineChars="205"/>
        <w:rPr>
          <w:rFonts w:ascii="宋体" w:hAnsi="宋体" w:cs="宋体"/>
          <w:color w:val="auto"/>
          <w:highlight w:val="none"/>
        </w:rPr>
      </w:pPr>
      <w:r>
        <w:rPr>
          <w:rFonts w:hint="eastAsia" w:ascii="宋体" w:hAnsi="宋体" w:cs="宋体"/>
          <w:color w:val="auto"/>
          <w:highlight w:val="none"/>
        </w:rPr>
        <w:t>保修费用由造成质量缺陷的责任方承担。</w:t>
      </w:r>
    </w:p>
    <w:p w14:paraId="18C2FFD6">
      <w:pPr>
        <w:spacing w:line="460" w:lineRule="atLeast"/>
        <w:ind w:firstLine="430" w:firstLineChars="205"/>
        <w:rPr>
          <w:rFonts w:ascii="宋体" w:hAnsi="宋体" w:cs="宋体"/>
          <w:color w:val="auto"/>
          <w:highlight w:val="none"/>
        </w:rPr>
      </w:pPr>
      <w:r>
        <w:rPr>
          <w:rFonts w:hint="eastAsia" w:ascii="宋体" w:hAnsi="宋体" w:cs="宋体"/>
          <w:color w:val="auto"/>
          <w:highlight w:val="none"/>
        </w:rPr>
        <w:t>六、双方约定的其他工程质量保修事项：</w:t>
      </w:r>
      <w:r>
        <w:rPr>
          <w:rFonts w:hint="eastAsia" w:ascii="宋体" w:hAnsi="宋体"/>
          <w:color w:val="auto"/>
          <w:highlight w:val="none"/>
          <w:u w:val="single"/>
        </w:rPr>
        <w:t xml:space="preserve"> 本工程约定的工程质量保证金为工程竣工结算价的1.5%，缺陷责任期满后将质量保证金返还承包人（不计利息）。  </w:t>
      </w:r>
    </w:p>
    <w:p w14:paraId="19F48AFB">
      <w:pPr>
        <w:spacing w:line="460" w:lineRule="atLeast"/>
        <w:ind w:firstLine="399" w:firstLineChars="190"/>
        <w:rPr>
          <w:rFonts w:ascii="宋体" w:hAnsi="宋体" w:cs="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38FCBA7C">
      <w:pPr>
        <w:spacing w:line="460" w:lineRule="atLeast"/>
        <w:rPr>
          <w:rFonts w:ascii="宋体" w:hAnsi="宋体" w:cs="宋体"/>
          <w:color w:val="auto"/>
          <w:highlight w:val="none"/>
        </w:rPr>
      </w:pPr>
    </w:p>
    <w:p w14:paraId="1AC2F3F9">
      <w:pPr>
        <w:pStyle w:val="45"/>
        <w:rPr>
          <w:rFonts w:hAnsi="宋体" w:cs="宋体"/>
          <w:color w:val="auto"/>
          <w:sz w:val="24"/>
          <w:highlight w:val="none"/>
        </w:rPr>
      </w:pPr>
    </w:p>
    <w:p w14:paraId="236974B7">
      <w:pPr>
        <w:rPr>
          <w:rFonts w:ascii="宋体" w:hAnsi="宋体" w:cs="宋体"/>
          <w:color w:val="auto"/>
          <w:highlight w:val="none"/>
        </w:rPr>
      </w:pPr>
    </w:p>
    <w:p w14:paraId="386C33E1">
      <w:pPr>
        <w:pStyle w:val="45"/>
        <w:rPr>
          <w:color w:val="auto"/>
          <w:highlight w:val="none"/>
        </w:rPr>
      </w:pPr>
    </w:p>
    <w:p w14:paraId="61A64E7A">
      <w:pPr>
        <w:spacing w:line="460" w:lineRule="atLeast"/>
        <w:rPr>
          <w:rFonts w:ascii="宋体" w:hAnsi="宋体" w:cs="宋体"/>
          <w:color w:val="auto"/>
          <w:highlight w:val="none"/>
          <w:u w:val="single"/>
        </w:rPr>
      </w:pPr>
      <w:r>
        <w:rPr>
          <w:rFonts w:hint="eastAsia" w:ascii="宋体" w:hAnsi="宋体" w:cs="宋体"/>
          <w:color w:val="auto"/>
          <w:highlight w:val="none"/>
        </w:rPr>
        <w:t>发包人（公章）：                          承包人（公章）：</w:t>
      </w:r>
    </w:p>
    <w:p w14:paraId="1CD6FF48">
      <w:pPr>
        <w:spacing w:line="460" w:lineRule="atLeast"/>
        <w:rPr>
          <w:rFonts w:ascii="宋体" w:hAnsi="宋体" w:cs="宋体"/>
          <w:color w:val="auto"/>
          <w:highlight w:val="none"/>
        </w:rPr>
      </w:pPr>
      <w:r>
        <w:rPr>
          <w:rFonts w:hint="eastAsia" w:ascii="宋体" w:hAnsi="宋体" w:cs="宋体"/>
          <w:color w:val="auto"/>
          <w:highlight w:val="none"/>
        </w:rPr>
        <w:t>地址：                                    地址：</w:t>
      </w:r>
    </w:p>
    <w:p w14:paraId="0202E858">
      <w:pPr>
        <w:spacing w:line="460" w:lineRule="atLeast"/>
        <w:rPr>
          <w:rFonts w:ascii="宋体" w:hAnsi="宋体" w:cs="宋体"/>
          <w:color w:val="auto"/>
          <w:highlight w:val="none"/>
        </w:rPr>
      </w:pPr>
      <w:r>
        <w:rPr>
          <w:rFonts w:hint="eastAsia" w:ascii="宋体" w:hAnsi="宋体" w:cs="宋体"/>
          <w:color w:val="auto"/>
          <w:highlight w:val="none"/>
        </w:rPr>
        <w:t>法定代表人（签字）：                      法定代表人（签字）：</w:t>
      </w:r>
    </w:p>
    <w:p w14:paraId="6C5E1A5C">
      <w:pPr>
        <w:spacing w:line="460" w:lineRule="atLeast"/>
        <w:rPr>
          <w:rFonts w:ascii="宋体" w:hAnsi="宋体" w:cs="宋体"/>
          <w:color w:val="auto"/>
          <w:highlight w:val="none"/>
        </w:rPr>
      </w:pPr>
      <w:r>
        <w:rPr>
          <w:rFonts w:hint="eastAsia" w:ascii="宋体" w:hAnsi="宋体" w:cs="宋体"/>
          <w:color w:val="auto"/>
          <w:highlight w:val="none"/>
        </w:rPr>
        <w:t>委托代理人（签字）：                      委托代理人（签字）：</w:t>
      </w:r>
    </w:p>
    <w:p w14:paraId="6C0A0FBC">
      <w:pPr>
        <w:spacing w:line="460" w:lineRule="atLeast"/>
        <w:rPr>
          <w:rFonts w:ascii="宋体" w:hAnsi="宋体" w:cs="宋体"/>
          <w:color w:val="auto"/>
          <w:highlight w:val="none"/>
        </w:rPr>
      </w:pPr>
      <w:r>
        <w:rPr>
          <w:rFonts w:hint="eastAsia" w:ascii="宋体" w:hAnsi="宋体" w:cs="宋体"/>
          <w:color w:val="auto"/>
          <w:highlight w:val="none"/>
        </w:rPr>
        <w:t>电话：                                    电话：</w:t>
      </w:r>
    </w:p>
    <w:p w14:paraId="0873B48D">
      <w:pPr>
        <w:spacing w:line="460" w:lineRule="atLeast"/>
        <w:rPr>
          <w:rFonts w:ascii="宋体" w:hAnsi="宋体" w:cs="宋体"/>
          <w:color w:val="auto"/>
          <w:highlight w:val="none"/>
        </w:rPr>
      </w:pPr>
      <w:r>
        <w:rPr>
          <w:rFonts w:hint="eastAsia" w:ascii="宋体" w:hAnsi="宋体" w:cs="宋体"/>
          <w:color w:val="auto"/>
          <w:highlight w:val="none"/>
        </w:rPr>
        <w:t>传真：                                    传真：</w:t>
      </w:r>
    </w:p>
    <w:p w14:paraId="2DA8A377">
      <w:pPr>
        <w:spacing w:line="460" w:lineRule="atLeast"/>
        <w:rPr>
          <w:rFonts w:ascii="宋体" w:hAnsi="宋体" w:cs="宋体"/>
          <w:color w:val="auto"/>
          <w:highlight w:val="none"/>
        </w:rPr>
      </w:pPr>
      <w:r>
        <w:rPr>
          <w:rFonts w:hint="eastAsia" w:ascii="宋体" w:hAnsi="宋体" w:cs="宋体"/>
          <w:color w:val="auto"/>
          <w:highlight w:val="none"/>
        </w:rPr>
        <w:t>开户银行：                                开户银行：</w:t>
      </w:r>
    </w:p>
    <w:p w14:paraId="6C139179">
      <w:pPr>
        <w:spacing w:line="460" w:lineRule="atLeast"/>
        <w:rPr>
          <w:rFonts w:ascii="宋体" w:hAnsi="宋体" w:cs="宋体"/>
          <w:color w:val="auto"/>
          <w:highlight w:val="none"/>
        </w:rPr>
      </w:pPr>
      <w:r>
        <w:rPr>
          <w:rFonts w:hint="eastAsia" w:ascii="宋体" w:hAnsi="宋体" w:cs="宋体"/>
          <w:color w:val="auto"/>
          <w:highlight w:val="none"/>
        </w:rPr>
        <w:t>账号：                                    账号：</w:t>
      </w:r>
    </w:p>
    <w:p w14:paraId="338BC927">
      <w:pPr>
        <w:spacing w:line="460" w:lineRule="atLeast"/>
        <w:rPr>
          <w:rFonts w:ascii="宋体" w:hAnsi="宋体" w:cs="宋体"/>
          <w:color w:val="auto"/>
          <w:highlight w:val="none"/>
        </w:rPr>
      </w:pPr>
      <w:r>
        <w:rPr>
          <w:rFonts w:hint="eastAsia" w:ascii="宋体" w:hAnsi="宋体" w:cs="宋体"/>
          <w:color w:val="auto"/>
          <w:highlight w:val="none"/>
        </w:rPr>
        <w:t>邮政编码：                                邮政编码：</w:t>
      </w:r>
    </w:p>
    <w:p w14:paraId="4868871E">
      <w:pPr>
        <w:rPr>
          <w:rFonts w:ascii="宋体" w:hAnsi="宋体" w:cs="宋体"/>
          <w:color w:val="auto"/>
          <w:highlight w:val="none"/>
        </w:rPr>
      </w:pPr>
    </w:p>
    <w:p w14:paraId="34CFFAA5">
      <w:pPr>
        <w:spacing w:line="460" w:lineRule="exact"/>
        <w:rPr>
          <w:rFonts w:ascii="宋体" w:hAnsi="宋体" w:cs="宋体"/>
          <w:color w:val="auto"/>
          <w:highlight w:val="none"/>
        </w:rPr>
        <w:sectPr>
          <w:headerReference r:id="rId11" w:type="default"/>
          <w:footerReference r:id="rId12" w:type="default"/>
          <w:pgSz w:w="11906" w:h="16838"/>
          <w:pgMar w:top="1440" w:right="991" w:bottom="1440" w:left="1276" w:header="851" w:footer="992" w:gutter="0"/>
          <w:cols w:space="720" w:num="1"/>
          <w:docGrid w:type="lines" w:linePitch="312" w:charSpace="0"/>
        </w:sectPr>
      </w:pPr>
    </w:p>
    <w:p w14:paraId="2A8446D4">
      <w:pPr>
        <w:rPr>
          <w:rFonts w:ascii="宋体" w:hAnsi="宋体" w:cs="宋体"/>
          <w:b/>
          <w:color w:val="auto"/>
          <w:highlight w:val="none"/>
        </w:rPr>
      </w:pPr>
      <w:r>
        <w:rPr>
          <w:rFonts w:hint="eastAsia" w:ascii="宋体" w:hAnsi="宋体" w:cs="宋体"/>
          <w:b/>
          <w:color w:val="auto"/>
          <w:highlight w:val="none"/>
        </w:rPr>
        <w:t>附件2：</w:t>
      </w:r>
    </w:p>
    <w:p w14:paraId="165825CB">
      <w:pPr>
        <w:pStyle w:val="35"/>
        <w:spacing w:line="284" w:lineRule="exact"/>
        <w:jc w:val="center"/>
        <w:rPr>
          <w:rFonts w:hAnsi="宋体" w:cs="宋体"/>
          <w:b/>
          <w:color w:val="auto"/>
          <w:sz w:val="28"/>
          <w:szCs w:val="28"/>
          <w:highlight w:val="none"/>
        </w:rPr>
      </w:pPr>
      <w:r>
        <w:rPr>
          <w:rFonts w:hAnsi="宋体" w:cs="宋体"/>
          <w:b/>
          <w:color w:val="auto"/>
          <w:sz w:val="28"/>
          <w:szCs w:val="28"/>
          <w:highlight w:val="none"/>
        </w:rPr>
        <w:t>施工单位考核细则</w:t>
      </w:r>
    </w:p>
    <w:p w14:paraId="2C872697">
      <w:pPr>
        <w:pStyle w:val="35"/>
        <w:spacing w:line="284" w:lineRule="exact"/>
        <w:jc w:val="center"/>
        <w:rPr>
          <w:rFonts w:hAnsi="宋体" w:cs="宋体"/>
          <w:b/>
          <w:color w:val="auto"/>
          <w:sz w:val="28"/>
          <w:szCs w:val="28"/>
          <w:highlight w:val="none"/>
        </w:rPr>
      </w:pPr>
    </w:p>
    <w:p w14:paraId="79C73B3C">
      <w:pPr>
        <w:pStyle w:val="35"/>
        <w:spacing w:line="360" w:lineRule="auto"/>
        <w:rPr>
          <w:rFonts w:hAnsi="宋体" w:cs="宋体"/>
          <w:b/>
          <w:color w:val="auto"/>
          <w:sz w:val="24"/>
          <w:szCs w:val="24"/>
          <w:highlight w:val="none"/>
        </w:rPr>
      </w:pPr>
      <w:r>
        <w:rPr>
          <w:rFonts w:hAnsi="宋体" w:cs="宋体"/>
          <w:b/>
          <w:color w:val="auto"/>
          <w:sz w:val="24"/>
          <w:szCs w:val="24"/>
          <w:highlight w:val="none"/>
        </w:rPr>
        <w:t>1、开工报告、施工组织设计、工程进度表、公示牌在开工前未设立好的扣1000元</w:t>
      </w:r>
    </w:p>
    <w:p w14:paraId="47AC7664">
      <w:pPr>
        <w:pStyle w:val="35"/>
        <w:spacing w:line="360" w:lineRule="auto"/>
        <w:rPr>
          <w:rFonts w:hAnsi="宋体" w:cs="宋体"/>
          <w:b/>
          <w:color w:val="auto"/>
          <w:sz w:val="24"/>
          <w:szCs w:val="24"/>
          <w:highlight w:val="none"/>
        </w:rPr>
      </w:pPr>
      <w:r>
        <w:rPr>
          <w:rFonts w:hAnsi="宋体" w:cs="宋体"/>
          <w:b/>
          <w:color w:val="auto"/>
          <w:sz w:val="24"/>
          <w:szCs w:val="24"/>
          <w:highlight w:val="none"/>
        </w:rPr>
        <w:t>2、隐蔽工程验收资料缺失或者不符合要求的每次扣1000元。</w:t>
      </w:r>
    </w:p>
    <w:p w14:paraId="190709E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3</w:t>
      </w:r>
      <w:r>
        <w:rPr>
          <w:rFonts w:hAnsi="宋体" w:cs="宋体"/>
          <w:b/>
          <w:color w:val="auto"/>
          <w:sz w:val="24"/>
          <w:szCs w:val="24"/>
          <w:highlight w:val="none"/>
        </w:rPr>
        <w:t>、</w:t>
      </w:r>
      <w:r>
        <w:rPr>
          <w:rFonts w:hint="eastAsia" w:hAnsi="宋体" w:cs="宋体"/>
          <w:b/>
          <w:color w:val="auto"/>
          <w:sz w:val="24"/>
          <w:szCs w:val="24"/>
          <w:highlight w:val="none"/>
        </w:rPr>
        <w:t>例会</w:t>
      </w:r>
      <w:r>
        <w:rPr>
          <w:rFonts w:hAnsi="宋体" w:cs="宋体"/>
          <w:b/>
          <w:color w:val="auto"/>
          <w:sz w:val="24"/>
          <w:szCs w:val="24"/>
          <w:highlight w:val="none"/>
        </w:rPr>
        <w:t>无故缺席、迟到</w:t>
      </w:r>
      <w:r>
        <w:rPr>
          <w:rFonts w:hint="eastAsia" w:hAnsi="宋体" w:cs="宋体"/>
          <w:b/>
          <w:color w:val="auto"/>
          <w:sz w:val="24"/>
          <w:szCs w:val="24"/>
          <w:highlight w:val="none"/>
        </w:rPr>
        <w:t>的</w:t>
      </w:r>
      <w:r>
        <w:rPr>
          <w:rFonts w:hAnsi="宋体" w:cs="宋体"/>
          <w:b/>
          <w:color w:val="auto"/>
          <w:sz w:val="24"/>
          <w:szCs w:val="24"/>
          <w:highlight w:val="none"/>
        </w:rPr>
        <w:t>每次扣500元。</w:t>
      </w:r>
    </w:p>
    <w:p w14:paraId="4BA9712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4</w:t>
      </w:r>
      <w:r>
        <w:rPr>
          <w:rFonts w:hAnsi="宋体" w:cs="宋体"/>
          <w:b/>
          <w:color w:val="auto"/>
          <w:sz w:val="24"/>
          <w:szCs w:val="24"/>
          <w:highlight w:val="none"/>
        </w:rPr>
        <w:t>、</w:t>
      </w:r>
      <w:r>
        <w:rPr>
          <w:rFonts w:hint="eastAsia" w:hAnsi="宋体" w:cs="宋体"/>
          <w:b/>
          <w:color w:val="auto"/>
          <w:sz w:val="24"/>
          <w:szCs w:val="24"/>
          <w:highlight w:val="none"/>
        </w:rPr>
        <w:t>原材料</w:t>
      </w:r>
      <w:r>
        <w:rPr>
          <w:rFonts w:hAnsi="宋体" w:cs="宋体"/>
          <w:b/>
          <w:color w:val="auto"/>
          <w:sz w:val="24"/>
          <w:szCs w:val="24"/>
          <w:highlight w:val="none"/>
        </w:rPr>
        <w:t>测试见证单及</w:t>
      </w:r>
      <w:r>
        <w:rPr>
          <w:rFonts w:hint="eastAsia" w:hAnsi="宋体" w:cs="宋体"/>
          <w:b/>
          <w:color w:val="auto"/>
          <w:sz w:val="24"/>
          <w:szCs w:val="24"/>
          <w:highlight w:val="none"/>
        </w:rPr>
        <w:t>施工周报资料</w:t>
      </w:r>
      <w:r>
        <w:rPr>
          <w:rFonts w:hAnsi="宋体" w:cs="宋体"/>
          <w:b/>
          <w:color w:val="auto"/>
          <w:sz w:val="24"/>
          <w:szCs w:val="24"/>
          <w:highlight w:val="none"/>
        </w:rPr>
        <w:t>不齐全的扣2000元。</w:t>
      </w:r>
    </w:p>
    <w:p w14:paraId="30B6307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w:t>
      </w:r>
      <w:r>
        <w:rPr>
          <w:rFonts w:hAnsi="宋体" w:cs="宋体"/>
          <w:b/>
          <w:color w:val="auto"/>
          <w:sz w:val="24"/>
          <w:szCs w:val="24"/>
          <w:highlight w:val="none"/>
        </w:rPr>
        <w:t>、主要材料未经监理签证报验、未进行材料抽检，或虽有抽检但经市、</w:t>
      </w:r>
      <w:r>
        <w:rPr>
          <w:rFonts w:hint="eastAsia" w:hAnsi="宋体" w:cs="宋体"/>
          <w:b/>
          <w:color w:val="auto"/>
          <w:sz w:val="24"/>
          <w:szCs w:val="24"/>
          <w:highlight w:val="none"/>
        </w:rPr>
        <w:tab/>
      </w:r>
      <w:r>
        <w:rPr>
          <w:rFonts w:hint="eastAsia" w:hAnsi="宋体" w:cs="宋体"/>
          <w:b/>
          <w:color w:val="auto"/>
          <w:sz w:val="24"/>
          <w:szCs w:val="24"/>
          <w:highlight w:val="none"/>
        </w:rPr>
        <w:t>区主管部门、</w:t>
      </w:r>
      <w:r>
        <w:rPr>
          <w:rFonts w:hAnsi="宋体" w:cs="宋体"/>
          <w:b/>
          <w:color w:val="auto"/>
          <w:sz w:val="24"/>
          <w:szCs w:val="24"/>
          <w:highlight w:val="none"/>
        </w:rPr>
        <w:t>建设</w:t>
      </w:r>
      <w:r>
        <w:rPr>
          <w:rFonts w:hint="eastAsia" w:hAnsi="宋体" w:cs="宋体"/>
          <w:b/>
          <w:color w:val="auto"/>
          <w:sz w:val="24"/>
          <w:szCs w:val="24"/>
          <w:highlight w:val="none"/>
        </w:rPr>
        <w:t>单位</w:t>
      </w:r>
      <w:r>
        <w:rPr>
          <w:rFonts w:hAnsi="宋体" w:cs="宋体"/>
          <w:b/>
          <w:color w:val="auto"/>
          <w:sz w:val="24"/>
          <w:szCs w:val="24"/>
          <w:highlight w:val="none"/>
        </w:rPr>
        <w:t>检查发现不符合设计及规范要求的每次扣6000元。</w:t>
      </w:r>
    </w:p>
    <w:p w14:paraId="3278E79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w:t>
      </w:r>
      <w:r>
        <w:rPr>
          <w:rFonts w:hAnsi="宋体" w:cs="宋体"/>
          <w:b/>
          <w:color w:val="auto"/>
          <w:sz w:val="24"/>
          <w:szCs w:val="24"/>
          <w:highlight w:val="none"/>
        </w:rPr>
        <w:t>、经市、区相关部门检查发现施工现场主要工序与设计结构不一致，厚度严重不足或存在明显偷工减料产生重大质量隐患的，每次扣5000元。</w:t>
      </w:r>
    </w:p>
    <w:p w14:paraId="5514BAF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Ansi="宋体" w:cs="宋体"/>
          <w:b/>
          <w:color w:val="auto"/>
          <w:sz w:val="24"/>
          <w:szCs w:val="24"/>
          <w:highlight w:val="none"/>
        </w:rPr>
        <w:t>、施工图设计中有明确指标要求（包括原材料试验、密实度试验、砼及砂浆抗压试验等）未经试验即进入下一道工序的扣5000元。</w:t>
      </w:r>
    </w:p>
    <w:p w14:paraId="020B7F8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w:t>
      </w:r>
      <w:r>
        <w:rPr>
          <w:rFonts w:hAnsi="宋体" w:cs="宋体"/>
          <w:b/>
          <w:color w:val="auto"/>
          <w:sz w:val="24"/>
          <w:szCs w:val="24"/>
          <w:highlight w:val="none"/>
        </w:rPr>
        <w:t>、根据施工进度表，无特殊情况工程严重滞后、施工现场人员不足、机械设备明显不</w:t>
      </w:r>
      <w:r>
        <w:rPr>
          <w:rFonts w:hint="eastAsia" w:hAnsi="宋体" w:cs="宋体"/>
          <w:b/>
          <w:color w:val="auto"/>
          <w:sz w:val="24"/>
          <w:szCs w:val="24"/>
          <w:highlight w:val="none"/>
        </w:rPr>
        <w:t>符合</w:t>
      </w:r>
      <w:r>
        <w:rPr>
          <w:rFonts w:hAnsi="宋体" w:cs="宋体"/>
          <w:b/>
          <w:color w:val="auto"/>
          <w:sz w:val="24"/>
          <w:szCs w:val="24"/>
          <w:highlight w:val="none"/>
        </w:rPr>
        <w:t>进度</w:t>
      </w:r>
      <w:r>
        <w:rPr>
          <w:rFonts w:hint="eastAsia" w:hAnsi="宋体" w:cs="宋体"/>
          <w:b/>
          <w:color w:val="auto"/>
          <w:sz w:val="24"/>
          <w:szCs w:val="24"/>
          <w:highlight w:val="none"/>
        </w:rPr>
        <w:t>要求</w:t>
      </w:r>
      <w:r>
        <w:rPr>
          <w:rFonts w:hAnsi="宋体" w:cs="宋体"/>
          <w:b/>
          <w:color w:val="auto"/>
          <w:sz w:val="24"/>
          <w:szCs w:val="24"/>
          <w:highlight w:val="none"/>
        </w:rPr>
        <w:t>的扣5000元。</w:t>
      </w:r>
    </w:p>
    <w:p w14:paraId="272A1EB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9</w:t>
      </w:r>
      <w:r>
        <w:rPr>
          <w:rFonts w:hAnsi="宋体" w:cs="宋体"/>
          <w:b/>
          <w:color w:val="auto"/>
          <w:sz w:val="24"/>
          <w:szCs w:val="24"/>
          <w:highlight w:val="none"/>
        </w:rPr>
        <w:t>、不服从监理管理，不听从监理合理意见，未按</w:t>
      </w:r>
      <w:r>
        <w:rPr>
          <w:rFonts w:hint="eastAsia" w:hAnsi="宋体" w:cs="宋体"/>
          <w:b/>
          <w:color w:val="auto"/>
          <w:sz w:val="24"/>
          <w:szCs w:val="24"/>
          <w:highlight w:val="none"/>
        </w:rPr>
        <w:t>建设单位</w:t>
      </w:r>
      <w:r>
        <w:rPr>
          <w:rFonts w:hAnsi="宋体" w:cs="宋体"/>
          <w:b/>
          <w:color w:val="auto"/>
          <w:sz w:val="24"/>
          <w:szCs w:val="24"/>
          <w:highlight w:val="none"/>
        </w:rPr>
        <w:t>要求调整进度计划的扣每次扣3000元。</w:t>
      </w:r>
    </w:p>
    <w:p w14:paraId="0645881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w:t>
      </w:r>
      <w:r>
        <w:rPr>
          <w:rFonts w:hAnsi="宋体" w:cs="宋体"/>
          <w:b/>
          <w:color w:val="auto"/>
          <w:sz w:val="24"/>
          <w:szCs w:val="24"/>
          <w:highlight w:val="none"/>
        </w:rPr>
        <w:t>、施工联系单、竣工结算书、竣工图等相关资料弄虚作假的扣6000元。</w:t>
      </w:r>
    </w:p>
    <w:p w14:paraId="02885EC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w:t>
      </w:r>
      <w:r>
        <w:rPr>
          <w:rFonts w:hAnsi="宋体" w:cs="宋体"/>
          <w:b/>
          <w:color w:val="auto"/>
          <w:sz w:val="24"/>
          <w:szCs w:val="24"/>
          <w:highlight w:val="none"/>
        </w:rPr>
        <w:t>、现场未悬挂安全警示标志、警示灯扣2000元。</w:t>
      </w:r>
    </w:p>
    <w:p w14:paraId="57B6D5F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12</w:t>
      </w:r>
      <w:r>
        <w:rPr>
          <w:rFonts w:hAnsi="宋体" w:cs="宋体"/>
          <w:b/>
          <w:color w:val="auto"/>
          <w:sz w:val="24"/>
          <w:szCs w:val="24"/>
          <w:highlight w:val="none"/>
        </w:rPr>
        <w:t>、施工作业人员未做好安全防护措施扣2000元。</w:t>
      </w:r>
    </w:p>
    <w:p w14:paraId="2B2D1C2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13</w:t>
      </w:r>
      <w:r>
        <w:rPr>
          <w:rFonts w:hAnsi="宋体" w:cs="宋体"/>
          <w:b/>
          <w:color w:val="auto"/>
          <w:sz w:val="24"/>
          <w:szCs w:val="24"/>
          <w:highlight w:val="none"/>
        </w:rPr>
        <w:t>、现场施工接电、用电不规范的扣2000元。</w:t>
      </w:r>
    </w:p>
    <w:p w14:paraId="2CCF6FD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14</w:t>
      </w:r>
      <w:r>
        <w:rPr>
          <w:rFonts w:hAnsi="宋体" w:cs="宋体"/>
          <w:b/>
          <w:color w:val="auto"/>
          <w:sz w:val="24"/>
          <w:szCs w:val="24"/>
          <w:highlight w:val="none"/>
        </w:rPr>
        <w:t>、特殊工种无操作资格证的扣3000元。</w:t>
      </w:r>
    </w:p>
    <w:p w14:paraId="50FC7EA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Ansi="宋体" w:cs="宋体"/>
          <w:b/>
          <w:color w:val="auto"/>
          <w:sz w:val="24"/>
          <w:szCs w:val="24"/>
          <w:highlight w:val="none"/>
        </w:rPr>
        <w:t>、现场排水、绿化保护、噪音控制等现场文明施工措施不到位的扣2000元。</w:t>
      </w:r>
    </w:p>
    <w:p w14:paraId="7EB923E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Ansi="宋体" w:cs="宋体"/>
          <w:b/>
          <w:color w:val="auto"/>
          <w:sz w:val="24"/>
          <w:szCs w:val="24"/>
          <w:highlight w:val="none"/>
        </w:rPr>
        <w:t>6</w:t>
      </w:r>
      <w:r>
        <w:rPr>
          <w:rFonts w:hint="eastAsia" w:hAnsi="宋体" w:cs="宋体"/>
          <w:b/>
          <w:color w:val="auto"/>
          <w:sz w:val="24"/>
          <w:szCs w:val="24"/>
          <w:highlight w:val="none"/>
        </w:rPr>
        <w:t>、 经市、区主管部门检查发现施工现场存在明显安全隐患，文明施工</w:t>
      </w:r>
      <w:r>
        <w:rPr>
          <w:rFonts w:hAnsi="宋体" w:cs="宋体"/>
          <w:b/>
          <w:color w:val="auto"/>
          <w:sz w:val="24"/>
          <w:szCs w:val="24"/>
          <w:highlight w:val="none"/>
        </w:rPr>
        <w:t>不到位被周边</w:t>
      </w:r>
      <w:r>
        <w:rPr>
          <w:rFonts w:hint="eastAsia" w:hAnsi="宋体" w:cs="宋体"/>
          <w:b/>
          <w:color w:val="auto"/>
          <w:sz w:val="24"/>
          <w:szCs w:val="24"/>
          <w:highlight w:val="none"/>
        </w:rPr>
        <w:t>居民</w:t>
      </w:r>
      <w:r>
        <w:rPr>
          <w:rFonts w:hAnsi="宋体" w:cs="宋体"/>
          <w:b/>
          <w:color w:val="auto"/>
          <w:sz w:val="24"/>
          <w:szCs w:val="24"/>
          <w:highlight w:val="none"/>
        </w:rPr>
        <w:t>反复</w:t>
      </w:r>
      <w:r>
        <w:rPr>
          <w:rFonts w:hint="eastAsia" w:hAnsi="宋体" w:cs="宋体"/>
          <w:b/>
          <w:color w:val="auto"/>
          <w:sz w:val="24"/>
          <w:szCs w:val="24"/>
          <w:highlight w:val="none"/>
        </w:rPr>
        <w:t>投诉</w:t>
      </w:r>
      <w:r>
        <w:rPr>
          <w:rFonts w:hAnsi="宋体" w:cs="宋体"/>
          <w:b/>
          <w:color w:val="auto"/>
          <w:sz w:val="24"/>
          <w:szCs w:val="24"/>
          <w:highlight w:val="none"/>
        </w:rPr>
        <w:t>的</w:t>
      </w:r>
      <w:r>
        <w:rPr>
          <w:rFonts w:hint="eastAsia" w:hAnsi="宋体" w:cs="宋体"/>
          <w:b/>
          <w:color w:val="auto"/>
          <w:sz w:val="24"/>
          <w:szCs w:val="24"/>
          <w:highlight w:val="none"/>
        </w:rPr>
        <w:t>，扣5000元。</w:t>
      </w:r>
    </w:p>
    <w:p w14:paraId="2F984C05">
      <w:pPr>
        <w:spacing w:beforeLines="0" w:afterLines="0"/>
        <w:rPr>
          <w:rFonts w:hint="eastAsia" w:ascii="宋体" w:hAnsi="宋体" w:eastAsia="宋体" w:cs="宋体"/>
          <w:b/>
          <w:color w:val="auto"/>
          <w:sz w:val="24"/>
          <w:szCs w:val="24"/>
          <w:highlight w:val="none"/>
        </w:rPr>
      </w:pPr>
      <w:r>
        <w:rPr>
          <w:rFonts w:hint="eastAsia" w:ascii="黑体" w:eastAsia="黑体"/>
          <w:b/>
          <w:color w:val="auto"/>
          <w:szCs w:val="32"/>
          <w:highlight w:val="none"/>
        </w:rPr>
        <w:br w:type="page"/>
      </w:r>
      <w:r>
        <w:rPr>
          <w:rFonts w:hint="eastAsia" w:ascii="宋体" w:hAnsi="宋体" w:eastAsia="宋体" w:cs="宋体"/>
          <w:b/>
          <w:color w:val="auto"/>
          <w:sz w:val="24"/>
          <w:szCs w:val="24"/>
          <w:highlight w:val="none"/>
        </w:rPr>
        <w:t>附件（1）：</w:t>
      </w:r>
    </w:p>
    <w:p w14:paraId="655F323D">
      <w:pPr>
        <w:spacing w:beforeLines="100" w:afterLines="100"/>
        <w:jc w:val="center"/>
        <w:rPr>
          <w:rFonts w:ascii="黑体" w:eastAsia="黑体"/>
          <w:b/>
          <w:color w:val="auto"/>
          <w:sz w:val="32"/>
          <w:szCs w:val="32"/>
          <w:highlight w:val="none"/>
        </w:rPr>
      </w:pPr>
      <w:r>
        <w:rPr>
          <w:rFonts w:hint="eastAsia" w:ascii="黑体" w:eastAsia="黑体"/>
          <w:b/>
          <w:color w:val="auto"/>
          <w:sz w:val="32"/>
          <w:szCs w:val="32"/>
          <w:highlight w:val="none"/>
        </w:rPr>
        <w:t>施工安全责任协议书</w:t>
      </w:r>
    </w:p>
    <w:p w14:paraId="55C4EA13">
      <w:pPr>
        <w:pStyle w:val="35"/>
        <w:spacing w:line="360" w:lineRule="auto"/>
        <w:rPr>
          <w:rFonts w:hAnsi="宋体" w:cs="宋体"/>
          <w:b/>
          <w:color w:val="auto"/>
          <w:sz w:val="24"/>
          <w:szCs w:val="24"/>
          <w:highlight w:val="none"/>
        </w:rPr>
      </w:pPr>
      <w:r>
        <w:rPr>
          <w:rFonts w:hAnsi="宋体" w:cs="宋体"/>
          <w:b/>
          <w:color w:val="auto"/>
          <w:sz w:val="24"/>
          <w:szCs w:val="24"/>
          <w:highlight w:val="none"/>
        </w:rPr>
        <w:t>甲方：杭州市拱墅区市政养护所</w:t>
      </w:r>
    </w:p>
    <w:p w14:paraId="6883C304">
      <w:pPr>
        <w:pStyle w:val="35"/>
        <w:spacing w:line="360" w:lineRule="auto"/>
        <w:rPr>
          <w:rFonts w:hAnsi="宋体" w:cs="宋体"/>
          <w:b/>
          <w:color w:val="auto"/>
          <w:sz w:val="24"/>
          <w:szCs w:val="24"/>
          <w:highlight w:val="none"/>
        </w:rPr>
      </w:pPr>
      <w:r>
        <w:rPr>
          <w:rFonts w:hAnsi="宋体" w:cs="宋体"/>
          <w:b/>
          <w:color w:val="auto"/>
          <w:sz w:val="24"/>
          <w:szCs w:val="24"/>
          <w:highlight w:val="none"/>
        </w:rPr>
        <w:t>乙方：</w:t>
      </w:r>
      <w:r>
        <w:rPr>
          <w:rFonts w:hint="eastAsia" w:hAnsi="宋体" w:cs="宋体"/>
          <w:b/>
          <w:color w:val="auto"/>
          <w:sz w:val="24"/>
          <w:szCs w:val="24"/>
          <w:highlight w:val="none"/>
          <w:lang w:val="en-US" w:eastAsia="zh-CN"/>
        </w:rPr>
        <w:t xml:space="preserve"> </w:t>
      </w:r>
      <w:r>
        <w:rPr>
          <w:rFonts w:hAnsi="宋体" w:cs="宋体"/>
          <w:b/>
          <w:color w:val="auto"/>
          <w:sz w:val="24"/>
          <w:szCs w:val="24"/>
          <w:highlight w:val="none"/>
        </w:rPr>
        <w:t xml:space="preserve">      </w:t>
      </w:r>
    </w:p>
    <w:p w14:paraId="6C9235D5">
      <w:pPr>
        <w:pStyle w:val="35"/>
        <w:spacing w:line="360" w:lineRule="auto"/>
        <w:rPr>
          <w:rFonts w:hAnsi="宋体" w:cs="宋体"/>
          <w:b/>
          <w:color w:val="auto"/>
          <w:sz w:val="24"/>
          <w:szCs w:val="24"/>
          <w:highlight w:val="none"/>
        </w:rPr>
      </w:pPr>
      <w:r>
        <w:rPr>
          <w:rFonts w:hAnsi="宋体" w:cs="宋体"/>
          <w:b/>
          <w:color w:val="auto"/>
          <w:sz w:val="24"/>
          <w:szCs w:val="24"/>
          <w:highlight w:val="none"/>
        </w:rPr>
        <w:t>为了加强施工现场的安全生产管理，切实贯彻“安全第一，预防为主”的方针，搞好工程项目施工作业的安全管理工作，经双方充分协商签订本协议。</w:t>
      </w:r>
    </w:p>
    <w:p w14:paraId="01E3E243">
      <w:pPr>
        <w:pStyle w:val="35"/>
        <w:spacing w:line="360" w:lineRule="auto"/>
        <w:rPr>
          <w:rFonts w:hAnsi="宋体" w:cs="宋体"/>
          <w:b/>
          <w:color w:val="auto"/>
          <w:sz w:val="24"/>
          <w:szCs w:val="24"/>
          <w:highlight w:val="none"/>
        </w:rPr>
      </w:pPr>
      <w:r>
        <w:rPr>
          <w:rFonts w:hAnsi="宋体" w:cs="宋体"/>
          <w:b/>
          <w:color w:val="auto"/>
          <w:sz w:val="24"/>
          <w:szCs w:val="24"/>
          <w:highlight w:val="none"/>
        </w:rPr>
        <w:t>一、本协议为</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u w:val="single"/>
          <w:lang w:val="en-US" w:eastAsia="zh-CN"/>
        </w:rPr>
        <w:t xml:space="preserve">        </w:t>
      </w:r>
      <w:r>
        <w:rPr>
          <w:rFonts w:hAnsi="宋体" w:cs="宋体"/>
          <w:b/>
          <w:color w:val="auto"/>
          <w:sz w:val="24"/>
          <w:szCs w:val="24"/>
          <w:highlight w:val="none"/>
        </w:rPr>
        <w:t>工程施工合同的附件。</w:t>
      </w:r>
    </w:p>
    <w:p w14:paraId="7ECBBB22">
      <w:pPr>
        <w:pStyle w:val="35"/>
        <w:spacing w:line="360" w:lineRule="auto"/>
        <w:rPr>
          <w:rFonts w:hAnsi="宋体" w:cs="宋体"/>
          <w:b/>
          <w:color w:val="auto"/>
          <w:sz w:val="24"/>
          <w:szCs w:val="24"/>
          <w:highlight w:val="none"/>
        </w:rPr>
      </w:pPr>
      <w:r>
        <w:rPr>
          <w:rFonts w:hAnsi="宋体" w:cs="宋体"/>
          <w:b/>
          <w:color w:val="auto"/>
          <w:sz w:val="24"/>
          <w:szCs w:val="24"/>
          <w:highlight w:val="none"/>
        </w:rPr>
        <w:t xml:space="preserve">二、甲方安全责任 </w:t>
      </w:r>
    </w:p>
    <w:p w14:paraId="09524513">
      <w:pPr>
        <w:pStyle w:val="35"/>
        <w:spacing w:line="360" w:lineRule="auto"/>
        <w:rPr>
          <w:rFonts w:hAnsi="宋体" w:cs="宋体"/>
          <w:b/>
          <w:color w:val="auto"/>
          <w:sz w:val="24"/>
          <w:szCs w:val="24"/>
          <w:highlight w:val="none"/>
        </w:rPr>
      </w:pPr>
      <w:r>
        <w:rPr>
          <w:rFonts w:hAnsi="宋体" w:cs="宋体"/>
          <w:b/>
          <w:color w:val="auto"/>
          <w:sz w:val="24"/>
          <w:szCs w:val="24"/>
          <w:highlight w:val="none"/>
        </w:rPr>
        <w:t>（一）进场施工作业前对乙方负责人进行现场口头的安全事项说明，其内容是：项目的安全规章制度及对该工程项目有关联的安全注意事项。</w:t>
      </w:r>
    </w:p>
    <w:p w14:paraId="62278ADC">
      <w:pPr>
        <w:pStyle w:val="35"/>
        <w:spacing w:line="360" w:lineRule="auto"/>
        <w:rPr>
          <w:rFonts w:hAnsi="宋体" w:cs="宋体"/>
          <w:b/>
          <w:color w:val="auto"/>
          <w:sz w:val="24"/>
          <w:szCs w:val="24"/>
          <w:highlight w:val="none"/>
        </w:rPr>
      </w:pPr>
      <w:r>
        <w:rPr>
          <w:rFonts w:hAnsi="宋体" w:cs="宋体"/>
          <w:b/>
          <w:color w:val="auto"/>
          <w:sz w:val="24"/>
          <w:szCs w:val="24"/>
          <w:highlight w:val="none"/>
        </w:rPr>
        <w:t>（二）涉及工程主体和结构变动的工程，甲方应当在施工前委托原设计单位或者具有相应资质等级的设计单位提出设计方案；没有设计方案的，不得施工。</w:t>
      </w:r>
    </w:p>
    <w:p w14:paraId="05B43CC6">
      <w:pPr>
        <w:pStyle w:val="35"/>
        <w:spacing w:line="360" w:lineRule="auto"/>
        <w:rPr>
          <w:rFonts w:hAnsi="宋体" w:cs="宋体"/>
          <w:b/>
          <w:color w:val="auto"/>
          <w:sz w:val="24"/>
          <w:szCs w:val="24"/>
          <w:highlight w:val="none"/>
        </w:rPr>
      </w:pPr>
      <w:r>
        <w:rPr>
          <w:rFonts w:hAnsi="宋体" w:cs="宋体"/>
          <w:b/>
          <w:color w:val="auto"/>
          <w:sz w:val="24"/>
          <w:szCs w:val="24"/>
          <w:highlight w:val="none"/>
        </w:rPr>
        <w:t>（三）对甲方进入施工现场的人员加强安全教育，自觉遵守现场各项安全管理规定，提供必要的劳动保护用品。</w:t>
      </w:r>
    </w:p>
    <w:p w14:paraId="024A7F67">
      <w:pPr>
        <w:pStyle w:val="35"/>
        <w:spacing w:line="360" w:lineRule="auto"/>
        <w:rPr>
          <w:rFonts w:hAnsi="宋体" w:cs="宋体"/>
          <w:b/>
          <w:color w:val="auto"/>
          <w:sz w:val="24"/>
          <w:szCs w:val="24"/>
          <w:highlight w:val="none"/>
        </w:rPr>
      </w:pPr>
      <w:r>
        <w:rPr>
          <w:rFonts w:hAnsi="宋体" w:cs="宋体"/>
          <w:b/>
          <w:color w:val="auto"/>
          <w:sz w:val="24"/>
          <w:szCs w:val="24"/>
          <w:highlight w:val="none"/>
        </w:rPr>
        <w:t>（四）督促乙方制定完善质量安全文明施工措施计划、质量安全专项组织设计及其他有关承诺的落实情况，监督检查质量安全文明施工费及质量安全措施费的使用情况。</w:t>
      </w:r>
    </w:p>
    <w:p w14:paraId="1CB6EB96">
      <w:pPr>
        <w:pStyle w:val="35"/>
        <w:spacing w:line="360" w:lineRule="auto"/>
        <w:rPr>
          <w:rFonts w:hAnsi="宋体" w:cs="宋体"/>
          <w:b/>
          <w:color w:val="auto"/>
          <w:sz w:val="24"/>
          <w:szCs w:val="24"/>
          <w:highlight w:val="none"/>
        </w:rPr>
      </w:pPr>
      <w:r>
        <w:rPr>
          <w:rFonts w:hAnsi="宋体" w:cs="宋体"/>
          <w:b/>
          <w:color w:val="auto"/>
          <w:sz w:val="24"/>
          <w:szCs w:val="24"/>
          <w:highlight w:val="none"/>
        </w:rPr>
        <w:t>（五）根据各级主管部门布置的质量安全文明施工管理要求，进行定期或不定期检查考评或专项整治督察，提出整改意见，出具整改通知书。</w:t>
      </w:r>
    </w:p>
    <w:p w14:paraId="5818417F">
      <w:pPr>
        <w:pStyle w:val="35"/>
        <w:spacing w:line="360" w:lineRule="auto"/>
        <w:rPr>
          <w:rFonts w:hAnsi="宋体" w:cs="宋体"/>
          <w:b/>
          <w:color w:val="auto"/>
          <w:sz w:val="24"/>
          <w:szCs w:val="24"/>
          <w:highlight w:val="none"/>
        </w:rPr>
      </w:pPr>
      <w:r>
        <w:rPr>
          <w:rFonts w:hAnsi="宋体" w:cs="宋体"/>
          <w:b/>
          <w:color w:val="auto"/>
          <w:sz w:val="24"/>
          <w:szCs w:val="24"/>
          <w:highlight w:val="none"/>
        </w:rPr>
        <w:t>（六）收到建设工程竣工报告后，应当及时组织各管理单位以及设计、施工、工程监理等有关单位进行竣工验收。</w:t>
      </w:r>
    </w:p>
    <w:p w14:paraId="326640CF">
      <w:pPr>
        <w:pStyle w:val="35"/>
        <w:spacing w:line="360" w:lineRule="auto"/>
        <w:rPr>
          <w:rFonts w:hAnsi="宋体" w:cs="宋体"/>
          <w:b/>
          <w:color w:val="auto"/>
          <w:sz w:val="24"/>
          <w:szCs w:val="24"/>
          <w:highlight w:val="none"/>
        </w:rPr>
      </w:pPr>
      <w:r>
        <w:rPr>
          <w:rFonts w:hAnsi="宋体" w:cs="宋体"/>
          <w:b/>
          <w:color w:val="auto"/>
          <w:sz w:val="24"/>
          <w:szCs w:val="24"/>
          <w:highlight w:val="none"/>
        </w:rPr>
        <w:t>（七）严格按照国家有关档案管理的规定，及时收集、整理建设项目各环节的文件数据，建立、健全建设项目档案，并在建设工程竣工验收后，及时向建设行政主管部门或者其它有关部门移交建设项目档案。</w:t>
      </w:r>
    </w:p>
    <w:p w14:paraId="239B40B4">
      <w:pPr>
        <w:pStyle w:val="35"/>
        <w:spacing w:line="360" w:lineRule="auto"/>
        <w:rPr>
          <w:rFonts w:hAnsi="宋体" w:cs="宋体"/>
          <w:b/>
          <w:color w:val="auto"/>
          <w:sz w:val="24"/>
          <w:szCs w:val="24"/>
          <w:highlight w:val="none"/>
        </w:rPr>
      </w:pPr>
      <w:r>
        <w:rPr>
          <w:rFonts w:hAnsi="宋体" w:cs="宋体"/>
          <w:b/>
          <w:color w:val="auto"/>
          <w:sz w:val="24"/>
          <w:szCs w:val="24"/>
          <w:highlight w:val="none"/>
        </w:rPr>
        <w:t>三、乙方安全责任</w:t>
      </w:r>
    </w:p>
    <w:p w14:paraId="5761EF9E">
      <w:pPr>
        <w:pStyle w:val="35"/>
        <w:spacing w:line="360" w:lineRule="auto"/>
        <w:rPr>
          <w:rFonts w:hAnsi="宋体" w:cs="宋体"/>
          <w:b/>
          <w:color w:val="auto"/>
          <w:sz w:val="24"/>
          <w:szCs w:val="24"/>
          <w:highlight w:val="none"/>
        </w:rPr>
      </w:pPr>
      <w:r>
        <w:rPr>
          <w:rFonts w:hAnsi="宋体" w:cs="宋体"/>
          <w:b/>
          <w:color w:val="auto"/>
          <w:sz w:val="24"/>
          <w:szCs w:val="24"/>
          <w:highlight w:val="none"/>
        </w:rPr>
        <w:t>（一）乙方应遵照中央颁发《关于加强企业生产中安全工作的几项规定》及省、市关于《文明施工安全标准化现场管理规定》做好施工工地的安全生产管理。</w:t>
      </w:r>
    </w:p>
    <w:p w14:paraId="33B389E6">
      <w:pPr>
        <w:pStyle w:val="35"/>
        <w:spacing w:line="360" w:lineRule="auto"/>
        <w:rPr>
          <w:rFonts w:hAnsi="宋体" w:cs="宋体"/>
          <w:b/>
          <w:color w:val="auto"/>
          <w:sz w:val="24"/>
          <w:szCs w:val="24"/>
          <w:highlight w:val="none"/>
        </w:rPr>
      </w:pPr>
      <w:r>
        <w:rPr>
          <w:rFonts w:hAnsi="宋体" w:cs="宋体"/>
          <w:b/>
          <w:color w:val="auto"/>
          <w:sz w:val="24"/>
          <w:szCs w:val="24"/>
          <w:highlight w:val="none"/>
        </w:rPr>
        <w:t>（二）乙方负责人为安全生产责任人，负责该工程项目的日常安全管理工作，严格遵守安全生产规章制度，并指定专人负责监管安全施工作业。</w:t>
      </w:r>
    </w:p>
    <w:p w14:paraId="2CD324C3">
      <w:pPr>
        <w:pStyle w:val="35"/>
        <w:spacing w:line="360" w:lineRule="auto"/>
        <w:rPr>
          <w:rFonts w:hAnsi="宋体" w:cs="宋体"/>
          <w:b/>
          <w:color w:val="auto"/>
          <w:sz w:val="24"/>
          <w:szCs w:val="24"/>
          <w:highlight w:val="none"/>
        </w:rPr>
      </w:pPr>
      <w:r>
        <w:rPr>
          <w:rFonts w:hAnsi="宋体" w:cs="宋体"/>
          <w:b/>
          <w:color w:val="auto"/>
          <w:sz w:val="24"/>
          <w:szCs w:val="24"/>
          <w:highlight w:val="none"/>
        </w:rPr>
        <w:t>（三）开工前必须对所属人员进行安全注意事项、措施交底的安全教育，特种作业人员应持证上岗，不安排未经安全教育人员进入作业场所。</w:t>
      </w:r>
    </w:p>
    <w:p w14:paraId="7996399B">
      <w:pPr>
        <w:pStyle w:val="35"/>
        <w:spacing w:line="360" w:lineRule="auto"/>
        <w:rPr>
          <w:rFonts w:hAnsi="宋体" w:cs="宋体"/>
          <w:b/>
          <w:color w:val="auto"/>
          <w:sz w:val="24"/>
          <w:szCs w:val="24"/>
          <w:highlight w:val="none"/>
        </w:rPr>
      </w:pPr>
      <w:r>
        <w:rPr>
          <w:rFonts w:hAnsi="宋体" w:cs="宋体"/>
          <w:b/>
          <w:color w:val="auto"/>
          <w:sz w:val="24"/>
          <w:szCs w:val="24"/>
          <w:highlight w:val="none"/>
        </w:rPr>
        <w:t>（四）乙方应建立健全安全检查制度，安全检查应定期、不定期进行，检查要采取点面结合，抓住重点部位、危险岗位，并做好台帐记录。对查出的事故隐患，要做到定人、定时、定措施进行处理、整改，并履行复查手续。</w:t>
      </w:r>
    </w:p>
    <w:p w14:paraId="623AC907">
      <w:pPr>
        <w:pStyle w:val="35"/>
        <w:spacing w:line="360" w:lineRule="auto"/>
        <w:rPr>
          <w:rFonts w:hAnsi="宋体" w:cs="宋体"/>
          <w:b/>
          <w:color w:val="auto"/>
          <w:sz w:val="24"/>
          <w:szCs w:val="24"/>
          <w:highlight w:val="none"/>
        </w:rPr>
      </w:pPr>
      <w:r>
        <w:rPr>
          <w:rFonts w:hAnsi="宋体" w:cs="宋体"/>
          <w:b/>
          <w:color w:val="auto"/>
          <w:sz w:val="24"/>
          <w:szCs w:val="24"/>
          <w:highlight w:val="none"/>
        </w:rPr>
        <w:t>（五）乙方应建立工伤事故档案制度，按照事故处理程序，依照“四不放过”原则进行事故调查、分析、处理并及报上级主管部门。</w:t>
      </w:r>
    </w:p>
    <w:p w14:paraId="2E1D1CEB">
      <w:pPr>
        <w:pStyle w:val="35"/>
        <w:spacing w:line="360" w:lineRule="auto"/>
        <w:rPr>
          <w:rFonts w:hAnsi="宋体" w:cs="宋体"/>
          <w:b/>
          <w:color w:val="auto"/>
          <w:sz w:val="24"/>
          <w:szCs w:val="24"/>
          <w:highlight w:val="none"/>
        </w:rPr>
      </w:pPr>
      <w:r>
        <w:rPr>
          <w:rFonts w:hAnsi="宋体" w:cs="宋体"/>
          <w:b/>
          <w:color w:val="auto"/>
          <w:sz w:val="24"/>
          <w:szCs w:val="24"/>
          <w:highlight w:val="none"/>
        </w:rPr>
        <w:t>（六）乙方应对工程的安全生产负全面责任，确保无重大伤亡事故发生。实行安全生产一票否决制，对违反规定而造成重大工伤事故的，一律解除施工合同。</w:t>
      </w:r>
    </w:p>
    <w:p w14:paraId="7E6CAD25">
      <w:pPr>
        <w:pStyle w:val="35"/>
        <w:spacing w:line="360" w:lineRule="auto"/>
        <w:rPr>
          <w:rFonts w:hAnsi="宋体" w:cs="宋体"/>
          <w:b/>
          <w:color w:val="auto"/>
          <w:sz w:val="24"/>
          <w:szCs w:val="24"/>
          <w:highlight w:val="none"/>
        </w:rPr>
      </w:pPr>
      <w:r>
        <w:rPr>
          <w:rFonts w:hAnsi="宋体" w:cs="宋体"/>
          <w:b/>
          <w:color w:val="auto"/>
          <w:sz w:val="24"/>
          <w:szCs w:val="24"/>
          <w:highlight w:val="none"/>
        </w:rPr>
        <w:t>（七）需使用业主的机械、电器等设备、设施，必须经得业主或甲方同意，并对其安全防护措施负责和承担安全责任。</w:t>
      </w:r>
    </w:p>
    <w:p w14:paraId="0371ED85">
      <w:pPr>
        <w:pStyle w:val="35"/>
        <w:spacing w:line="360" w:lineRule="auto"/>
        <w:rPr>
          <w:rFonts w:hAnsi="宋体" w:cs="宋体"/>
          <w:b/>
          <w:color w:val="auto"/>
          <w:sz w:val="24"/>
          <w:szCs w:val="24"/>
          <w:highlight w:val="none"/>
        </w:rPr>
      </w:pPr>
      <w:r>
        <w:rPr>
          <w:rFonts w:hAnsi="宋体" w:cs="宋体"/>
          <w:b/>
          <w:color w:val="auto"/>
          <w:sz w:val="24"/>
          <w:szCs w:val="24"/>
          <w:highlight w:val="none"/>
        </w:rPr>
        <w:t>（八）教育和监管所属人员不得随意进入非该施工作业项目区域外的场所及触摸、启动机械、电器、控制阀等设备，否则因由此而引起的事故，乙方负全部责任。</w:t>
      </w:r>
    </w:p>
    <w:p w14:paraId="42C22407">
      <w:pPr>
        <w:pStyle w:val="35"/>
        <w:spacing w:line="360" w:lineRule="auto"/>
        <w:rPr>
          <w:rFonts w:hAnsi="宋体" w:cs="宋体"/>
          <w:b/>
          <w:color w:val="auto"/>
          <w:sz w:val="24"/>
          <w:szCs w:val="24"/>
          <w:highlight w:val="none"/>
        </w:rPr>
      </w:pPr>
      <w:r>
        <w:rPr>
          <w:rFonts w:hAnsi="宋体" w:cs="宋体"/>
          <w:b/>
          <w:color w:val="auto"/>
          <w:sz w:val="24"/>
          <w:szCs w:val="24"/>
          <w:highlight w:val="none"/>
        </w:rPr>
        <w:t>（九）对该工程项目的安全施工作业以及对参与该工程作业的所使用的全部人员的安全负责。</w:t>
      </w:r>
    </w:p>
    <w:p w14:paraId="69A3A81D">
      <w:pPr>
        <w:pStyle w:val="35"/>
        <w:spacing w:line="360" w:lineRule="auto"/>
        <w:rPr>
          <w:rFonts w:hAnsi="宋体" w:cs="宋体"/>
          <w:b/>
          <w:color w:val="auto"/>
          <w:sz w:val="24"/>
          <w:szCs w:val="24"/>
          <w:highlight w:val="none"/>
        </w:rPr>
      </w:pPr>
      <w:r>
        <w:rPr>
          <w:rFonts w:hAnsi="宋体" w:cs="宋体"/>
          <w:b/>
          <w:color w:val="auto"/>
          <w:sz w:val="24"/>
          <w:szCs w:val="24"/>
          <w:highlight w:val="none"/>
        </w:rPr>
        <w:t>（十）乙方的任何人员均不得在施工区、生活区打架斗殴、酗酒赌博。严禁酒后上班。</w:t>
      </w:r>
    </w:p>
    <w:p w14:paraId="326E53B9">
      <w:pPr>
        <w:pStyle w:val="35"/>
        <w:spacing w:line="360" w:lineRule="auto"/>
        <w:rPr>
          <w:rFonts w:hAnsi="宋体" w:cs="宋体"/>
          <w:b/>
          <w:color w:val="auto"/>
          <w:sz w:val="24"/>
          <w:szCs w:val="24"/>
          <w:highlight w:val="none"/>
        </w:rPr>
      </w:pPr>
      <w:r>
        <w:rPr>
          <w:rFonts w:hAnsi="宋体" w:cs="宋体"/>
          <w:b/>
          <w:color w:val="auto"/>
          <w:sz w:val="24"/>
          <w:szCs w:val="24"/>
          <w:highlight w:val="none"/>
        </w:rPr>
        <w:t>（十一）乙方负责此项目生产的全部安全责任，如果在生产中发生生产安全事故，由乙方承担全部的事故责任和经济责任。</w:t>
      </w:r>
    </w:p>
    <w:p w14:paraId="0E736896">
      <w:pPr>
        <w:pStyle w:val="35"/>
        <w:spacing w:line="360" w:lineRule="auto"/>
        <w:rPr>
          <w:rFonts w:hAnsi="宋体" w:cs="宋体"/>
          <w:b/>
          <w:color w:val="auto"/>
          <w:sz w:val="24"/>
          <w:szCs w:val="24"/>
          <w:highlight w:val="none"/>
        </w:rPr>
      </w:pPr>
      <w:r>
        <w:rPr>
          <w:rFonts w:hAnsi="宋体" w:cs="宋体"/>
          <w:b/>
          <w:color w:val="auto"/>
          <w:sz w:val="24"/>
          <w:szCs w:val="24"/>
          <w:highlight w:val="none"/>
        </w:rPr>
        <w:t>四、补充条款</w:t>
      </w:r>
    </w:p>
    <w:p w14:paraId="4FF81FF0">
      <w:pPr>
        <w:pStyle w:val="35"/>
        <w:spacing w:line="360" w:lineRule="auto"/>
        <w:rPr>
          <w:rFonts w:hAnsi="宋体" w:cs="宋体"/>
          <w:b/>
          <w:color w:val="auto"/>
          <w:sz w:val="24"/>
          <w:szCs w:val="24"/>
          <w:highlight w:val="none"/>
        </w:rPr>
      </w:pPr>
      <w:r>
        <w:rPr>
          <w:rFonts w:hAnsi="宋体" w:cs="宋体"/>
          <w:b/>
          <w:color w:val="auto"/>
          <w:sz w:val="24"/>
          <w:szCs w:val="24"/>
          <w:highlight w:val="none"/>
        </w:rPr>
        <w:t>1、经甲方检查考评乙方一次为不合格的，扣除工程款2000元整。</w:t>
      </w:r>
    </w:p>
    <w:p w14:paraId="227F3613">
      <w:pPr>
        <w:pStyle w:val="35"/>
        <w:spacing w:line="360" w:lineRule="auto"/>
        <w:rPr>
          <w:rFonts w:hAnsi="宋体" w:cs="宋体"/>
          <w:b/>
          <w:color w:val="auto"/>
          <w:sz w:val="24"/>
          <w:szCs w:val="24"/>
          <w:highlight w:val="none"/>
        </w:rPr>
      </w:pPr>
      <w:r>
        <w:rPr>
          <w:rFonts w:hAnsi="宋体" w:cs="宋体"/>
          <w:b/>
          <w:color w:val="auto"/>
          <w:sz w:val="24"/>
          <w:szCs w:val="24"/>
          <w:highlight w:val="none"/>
        </w:rPr>
        <w:t>2、甲方在日常检查中发现问题较多的，或有关投诉经核查实属乙方责任的，甲方向乙方出具《整改通知书》，在整改期内乙方未作整改或整改不力，每次扣除工程款2000元整。</w:t>
      </w:r>
    </w:p>
    <w:p w14:paraId="262B6480">
      <w:pPr>
        <w:pStyle w:val="35"/>
        <w:spacing w:line="360" w:lineRule="auto"/>
        <w:rPr>
          <w:rFonts w:hAnsi="宋体" w:cs="宋体"/>
          <w:b/>
          <w:color w:val="auto"/>
          <w:sz w:val="24"/>
          <w:szCs w:val="24"/>
          <w:highlight w:val="none"/>
        </w:rPr>
      </w:pPr>
      <w:r>
        <w:rPr>
          <w:rFonts w:hAnsi="宋体" w:cs="宋体"/>
          <w:b/>
          <w:color w:val="auto"/>
          <w:sz w:val="24"/>
          <w:szCs w:val="24"/>
          <w:highlight w:val="none"/>
        </w:rPr>
        <w:t>五、甲、乙双方严格遵守本合同条款，履行各自的职责，搞好文明施工作业。</w:t>
      </w:r>
    </w:p>
    <w:p w14:paraId="5DE489AA">
      <w:pPr>
        <w:pStyle w:val="35"/>
        <w:spacing w:line="360" w:lineRule="auto"/>
        <w:rPr>
          <w:rFonts w:hAnsi="宋体" w:cs="宋体"/>
          <w:b/>
          <w:color w:val="auto"/>
          <w:sz w:val="24"/>
          <w:szCs w:val="24"/>
          <w:highlight w:val="none"/>
        </w:rPr>
      </w:pPr>
      <w:r>
        <w:rPr>
          <w:rFonts w:hAnsi="宋体" w:cs="宋体"/>
          <w:b/>
          <w:color w:val="auto"/>
          <w:sz w:val="24"/>
          <w:szCs w:val="24"/>
          <w:highlight w:val="none"/>
        </w:rPr>
        <w:t>甲方单位(盖章)                        乙方单位(盖章)</w:t>
      </w:r>
    </w:p>
    <w:p w14:paraId="101DF201">
      <w:pPr>
        <w:pStyle w:val="35"/>
        <w:spacing w:line="360" w:lineRule="auto"/>
        <w:rPr>
          <w:rFonts w:hAnsi="宋体" w:cs="宋体"/>
          <w:b/>
          <w:color w:val="auto"/>
          <w:sz w:val="24"/>
          <w:szCs w:val="24"/>
          <w:highlight w:val="none"/>
        </w:rPr>
      </w:pPr>
      <w:r>
        <w:rPr>
          <w:rFonts w:hAnsi="宋体" w:cs="宋体"/>
          <w:b/>
          <w:color w:val="auto"/>
          <w:sz w:val="24"/>
          <w:szCs w:val="24"/>
          <w:highlight w:val="none"/>
        </w:rPr>
        <w:t xml:space="preserve">        </w:t>
      </w:r>
    </w:p>
    <w:p w14:paraId="00E07D71">
      <w:pPr>
        <w:pStyle w:val="35"/>
        <w:spacing w:line="360" w:lineRule="auto"/>
        <w:rPr>
          <w:rFonts w:hAnsi="宋体" w:cs="宋体"/>
          <w:b/>
          <w:color w:val="auto"/>
          <w:sz w:val="24"/>
          <w:szCs w:val="24"/>
          <w:highlight w:val="none"/>
        </w:rPr>
      </w:pPr>
      <w:r>
        <w:rPr>
          <w:rFonts w:hAnsi="宋体" w:cs="宋体"/>
          <w:b/>
          <w:color w:val="auto"/>
          <w:sz w:val="24"/>
          <w:szCs w:val="24"/>
          <w:highlight w:val="none"/>
        </w:rPr>
        <w:t xml:space="preserve">    责任人：                              责任人：</w:t>
      </w:r>
    </w:p>
    <w:p w14:paraId="452EFA26">
      <w:pPr>
        <w:pStyle w:val="35"/>
        <w:spacing w:line="360" w:lineRule="auto"/>
        <w:rPr>
          <w:rFonts w:hAnsi="宋体" w:cs="宋体"/>
          <w:b/>
          <w:color w:val="auto"/>
          <w:sz w:val="24"/>
          <w:szCs w:val="24"/>
          <w:highlight w:val="none"/>
        </w:rPr>
      </w:pPr>
    </w:p>
    <w:p w14:paraId="57D631B9">
      <w:pPr>
        <w:widowControl/>
        <w:spacing w:line="360" w:lineRule="auto"/>
        <w:ind w:firstLine="422" w:firstLineChars="200"/>
        <w:rPr>
          <w:rFonts w:ascii="仿宋_GB2312" w:hAnsi="宋体" w:eastAsia="仿宋_GB2312" w:cs="宋体"/>
          <w:color w:val="auto"/>
          <w:highlight w:val="none"/>
        </w:rPr>
      </w:pPr>
      <w:r>
        <w:rPr>
          <w:rFonts w:hint="eastAsia" w:ascii="宋体" w:hAnsi="宋体" w:cs="宋体"/>
          <w:b/>
          <w:color w:val="auto"/>
          <w:highlight w:val="none"/>
        </w:rPr>
        <w:t xml:space="preserve">                           签约日期：</w:t>
      </w:r>
      <w:r>
        <w:rPr>
          <w:rFonts w:hint="eastAsia" w:ascii="宋体" w:hAnsi="宋体" w:cs="宋体"/>
          <w:b/>
          <w:color w:val="auto"/>
          <w:highlight w:val="none"/>
          <w:lang w:val="en-US" w:eastAsia="zh-CN"/>
        </w:rPr>
        <w:t>2025</w:t>
      </w:r>
      <w:r>
        <w:rPr>
          <w:rFonts w:hint="eastAsia" w:ascii="宋体" w:hAnsi="宋体" w:cs="宋体"/>
          <w:b/>
          <w:color w:val="auto"/>
          <w:highlight w:val="none"/>
        </w:rPr>
        <w:t>年   月   日</w:t>
      </w:r>
    </w:p>
    <w:p w14:paraId="442F9442">
      <w:pPr>
        <w:rPr>
          <w:rFonts w:ascii="黑体" w:eastAsia="黑体"/>
          <w:b/>
          <w:color w:val="auto"/>
          <w:szCs w:val="32"/>
          <w:highlight w:val="none"/>
        </w:rPr>
      </w:pPr>
    </w:p>
    <w:p w14:paraId="0615DFEE">
      <w:pPr>
        <w:rPr>
          <w:rFonts w:ascii="黑体" w:eastAsia="黑体"/>
          <w:b/>
          <w:color w:val="auto"/>
          <w:szCs w:val="32"/>
          <w:highlight w:val="none"/>
        </w:rPr>
      </w:pPr>
      <w:r>
        <w:rPr>
          <w:rFonts w:hint="eastAsia" w:ascii="黑体" w:eastAsia="黑体"/>
          <w:b/>
          <w:color w:val="auto"/>
          <w:szCs w:val="32"/>
          <w:highlight w:val="none"/>
        </w:rPr>
        <w:br w:type="page"/>
      </w:r>
    </w:p>
    <w:p w14:paraId="7A12157B">
      <w:pPr>
        <w:rPr>
          <w:rFonts w:ascii="黑体" w:eastAsia="黑体"/>
          <w:b/>
          <w:color w:val="auto"/>
          <w:szCs w:val="32"/>
          <w:highlight w:val="none"/>
        </w:rPr>
      </w:pPr>
      <w:r>
        <w:rPr>
          <w:rFonts w:hint="eastAsia" w:ascii="黑体" w:eastAsia="黑体"/>
          <w:b/>
          <w:color w:val="auto"/>
          <w:szCs w:val="32"/>
          <w:highlight w:val="none"/>
        </w:rPr>
        <w:t>附件（2）：</w:t>
      </w:r>
    </w:p>
    <w:p w14:paraId="4283DB5D">
      <w:pPr>
        <w:jc w:val="center"/>
        <w:rPr>
          <w:rFonts w:ascii="黑体" w:eastAsia="黑体"/>
          <w:b/>
          <w:color w:val="auto"/>
          <w:sz w:val="32"/>
          <w:szCs w:val="32"/>
          <w:highlight w:val="none"/>
        </w:rPr>
      </w:pPr>
      <w:r>
        <w:rPr>
          <w:rFonts w:hint="eastAsia" w:ascii="黑体" w:eastAsia="黑体"/>
          <w:b/>
          <w:color w:val="auto"/>
          <w:sz w:val="32"/>
          <w:szCs w:val="32"/>
          <w:highlight w:val="none"/>
        </w:rPr>
        <w:t>廉 政 协 议</w:t>
      </w:r>
    </w:p>
    <w:p w14:paraId="438CBD36">
      <w:pPr>
        <w:pStyle w:val="35"/>
        <w:spacing w:line="360" w:lineRule="auto"/>
        <w:rPr>
          <w:rFonts w:hAnsi="宋体" w:cs="宋体"/>
          <w:b/>
          <w:color w:val="auto"/>
          <w:sz w:val="24"/>
          <w:szCs w:val="24"/>
          <w:highlight w:val="none"/>
        </w:rPr>
      </w:pPr>
      <w:r>
        <w:rPr>
          <w:rFonts w:hAnsi="宋体" w:cs="宋体"/>
          <w:b/>
          <w:color w:val="auto"/>
          <w:sz w:val="24"/>
          <w:szCs w:val="24"/>
          <w:highlight w:val="none"/>
        </w:rPr>
        <w:t xml:space="preserve">甲 方：杭州市拱墅区市政养护所 </w:t>
      </w:r>
    </w:p>
    <w:p w14:paraId="279E26FC">
      <w:pPr>
        <w:pStyle w:val="35"/>
        <w:spacing w:line="360" w:lineRule="auto"/>
        <w:rPr>
          <w:rFonts w:hAnsi="宋体" w:cs="宋体"/>
          <w:b/>
          <w:color w:val="auto"/>
          <w:sz w:val="24"/>
          <w:szCs w:val="24"/>
          <w:highlight w:val="none"/>
        </w:rPr>
      </w:pPr>
      <w:r>
        <w:rPr>
          <w:rFonts w:hAnsi="宋体" w:cs="宋体"/>
          <w:b/>
          <w:color w:val="auto"/>
          <w:sz w:val="24"/>
          <w:szCs w:val="24"/>
          <w:highlight w:val="none"/>
        </w:rPr>
        <w:t>乙 方：</w:t>
      </w:r>
      <w:r>
        <w:rPr>
          <w:rFonts w:hint="eastAsia" w:hAnsi="宋体" w:cs="宋体"/>
          <w:b/>
          <w:color w:val="auto"/>
          <w:sz w:val="24"/>
          <w:szCs w:val="24"/>
          <w:highlight w:val="none"/>
          <w:lang w:val="en-US" w:eastAsia="zh-CN"/>
        </w:rPr>
        <w:t xml:space="preserve"> </w:t>
      </w:r>
      <w:r>
        <w:rPr>
          <w:rFonts w:hAnsi="宋体" w:cs="宋体"/>
          <w:b/>
          <w:color w:val="auto"/>
          <w:sz w:val="24"/>
          <w:szCs w:val="24"/>
          <w:highlight w:val="none"/>
        </w:rPr>
        <w:t xml:space="preserve"> </w:t>
      </w:r>
    </w:p>
    <w:p w14:paraId="641C6453">
      <w:pPr>
        <w:pStyle w:val="35"/>
        <w:spacing w:line="360" w:lineRule="auto"/>
        <w:rPr>
          <w:rFonts w:hAnsi="宋体" w:cs="宋体"/>
          <w:b/>
          <w:color w:val="auto"/>
          <w:sz w:val="24"/>
          <w:szCs w:val="24"/>
          <w:highlight w:val="none"/>
        </w:rPr>
      </w:pPr>
      <w:r>
        <w:rPr>
          <w:rFonts w:hAnsi="宋体" w:cs="宋体"/>
          <w:b/>
          <w:color w:val="auto"/>
          <w:sz w:val="24"/>
          <w:szCs w:val="24"/>
          <w:highlight w:val="none"/>
        </w:rPr>
        <w:t>工程名称：</w:t>
      </w:r>
      <w:r>
        <w:rPr>
          <w:rFonts w:hAnsi="宋体" w:cs="宋体"/>
          <w:b/>
          <w:color w:val="auto"/>
          <w:sz w:val="24"/>
          <w:szCs w:val="24"/>
          <w:highlight w:val="none"/>
          <w:u w:val="single"/>
        </w:rPr>
        <w:t xml:space="preserve"> </w:t>
      </w:r>
      <w:r>
        <w:rPr>
          <w:rFonts w:hint="eastAsia" w:hAnsi="宋体" w:cs="宋体"/>
          <w:b/>
          <w:color w:val="auto"/>
          <w:sz w:val="24"/>
          <w:szCs w:val="24"/>
          <w:highlight w:val="none"/>
          <w:u w:val="single"/>
          <w:lang w:val="en-US" w:eastAsia="zh-CN"/>
        </w:rPr>
        <w:t xml:space="preserve"> </w:t>
      </w:r>
      <w:r>
        <w:rPr>
          <w:rFonts w:hAnsi="宋体" w:cs="宋体"/>
          <w:b/>
          <w:color w:val="auto"/>
          <w:sz w:val="24"/>
          <w:szCs w:val="24"/>
          <w:highlight w:val="none"/>
          <w:u w:val="single"/>
        </w:rPr>
        <w:t xml:space="preserve">  </w:t>
      </w:r>
      <w:r>
        <w:rPr>
          <w:rFonts w:hAnsi="宋体" w:cs="宋体"/>
          <w:b/>
          <w:color w:val="auto"/>
          <w:sz w:val="24"/>
          <w:szCs w:val="24"/>
          <w:highlight w:val="none"/>
        </w:rPr>
        <w:t xml:space="preserve">                    </w:t>
      </w:r>
    </w:p>
    <w:p w14:paraId="0E3F0AB8">
      <w:pPr>
        <w:pStyle w:val="35"/>
        <w:spacing w:line="360" w:lineRule="auto"/>
        <w:rPr>
          <w:rFonts w:hAnsi="宋体" w:cs="宋体"/>
          <w:b/>
          <w:color w:val="auto"/>
          <w:sz w:val="24"/>
          <w:szCs w:val="24"/>
          <w:highlight w:val="none"/>
        </w:rPr>
      </w:pPr>
      <w:r>
        <w:rPr>
          <w:rFonts w:hAnsi="宋体" w:cs="宋体"/>
          <w:b/>
          <w:color w:val="auto"/>
          <w:sz w:val="24"/>
          <w:szCs w:val="24"/>
          <w:highlight w:val="none"/>
        </w:rPr>
        <w:t>为切实加强对建设工程项目的执法监察，进一步规范工程建设领域的经济秩序，本着正当竞争、合法经营、从严管理的原则，工程建设的甲乙双方必须履行下列条款：</w:t>
      </w:r>
    </w:p>
    <w:p w14:paraId="481D8404">
      <w:pPr>
        <w:pStyle w:val="35"/>
        <w:spacing w:line="360" w:lineRule="auto"/>
        <w:rPr>
          <w:rFonts w:hAnsi="宋体" w:cs="宋体"/>
          <w:b/>
          <w:color w:val="auto"/>
          <w:sz w:val="24"/>
          <w:szCs w:val="24"/>
          <w:highlight w:val="none"/>
        </w:rPr>
      </w:pPr>
      <w:r>
        <w:rPr>
          <w:rFonts w:hAnsi="宋体" w:cs="宋体"/>
          <w:b/>
          <w:color w:val="auto"/>
          <w:sz w:val="24"/>
          <w:szCs w:val="24"/>
          <w:highlight w:val="none"/>
        </w:rPr>
        <w:t>一、乙双方必须遵守国家、省、市规定的各项法令、法规和本部门、本单位的规章制度。</w:t>
      </w:r>
    </w:p>
    <w:p w14:paraId="0ED76422">
      <w:pPr>
        <w:pStyle w:val="35"/>
        <w:spacing w:line="360" w:lineRule="auto"/>
        <w:rPr>
          <w:rFonts w:hAnsi="宋体" w:cs="宋体"/>
          <w:b/>
          <w:color w:val="auto"/>
          <w:sz w:val="24"/>
          <w:szCs w:val="24"/>
          <w:highlight w:val="none"/>
        </w:rPr>
      </w:pPr>
      <w:r>
        <w:rPr>
          <w:rFonts w:hAnsi="宋体" w:cs="宋体"/>
          <w:b/>
          <w:color w:val="auto"/>
          <w:sz w:val="24"/>
          <w:szCs w:val="24"/>
          <w:highlight w:val="none"/>
        </w:rPr>
        <w:t>二、甲方领导干部和管理人员要严格遵守四个“不准”：</w:t>
      </w:r>
    </w:p>
    <w:p w14:paraId="588DD872">
      <w:pPr>
        <w:pStyle w:val="35"/>
        <w:spacing w:line="360" w:lineRule="auto"/>
        <w:rPr>
          <w:rFonts w:hAnsi="宋体" w:cs="宋体"/>
          <w:b/>
          <w:color w:val="auto"/>
          <w:sz w:val="24"/>
          <w:szCs w:val="24"/>
          <w:highlight w:val="none"/>
        </w:rPr>
      </w:pPr>
      <w:r>
        <w:rPr>
          <w:rFonts w:hAnsi="宋体" w:cs="宋体"/>
          <w:b/>
          <w:color w:val="auto"/>
          <w:sz w:val="24"/>
          <w:szCs w:val="24"/>
          <w:highlight w:val="none"/>
        </w:rPr>
        <w:t>1、不准以任何理由收受乙方单位或个人赠送的礼金、礼品和有价证、券、卡等。</w:t>
      </w:r>
    </w:p>
    <w:p w14:paraId="26C7769D">
      <w:pPr>
        <w:pStyle w:val="35"/>
        <w:spacing w:line="360" w:lineRule="auto"/>
        <w:rPr>
          <w:rFonts w:hAnsi="宋体" w:cs="宋体"/>
          <w:b/>
          <w:color w:val="auto"/>
          <w:sz w:val="24"/>
          <w:szCs w:val="24"/>
          <w:highlight w:val="none"/>
        </w:rPr>
      </w:pPr>
      <w:r>
        <w:rPr>
          <w:rFonts w:hAnsi="宋体" w:cs="宋体"/>
          <w:b/>
          <w:color w:val="auto"/>
          <w:sz w:val="24"/>
          <w:szCs w:val="24"/>
          <w:highlight w:val="none"/>
        </w:rPr>
        <w:t>2、不准将个人负担的费用到乙方进行报销，向乙方私人借款，以及借口刁难，索要好处费。</w:t>
      </w:r>
    </w:p>
    <w:p w14:paraId="6AD5B2F0">
      <w:pPr>
        <w:pStyle w:val="35"/>
        <w:spacing w:line="360" w:lineRule="auto"/>
        <w:rPr>
          <w:rFonts w:hAnsi="宋体" w:cs="宋体"/>
          <w:b/>
          <w:color w:val="auto"/>
          <w:sz w:val="24"/>
          <w:szCs w:val="24"/>
          <w:highlight w:val="none"/>
        </w:rPr>
      </w:pPr>
      <w:r>
        <w:rPr>
          <w:rFonts w:hAnsi="宋体" w:cs="宋体"/>
          <w:b/>
          <w:color w:val="auto"/>
          <w:sz w:val="24"/>
          <w:szCs w:val="24"/>
          <w:highlight w:val="none"/>
        </w:rPr>
        <w:t>3、不准以任何名义、任何形式参与乙方组织的各种高消费娱乐活动，以及与乙方人员进行各种形式的赌博活动。</w:t>
      </w:r>
    </w:p>
    <w:p w14:paraId="2C2CD737">
      <w:pPr>
        <w:pStyle w:val="35"/>
        <w:spacing w:line="360" w:lineRule="auto"/>
        <w:rPr>
          <w:rFonts w:hAnsi="宋体" w:cs="宋体"/>
          <w:b/>
          <w:color w:val="auto"/>
          <w:sz w:val="24"/>
          <w:szCs w:val="24"/>
          <w:highlight w:val="none"/>
        </w:rPr>
      </w:pPr>
      <w:r>
        <w:rPr>
          <w:rFonts w:hAnsi="宋体" w:cs="宋体"/>
          <w:b/>
          <w:color w:val="auto"/>
          <w:sz w:val="24"/>
          <w:szCs w:val="24"/>
          <w:highlight w:val="none"/>
        </w:rPr>
        <w:t>4、不准接受可能影响公正经营秩序的各种宴请。</w:t>
      </w:r>
    </w:p>
    <w:p w14:paraId="6B70CDD5">
      <w:pPr>
        <w:pStyle w:val="35"/>
        <w:spacing w:line="360" w:lineRule="auto"/>
        <w:rPr>
          <w:rFonts w:hAnsi="宋体" w:cs="宋体"/>
          <w:b/>
          <w:color w:val="auto"/>
          <w:sz w:val="24"/>
          <w:szCs w:val="24"/>
          <w:highlight w:val="none"/>
        </w:rPr>
      </w:pPr>
      <w:r>
        <w:rPr>
          <w:rFonts w:hAnsi="宋体" w:cs="宋体"/>
          <w:b/>
          <w:color w:val="auto"/>
          <w:sz w:val="24"/>
          <w:szCs w:val="24"/>
          <w:highlight w:val="none"/>
        </w:rPr>
        <w:t>三、乙方单位或人员要严格遵守四个“不准”：</w:t>
      </w:r>
    </w:p>
    <w:p w14:paraId="6290552E">
      <w:pPr>
        <w:pStyle w:val="35"/>
        <w:spacing w:line="360" w:lineRule="auto"/>
        <w:rPr>
          <w:rFonts w:hAnsi="宋体" w:cs="宋体"/>
          <w:b/>
          <w:color w:val="auto"/>
          <w:sz w:val="24"/>
          <w:szCs w:val="24"/>
          <w:highlight w:val="none"/>
        </w:rPr>
      </w:pPr>
      <w:r>
        <w:rPr>
          <w:rFonts w:hAnsi="宋体" w:cs="宋体"/>
          <w:b/>
          <w:color w:val="auto"/>
          <w:sz w:val="24"/>
          <w:szCs w:val="24"/>
          <w:highlight w:val="none"/>
        </w:rPr>
        <w:t>1、不准以任何名义、任何形式向甲方领导干部或管理人员由赠送礼金、礼品和有价证、券、卡等。</w:t>
      </w:r>
    </w:p>
    <w:p w14:paraId="0E1872EB">
      <w:pPr>
        <w:pStyle w:val="35"/>
        <w:spacing w:line="360" w:lineRule="auto"/>
        <w:rPr>
          <w:rFonts w:hAnsi="宋体" w:cs="宋体"/>
          <w:b/>
          <w:color w:val="auto"/>
          <w:sz w:val="24"/>
          <w:szCs w:val="24"/>
          <w:highlight w:val="none"/>
        </w:rPr>
      </w:pPr>
      <w:r>
        <w:rPr>
          <w:rFonts w:hAnsi="宋体" w:cs="宋体"/>
          <w:b/>
          <w:color w:val="auto"/>
          <w:sz w:val="24"/>
          <w:szCs w:val="24"/>
          <w:highlight w:val="none"/>
        </w:rPr>
        <w:t>2、不准为甲方单位、领导干部或管理人员购买手机、空调、电脑等贵重物品。</w:t>
      </w:r>
    </w:p>
    <w:p w14:paraId="6AAA3DD1">
      <w:pPr>
        <w:pStyle w:val="35"/>
        <w:spacing w:line="360" w:lineRule="auto"/>
        <w:rPr>
          <w:rFonts w:hAnsi="宋体" w:cs="宋体"/>
          <w:b/>
          <w:color w:val="auto"/>
          <w:sz w:val="24"/>
          <w:szCs w:val="24"/>
          <w:highlight w:val="none"/>
        </w:rPr>
      </w:pPr>
      <w:r>
        <w:rPr>
          <w:rFonts w:hAnsi="宋体" w:cs="宋体"/>
          <w:b/>
          <w:color w:val="auto"/>
          <w:sz w:val="24"/>
          <w:szCs w:val="24"/>
          <w:highlight w:val="none"/>
        </w:rPr>
        <w:t>3、不准借款给甲方的领导干部和管理人员及给予报销个人费用。</w:t>
      </w:r>
    </w:p>
    <w:p w14:paraId="37C91BBE">
      <w:pPr>
        <w:pStyle w:val="35"/>
        <w:spacing w:line="360" w:lineRule="auto"/>
        <w:rPr>
          <w:rFonts w:hAnsi="宋体" w:cs="宋体"/>
          <w:b/>
          <w:color w:val="auto"/>
          <w:sz w:val="24"/>
          <w:szCs w:val="24"/>
          <w:highlight w:val="none"/>
        </w:rPr>
      </w:pPr>
      <w:r>
        <w:rPr>
          <w:rFonts w:hAnsi="宋体" w:cs="宋体"/>
          <w:b/>
          <w:color w:val="auto"/>
          <w:sz w:val="24"/>
          <w:szCs w:val="24"/>
          <w:highlight w:val="none"/>
        </w:rPr>
        <w:t>4、不准借故组织甲方人员参与各种高消费娱乐活动及各种形式的赌博活动。</w:t>
      </w:r>
    </w:p>
    <w:p w14:paraId="794585BE">
      <w:pPr>
        <w:pStyle w:val="35"/>
        <w:spacing w:line="360" w:lineRule="auto"/>
        <w:rPr>
          <w:rFonts w:hAnsi="宋体" w:cs="宋体"/>
          <w:b/>
          <w:color w:val="auto"/>
          <w:sz w:val="24"/>
          <w:szCs w:val="24"/>
          <w:highlight w:val="none"/>
        </w:rPr>
      </w:pPr>
      <w:r>
        <w:rPr>
          <w:rFonts w:hAnsi="宋体" w:cs="宋体"/>
          <w:b/>
          <w:color w:val="auto"/>
          <w:sz w:val="24"/>
          <w:szCs w:val="24"/>
          <w:highlight w:val="none"/>
        </w:rPr>
        <w:t>四、甲方人员若违反工程建设廉政协议，一经查实，视情况轻重逐情进行处理，后果严重的将追究刑事责任。</w:t>
      </w:r>
    </w:p>
    <w:p w14:paraId="189CE9E5">
      <w:pPr>
        <w:pStyle w:val="35"/>
        <w:spacing w:line="360" w:lineRule="auto"/>
        <w:rPr>
          <w:rFonts w:hAnsi="宋体" w:cs="宋体"/>
          <w:b/>
          <w:color w:val="auto"/>
          <w:sz w:val="24"/>
          <w:szCs w:val="24"/>
          <w:highlight w:val="none"/>
        </w:rPr>
      </w:pPr>
      <w:r>
        <w:rPr>
          <w:rFonts w:hAnsi="宋体" w:cs="宋体"/>
          <w:b/>
          <w:color w:val="auto"/>
          <w:sz w:val="24"/>
          <w:szCs w:val="24"/>
          <w:highlight w:val="none"/>
        </w:rPr>
        <w:t>五、单位人员若违反工程建设廉政协议，一经查实，视情节轻重逐级进行处理至清退出场或追究刑事责任。</w:t>
      </w:r>
    </w:p>
    <w:p w14:paraId="69743DFD">
      <w:pPr>
        <w:pStyle w:val="35"/>
        <w:spacing w:line="360" w:lineRule="auto"/>
        <w:rPr>
          <w:rFonts w:hAnsi="宋体" w:cs="宋体"/>
          <w:b/>
          <w:color w:val="auto"/>
          <w:sz w:val="24"/>
          <w:szCs w:val="24"/>
          <w:highlight w:val="none"/>
        </w:rPr>
      </w:pPr>
      <w:r>
        <w:rPr>
          <w:rFonts w:hAnsi="宋体" w:cs="宋体"/>
          <w:b/>
          <w:color w:val="auto"/>
          <w:sz w:val="24"/>
          <w:szCs w:val="24"/>
          <w:highlight w:val="none"/>
        </w:rPr>
        <w:t>本协议与工程合同一并签约，甲乙双方各执一份，甲方的党组织或纪检部门另选存档一份，以便上级部门查考。甲乙双方应相互监督、相互约束。</w:t>
      </w:r>
    </w:p>
    <w:p w14:paraId="7EA83F3D">
      <w:pPr>
        <w:pStyle w:val="35"/>
        <w:spacing w:line="360" w:lineRule="auto"/>
        <w:rPr>
          <w:rFonts w:hAnsi="宋体" w:cs="宋体"/>
          <w:b/>
          <w:color w:val="auto"/>
          <w:sz w:val="24"/>
          <w:szCs w:val="24"/>
          <w:highlight w:val="none"/>
        </w:rPr>
      </w:pPr>
      <w:r>
        <w:rPr>
          <w:rFonts w:hAnsi="宋体" w:cs="宋体"/>
          <w:b/>
          <w:color w:val="auto"/>
          <w:sz w:val="24"/>
          <w:szCs w:val="24"/>
          <w:highlight w:val="none"/>
        </w:rPr>
        <w:t>甲方单位(盖章)                乙方单位(盖章)</w:t>
      </w:r>
    </w:p>
    <w:p w14:paraId="16DDE010">
      <w:pPr>
        <w:pStyle w:val="35"/>
        <w:spacing w:line="360" w:lineRule="auto"/>
        <w:rPr>
          <w:rFonts w:hAnsi="宋体" w:cs="宋体"/>
          <w:b/>
          <w:color w:val="auto"/>
          <w:sz w:val="24"/>
          <w:szCs w:val="24"/>
          <w:highlight w:val="none"/>
        </w:rPr>
      </w:pPr>
      <w:r>
        <w:rPr>
          <w:rFonts w:hAnsi="宋体" w:cs="宋体"/>
          <w:b/>
          <w:color w:val="auto"/>
          <w:sz w:val="24"/>
          <w:szCs w:val="24"/>
          <w:highlight w:val="none"/>
        </w:rPr>
        <w:t>责任人：                      责任人：</w:t>
      </w:r>
    </w:p>
    <w:p w14:paraId="307BC0DA">
      <w:pPr>
        <w:ind w:firstLine="422" w:firstLineChars="200"/>
        <w:rPr>
          <w:rFonts w:ascii="宋体" w:hAnsi="宋体" w:cs="宋体"/>
          <w:b/>
          <w:color w:val="auto"/>
          <w:highlight w:val="none"/>
        </w:rPr>
      </w:pPr>
      <w:r>
        <w:rPr>
          <w:rFonts w:hint="eastAsia" w:ascii="宋体" w:hAnsi="宋体" w:cs="宋体"/>
          <w:b/>
          <w:color w:val="auto"/>
          <w:highlight w:val="none"/>
        </w:rPr>
        <w:t xml:space="preserve">                              签约日期：</w:t>
      </w:r>
    </w:p>
    <w:p w14:paraId="677DADAB">
      <w:pPr>
        <w:pStyle w:val="45"/>
        <w:rPr>
          <w:rFonts w:ascii="宋体" w:hAnsi="宋体" w:cs="宋体"/>
          <w:b/>
          <w:color w:val="auto"/>
          <w:highlight w:val="none"/>
        </w:rPr>
      </w:pPr>
    </w:p>
    <w:p w14:paraId="347C83ED">
      <w:pPr>
        <w:rPr>
          <w:rFonts w:hint="eastAsia" w:ascii="宋体" w:hAnsi="宋体" w:cs="宋体"/>
          <w:b/>
          <w:color w:val="auto"/>
          <w:highlight w:val="none"/>
        </w:rPr>
      </w:pPr>
    </w:p>
    <w:p w14:paraId="4C966E8A">
      <w:pPr>
        <w:rPr>
          <w:rFonts w:ascii="仿宋" w:hAnsi="仿宋" w:eastAsia="仿宋" w:cs="仿宋"/>
          <w:color w:val="auto"/>
          <w:sz w:val="32"/>
          <w:highlight w:val="none"/>
        </w:rPr>
      </w:pPr>
      <w:r>
        <w:rPr>
          <w:rFonts w:hint="eastAsia" w:ascii="宋体" w:hAnsi="宋体" w:cs="宋体"/>
          <w:b/>
          <w:color w:val="auto"/>
          <w:highlight w:val="none"/>
        </w:rPr>
        <w:t>附件3：</w:t>
      </w:r>
    </w:p>
    <w:p w14:paraId="6448A8E4">
      <w:pPr>
        <w:rPr>
          <w:color w:val="auto"/>
          <w:highlight w:val="none"/>
        </w:rPr>
      </w:pPr>
    </w:p>
    <w:p w14:paraId="2B406D0E">
      <w:pPr>
        <w:spacing w:line="560" w:lineRule="exact"/>
        <w:jc w:val="center"/>
        <w:rPr>
          <w:rFonts w:ascii="方正小标宋简体" w:hAnsi="方正小标宋简体" w:eastAsia="方正小标宋简体" w:cs="方正小标宋简体"/>
          <w:color w:val="auto"/>
          <w:sz w:val="44"/>
          <w:highlight w:val="none"/>
        </w:rPr>
      </w:pPr>
      <w:r>
        <w:rPr>
          <w:rFonts w:hint="eastAsia" w:ascii="方正小标宋简体" w:hAnsi="方正小标宋简体" w:eastAsia="方正小标宋简体" w:cs="方正小标宋简体"/>
          <w:color w:val="auto"/>
          <w:sz w:val="44"/>
          <w:highlight w:val="none"/>
        </w:rPr>
        <w:t>拱墅区综合行政执法局建设工程</w:t>
      </w:r>
    </w:p>
    <w:p w14:paraId="6CEFA1BF">
      <w:pPr>
        <w:spacing w:line="560" w:lineRule="exact"/>
        <w:jc w:val="center"/>
        <w:rPr>
          <w:rFonts w:ascii="仿宋" w:hAnsi="仿宋" w:eastAsia="仿宋" w:cs="仿宋"/>
          <w:color w:val="auto"/>
          <w:sz w:val="32"/>
          <w:highlight w:val="none"/>
        </w:rPr>
      </w:pPr>
      <w:r>
        <w:rPr>
          <w:rFonts w:hint="eastAsia" w:ascii="方正小标宋简体" w:hAnsi="方正小标宋简体" w:eastAsia="方正小标宋简体" w:cs="方正小标宋简体"/>
          <w:color w:val="auto"/>
          <w:sz w:val="44"/>
          <w:highlight w:val="none"/>
        </w:rPr>
        <w:t>质量管理实施规定</w:t>
      </w:r>
    </w:p>
    <w:p w14:paraId="16BC5568">
      <w:pPr>
        <w:spacing w:line="560" w:lineRule="exact"/>
        <w:jc w:val="center"/>
        <w:rPr>
          <w:rFonts w:ascii="方正小标宋简体" w:hAnsi="方正小标宋简体" w:eastAsia="方正小标宋简体" w:cs="方正小标宋简体"/>
          <w:color w:val="auto"/>
          <w:sz w:val="44"/>
          <w:highlight w:val="none"/>
        </w:rPr>
      </w:pPr>
      <w:r>
        <w:rPr>
          <w:rFonts w:hint="eastAsia" w:ascii="方正小标宋简体" w:hAnsi="方正小标宋简体" w:eastAsia="方正小标宋简体" w:cs="方正小标宋简体"/>
          <w:color w:val="auto"/>
          <w:sz w:val="44"/>
          <w:highlight w:val="none"/>
        </w:rPr>
        <w:t>（试行）</w:t>
      </w:r>
    </w:p>
    <w:p w14:paraId="048DCB76">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加强我局房屋建筑和市政基础设施工程质量管理，规范工程建设各方责任主体行为，严格施工全过程质量控制，根据《建设工程质量管理条例》、《建设工程勘察设计管理条例》、《房屋建筑和市政基础设施工程质量监督管理规定》、《建筑工程施工质量验收统一标准》、《浙江省住房和城乡建设厅关于落实建设单位工程质量首要责任的实施意见》和《浙江省建设工程质量管理条例》等相关规定，结合我局实际，制定本规定。</w:t>
      </w:r>
    </w:p>
    <w:p w14:paraId="66FABD2F">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本规定适用于由我局实施的建设工程，主要为以下几种类型：</w:t>
      </w:r>
    </w:p>
    <w:p w14:paraId="722A2BA3">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（一）房屋建筑工程，指各类房屋建筑及其附属设施和与其配套的线路、管道、设备安装工程及室内外装修工程。</w:t>
      </w:r>
    </w:p>
    <w:p w14:paraId="27E65590">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（二）市政基础设施工程，指城市道路、城市桥涵、供水排水、燃气热力、环卫、垃圾处理、防洪、地下公共设施及附属设施的土建、管道、设备安装工程。</w:t>
      </w:r>
    </w:p>
    <w:p w14:paraId="124D1ADA">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（三）公用设施建设和维护工程，指市政基础设施维护工程，除上述市政基础设施以外的亮灯设施、停车设施等公共设施新（改）建、维护工程。</w:t>
      </w:r>
    </w:p>
    <w:p w14:paraId="3E989A35">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（四）河道建设及改善工程。</w:t>
      </w:r>
    </w:p>
    <w:p w14:paraId="5D69FA2D">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（五）园林绿化工程等。</w:t>
      </w:r>
    </w:p>
    <w:p w14:paraId="1CA6BAF0">
      <w:pPr>
        <w:keepNext w:val="0"/>
        <w:keepLines w:val="0"/>
        <w:pageBreakBefore w:val="0"/>
        <w:widowControl w:val="0"/>
        <w:kinsoku/>
        <w:wordWrap/>
        <w:overflowPunct/>
        <w:topLinePunct w:val="0"/>
        <w:autoSpaceDE/>
        <w:autoSpaceDN/>
        <w:bidi w:val="0"/>
        <w:adjustRightInd/>
        <w:snapToGrid/>
        <w:spacing w:line="420" w:lineRule="exact"/>
        <w:ind w:left="0" w:leftChars="0" w:firstLine="6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其他工程项目（如零星维修工程、抢修工程、临时追加工程等）可参照本规定执行。</w:t>
      </w:r>
    </w:p>
    <w:p w14:paraId="52B4BB60">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各业务实施部门应当认真履行监督管理职责，建立健全工程质量内部监督管理制度，对参与工程建设的勘察设计、施工图审查、预算编制、工程监理、检验检测、施工、结算审计等相关单位的质量行为及工程实体质量等进行监督检查。</w:t>
      </w:r>
    </w:p>
    <w:p w14:paraId="00A4AD2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工程质量应当符合国家、省有关标准和规范要求。施工时鼓励采用先进的科学技术和管理方法及新技术、新工艺、新材料、新设备，提高工程质量。</w:t>
      </w:r>
    </w:p>
    <w:p w14:paraId="08D08815">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各业务实施部门承担着工程质量管理的</w:t>
      </w:r>
      <w:r>
        <w:rPr>
          <w:rFonts w:hint="eastAsia" w:ascii="宋体" w:hAnsi="宋体" w:eastAsia="宋体" w:cs="宋体"/>
          <w:b/>
          <w:bCs/>
          <w:color w:val="auto"/>
          <w:sz w:val="24"/>
          <w:szCs w:val="24"/>
          <w:highlight w:val="none"/>
        </w:rPr>
        <w:t>首要</w:t>
      </w:r>
      <w:r>
        <w:rPr>
          <w:rFonts w:hint="eastAsia" w:ascii="宋体" w:hAnsi="宋体" w:eastAsia="宋体" w:cs="宋体"/>
          <w:color w:val="auto"/>
          <w:sz w:val="24"/>
          <w:szCs w:val="24"/>
          <w:highlight w:val="none"/>
        </w:rPr>
        <w:t>责任。</w:t>
      </w:r>
    </w:p>
    <w:p w14:paraId="6A75ACC1">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（一）在建设项目初期，应组织勘察、设计等相关单位现场踏勘并对设计的经济性、合理性、适用性进行充分论证。</w:t>
      </w:r>
    </w:p>
    <w:p w14:paraId="4EE8FD1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应按照“先勘察、后设计、再施工”原则进行工程建设。工程开工前，依法按规定办理施工图审查、施工许可（含质量安全监督）等手续，禁止以各种名义不履行法定建设程序或者擅自简化建设程序，禁止明示或者暗示施工单位违规开工建设。对适用简化建设程序的建设项目，应严格执行勘察、设计图纸成果文件内部审核，确保无重大漏项、错项。</w:t>
      </w:r>
    </w:p>
    <w:p w14:paraId="02B98AAB">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要科学合理确定工程建设工期和造价，严禁盲目赶工期、抢进度，不得迫使工程其他参建单位简化工序、降低质量标准。禁止以“优化设计”等名义变相违反工程建设强制性标准。在第三方协助审核的基础上，应严格执行工程量清单、招标控制价成果文件审核，确保准确性和完整性。</w:t>
      </w:r>
    </w:p>
    <w:p w14:paraId="49B56A89">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（四）加强隐蔽工程施工质量管理，应实时监督隐蔽工程施工，确保项目施工承包方按照设计图纸和相关规程、规范进行隐蔽工程施工，隐蔽工程验收签证后方可进行下一步工序。</w:t>
      </w:r>
    </w:p>
    <w:p w14:paraId="0DF212D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（五）定期主持召开工程例会，协调解决施工现场疑难问题。</w:t>
      </w:r>
    </w:p>
    <w:p w14:paraId="6E12718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（六）在收到工程竣工报告后及时组织竣工验收，重大工程或技术复杂工程可邀请有关专家参加，未经验收合格不得交付使用。</w:t>
      </w:r>
    </w:p>
    <w:p w14:paraId="43E2E3F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勘察、设计单位必须依法进行建设工程勘察、设计，严格执行工程建设强制性标准，并对建设工程勘察、设计的质量负责。</w:t>
      </w:r>
    </w:p>
    <w:p w14:paraId="1CF42479">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（一）勘察、设计单位在接受勘察、设计任务后，应跟随建设单位现场踏勘，不能因勘察、设计缺陷而降低工程质量，造成经济损失。</w:t>
      </w:r>
    </w:p>
    <w:p w14:paraId="4244F050">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（二）勘察设计文件的编制深度应满足《房屋建筑和市政基础设施工程勘察文件编制深度规定》《建筑工程设计文件编制深度规定》等有关要求。</w:t>
      </w:r>
    </w:p>
    <w:p w14:paraId="06CA9A5D">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（三）设计单位在设计文件中选用的建筑材料、建筑构配件和设备，应当注明规格、型号、性能等技术指标，其质量要求必须符合国家规定的标准，并在设计文件中明确质量控制的具体措施。</w:t>
      </w:r>
    </w:p>
    <w:p w14:paraId="1CE0422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勘察、设计单位应当在工程施工前，向施工、监理等有关参建单位进行交底，对施工图设计文件作出详细说明，并对涉及工程结构安全的关键部位进行明确。勘察、设计单位应当及时解决施工中出现的勘察、设计问题。</w:t>
      </w:r>
    </w:p>
    <w:p w14:paraId="453ECD8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施工单位应对施工质量负责，严格落实质量管理</w:t>
      </w:r>
      <w:r>
        <w:rPr>
          <w:rFonts w:hint="eastAsia" w:ascii="宋体" w:hAnsi="宋体" w:eastAsia="宋体" w:cs="宋体"/>
          <w:b/>
          <w:bCs/>
          <w:color w:val="auto"/>
          <w:sz w:val="24"/>
          <w:szCs w:val="24"/>
          <w:highlight w:val="none"/>
        </w:rPr>
        <w:t>主体</w:t>
      </w:r>
      <w:r>
        <w:rPr>
          <w:rFonts w:hint="eastAsia" w:ascii="宋体" w:hAnsi="宋体" w:eastAsia="宋体" w:cs="宋体"/>
          <w:color w:val="auto"/>
          <w:sz w:val="24"/>
          <w:szCs w:val="24"/>
          <w:highlight w:val="none"/>
        </w:rPr>
        <w:t>责任。</w:t>
      </w:r>
    </w:p>
    <w:p w14:paraId="57932D6D">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施工单位应当在其资质等级许可的范围内承揽施工业务，禁止超越资质等级许可的业务范围或者以其他施工单位的名义承揽施工业务，禁止允许其他单位或者个人以本单位的名义承揽施工业务，不得转包或者违法分包所承揽的施工业务。</w:t>
      </w:r>
    </w:p>
    <w:p w14:paraId="7C8028B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（二）施工单位必须按照批准的设计文件和有关技术标准施工，不得擅自修改设计文件，不得偷工减料。</w:t>
      </w:r>
    </w:p>
    <w:p w14:paraId="4F8FDEE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（三）施工单位发现设计文件和图纸有差错的，应当及时向建设单位、设计单位、监理单位提出意见和建议。</w:t>
      </w:r>
    </w:p>
    <w:p w14:paraId="24BAF0C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（四）施工单位应当严格施工过程质量控制，保证施工质量。</w:t>
      </w:r>
    </w:p>
    <w:p w14:paraId="449198E1">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（五）施工单位应当建立健全施工质量管理体系，根据工程施工需要和合同约定，设置现场施工管理机构，配备满足施工需要的管理人员，落实质量责任制。</w:t>
      </w:r>
    </w:p>
    <w:p w14:paraId="118CD9E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施工单位一般不得更换派驻现场的项目经理和技术负责人；确需更换的，应当经项目法人书面同意，且更换后的人员资格不得低于合同约定的条件。</w:t>
      </w:r>
    </w:p>
    <w:p w14:paraId="0E7D960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施工单位必须按照经批准的设计文件、有关技术标准和合同约定，对原材料、中间产品、设备以及单元工程（工序）等进行质量检验，检验应当有检查记录或者检测报告，并有专人签字，确保数据真实可靠。对涉及结构安全的试块、试件以及有关材料，应当在项目法人或者监理单位监督下现场取样。未经检验或者检验不合格的，不得使用。</w:t>
      </w:r>
    </w:p>
    <w:p w14:paraId="7DEEFDC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（七）施工单位应当严格执行工程验收制度。单元工程（工序）未经验收或者验收不通过的，不得进行下一单元工程（工序）施工。</w:t>
      </w:r>
    </w:p>
    <w:p w14:paraId="48F898C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施工单位应当做好隐蔽工程的质量检查和记录，隐蔽工程在隐蔽前，施工单位应当通知项目法人和水利工程质量监督机构。隐蔽工程未经验收或者验收不通过的，不得隐蔽。</w:t>
      </w:r>
    </w:p>
    <w:p w14:paraId="42F0542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施工单位应当加强施工过程质量控制，形成完整、可追溯的施工质量管理文件资料，并按照档案管理的有关规定进行收集、整理和归档。主体工程的隐蔽部位施工、质量问题处理等，必须保留照片、音视频文件资料并归档。</w:t>
      </w:r>
    </w:p>
    <w:p w14:paraId="6CE8557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（九）对出现施工质量问题的工程或者验收不合格的工程，施工单位应当负责返修或者重建。</w:t>
      </w:r>
    </w:p>
    <w:p w14:paraId="3642051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（十）在保修范围和保修期限内发生质量问题的，施工单位应当履行保修义务，并对造成的损失承担赔偿责任。 工程的保修范围、期限，应当在施工合同中约定。</w:t>
      </w:r>
    </w:p>
    <w:p w14:paraId="5EB25EEB">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（十一）发生质量事故时，施工单位应当采取措施防止事故扩大，保护事故现场，并及时通知建设单位、监理单位，接受质量事故调查。</w:t>
      </w:r>
    </w:p>
    <w:p w14:paraId="24E69850">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监理单位应对监理质量负责，严格落实质量管理</w:t>
      </w:r>
      <w:r>
        <w:rPr>
          <w:rFonts w:hint="eastAsia" w:ascii="宋体" w:hAnsi="宋体" w:eastAsia="宋体" w:cs="宋体"/>
          <w:b/>
          <w:bCs/>
          <w:color w:val="auto"/>
          <w:sz w:val="24"/>
          <w:szCs w:val="24"/>
          <w:highlight w:val="none"/>
        </w:rPr>
        <w:t>主体</w:t>
      </w:r>
      <w:r>
        <w:rPr>
          <w:rFonts w:hint="eastAsia" w:ascii="宋体" w:hAnsi="宋体" w:eastAsia="宋体" w:cs="宋体"/>
          <w:color w:val="auto"/>
          <w:sz w:val="24"/>
          <w:szCs w:val="24"/>
          <w:highlight w:val="none"/>
        </w:rPr>
        <w:t>责任。</w:t>
      </w:r>
    </w:p>
    <w:p w14:paraId="7342165D">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监理单位应当在其资质等级许可的范围内承担监理业务，禁止超越资质等级许可的范围或者以其他监理单位的名义承担监理业务，禁止允许其他单位或者个人以本单位的名义承担监理业务，不得转让其承担的监理业务。</w:t>
      </w:r>
    </w:p>
    <w:p w14:paraId="6CC9C606">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（二）监理单位应当依照国家有关法律、法规、规章、技术标准、批准的设计文件和合同，对工程质量实施监理。 </w:t>
      </w:r>
    </w:p>
    <w:p w14:paraId="6259E23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（三）监理单位应当建立健全质量管理体系，按照工程监理需要和合同约定，在施工现场设置监理机构，配备满足工程建设需要的监理人员，落实质量责任制。</w:t>
      </w:r>
    </w:p>
    <w:p w14:paraId="007B7C1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现场监理人员应当按照规定持证上岗。总监理工程师和监理工程师一般不得更换；确需更换的，应当经项目法人书面同意，且更换后的人员资格不得低于合同约定的条件。</w:t>
      </w:r>
    </w:p>
    <w:p w14:paraId="2DF3317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（四）监理单位应当对施工单位的施工质量管理体系、施工组织设计、专项施工方案、归档文件等进行审查。</w:t>
      </w:r>
    </w:p>
    <w:p w14:paraId="54F58EA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（五）监理单位不得与被监理工程的施工单位以及原材料、中间产品和设备供应商等单位存在隶属关系或者其他利害关系。</w:t>
      </w:r>
    </w:p>
    <w:p w14:paraId="2B5E3E4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监理单位不得与被监理工程的施工单位串通，弄虚作假、降低工程质量。</w:t>
      </w:r>
    </w:p>
    <w:p w14:paraId="420CDC76">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应当监督施工单位按照工程建设强制性标准、施工图设计文件、施工组织设计、专项施工方案以及合同约定组织施工，并采取旁站、巡视和平行检验等形式，对建设工程实施监理。对危险性较大的分部分项工程以及关键部位、关键工序的施工监理，项目监理单位应当编制旁站监理方案，明确旁站监理的范围、内容和程序，对施工过程进行旁站监理，同时填写旁站记录。</w:t>
      </w:r>
    </w:p>
    <w:p w14:paraId="6F14A9B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（七）专业监理工程师应对施工单位报验的检验批、隐蔽工程、分项工程进行验收，提出验收意见。总监理工程师应组织监理人员对施工单位报验的分部工程进行验收，签署验收意见。</w:t>
      </w:r>
    </w:p>
    <w:p w14:paraId="0921075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对未经监理验收或验收不合格的检验批、隐蔽工程、分项工程和分部工程，项目监理单位应拒绝签认，并严禁施工单位进行后续施工。</w:t>
      </w:r>
    </w:p>
    <w:p w14:paraId="4DE6457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（八）应根据项目实际建设周期，每月（周）将本月（周）施工进度、监理采取措施情况、下月（周）监理工作重点等内容进行汇总，并不定期对质量、安全重点工作进行总结，形成监理月（周）报。</w:t>
      </w:r>
    </w:p>
    <w:p w14:paraId="6D114D1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项目监理机构发现施工单位不按照标准规范、施工图设计文件、施工组织设计、专项施工方案施工，不文明施工或工程存在质量安全隐患时，应当及时制止并要求施工单位整改，施工单位拒不整改的，监理单位应当及时向建设单位报告。</w:t>
      </w:r>
    </w:p>
    <w:p w14:paraId="77E45635">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图审机构应对勘察设计文件审查的质量负责。图审机构对结构安全和强制性标准、规范执行情况等内容进行严格审查，并出具审查意见。</w:t>
      </w:r>
    </w:p>
    <w:p w14:paraId="1BFB55F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预算编制单位负责编制工程量清单、招标控制价，对工程量清单、招标控制价的编制进行过程管理和质量管理。编制过程中应加强与建设单位、设计单位沟通对接，确保无清单缺漏项、多项、高估冒算、单价及计算错误等问题。</w:t>
      </w:r>
    </w:p>
    <w:p w14:paraId="4694F76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检测机构应对施工现场的检测质量负责。应当按照国家有关工程建设强制性标准进行检测，对检测数据和检测报告的真实性和准确性负责，严禁未经检测或虚假检测伪造数据出具检测报告。受理样品时应认真检查，确保样品符合有关标准、规范。受理样品后对样品进行编号、唯一性标识，建立样品收样台账。</w:t>
      </w:r>
    </w:p>
    <w:p w14:paraId="7FCE6B7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结算审计单位应对结算审计质量负责。</w:t>
      </w:r>
    </w:p>
    <w:p w14:paraId="755B6231">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（一）对照政府投资建设项目基本建设程序，审核工程基本建设程序的合法性、及时性和完备性。</w:t>
      </w:r>
    </w:p>
    <w:p w14:paraId="5EEE0766">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（二）审核计算工程量，检查送审结算书的工程量是否符合规定的计算规则、是否准确。</w:t>
      </w:r>
    </w:p>
    <w:p w14:paraId="608DBBA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（三）对必须丈量的工程项目，要进行实地测量计算工程量。</w:t>
      </w:r>
    </w:p>
    <w:p w14:paraId="6C1D1F6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（四）检查分项工程预算定额选套是否合规，选用是否恰当。核实工程取费是否执行相应的计算基数和费率标准。核查设备、材料用量是否与定额含量或设计含量一致。</w:t>
      </w:r>
    </w:p>
    <w:p w14:paraId="2EDDFE2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（五）核查结算项目是否与设计施工图纸、施工竣工图纸相符。</w:t>
      </w:r>
    </w:p>
    <w:p w14:paraId="40DAAD79">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（六）审核设计变更和现场签证是否存在与招标范围项目重复计算的现象。</w:t>
      </w:r>
    </w:p>
    <w:p w14:paraId="2F5AB01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（七）审核有无实际施工中使用的材料的品种、规格、数量与所报送结算不一致的情况。</w:t>
      </w:r>
    </w:p>
    <w:p w14:paraId="72E50BB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为确保工程参建单位切实履行质量管理责任，各业务部门对设计、监理、施工和造价咨询等服务单位应施行单项目质量服务动态考评机制，动态考评基准分为100分，考评扣分按《设计单位质量服务考核表》（附件1）、《监理单位质量服务考核表》（附件2）、《施工单位质量服务考核表》（附件3）和《造价咨询单位质量服务考核表》（附件4）执行，一项目一表格。各业务实施部门在服务单位主要服务结束后两个月内完成对服务单位的考核评分，并将书面考核结果统一交局设施运管科备案。</w:t>
      </w:r>
    </w:p>
    <w:p w14:paraId="11ED0F6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（一）动态考评分在60分（含）以上的，该工程质量服务考核为合格；</w:t>
      </w:r>
    </w:p>
    <w:p w14:paraId="71696B85">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（二）动态考评分在60分以下的，该工程质量服务考核为不合格。</w:t>
      </w:r>
    </w:p>
    <w:p w14:paraId="5E93120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各业务部门需在具体项目的服务合同中对质量服务考核提出具体要求，同时在合同中列明若服务单位出现质量服务考核不合格的情形时，承诺接受相关处理（具体详见第十三条和第十四条）。</w:t>
      </w:r>
    </w:p>
    <w:p w14:paraId="09AE507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服务单位出现质量问题的，应根据具体质量问题和损失依照服务合同条款予以经济处罚。服务单位出现一次质量服务考核不合格的，由业务部门出具书面考核结果并附上相关佐证材料，经设施运管科复核认定无误后做出质量服务考核不合格的决定，同时约谈其相关负责人和责任人。</w:t>
      </w:r>
    </w:p>
    <w:p w14:paraId="68562D5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服务单位出现两次或以上工程质量服务考核不合格的，原则上应将其纳入“黑名单”管理，抄报行业行政主管部门扣减企业信用分值，同时该服务单位不得作为直接发包项目的推荐单位；该服务单位为我单位经公开招标形式确定的年度服务单位的，我单位可提前无责任解除与该服务单位的年度服务合同。</w:t>
      </w:r>
    </w:p>
    <w:p w14:paraId="0C25ECB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服务单位出现一次质量服务考核不合格的，应将书面决定送达该服务单位，服务单位如对考核有异议，应在收到书面考核决定之日起5个工作日内提出异议申请。申请材料须加盖单位公章，并提供相关证明材料。</w:t>
      </w:r>
    </w:p>
    <w:p w14:paraId="7AD97BD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在收到异议申请之日起7个工作日内组织调查处理并进行答复。考核决定经复核认定确有错误的，予以撤销；考核决定经复核认定无误的，予以维持。</w:t>
      </w:r>
    </w:p>
    <w:p w14:paraId="4E7435CD">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各业务部门负责人为工程质量管理第一责任人，项目责任人（项目管理人员）承担工程质量过程管理的主体责任。部门负责人和项目管理人员因工作失误、渎职、以权谋私导致在工程质量、进度、安全等方面造成不良影响或经济损失的，视情节轻重予以追责；违反党纪政纪的，给予党纪政纪处分；触犯法律的，移送司法机关处理。</w:t>
      </w:r>
    </w:p>
    <w:p w14:paraId="6701920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第十七条 对参与工程建设的其他单位主体，凡违反质量安全相关法律法规和本规定，出现严重质量问题、发生安全事故的，依法依规追究相关责任单位和相关责任人的责任。</w:t>
      </w:r>
    </w:p>
    <w:p w14:paraId="0B546F10">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第十八条 本规定自发文之日起施行，试行期为两年。</w:t>
      </w:r>
    </w:p>
    <w:p w14:paraId="08DE6B4F">
      <w:pPr>
        <w:keepNext w:val="0"/>
        <w:keepLines w:val="0"/>
        <w:pageBreakBefore w:val="0"/>
        <w:widowControl w:val="0"/>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color w:val="auto"/>
          <w:sz w:val="24"/>
          <w:szCs w:val="24"/>
          <w:highlight w:val="none"/>
        </w:rPr>
      </w:pPr>
    </w:p>
    <w:p w14:paraId="121E900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附件：1.设计单位质量服务考核表</w:t>
      </w:r>
    </w:p>
    <w:p w14:paraId="28BD1592">
      <w:pPr>
        <w:keepNext w:val="0"/>
        <w:keepLines w:val="0"/>
        <w:pageBreakBefore w:val="0"/>
        <w:widowControl w:val="0"/>
        <w:kinsoku/>
        <w:wordWrap/>
        <w:overflowPunct/>
        <w:topLinePunct w:val="0"/>
        <w:autoSpaceDE/>
        <w:autoSpaceDN/>
        <w:bidi w:val="0"/>
        <w:adjustRightInd/>
        <w:snapToGrid/>
        <w:spacing w:line="420" w:lineRule="exact"/>
        <w:ind w:left="0" w:lef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2.施工单位质量服务考核表</w:t>
      </w:r>
    </w:p>
    <w:p w14:paraId="2409A9BF">
      <w:pPr>
        <w:keepNext w:val="0"/>
        <w:keepLines w:val="0"/>
        <w:pageBreakBefore w:val="0"/>
        <w:widowControl w:val="0"/>
        <w:kinsoku/>
        <w:wordWrap/>
        <w:overflowPunct/>
        <w:topLinePunct w:val="0"/>
        <w:autoSpaceDE/>
        <w:autoSpaceDN/>
        <w:bidi w:val="0"/>
        <w:adjustRightInd/>
        <w:snapToGrid/>
        <w:spacing w:line="420" w:lineRule="exact"/>
        <w:ind w:left="0" w:lef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3.监理单位质量服务考核表</w:t>
      </w:r>
    </w:p>
    <w:p w14:paraId="0D60E45C">
      <w:pPr>
        <w:keepNext w:val="0"/>
        <w:keepLines w:val="0"/>
        <w:pageBreakBefore w:val="0"/>
        <w:widowControl w:val="0"/>
        <w:kinsoku/>
        <w:wordWrap/>
        <w:overflowPunct/>
        <w:topLinePunct w:val="0"/>
        <w:autoSpaceDE/>
        <w:autoSpaceDN/>
        <w:bidi w:val="0"/>
        <w:adjustRightInd/>
        <w:snapToGrid/>
        <w:spacing w:line="420" w:lineRule="exact"/>
        <w:ind w:left="0" w:leftChars="0" w:firstLine="720" w:firstLineChars="300"/>
        <w:textAlignment w:val="auto"/>
        <w:rPr>
          <w:rFonts w:ascii="仿宋" w:hAnsi="仿宋" w:eastAsia="仿宋" w:cs="仿宋"/>
          <w:color w:val="auto"/>
          <w:sz w:val="32"/>
          <w:highlight w:val="none"/>
        </w:rPr>
      </w:pPr>
      <w:r>
        <w:rPr>
          <w:rFonts w:hint="eastAsia" w:ascii="宋体" w:hAnsi="宋体" w:eastAsia="宋体" w:cs="宋体"/>
          <w:color w:val="auto"/>
          <w:sz w:val="24"/>
          <w:szCs w:val="24"/>
          <w:highlight w:val="none"/>
        </w:rPr>
        <w:t>4.造价咨询单位质量服务考核表</w:t>
      </w:r>
    </w:p>
    <w:p w14:paraId="65134874">
      <w:pPr>
        <w:spacing w:line="560" w:lineRule="exact"/>
        <w:rPr>
          <w:rFonts w:ascii="黑体" w:hAnsi="黑体" w:eastAsia="黑体" w:cs="黑体"/>
          <w:color w:val="auto"/>
          <w:sz w:val="32"/>
          <w:highlight w:val="none"/>
        </w:rPr>
      </w:pPr>
      <w:r>
        <w:rPr>
          <w:rFonts w:hint="eastAsia" w:ascii="黑体" w:hAnsi="黑体" w:eastAsia="黑体" w:cs="黑体"/>
          <w:color w:val="auto"/>
          <w:sz w:val="32"/>
          <w:highlight w:val="none"/>
        </w:rPr>
        <w:br w:type="page"/>
      </w:r>
      <w:r>
        <w:rPr>
          <w:rFonts w:hint="eastAsia" w:ascii="黑体" w:hAnsi="黑体" w:eastAsia="黑体" w:cs="黑体"/>
          <w:color w:val="auto"/>
          <w:sz w:val="32"/>
          <w:highlight w:val="none"/>
        </w:rPr>
        <w:t>附件1</w:t>
      </w:r>
    </w:p>
    <w:p w14:paraId="422F00F2">
      <w:pPr>
        <w:jc w:val="center"/>
        <w:rPr>
          <w:rFonts w:ascii="黑体" w:hAnsi="黑体" w:eastAsia="黑体" w:cs="黑体"/>
          <w:color w:val="auto"/>
          <w:sz w:val="36"/>
          <w:szCs w:val="44"/>
          <w:highlight w:val="none"/>
        </w:rPr>
      </w:pPr>
      <w:r>
        <w:rPr>
          <w:rFonts w:hint="eastAsia" w:ascii="黑体" w:hAnsi="黑体" w:eastAsia="黑体" w:cs="黑体"/>
          <w:color w:val="auto"/>
          <w:sz w:val="36"/>
          <w:szCs w:val="44"/>
          <w:highlight w:val="none"/>
        </w:rPr>
        <w:t>设计单位质量服务考核表</w:t>
      </w:r>
    </w:p>
    <w:p w14:paraId="77C16B12">
      <w:pPr>
        <w:spacing w:afterLines="20"/>
        <w:jc w:val="left"/>
        <w:rPr>
          <w:color w:val="auto"/>
          <w:sz w:val="24"/>
          <w:szCs w:val="32"/>
          <w:highlight w:val="none"/>
        </w:rPr>
      </w:pPr>
      <w:r>
        <w:rPr>
          <w:rFonts w:hint="eastAsia"/>
          <w:color w:val="auto"/>
          <w:sz w:val="24"/>
          <w:highlight w:val="none"/>
        </w:rPr>
        <w:t>填写部门（盖章）：                             填写时间：    年   月   日</w:t>
      </w:r>
    </w:p>
    <w:tbl>
      <w:tblPr>
        <w:tblStyle w:val="65"/>
        <w:tblW w:w="86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16"/>
        <w:gridCol w:w="2807"/>
        <w:gridCol w:w="1773"/>
        <w:gridCol w:w="709"/>
        <w:gridCol w:w="1118"/>
        <w:gridCol w:w="649"/>
      </w:tblGrid>
      <w:tr w14:paraId="12FA12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33" w:type="dxa"/>
            <w:gridSpan w:val="2"/>
            <w:tcBorders>
              <w:tl2br w:val="nil"/>
              <w:tr2bl w:val="nil"/>
            </w:tcBorders>
            <w:shd w:val="clear" w:color="auto" w:fill="FFFFFF"/>
            <w:noWrap w:val="0"/>
            <w:vAlign w:val="center"/>
          </w:tcPr>
          <w:p w14:paraId="43FB4C5D">
            <w:pPr>
              <w:jc w:val="center"/>
              <w:rPr>
                <w:color w:val="auto"/>
                <w:highlight w:val="none"/>
              </w:rPr>
            </w:pPr>
            <w:r>
              <w:rPr>
                <w:rFonts w:hint="eastAsia"/>
                <w:color w:val="auto"/>
                <w:sz w:val="22"/>
                <w:szCs w:val="28"/>
                <w:highlight w:val="none"/>
              </w:rPr>
              <w:t>项目名称</w:t>
            </w:r>
          </w:p>
        </w:tc>
        <w:tc>
          <w:tcPr>
            <w:tcW w:w="7056" w:type="dxa"/>
            <w:gridSpan w:val="5"/>
            <w:tcBorders>
              <w:tl2br w:val="nil"/>
              <w:tr2bl w:val="nil"/>
            </w:tcBorders>
            <w:shd w:val="clear" w:color="auto" w:fill="FFFFFF"/>
            <w:noWrap w:val="0"/>
            <w:vAlign w:val="center"/>
          </w:tcPr>
          <w:p w14:paraId="1D27EA10">
            <w:pPr>
              <w:jc w:val="center"/>
              <w:rPr>
                <w:color w:val="auto"/>
                <w:highlight w:val="none"/>
              </w:rPr>
            </w:pPr>
          </w:p>
        </w:tc>
      </w:tr>
      <w:tr w14:paraId="2EC9D4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33" w:type="dxa"/>
            <w:gridSpan w:val="2"/>
            <w:tcBorders>
              <w:tl2br w:val="nil"/>
              <w:tr2bl w:val="nil"/>
            </w:tcBorders>
            <w:shd w:val="clear" w:color="auto" w:fill="FFFFFF"/>
            <w:noWrap w:val="0"/>
            <w:vAlign w:val="center"/>
          </w:tcPr>
          <w:p w14:paraId="3E703B5D">
            <w:pPr>
              <w:jc w:val="center"/>
              <w:rPr>
                <w:color w:val="auto"/>
                <w:sz w:val="22"/>
                <w:szCs w:val="28"/>
                <w:highlight w:val="none"/>
              </w:rPr>
            </w:pPr>
            <w:r>
              <w:rPr>
                <w:rFonts w:hint="eastAsia"/>
                <w:color w:val="auto"/>
                <w:sz w:val="22"/>
                <w:szCs w:val="28"/>
                <w:highlight w:val="none"/>
              </w:rPr>
              <w:t>设计单位名称</w:t>
            </w:r>
          </w:p>
        </w:tc>
        <w:tc>
          <w:tcPr>
            <w:tcW w:w="7056" w:type="dxa"/>
            <w:gridSpan w:val="5"/>
            <w:tcBorders>
              <w:tl2br w:val="nil"/>
              <w:tr2bl w:val="nil"/>
            </w:tcBorders>
            <w:shd w:val="clear" w:color="auto" w:fill="FFFFFF"/>
            <w:noWrap w:val="0"/>
            <w:vAlign w:val="center"/>
          </w:tcPr>
          <w:p w14:paraId="5212AF13">
            <w:pPr>
              <w:jc w:val="center"/>
              <w:rPr>
                <w:color w:val="auto"/>
                <w:highlight w:val="none"/>
              </w:rPr>
            </w:pPr>
          </w:p>
        </w:tc>
      </w:tr>
      <w:tr w14:paraId="37A65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633" w:type="dxa"/>
            <w:gridSpan w:val="2"/>
            <w:tcBorders>
              <w:bottom w:val="double" w:color="auto" w:sz="4" w:space="0"/>
              <w:tl2br w:val="nil"/>
              <w:tr2bl w:val="nil"/>
            </w:tcBorders>
            <w:shd w:val="clear" w:color="auto" w:fill="FFFFFF"/>
            <w:noWrap w:val="0"/>
            <w:vAlign w:val="center"/>
          </w:tcPr>
          <w:p w14:paraId="567C3CA2">
            <w:pPr>
              <w:jc w:val="center"/>
              <w:rPr>
                <w:color w:val="auto"/>
                <w:sz w:val="22"/>
                <w:szCs w:val="28"/>
                <w:highlight w:val="none"/>
              </w:rPr>
            </w:pPr>
            <w:r>
              <w:rPr>
                <w:rFonts w:hint="eastAsia"/>
                <w:color w:val="auto"/>
                <w:sz w:val="22"/>
                <w:szCs w:val="28"/>
                <w:highlight w:val="none"/>
              </w:rPr>
              <w:t>项目责任人</w:t>
            </w:r>
          </w:p>
          <w:p w14:paraId="500A9CF5">
            <w:pPr>
              <w:jc w:val="center"/>
              <w:rPr>
                <w:color w:val="auto"/>
                <w:sz w:val="22"/>
                <w:szCs w:val="28"/>
                <w:highlight w:val="none"/>
              </w:rPr>
            </w:pPr>
            <w:r>
              <w:rPr>
                <w:rFonts w:hint="eastAsia"/>
                <w:color w:val="auto"/>
                <w:sz w:val="22"/>
                <w:szCs w:val="28"/>
                <w:highlight w:val="none"/>
              </w:rPr>
              <w:t>（签名）</w:t>
            </w:r>
          </w:p>
        </w:tc>
        <w:tc>
          <w:tcPr>
            <w:tcW w:w="2807" w:type="dxa"/>
            <w:tcBorders>
              <w:bottom w:val="double" w:color="auto" w:sz="4" w:space="0"/>
              <w:tl2br w:val="nil"/>
              <w:tr2bl w:val="nil"/>
            </w:tcBorders>
            <w:shd w:val="clear" w:color="auto" w:fill="FFFFFF"/>
            <w:noWrap w:val="0"/>
            <w:vAlign w:val="center"/>
          </w:tcPr>
          <w:p w14:paraId="3CAFBFA8">
            <w:pPr>
              <w:jc w:val="left"/>
              <w:rPr>
                <w:color w:val="auto"/>
                <w:highlight w:val="none"/>
              </w:rPr>
            </w:pPr>
          </w:p>
          <w:p w14:paraId="32167D20">
            <w:pPr>
              <w:jc w:val="center"/>
              <w:rPr>
                <w:color w:val="auto"/>
                <w:highlight w:val="none"/>
              </w:rPr>
            </w:pPr>
          </w:p>
        </w:tc>
        <w:tc>
          <w:tcPr>
            <w:tcW w:w="1773" w:type="dxa"/>
            <w:tcBorders>
              <w:bottom w:val="double" w:color="auto" w:sz="4" w:space="0"/>
              <w:tl2br w:val="nil"/>
              <w:tr2bl w:val="nil"/>
            </w:tcBorders>
            <w:shd w:val="clear" w:color="auto" w:fill="FFFFFF"/>
            <w:noWrap w:val="0"/>
            <w:vAlign w:val="center"/>
          </w:tcPr>
          <w:p w14:paraId="0AC886E4">
            <w:pPr>
              <w:jc w:val="center"/>
              <w:rPr>
                <w:color w:val="auto"/>
                <w:sz w:val="22"/>
                <w:szCs w:val="28"/>
                <w:highlight w:val="none"/>
              </w:rPr>
            </w:pPr>
            <w:r>
              <w:rPr>
                <w:rFonts w:hint="eastAsia"/>
                <w:color w:val="auto"/>
                <w:sz w:val="22"/>
                <w:szCs w:val="28"/>
                <w:highlight w:val="none"/>
              </w:rPr>
              <w:t>部门负责人</w:t>
            </w:r>
          </w:p>
          <w:p w14:paraId="0F7F369C">
            <w:pPr>
              <w:jc w:val="center"/>
              <w:rPr>
                <w:color w:val="auto"/>
                <w:highlight w:val="none"/>
              </w:rPr>
            </w:pPr>
            <w:r>
              <w:rPr>
                <w:rFonts w:hint="eastAsia"/>
                <w:color w:val="auto"/>
                <w:sz w:val="22"/>
                <w:szCs w:val="28"/>
                <w:highlight w:val="none"/>
              </w:rPr>
              <w:t>（签名）</w:t>
            </w:r>
          </w:p>
        </w:tc>
        <w:tc>
          <w:tcPr>
            <w:tcW w:w="2476" w:type="dxa"/>
            <w:gridSpan w:val="3"/>
            <w:tcBorders>
              <w:bottom w:val="double" w:color="auto" w:sz="4" w:space="0"/>
              <w:tl2br w:val="nil"/>
              <w:tr2bl w:val="nil"/>
            </w:tcBorders>
            <w:shd w:val="clear" w:color="auto" w:fill="FFFFFF"/>
            <w:noWrap w:val="0"/>
            <w:vAlign w:val="center"/>
          </w:tcPr>
          <w:p w14:paraId="744FA620">
            <w:pPr>
              <w:jc w:val="center"/>
              <w:rPr>
                <w:color w:val="auto"/>
                <w:highlight w:val="none"/>
              </w:rPr>
            </w:pPr>
          </w:p>
        </w:tc>
      </w:tr>
      <w:tr w14:paraId="1AD6D2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89" w:type="dxa"/>
            <w:gridSpan w:val="7"/>
            <w:tcBorders>
              <w:top w:val="double" w:color="auto" w:sz="4" w:space="0"/>
              <w:bottom w:val="double" w:color="auto" w:sz="4" w:space="0"/>
            </w:tcBorders>
            <w:shd w:val="clear" w:color="auto" w:fill="FFFFFF"/>
            <w:noWrap w:val="0"/>
            <w:vAlign w:val="center"/>
          </w:tcPr>
          <w:p w14:paraId="0D90A504">
            <w:pPr>
              <w:jc w:val="center"/>
              <w:rPr>
                <w:color w:val="auto"/>
                <w:highlight w:val="none"/>
              </w:rPr>
            </w:pPr>
            <w:r>
              <w:rPr>
                <w:rFonts w:hint="eastAsia"/>
                <w:b/>
                <w:bCs/>
                <w:color w:val="auto"/>
                <w:sz w:val="26"/>
                <w:szCs w:val="26"/>
                <w:highlight w:val="none"/>
              </w:rPr>
              <w:t>质量服务考核情况</w:t>
            </w:r>
          </w:p>
        </w:tc>
      </w:tr>
      <w:tr w14:paraId="50C8B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717" w:type="dxa"/>
            <w:tcBorders>
              <w:tl2br w:val="nil"/>
              <w:tr2bl w:val="nil"/>
            </w:tcBorders>
            <w:shd w:val="clear" w:color="auto" w:fill="FFFFFF"/>
            <w:noWrap w:val="0"/>
            <w:vAlign w:val="center"/>
          </w:tcPr>
          <w:p w14:paraId="4B24ACD3">
            <w:pPr>
              <w:jc w:val="center"/>
              <w:rPr>
                <w:color w:val="auto"/>
                <w:szCs w:val="21"/>
                <w:highlight w:val="none"/>
              </w:rPr>
            </w:pPr>
            <w:r>
              <w:rPr>
                <w:rFonts w:hint="eastAsia"/>
                <w:color w:val="auto"/>
                <w:szCs w:val="21"/>
                <w:highlight w:val="none"/>
              </w:rPr>
              <w:t>序号</w:t>
            </w:r>
          </w:p>
        </w:tc>
        <w:tc>
          <w:tcPr>
            <w:tcW w:w="6205" w:type="dxa"/>
            <w:gridSpan w:val="4"/>
            <w:tcBorders>
              <w:tl2br w:val="nil"/>
              <w:tr2bl w:val="nil"/>
            </w:tcBorders>
            <w:shd w:val="clear" w:color="auto" w:fill="FFFFFF"/>
            <w:noWrap w:val="0"/>
            <w:vAlign w:val="center"/>
          </w:tcPr>
          <w:p w14:paraId="497B5DFF">
            <w:pPr>
              <w:jc w:val="center"/>
              <w:rPr>
                <w:color w:val="auto"/>
                <w:szCs w:val="21"/>
                <w:highlight w:val="none"/>
              </w:rPr>
            </w:pPr>
            <w:r>
              <w:rPr>
                <w:rFonts w:hint="eastAsia"/>
                <w:color w:val="auto"/>
                <w:szCs w:val="21"/>
                <w:highlight w:val="none"/>
              </w:rPr>
              <w:t>扣分细则</w:t>
            </w:r>
          </w:p>
        </w:tc>
        <w:tc>
          <w:tcPr>
            <w:tcW w:w="1118" w:type="dxa"/>
            <w:tcBorders>
              <w:tl2br w:val="nil"/>
              <w:tr2bl w:val="nil"/>
            </w:tcBorders>
            <w:shd w:val="clear" w:color="auto" w:fill="FFFFFF"/>
            <w:noWrap w:val="0"/>
            <w:vAlign w:val="center"/>
          </w:tcPr>
          <w:p w14:paraId="137B1A8A">
            <w:pPr>
              <w:jc w:val="center"/>
              <w:rPr>
                <w:color w:val="auto"/>
                <w:szCs w:val="21"/>
                <w:highlight w:val="none"/>
              </w:rPr>
            </w:pPr>
            <w:r>
              <w:rPr>
                <w:rFonts w:hint="eastAsia"/>
                <w:color w:val="auto"/>
                <w:szCs w:val="21"/>
                <w:highlight w:val="none"/>
              </w:rPr>
              <w:t>扣分标准</w:t>
            </w:r>
          </w:p>
        </w:tc>
        <w:tc>
          <w:tcPr>
            <w:tcW w:w="649" w:type="dxa"/>
            <w:tcBorders>
              <w:tl2br w:val="nil"/>
              <w:tr2bl w:val="nil"/>
            </w:tcBorders>
            <w:shd w:val="clear" w:color="auto" w:fill="FFFFFF"/>
            <w:noWrap w:val="0"/>
            <w:vAlign w:val="center"/>
          </w:tcPr>
          <w:p w14:paraId="53886D67">
            <w:pPr>
              <w:jc w:val="center"/>
              <w:rPr>
                <w:color w:val="auto"/>
                <w:szCs w:val="21"/>
                <w:highlight w:val="none"/>
              </w:rPr>
            </w:pPr>
            <w:r>
              <w:rPr>
                <w:rFonts w:hint="eastAsia"/>
                <w:color w:val="auto"/>
                <w:szCs w:val="21"/>
                <w:highlight w:val="none"/>
              </w:rPr>
              <w:t>扣分</w:t>
            </w:r>
          </w:p>
        </w:tc>
      </w:tr>
      <w:tr w14:paraId="3CDC8F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95D5390">
            <w:pPr>
              <w:jc w:val="center"/>
              <w:rPr>
                <w:color w:val="auto"/>
                <w:szCs w:val="21"/>
                <w:highlight w:val="none"/>
              </w:rPr>
            </w:pPr>
            <w:r>
              <w:rPr>
                <w:rFonts w:hint="eastAsia"/>
                <w:color w:val="auto"/>
                <w:szCs w:val="21"/>
                <w:highlight w:val="none"/>
              </w:rPr>
              <w:t>1</w:t>
            </w:r>
          </w:p>
        </w:tc>
        <w:tc>
          <w:tcPr>
            <w:tcW w:w="6205" w:type="dxa"/>
            <w:gridSpan w:val="4"/>
            <w:tcBorders>
              <w:tl2br w:val="nil"/>
              <w:tr2bl w:val="nil"/>
            </w:tcBorders>
            <w:shd w:val="clear" w:color="auto" w:fill="FFFFFF"/>
            <w:noWrap w:val="0"/>
            <w:vAlign w:val="center"/>
          </w:tcPr>
          <w:p w14:paraId="6A409580">
            <w:pPr>
              <w:jc w:val="left"/>
              <w:rPr>
                <w:color w:val="auto"/>
                <w:szCs w:val="21"/>
                <w:highlight w:val="none"/>
              </w:rPr>
            </w:pPr>
            <w:r>
              <w:rPr>
                <w:rFonts w:hint="eastAsia"/>
                <w:color w:val="auto"/>
                <w:szCs w:val="21"/>
                <w:highlight w:val="none"/>
              </w:rPr>
              <w:t>未按合同约定配备相对应的项目负责人和各专业负责人，技术人员数量、资质、职务、职称、技术能力等任意一项不足的</w:t>
            </w:r>
          </w:p>
        </w:tc>
        <w:tc>
          <w:tcPr>
            <w:tcW w:w="1118" w:type="dxa"/>
            <w:tcBorders>
              <w:tl2br w:val="nil"/>
              <w:tr2bl w:val="nil"/>
            </w:tcBorders>
            <w:shd w:val="clear" w:color="auto" w:fill="FFFFFF"/>
            <w:noWrap w:val="0"/>
            <w:vAlign w:val="center"/>
          </w:tcPr>
          <w:p w14:paraId="07D094FD">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3602BBD7">
            <w:pPr>
              <w:jc w:val="center"/>
              <w:rPr>
                <w:color w:val="auto"/>
                <w:szCs w:val="21"/>
                <w:highlight w:val="none"/>
              </w:rPr>
            </w:pPr>
          </w:p>
        </w:tc>
      </w:tr>
      <w:tr w14:paraId="6838A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FFFFFF"/>
            <w:noWrap w:val="0"/>
            <w:vAlign w:val="center"/>
          </w:tcPr>
          <w:p w14:paraId="09BB4E5E">
            <w:pPr>
              <w:jc w:val="center"/>
              <w:rPr>
                <w:color w:val="auto"/>
                <w:szCs w:val="21"/>
                <w:highlight w:val="none"/>
              </w:rPr>
            </w:pPr>
            <w:r>
              <w:rPr>
                <w:rFonts w:hint="eastAsia"/>
                <w:color w:val="auto"/>
                <w:szCs w:val="21"/>
                <w:highlight w:val="none"/>
              </w:rPr>
              <w:t>2</w:t>
            </w:r>
          </w:p>
        </w:tc>
        <w:tc>
          <w:tcPr>
            <w:tcW w:w="6205" w:type="dxa"/>
            <w:gridSpan w:val="4"/>
            <w:tcBorders>
              <w:tl2br w:val="nil"/>
              <w:tr2bl w:val="nil"/>
            </w:tcBorders>
            <w:shd w:val="clear" w:color="auto" w:fill="FFFFFF"/>
            <w:noWrap w:val="0"/>
            <w:vAlign w:val="center"/>
          </w:tcPr>
          <w:p w14:paraId="1639B351">
            <w:pPr>
              <w:jc w:val="left"/>
              <w:rPr>
                <w:color w:val="auto"/>
                <w:szCs w:val="21"/>
                <w:highlight w:val="none"/>
              </w:rPr>
            </w:pPr>
            <w:r>
              <w:rPr>
                <w:rFonts w:hint="eastAsia"/>
                <w:color w:val="auto"/>
                <w:szCs w:val="21"/>
                <w:highlight w:val="none"/>
              </w:rPr>
              <w:t>在方案、初步设计和施工图阶段，非客观因素和建设单位原因的前提下未按合同约定时间及时提交成果的</w:t>
            </w:r>
          </w:p>
        </w:tc>
        <w:tc>
          <w:tcPr>
            <w:tcW w:w="1118" w:type="dxa"/>
            <w:tcBorders>
              <w:tl2br w:val="nil"/>
              <w:tr2bl w:val="nil"/>
            </w:tcBorders>
            <w:shd w:val="clear" w:color="auto" w:fill="FFFFFF"/>
            <w:noWrap w:val="0"/>
            <w:vAlign w:val="center"/>
          </w:tcPr>
          <w:p w14:paraId="7A00A806">
            <w:pPr>
              <w:jc w:val="center"/>
              <w:rPr>
                <w:color w:val="auto"/>
                <w:szCs w:val="21"/>
                <w:highlight w:val="none"/>
              </w:rPr>
            </w:pPr>
            <w:r>
              <w:rPr>
                <w:rFonts w:hint="eastAsia"/>
                <w:color w:val="auto"/>
                <w:szCs w:val="21"/>
                <w:highlight w:val="none"/>
              </w:rPr>
              <w:t>10分/次</w:t>
            </w:r>
          </w:p>
        </w:tc>
        <w:tc>
          <w:tcPr>
            <w:tcW w:w="649" w:type="dxa"/>
            <w:tcBorders>
              <w:tl2br w:val="nil"/>
              <w:tr2bl w:val="nil"/>
            </w:tcBorders>
            <w:shd w:val="clear" w:color="auto" w:fill="FFFFFF"/>
            <w:noWrap w:val="0"/>
            <w:vAlign w:val="center"/>
          </w:tcPr>
          <w:p w14:paraId="18D60F78">
            <w:pPr>
              <w:jc w:val="center"/>
              <w:rPr>
                <w:color w:val="auto"/>
                <w:szCs w:val="21"/>
                <w:highlight w:val="none"/>
              </w:rPr>
            </w:pPr>
          </w:p>
        </w:tc>
      </w:tr>
      <w:tr w14:paraId="06645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83CDB33">
            <w:pPr>
              <w:jc w:val="center"/>
              <w:rPr>
                <w:color w:val="auto"/>
                <w:szCs w:val="21"/>
                <w:highlight w:val="none"/>
              </w:rPr>
            </w:pPr>
            <w:r>
              <w:rPr>
                <w:rFonts w:hint="eastAsia"/>
                <w:color w:val="auto"/>
                <w:szCs w:val="21"/>
                <w:highlight w:val="none"/>
              </w:rPr>
              <w:t>3</w:t>
            </w:r>
          </w:p>
        </w:tc>
        <w:tc>
          <w:tcPr>
            <w:tcW w:w="6205" w:type="dxa"/>
            <w:gridSpan w:val="4"/>
            <w:tcBorders>
              <w:tl2br w:val="nil"/>
              <w:tr2bl w:val="nil"/>
            </w:tcBorders>
            <w:shd w:val="clear" w:color="auto" w:fill="FFFFFF"/>
            <w:noWrap w:val="0"/>
            <w:vAlign w:val="center"/>
          </w:tcPr>
          <w:p w14:paraId="35323577">
            <w:pPr>
              <w:jc w:val="left"/>
              <w:rPr>
                <w:color w:val="auto"/>
                <w:szCs w:val="21"/>
                <w:highlight w:val="none"/>
              </w:rPr>
            </w:pPr>
            <w:r>
              <w:rPr>
                <w:rFonts w:hint="eastAsia"/>
                <w:color w:val="auto"/>
                <w:szCs w:val="21"/>
                <w:highlight w:val="none"/>
              </w:rPr>
              <w:t>初步设计概算超可行性研究报告投资估算10%的（政府要求增加及材料价差引起的除外）</w:t>
            </w:r>
          </w:p>
        </w:tc>
        <w:tc>
          <w:tcPr>
            <w:tcW w:w="1118" w:type="dxa"/>
            <w:tcBorders>
              <w:tl2br w:val="nil"/>
              <w:tr2bl w:val="nil"/>
            </w:tcBorders>
            <w:shd w:val="clear" w:color="auto" w:fill="FFFFFF"/>
            <w:noWrap w:val="0"/>
            <w:vAlign w:val="center"/>
          </w:tcPr>
          <w:p w14:paraId="6644426A">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268F9536">
            <w:pPr>
              <w:jc w:val="center"/>
              <w:rPr>
                <w:color w:val="auto"/>
                <w:szCs w:val="21"/>
                <w:highlight w:val="none"/>
              </w:rPr>
            </w:pPr>
          </w:p>
        </w:tc>
      </w:tr>
      <w:tr w14:paraId="541B52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3F977999">
            <w:pPr>
              <w:jc w:val="center"/>
              <w:rPr>
                <w:color w:val="auto"/>
                <w:szCs w:val="21"/>
                <w:highlight w:val="none"/>
              </w:rPr>
            </w:pPr>
            <w:r>
              <w:rPr>
                <w:rFonts w:hint="eastAsia"/>
                <w:color w:val="auto"/>
                <w:szCs w:val="21"/>
                <w:highlight w:val="none"/>
              </w:rPr>
              <w:t>4</w:t>
            </w:r>
          </w:p>
        </w:tc>
        <w:tc>
          <w:tcPr>
            <w:tcW w:w="6205" w:type="dxa"/>
            <w:gridSpan w:val="4"/>
            <w:tcBorders>
              <w:tl2br w:val="nil"/>
              <w:tr2bl w:val="nil"/>
            </w:tcBorders>
            <w:shd w:val="clear" w:color="auto" w:fill="FFFFFF"/>
            <w:noWrap w:val="0"/>
            <w:vAlign w:val="center"/>
          </w:tcPr>
          <w:p w14:paraId="77DB5836">
            <w:pPr>
              <w:jc w:val="left"/>
              <w:rPr>
                <w:color w:val="auto"/>
                <w:szCs w:val="21"/>
                <w:highlight w:val="none"/>
              </w:rPr>
            </w:pPr>
            <w:r>
              <w:rPr>
                <w:rFonts w:hint="eastAsia"/>
                <w:color w:val="auto"/>
                <w:szCs w:val="21"/>
                <w:highlight w:val="none"/>
              </w:rPr>
              <w:t>施工图预算超过初步设计批复概算工程费的（材料价差引起的除外）</w:t>
            </w:r>
          </w:p>
        </w:tc>
        <w:tc>
          <w:tcPr>
            <w:tcW w:w="1118" w:type="dxa"/>
            <w:tcBorders>
              <w:tl2br w:val="nil"/>
              <w:tr2bl w:val="nil"/>
            </w:tcBorders>
            <w:shd w:val="clear" w:color="auto" w:fill="FFFFFF"/>
            <w:noWrap w:val="0"/>
            <w:vAlign w:val="center"/>
          </w:tcPr>
          <w:p w14:paraId="0BB883E9">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6584DC9F">
            <w:pPr>
              <w:jc w:val="center"/>
              <w:rPr>
                <w:color w:val="auto"/>
                <w:szCs w:val="21"/>
                <w:highlight w:val="none"/>
              </w:rPr>
            </w:pPr>
          </w:p>
        </w:tc>
      </w:tr>
      <w:tr w14:paraId="232EB2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35713786">
            <w:pPr>
              <w:jc w:val="center"/>
              <w:rPr>
                <w:color w:val="auto"/>
                <w:szCs w:val="21"/>
                <w:highlight w:val="none"/>
              </w:rPr>
            </w:pPr>
            <w:r>
              <w:rPr>
                <w:rFonts w:hint="eastAsia"/>
                <w:color w:val="auto"/>
                <w:szCs w:val="21"/>
                <w:highlight w:val="none"/>
              </w:rPr>
              <w:t>5</w:t>
            </w:r>
          </w:p>
        </w:tc>
        <w:tc>
          <w:tcPr>
            <w:tcW w:w="6205" w:type="dxa"/>
            <w:gridSpan w:val="4"/>
            <w:tcBorders>
              <w:tl2br w:val="nil"/>
              <w:tr2bl w:val="nil"/>
            </w:tcBorders>
            <w:shd w:val="clear" w:color="auto" w:fill="FFFFFF"/>
            <w:noWrap w:val="0"/>
            <w:vAlign w:val="center"/>
          </w:tcPr>
          <w:p w14:paraId="7A3AC4AF">
            <w:pPr>
              <w:jc w:val="left"/>
              <w:rPr>
                <w:color w:val="auto"/>
                <w:szCs w:val="21"/>
                <w:highlight w:val="none"/>
              </w:rPr>
            </w:pPr>
            <w:r>
              <w:rPr>
                <w:rFonts w:hint="eastAsia"/>
                <w:color w:val="auto"/>
                <w:szCs w:val="21"/>
                <w:highlight w:val="none"/>
              </w:rPr>
              <w:t>未按批复的初步设计进行施工图设计的</w:t>
            </w:r>
          </w:p>
        </w:tc>
        <w:tc>
          <w:tcPr>
            <w:tcW w:w="1118" w:type="dxa"/>
            <w:tcBorders>
              <w:tl2br w:val="nil"/>
              <w:tr2bl w:val="nil"/>
            </w:tcBorders>
            <w:shd w:val="clear" w:color="auto" w:fill="FFFFFF"/>
            <w:noWrap w:val="0"/>
            <w:vAlign w:val="center"/>
          </w:tcPr>
          <w:p w14:paraId="2308BD0D">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52993341">
            <w:pPr>
              <w:jc w:val="center"/>
              <w:rPr>
                <w:color w:val="auto"/>
                <w:szCs w:val="21"/>
                <w:highlight w:val="none"/>
              </w:rPr>
            </w:pPr>
          </w:p>
        </w:tc>
      </w:tr>
      <w:tr w14:paraId="4E2B99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72F23CAB">
            <w:pPr>
              <w:jc w:val="center"/>
              <w:rPr>
                <w:color w:val="auto"/>
                <w:szCs w:val="21"/>
                <w:highlight w:val="none"/>
              </w:rPr>
            </w:pPr>
            <w:r>
              <w:rPr>
                <w:rFonts w:hint="eastAsia"/>
                <w:color w:val="auto"/>
                <w:szCs w:val="21"/>
                <w:highlight w:val="none"/>
              </w:rPr>
              <w:t>6</w:t>
            </w:r>
          </w:p>
        </w:tc>
        <w:tc>
          <w:tcPr>
            <w:tcW w:w="6205" w:type="dxa"/>
            <w:gridSpan w:val="4"/>
            <w:tcBorders>
              <w:tl2br w:val="nil"/>
              <w:tr2bl w:val="nil"/>
            </w:tcBorders>
            <w:shd w:val="clear" w:color="auto" w:fill="FFFFFF"/>
            <w:noWrap w:val="0"/>
            <w:vAlign w:val="center"/>
          </w:tcPr>
          <w:p w14:paraId="1C495478">
            <w:pPr>
              <w:jc w:val="left"/>
              <w:rPr>
                <w:color w:val="auto"/>
                <w:szCs w:val="21"/>
                <w:highlight w:val="none"/>
              </w:rPr>
            </w:pPr>
            <w:r>
              <w:rPr>
                <w:rFonts w:hint="eastAsia"/>
                <w:color w:val="auto"/>
                <w:szCs w:val="21"/>
                <w:highlight w:val="none"/>
              </w:rPr>
              <w:t>施工图设计文件存在重大缺漏错项，导致设计变更涉及增加金额超10万人民币的或其他严重后果的</w:t>
            </w:r>
          </w:p>
        </w:tc>
        <w:tc>
          <w:tcPr>
            <w:tcW w:w="1118" w:type="dxa"/>
            <w:tcBorders>
              <w:tl2br w:val="nil"/>
              <w:tr2bl w:val="nil"/>
            </w:tcBorders>
            <w:shd w:val="clear" w:color="auto" w:fill="FFFFFF"/>
            <w:noWrap w:val="0"/>
            <w:vAlign w:val="center"/>
          </w:tcPr>
          <w:p w14:paraId="54E8F9E5">
            <w:pPr>
              <w:jc w:val="center"/>
              <w:rPr>
                <w:color w:val="auto"/>
                <w:szCs w:val="21"/>
                <w:highlight w:val="none"/>
              </w:rPr>
            </w:pPr>
            <w:r>
              <w:rPr>
                <w:rFonts w:hint="eastAsia"/>
                <w:color w:val="auto"/>
                <w:szCs w:val="21"/>
                <w:highlight w:val="none"/>
              </w:rPr>
              <w:t>10分/次</w:t>
            </w:r>
          </w:p>
        </w:tc>
        <w:tc>
          <w:tcPr>
            <w:tcW w:w="649" w:type="dxa"/>
            <w:tcBorders>
              <w:tl2br w:val="nil"/>
              <w:tr2bl w:val="nil"/>
            </w:tcBorders>
            <w:shd w:val="clear" w:color="auto" w:fill="FFFFFF"/>
            <w:noWrap w:val="0"/>
            <w:vAlign w:val="center"/>
          </w:tcPr>
          <w:p w14:paraId="067F8A32">
            <w:pPr>
              <w:jc w:val="center"/>
              <w:rPr>
                <w:color w:val="auto"/>
                <w:szCs w:val="21"/>
                <w:highlight w:val="none"/>
              </w:rPr>
            </w:pPr>
          </w:p>
        </w:tc>
      </w:tr>
      <w:tr w14:paraId="50AE9B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7D4CF765">
            <w:pPr>
              <w:jc w:val="center"/>
              <w:rPr>
                <w:color w:val="auto"/>
                <w:szCs w:val="21"/>
                <w:highlight w:val="none"/>
              </w:rPr>
            </w:pPr>
            <w:r>
              <w:rPr>
                <w:rFonts w:hint="eastAsia"/>
                <w:color w:val="auto"/>
                <w:szCs w:val="21"/>
                <w:highlight w:val="none"/>
              </w:rPr>
              <w:t>7</w:t>
            </w:r>
          </w:p>
        </w:tc>
        <w:tc>
          <w:tcPr>
            <w:tcW w:w="6205" w:type="dxa"/>
            <w:gridSpan w:val="4"/>
            <w:tcBorders>
              <w:tl2br w:val="nil"/>
              <w:tr2bl w:val="nil"/>
            </w:tcBorders>
            <w:shd w:val="clear" w:color="auto" w:fill="FFFFFF"/>
            <w:noWrap w:val="0"/>
            <w:vAlign w:val="center"/>
          </w:tcPr>
          <w:p w14:paraId="302BA0C5">
            <w:pPr>
              <w:jc w:val="left"/>
              <w:rPr>
                <w:color w:val="auto"/>
                <w:szCs w:val="21"/>
                <w:highlight w:val="none"/>
              </w:rPr>
            </w:pPr>
            <w:r>
              <w:rPr>
                <w:rFonts w:hint="eastAsia"/>
                <w:color w:val="auto"/>
                <w:szCs w:val="21"/>
                <w:highlight w:val="none"/>
              </w:rPr>
              <w:t>成果文件未加盖单位资质印章或注册师执业印章，没有责任人签字或者签字不全、不规范的</w:t>
            </w:r>
          </w:p>
        </w:tc>
        <w:tc>
          <w:tcPr>
            <w:tcW w:w="1118" w:type="dxa"/>
            <w:tcBorders>
              <w:tl2br w:val="nil"/>
              <w:tr2bl w:val="nil"/>
            </w:tcBorders>
            <w:shd w:val="clear" w:color="auto" w:fill="FFFFFF"/>
            <w:noWrap w:val="0"/>
            <w:vAlign w:val="center"/>
          </w:tcPr>
          <w:p w14:paraId="761E0BC9">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0F217286">
            <w:pPr>
              <w:jc w:val="center"/>
              <w:rPr>
                <w:color w:val="auto"/>
                <w:szCs w:val="21"/>
                <w:highlight w:val="none"/>
              </w:rPr>
            </w:pPr>
          </w:p>
        </w:tc>
      </w:tr>
      <w:tr w14:paraId="2166CC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2AD84FB">
            <w:pPr>
              <w:jc w:val="center"/>
              <w:rPr>
                <w:color w:val="auto"/>
                <w:szCs w:val="21"/>
                <w:highlight w:val="none"/>
              </w:rPr>
            </w:pPr>
            <w:r>
              <w:rPr>
                <w:rFonts w:hint="eastAsia"/>
                <w:color w:val="auto"/>
                <w:szCs w:val="21"/>
                <w:highlight w:val="none"/>
              </w:rPr>
              <w:t>8</w:t>
            </w:r>
          </w:p>
        </w:tc>
        <w:tc>
          <w:tcPr>
            <w:tcW w:w="6205" w:type="dxa"/>
            <w:gridSpan w:val="4"/>
            <w:tcBorders>
              <w:tl2br w:val="nil"/>
              <w:tr2bl w:val="nil"/>
            </w:tcBorders>
            <w:shd w:val="clear" w:color="auto" w:fill="FFFFFF"/>
            <w:noWrap w:val="0"/>
            <w:vAlign w:val="center"/>
          </w:tcPr>
          <w:p w14:paraId="411165C1">
            <w:pPr>
              <w:jc w:val="left"/>
              <w:rPr>
                <w:color w:val="auto"/>
                <w:szCs w:val="21"/>
                <w:highlight w:val="none"/>
              </w:rPr>
            </w:pPr>
            <w:r>
              <w:rPr>
                <w:rFonts w:hint="eastAsia"/>
                <w:color w:val="auto"/>
                <w:szCs w:val="21"/>
                <w:highlight w:val="none"/>
              </w:rPr>
              <w:t>未经建设单位同意随意更换设计相关负责人的</w:t>
            </w:r>
          </w:p>
        </w:tc>
        <w:tc>
          <w:tcPr>
            <w:tcW w:w="1118" w:type="dxa"/>
            <w:tcBorders>
              <w:tl2br w:val="nil"/>
              <w:tr2bl w:val="nil"/>
            </w:tcBorders>
            <w:shd w:val="clear" w:color="auto" w:fill="FFFFFF"/>
            <w:noWrap w:val="0"/>
            <w:vAlign w:val="center"/>
          </w:tcPr>
          <w:p w14:paraId="5DA165AD">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45167EAA">
            <w:pPr>
              <w:jc w:val="center"/>
              <w:rPr>
                <w:color w:val="auto"/>
                <w:szCs w:val="21"/>
                <w:highlight w:val="none"/>
              </w:rPr>
            </w:pPr>
          </w:p>
        </w:tc>
      </w:tr>
      <w:tr w14:paraId="2875F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17" w:type="dxa"/>
            <w:tcBorders>
              <w:tl2br w:val="nil"/>
              <w:tr2bl w:val="nil"/>
            </w:tcBorders>
            <w:shd w:val="clear" w:color="auto" w:fill="FFFFFF"/>
            <w:noWrap w:val="0"/>
            <w:vAlign w:val="center"/>
          </w:tcPr>
          <w:p w14:paraId="1B86C8CC">
            <w:pPr>
              <w:jc w:val="center"/>
              <w:rPr>
                <w:color w:val="auto"/>
                <w:szCs w:val="21"/>
                <w:highlight w:val="none"/>
              </w:rPr>
            </w:pPr>
            <w:r>
              <w:rPr>
                <w:rFonts w:hint="eastAsia"/>
                <w:color w:val="auto"/>
                <w:szCs w:val="21"/>
                <w:highlight w:val="none"/>
              </w:rPr>
              <w:t>9</w:t>
            </w:r>
          </w:p>
        </w:tc>
        <w:tc>
          <w:tcPr>
            <w:tcW w:w="6205" w:type="dxa"/>
            <w:gridSpan w:val="4"/>
            <w:tcBorders>
              <w:tl2br w:val="nil"/>
              <w:tr2bl w:val="nil"/>
            </w:tcBorders>
            <w:shd w:val="clear" w:color="auto" w:fill="FFFFFF"/>
            <w:noWrap w:val="0"/>
            <w:vAlign w:val="center"/>
          </w:tcPr>
          <w:p w14:paraId="2629CC79">
            <w:pPr>
              <w:jc w:val="left"/>
              <w:rPr>
                <w:color w:val="auto"/>
                <w:szCs w:val="21"/>
                <w:highlight w:val="none"/>
              </w:rPr>
            </w:pPr>
            <w:r>
              <w:rPr>
                <w:rFonts w:hint="eastAsia"/>
                <w:color w:val="auto"/>
                <w:szCs w:val="21"/>
                <w:highlight w:val="none"/>
              </w:rPr>
              <w:t>设计变更过程中发现弄虚作假和随意变更的</w:t>
            </w:r>
          </w:p>
        </w:tc>
        <w:tc>
          <w:tcPr>
            <w:tcW w:w="1118" w:type="dxa"/>
            <w:tcBorders>
              <w:tl2br w:val="nil"/>
              <w:tr2bl w:val="nil"/>
            </w:tcBorders>
            <w:shd w:val="clear" w:color="auto" w:fill="FFFFFF"/>
            <w:noWrap w:val="0"/>
            <w:vAlign w:val="center"/>
          </w:tcPr>
          <w:p w14:paraId="5FB67874">
            <w:pPr>
              <w:jc w:val="center"/>
              <w:rPr>
                <w:color w:val="auto"/>
                <w:szCs w:val="21"/>
                <w:highlight w:val="none"/>
              </w:rPr>
            </w:pPr>
            <w:r>
              <w:rPr>
                <w:rFonts w:hint="eastAsia"/>
                <w:color w:val="auto"/>
                <w:szCs w:val="21"/>
                <w:highlight w:val="none"/>
              </w:rPr>
              <w:t>20</w:t>
            </w:r>
          </w:p>
        </w:tc>
        <w:tc>
          <w:tcPr>
            <w:tcW w:w="649" w:type="dxa"/>
            <w:tcBorders>
              <w:tl2br w:val="nil"/>
              <w:tr2bl w:val="nil"/>
            </w:tcBorders>
            <w:shd w:val="clear" w:color="auto" w:fill="FFFFFF"/>
            <w:noWrap w:val="0"/>
            <w:vAlign w:val="center"/>
          </w:tcPr>
          <w:p w14:paraId="74F1E983">
            <w:pPr>
              <w:jc w:val="center"/>
              <w:rPr>
                <w:color w:val="auto"/>
                <w:szCs w:val="21"/>
                <w:highlight w:val="none"/>
              </w:rPr>
            </w:pPr>
          </w:p>
        </w:tc>
      </w:tr>
      <w:tr w14:paraId="66E71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4CE62C1E">
            <w:pPr>
              <w:jc w:val="center"/>
              <w:rPr>
                <w:color w:val="auto"/>
                <w:szCs w:val="21"/>
                <w:highlight w:val="none"/>
              </w:rPr>
            </w:pPr>
            <w:r>
              <w:rPr>
                <w:rFonts w:hint="eastAsia"/>
                <w:color w:val="auto"/>
                <w:szCs w:val="21"/>
                <w:highlight w:val="none"/>
              </w:rPr>
              <w:t>10</w:t>
            </w:r>
          </w:p>
        </w:tc>
        <w:tc>
          <w:tcPr>
            <w:tcW w:w="6205" w:type="dxa"/>
            <w:gridSpan w:val="4"/>
            <w:tcBorders>
              <w:tl2br w:val="nil"/>
              <w:tr2bl w:val="nil"/>
            </w:tcBorders>
            <w:shd w:val="clear" w:color="auto" w:fill="FFFFFF"/>
            <w:noWrap w:val="0"/>
            <w:vAlign w:val="center"/>
          </w:tcPr>
          <w:p w14:paraId="4B9949B2">
            <w:pPr>
              <w:jc w:val="left"/>
              <w:rPr>
                <w:color w:val="auto"/>
                <w:szCs w:val="21"/>
                <w:highlight w:val="none"/>
              </w:rPr>
            </w:pPr>
            <w:r>
              <w:rPr>
                <w:rFonts w:hint="eastAsia"/>
                <w:color w:val="auto"/>
                <w:szCs w:val="21"/>
                <w:highlight w:val="none"/>
              </w:rPr>
              <w:t>未及时出具设计变更图纸的（自收到相关同意变更会议纪要之日起5日内）</w:t>
            </w:r>
          </w:p>
        </w:tc>
        <w:tc>
          <w:tcPr>
            <w:tcW w:w="1118" w:type="dxa"/>
            <w:tcBorders>
              <w:tl2br w:val="nil"/>
              <w:tr2bl w:val="nil"/>
            </w:tcBorders>
            <w:shd w:val="clear" w:color="auto" w:fill="FFFFFF"/>
            <w:noWrap w:val="0"/>
            <w:vAlign w:val="center"/>
          </w:tcPr>
          <w:p w14:paraId="3114F726">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50C32116">
            <w:pPr>
              <w:jc w:val="center"/>
              <w:rPr>
                <w:color w:val="auto"/>
                <w:szCs w:val="21"/>
                <w:highlight w:val="none"/>
              </w:rPr>
            </w:pPr>
          </w:p>
        </w:tc>
      </w:tr>
      <w:tr w14:paraId="75B53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17" w:type="dxa"/>
            <w:tcBorders>
              <w:tl2br w:val="nil"/>
              <w:tr2bl w:val="nil"/>
            </w:tcBorders>
            <w:shd w:val="clear" w:color="auto" w:fill="FFFFFF"/>
            <w:noWrap w:val="0"/>
            <w:vAlign w:val="center"/>
          </w:tcPr>
          <w:p w14:paraId="2DCFD600">
            <w:pPr>
              <w:jc w:val="center"/>
              <w:rPr>
                <w:color w:val="auto"/>
                <w:szCs w:val="21"/>
                <w:highlight w:val="none"/>
              </w:rPr>
            </w:pPr>
            <w:r>
              <w:rPr>
                <w:rFonts w:hint="eastAsia"/>
                <w:color w:val="auto"/>
                <w:szCs w:val="21"/>
                <w:highlight w:val="none"/>
              </w:rPr>
              <w:t>11</w:t>
            </w:r>
          </w:p>
        </w:tc>
        <w:tc>
          <w:tcPr>
            <w:tcW w:w="6205" w:type="dxa"/>
            <w:gridSpan w:val="4"/>
            <w:tcBorders>
              <w:tl2br w:val="nil"/>
              <w:tr2bl w:val="nil"/>
            </w:tcBorders>
            <w:shd w:val="clear" w:color="auto" w:fill="FFFFFF"/>
            <w:noWrap w:val="0"/>
            <w:vAlign w:val="center"/>
          </w:tcPr>
          <w:p w14:paraId="52507C93">
            <w:pPr>
              <w:jc w:val="left"/>
              <w:rPr>
                <w:color w:val="auto"/>
                <w:szCs w:val="21"/>
                <w:highlight w:val="none"/>
              </w:rPr>
            </w:pPr>
            <w:r>
              <w:rPr>
                <w:rFonts w:hint="eastAsia"/>
                <w:color w:val="auto"/>
                <w:szCs w:val="21"/>
                <w:highlight w:val="none"/>
              </w:rPr>
              <w:t>无故不参加项目建设单位组织召开的各种会议的</w:t>
            </w:r>
          </w:p>
        </w:tc>
        <w:tc>
          <w:tcPr>
            <w:tcW w:w="1118" w:type="dxa"/>
            <w:tcBorders>
              <w:tl2br w:val="nil"/>
              <w:tr2bl w:val="nil"/>
            </w:tcBorders>
            <w:shd w:val="clear" w:color="auto" w:fill="FFFFFF"/>
            <w:noWrap w:val="0"/>
            <w:vAlign w:val="center"/>
          </w:tcPr>
          <w:p w14:paraId="63803D5A">
            <w:pPr>
              <w:jc w:val="center"/>
              <w:rPr>
                <w:color w:val="auto"/>
                <w:szCs w:val="21"/>
                <w:highlight w:val="none"/>
              </w:rPr>
            </w:pPr>
            <w:r>
              <w:rPr>
                <w:rFonts w:hint="eastAsia"/>
                <w:color w:val="auto"/>
                <w:szCs w:val="21"/>
                <w:highlight w:val="none"/>
              </w:rPr>
              <w:t>5分/次</w:t>
            </w:r>
          </w:p>
        </w:tc>
        <w:tc>
          <w:tcPr>
            <w:tcW w:w="649" w:type="dxa"/>
            <w:tcBorders>
              <w:tl2br w:val="nil"/>
              <w:tr2bl w:val="nil"/>
            </w:tcBorders>
            <w:shd w:val="clear" w:color="auto" w:fill="FFFFFF"/>
            <w:noWrap w:val="0"/>
            <w:vAlign w:val="center"/>
          </w:tcPr>
          <w:p w14:paraId="0C52BD7A">
            <w:pPr>
              <w:jc w:val="center"/>
              <w:rPr>
                <w:color w:val="auto"/>
                <w:szCs w:val="21"/>
                <w:highlight w:val="none"/>
              </w:rPr>
            </w:pPr>
          </w:p>
        </w:tc>
      </w:tr>
      <w:tr w14:paraId="41CBEE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783685B">
            <w:pPr>
              <w:jc w:val="center"/>
              <w:rPr>
                <w:color w:val="auto"/>
                <w:szCs w:val="21"/>
                <w:highlight w:val="none"/>
              </w:rPr>
            </w:pPr>
            <w:r>
              <w:rPr>
                <w:rFonts w:hint="eastAsia"/>
                <w:color w:val="auto"/>
                <w:szCs w:val="21"/>
                <w:highlight w:val="none"/>
              </w:rPr>
              <w:t>12</w:t>
            </w:r>
          </w:p>
        </w:tc>
        <w:tc>
          <w:tcPr>
            <w:tcW w:w="6205" w:type="dxa"/>
            <w:gridSpan w:val="4"/>
            <w:tcBorders>
              <w:tl2br w:val="nil"/>
              <w:tr2bl w:val="nil"/>
            </w:tcBorders>
            <w:shd w:val="clear" w:color="auto" w:fill="FFFFFF"/>
            <w:noWrap w:val="0"/>
            <w:vAlign w:val="center"/>
          </w:tcPr>
          <w:p w14:paraId="7873A9E4">
            <w:pPr>
              <w:jc w:val="left"/>
              <w:rPr>
                <w:color w:val="auto"/>
                <w:szCs w:val="21"/>
                <w:highlight w:val="none"/>
              </w:rPr>
            </w:pPr>
            <w:r>
              <w:rPr>
                <w:rFonts w:hint="eastAsia"/>
                <w:color w:val="auto"/>
                <w:szCs w:val="21"/>
                <w:highlight w:val="none"/>
              </w:rPr>
              <w:t>不配合项目建设单位开展项目竣工验收、决算审计、档案移交和相关资料盖章的</w:t>
            </w:r>
          </w:p>
        </w:tc>
        <w:tc>
          <w:tcPr>
            <w:tcW w:w="1118" w:type="dxa"/>
            <w:tcBorders>
              <w:tl2br w:val="nil"/>
              <w:tr2bl w:val="nil"/>
            </w:tcBorders>
            <w:shd w:val="clear" w:color="auto" w:fill="FFFFFF"/>
            <w:noWrap w:val="0"/>
            <w:vAlign w:val="center"/>
          </w:tcPr>
          <w:p w14:paraId="7182AB08">
            <w:pPr>
              <w:jc w:val="center"/>
              <w:rPr>
                <w:color w:val="auto"/>
                <w:szCs w:val="21"/>
                <w:highlight w:val="none"/>
              </w:rPr>
            </w:pPr>
            <w:r>
              <w:rPr>
                <w:rFonts w:hint="eastAsia"/>
                <w:color w:val="auto"/>
                <w:szCs w:val="21"/>
                <w:highlight w:val="none"/>
              </w:rPr>
              <w:t>5分/次</w:t>
            </w:r>
          </w:p>
        </w:tc>
        <w:tc>
          <w:tcPr>
            <w:tcW w:w="649" w:type="dxa"/>
            <w:tcBorders>
              <w:tl2br w:val="nil"/>
              <w:tr2bl w:val="nil"/>
            </w:tcBorders>
            <w:shd w:val="clear" w:color="auto" w:fill="FFFFFF"/>
            <w:noWrap w:val="0"/>
            <w:vAlign w:val="center"/>
          </w:tcPr>
          <w:p w14:paraId="37C746F3">
            <w:pPr>
              <w:jc w:val="center"/>
              <w:rPr>
                <w:color w:val="auto"/>
                <w:szCs w:val="21"/>
                <w:highlight w:val="none"/>
              </w:rPr>
            </w:pPr>
          </w:p>
        </w:tc>
      </w:tr>
      <w:tr w14:paraId="0026EB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47C10F99">
            <w:pPr>
              <w:jc w:val="center"/>
              <w:rPr>
                <w:color w:val="auto"/>
                <w:szCs w:val="21"/>
                <w:highlight w:val="none"/>
              </w:rPr>
            </w:pPr>
            <w:r>
              <w:rPr>
                <w:rFonts w:hint="eastAsia"/>
                <w:color w:val="auto"/>
                <w:szCs w:val="21"/>
                <w:highlight w:val="none"/>
              </w:rPr>
              <w:t>13</w:t>
            </w:r>
          </w:p>
        </w:tc>
        <w:tc>
          <w:tcPr>
            <w:tcW w:w="6205" w:type="dxa"/>
            <w:gridSpan w:val="4"/>
            <w:tcBorders>
              <w:tl2br w:val="nil"/>
              <w:tr2bl w:val="nil"/>
            </w:tcBorders>
            <w:shd w:val="clear" w:color="auto" w:fill="FFFFFF"/>
            <w:noWrap w:val="0"/>
            <w:vAlign w:val="center"/>
          </w:tcPr>
          <w:p w14:paraId="76716C0A">
            <w:pPr>
              <w:jc w:val="left"/>
              <w:rPr>
                <w:color w:val="auto"/>
                <w:szCs w:val="21"/>
                <w:highlight w:val="none"/>
              </w:rPr>
            </w:pPr>
            <w:r>
              <w:rPr>
                <w:rFonts w:hint="eastAsia"/>
                <w:color w:val="auto"/>
                <w:szCs w:val="21"/>
                <w:highlight w:val="none"/>
              </w:rPr>
              <w:t>*在本项目中被各级建设行政主管部门通报批评、被行政处罚或记入不良行为记录的</w:t>
            </w:r>
          </w:p>
        </w:tc>
        <w:tc>
          <w:tcPr>
            <w:tcW w:w="1118" w:type="dxa"/>
            <w:tcBorders>
              <w:tl2br w:val="nil"/>
              <w:tr2bl w:val="nil"/>
            </w:tcBorders>
            <w:shd w:val="clear" w:color="auto" w:fill="FFFFFF"/>
            <w:noWrap w:val="0"/>
            <w:vAlign w:val="center"/>
          </w:tcPr>
          <w:p w14:paraId="41CD2577">
            <w:pPr>
              <w:jc w:val="center"/>
              <w:rPr>
                <w:color w:val="auto"/>
                <w:szCs w:val="21"/>
                <w:highlight w:val="none"/>
              </w:rPr>
            </w:pPr>
            <w:r>
              <w:rPr>
                <w:rFonts w:hint="eastAsia"/>
                <w:color w:val="auto"/>
                <w:szCs w:val="21"/>
                <w:highlight w:val="none"/>
              </w:rPr>
              <w:t>50</w:t>
            </w:r>
          </w:p>
        </w:tc>
        <w:tc>
          <w:tcPr>
            <w:tcW w:w="649" w:type="dxa"/>
            <w:tcBorders>
              <w:tl2br w:val="nil"/>
              <w:tr2bl w:val="nil"/>
            </w:tcBorders>
            <w:shd w:val="clear" w:color="auto" w:fill="FFFFFF"/>
            <w:noWrap w:val="0"/>
            <w:vAlign w:val="center"/>
          </w:tcPr>
          <w:p w14:paraId="39BD9C23">
            <w:pPr>
              <w:jc w:val="center"/>
              <w:rPr>
                <w:color w:val="auto"/>
                <w:szCs w:val="21"/>
                <w:highlight w:val="none"/>
              </w:rPr>
            </w:pPr>
          </w:p>
        </w:tc>
      </w:tr>
      <w:tr w14:paraId="75F214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10687F3">
            <w:pPr>
              <w:jc w:val="center"/>
              <w:rPr>
                <w:color w:val="auto"/>
                <w:szCs w:val="21"/>
                <w:highlight w:val="none"/>
              </w:rPr>
            </w:pPr>
            <w:r>
              <w:rPr>
                <w:rFonts w:hint="eastAsia"/>
                <w:color w:val="auto"/>
                <w:szCs w:val="21"/>
                <w:highlight w:val="none"/>
              </w:rPr>
              <w:t>14</w:t>
            </w:r>
          </w:p>
        </w:tc>
        <w:tc>
          <w:tcPr>
            <w:tcW w:w="6205" w:type="dxa"/>
            <w:gridSpan w:val="4"/>
            <w:tcBorders>
              <w:tl2br w:val="nil"/>
              <w:tr2bl w:val="nil"/>
            </w:tcBorders>
            <w:shd w:val="clear" w:color="auto" w:fill="FFFFFF"/>
            <w:noWrap w:val="0"/>
            <w:vAlign w:val="center"/>
          </w:tcPr>
          <w:p w14:paraId="033C4947">
            <w:pPr>
              <w:jc w:val="left"/>
              <w:rPr>
                <w:color w:val="auto"/>
                <w:szCs w:val="21"/>
                <w:highlight w:val="none"/>
              </w:rPr>
            </w:pPr>
            <w:r>
              <w:rPr>
                <w:rFonts w:hint="eastAsia"/>
                <w:color w:val="auto"/>
                <w:szCs w:val="21"/>
                <w:highlight w:val="none"/>
              </w:rPr>
              <w:t>其他未按合同约定或违反相关规定的情形</w:t>
            </w:r>
          </w:p>
        </w:tc>
        <w:tc>
          <w:tcPr>
            <w:tcW w:w="1118" w:type="dxa"/>
            <w:tcBorders>
              <w:tl2br w:val="nil"/>
              <w:tr2bl w:val="nil"/>
            </w:tcBorders>
            <w:shd w:val="clear" w:color="auto" w:fill="FFFFFF"/>
            <w:noWrap w:val="0"/>
            <w:vAlign w:val="center"/>
          </w:tcPr>
          <w:p w14:paraId="3B94978E">
            <w:pPr>
              <w:jc w:val="center"/>
              <w:rPr>
                <w:color w:val="auto"/>
                <w:szCs w:val="21"/>
                <w:highlight w:val="none"/>
              </w:rPr>
            </w:pPr>
            <w:r>
              <w:rPr>
                <w:rFonts w:hint="eastAsia"/>
                <w:color w:val="auto"/>
                <w:szCs w:val="21"/>
                <w:highlight w:val="none"/>
              </w:rPr>
              <w:t>10分/次</w:t>
            </w:r>
          </w:p>
        </w:tc>
        <w:tc>
          <w:tcPr>
            <w:tcW w:w="649" w:type="dxa"/>
            <w:tcBorders>
              <w:tl2br w:val="nil"/>
              <w:tr2bl w:val="nil"/>
            </w:tcBorders>
            <w:shd w:val="clear" w:color="auto" w:fill="FFFFFF"/>
            <w:noWrap w:val="0"/>
            <w:vAlign w:val="center"/>
          </w:tcPr>
          <w:p w14:paraId="4D9F3886">
            <w:pPr>
              <w:jc w:val="center"/>
              <w:rPr>
                <w:color w:val="auto"/>
                <w:szCs w:val="21"/>
                <w:highlight w:val="none"/>
              </w:rPr>
            </w:pPr>
          </w:p>
        </w:tc>
      </w:tr>
      <w:tr w14:paraId="1E58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33" w:type="dxa"/>
            <w:gridSpan w:val="2"/>
            <w:tcBorders>
              <w:top w:val="double" w:color="auto" w:sz="4" w:space="0"/>
              <w:bottom w:val="double" w:color="auto" w:sz="4" w:space="0"/>
            </w:tcBorders>
            <w:shd w:val="clear" w:color="auto" w:fill="FFFFFF"/>
            <w:noWrap w:val="0"/>
            <w:vAlign w:val="center"/>
          </w:tcPr>
          <w:p w14:paraId="59D2E98D">
            <w:pPr>
              <w:jc w:val="center"/>
              <w:rPr>
                <w:color w:val="auto"/>
                <w:szCs w:val="21"/>
                <w:highlight w:val="none"/>
              </w:rPr>
            </w:pPr>
            <w:r>
              <w:rPr>
                <w:rFonts w:hint="eastAsia" w:ascii="黑体" w:hAnsi="黑体" w:eastAsia="黑体" w:cs="黑体"/>
                <w:color w:val="auto"/>
                <w:szCs w:val="21"/>
                <w:highlight w:val="none"/>
              </w:rPr>
              <w:t>最终考核分数</w:t>
            </w:r>
          </w:p>
        </w:tc>
        <w:tc>
          <w:tcPr>
            <w:tcW w:w="7056" w:type="dxa"/>
            <w:gridSpan w:val="5"/>
            <w:tcBorders>
              <w:top w:val="double" w:color="auto" w:sz="4" w:space="0"/>
              <w:bottom w:val="double" w:color="auto" w:sz="4" w:space="0"/>
            </w:tcBorders>
            <w:shd w:val="clear" w:color="auto" w:fill="FFFFFF"/>
            <w:noWrap w:val="0"/>
            <w:vAlign w:val="center"/>
          </w:tcPr>
          <w:p w14:paraId="5A90447E">
            <w:pPr>
              <w:jc w:val="center"/>
              <w:rPr>
                <w:color w:val="auto"/>
                <w:szCs w:val="21"/>
                <w:highlight w:val="none"/>
              </w:rPr>
            </w:pPr>
          </w:p>
        </w:tc>
      </w:tr>
    </w:tbl>
    <w:p w14:paraId="4ADF31BA">
      <w:pPr>
        <w:rPr>
          <w:rFonts w:ascii="黑体" w:hAnsi="黑体" w:eastAsia="黑体" w:cs="黑体"/>
          <w:color w:val="auto"/>
          <w:sz w:val="32"/>
          <w:highlight w:val="none"/>
        </w:rPr>
      </w:pPr>
      <w:r>
        <w:rPr>
          <w:rFonts w:hint="eastAsia" w:ascii="仿宋" w:hAnsi="仿宋" w:eastAsia="仿宋" w:cs="仿宋"/>
          <w:color w:val="auto"/>
          <w:sz w:val="32"/>
          <w:highlight w:val="none"/>
        </w:rPr>
        <w:br w:type="page"/>
      </w:r>
      <w:r>
        <w:rPr>
          <w:rFonts w:hint="eastAsia" w:ascii="黑体" w:hAnsi="黑体" w:eastAsia="黑体" w:cs="黑体"/>
          <w:color w:val="auto"/>
          <w:sz w:val="32"/>
          <w:highlight w:val="none"/>
        </w:rPr>
        <w:t>附件2</w:t>
      </w:r>
    </w:p>
    <w:p w14:paraId="26E43FF7">
      <w:pPr>
        <w:jc w:val="center"/>
        <w:rPr>
          <w:rFonts w:ascii="黑体" w:hAnsi="黑体" w:eastAsia="黑体" w:cs="黑体"/>
          <w:color w:val="auto"/>
          <w:sz w:val="36"/>
          <w:szCs w:val="44"/>
          <w:highlight w:val="none"/>
        </w:rPr>
      </w:pPr>
      <w:r>
        <w:rPr>
          <w:rFonts w:hint="eastAsia" w:ascii="黑体" w:hAnsi="黑体" w:eastAsia="黑体" w:cs="黑体"/>
          <w:color w:val="auto"/>
          <w:sz w:val="36"/>
          <w:szCs w:val="44"/>
          <w:highlight w:val="none"/>
        </w:rPr>
        <w:t>施工单位质量服务考核表</w:t>
      </w:r>
    </w:p>
    <w:tbl>
      <w:tblPr>
        <w:tblStyle w:val="65"/>
        <w:tblW w:w="86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16"/>
        <w:gridCol w:w="2807"/>
        <w:gridCol w:w="1773"/>
        <w:gridCol w:w="709"/>
        <w:gridCol w:w="1118"/>
        <w:gridCol w:w="649"/>
      </w:tblGrid>
      <w:tr w14:paraId="14F5C8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33" w:type="dxa"/>
            <w:gridSpan w:val="2"/>
            <w:tcBorders>
              <w:tl2br w:val="nil"/>
              <w:tr2bl w:val="nil"/>
            </w:tcBorders>
            <w:shd w:val="clear" w:color="auto" w:fill="FFFFFF"/>
            <w:noWrap w:val="0"/>
            <w:vAlign w:val="center"/>
          </w:tcPr>
          <w:p w14:paraId="7391379B">
            <w:pPr>
              <w:jc w:val="center"/>
              <w:rPr>
                <w:color w:val="auto"/>
                <w:highlight w:val="none"/>
              </w:rPr>
            </w:pPr>
            <w:r>
              <w:rPr>
                <w:rFonts w:hint="eastAsia"/>
                <w:color w:val="auto"/>
                <w:sz w:val="22"/>
                <w:szCs w:val="28"/>
                <w:highlight w:val="none"/>
              </w:rPr>
              <w:t>项目名称</w:t>
            </w:r>
          </w:p>
        </w:tc>
        <w:tc>
          <w:tcPr>
            <w:tcW w:w="7056" w:type="dxa"/>
            <w:gridSpan w:val="5"/>
            <w:tcBorders>
              <w:tl2br w:val="nil"/>
              <w:tr2bl w:val="nil"/>
            </w:tcBorders>
            <w:shd w:val="clear" w:color="auto" w:fill="FFFFFF"/>
            <w:noWrap w:val="0"/>
            <w:vAlign w:val="center"/>
          </w:tcPr>
          <w:p w14:paraId="5C9584D1">
            <w:pPr>
              <w:jc w:val="center"/>
              <w:rPr>
                <w:color w:val="auto"/>
                <w:highlight w:val="none"/>
              </w:rPr>
            </w:pPr>
          </w:p>
        </w:tc>
      </w:tr>
      <w:tr w14:paraId="51CFD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33" w:type="dxa"/>
            <w:gridSpan w:val="2"/>
            <w:tcBorders>
              <w:tl2br w:val="nil"/>
              <w:tr2bl w:val="nil"/>
            </w:tcBorders>
            <w:shd w:val="clear" w:color="auto" w:fill="FFFFFF"/>
            <w:noWrap w:val="0"/>
            <w:vAlign w:val="center"/>
          </w:tcPr>
          <w:p w14:paraId="17494A0D">
            <w:pPr>
              <w:jc w:val="center"/>
              <w:rPr>
                <w:color w:val="auto"/>
                <w:sz w:val="22"/>
                <w:szCs w:val="28"/>
                <w:highlight w:val="none"/>
              </w:rPr>
            </w:pPr>
            <w:r>
              <w:rPr>
                <w:rFonts w:hint="eastAsia"/>
                <w:color w:val="auto"/>
                <w:sz w:val="22"/>
                <w:szCs w:val="28"/>
                <w:highlight w:val="none"/>
              </w:rPr>
              <w:t>施工单位名称</w:t>
            </w:r>
          </w:p>
        </w:tc>
        <w:tc>
          <w:tcPr>
            <w:tcW w:w="7056" w:type="dxa"/>
            <w:gridSpan w:val="5"/>
            <w:tcBorders>
              <w:tl2br w:val="nil"/>
              <w:tr2bl w:val="nil"/>
            </w:tcBorders>
            <w:shd w:val="clear" w:color="auto" w:fill="FFFFFF"/>
            <w:noWrap w:val="0"/>
            <w:vAlign w:val="center"/>
          </w:tcPr>
          <w:p w14:paraId="26DDCB99">
            <w:pPr>
              <w:jc w:val="center"/>
              <w:rPr>
                <w:color w:val="auto"/>
                <w:highlight w:val="none"/>
              </w:rPr>
            </w:pPr>
          </w:p>
        </w:tc>
      </w:tr>
      <w:tr w14:paraId="4C5B8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633" w:type="dxa"/>
            <w:gridSpan w:val="2"/>
            <w:tcBorders>
              <w:bottom w:val="double" w:color="auto" w:sz="4" w:space="0"/>
              <w:tl2br w:val="nil"/>
              <w:tr2bl w:val="nil"/>
            </w:tcBorders>
            <w:shd w:val="clear" w:color="auto" w:fill="FFFFFF"/>
            <w:noWrap w:val="0"/>
            <w:vAlign w:val="center"/>
          </w:tcPr>
          <w:p w14:paraId="3ED203C1">
            <w:pPr>
              <w:jc w:val="center"/>
              <w:rPr>
                <w:color w:val="auto"/>
                <w:sz w:val="22"/>
                <w:szCs w:val="28"/>
                <w:highlight w:val="none"/>
              </w:rPr>
            </w:pPr>
            <w:r>
              <w:rPr>
                <w:rFonts w:hint="eastAsia"/>
                <w:color w:val="auto"/>
                <w:sz w:val="22"/>
                <w:szCs w:val="28"/>
                <w:highlight w:val="none"/>
              </w:rPr>
              <w:t>项目责任人</w:t>
            </w:r>
          </w:p>
          <w:p w14:paraId="42F91334">
            <w:pPr>
              <w:jc w:val="center"/>
              <w:rPr>
                <w:color w:val="auto"/>
                <w:sz w:val="22"/>
                <w:szCs w:val="28"/>
                <w:highlight w:val="none"/>
              </w:rPr>
            </w:pPr>
            <w:r>
              <w:rPr>
                <w:rFonts w:hint="eastAsia"/>
                <w:color w:val="auto"/>
                <w:sz w:val="22"/>
                <w:szCs w:val="28"/>
                <w:highlight w:val="none"/>
              </w:rPr>
              <w:t>（签名）</w:t>
            </w:r>
          </w:p>
        </w:tc>
        <w:tc>
          <w:tcPr>
            <w:tcW w:w="2807" w:type="dxa"/>
            <w:tcBorders>
              <w:bottom w:val="double" w:color="auto" w:sz="4" w:space="0"/>
              <w:tl2br w:val="nil"/>
              <w:tr2bl w:val="nil"/>
            </w:tcBorders>
            <w:shd w:val="clear" w:color="auto" w:fill="FFFFFF"/>
            <w:noWrap w:val="0"/>
            <w:vAlign w:val="center"/>
          </w:tcPr>
          <w:p w14:paraId="25A0D7FD">
            <w:pPr>
              <w:jc w:val="left"/>
              <w:rPr>
                <w:color w:val="auto"/>
                <w:highlight w:val="none"/>
              </w:rPr>
            </w:pPr>
          </w:p>
          <w:p w14:paraId="2A7F9EBA">
            <w:pPr>
              <w:jc w:val="center"/>
              <w:rPr>
                <w:color w:val="auto"/>
                <w:highlight w:val="none"/>
              </w:rPr>
            </w:pPr>
          </w:p>
        </w:tc>
        <w:tc>
          <w:tcPr>
            <w:tcW w:w="1773" w:type="dxa"/>
            <w:tcBorders>
              <w:bottom w:val="double" w:color="auto" w:sz="4" w:space="0"/>
              <w:tl2br w:val="nil"/>
              <w:tr2bl w:val="nil"/>
            </w:tcBorders>
            <w:shd w:val="clear" w:color="auto" w:fill="FFFFFF"/>
            <w:noWrap w:val="0"/>
            <w:vAlign w:val="center"/>
          </w:tcPr>
          <w:p w14:paraId="19321DB4">
            <w:pPr>
              <w:jc w:val="center"/>
              <w:rPr>
                <w:color w:val="auto"/>
                <w:sz w:val="22"/>
                <w:szCs w:val="28"/>
                <w:highlight w:val="none"/>
              </w:rPr>
            </w:pPr>
            <w:r>
              <w:rPr>
                <w:rFonts w:hint="eastAsia"/>
                <w:color w:val="auto"/>
                <w:sz w:val="22"/>
                <w:szCs w:val="28"/>
                <w:highlight w:val="none"/>
              </w:rPr>
              <w:t>部门负责人</w:t>
            </w:r>
          </w:p>
          <w:p w14:paraId="33CE5681">
            <w:pPr>
              <w:jc w:val="center"/>
              <w:rPr>
                <w:color w:val="auto"/>
                <w:highlight w:val="none"/>
              </w:rPr>
            </w:pPr>
            <w:r>
              <w:rPr>
                <w:rFonts w:hint="eastAsia"/>
                <w:color w:val="auto"/>
                <w:sz w:val="22"/>
                <w:szCs w:val="28"/>
                <w:highlight w:val="none"/>
              </w:rPr>
              <w:t>（签名）</w:t>
            </w:r>
          </w:p>
        </w:tc>
        <w:tc>
          <w:tcPr>
            <w:tcW w:w="2476" w:type="dxa"/>
            <w:gridSpan w:val="3"/>
            <w:tcBorders>
              <w:bottom w:val="double" w:color="auto" w:sz="4" w:space="0"/>
              <w:tl2br w:val="nil"/>
              <w:tr2bl w:val="nil"/>
            </w:tcBorders>
            <w:shd w:val="clear" w:color="auto" w:fill="FFFFFF"/>
            <w:noWrap w:val="0"/>
            <w:vAlign w:val="center"/>
          </w:tcPr>
          <w:p w14:paraId="2BC00E58">
            <w:pPr>
              <w:jc w:val="center"/>
              <w:rPr>
                <w:color w:val="auto"/>
                <w:highlight w:val="none"/>
              </w:rPr>
            </w:pPr>
          </w:p>
        </w:tc>
      </w:tr>
      <w:tr w14:paraId="0E7DE2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89" w:type="dxa"/>
            <w:gridSpan w:val="7"/>
            <w:tcBorders>
              <w:top w:val="double" w:color="auto" w:sz="4" w:space="0"/>
              <w:bottom w:val="double" w:color="auto" w:sz="4" w:space="0"/>
            </w:tcBorders>
            <w:shd w:val="clear" w:color="auto" w:fill="FFFFFF"/>
            <w:noWrap w:val="0"/>
            <w:vAlign w:val="center"/>
          </w:tcPr>
          <w:p w14:paraId="37DA8B3A">
            <w:pPr>
              <w:jc w:val="center"/>
              <w:rPr>
                <w:color w:val="auto"/>
                <w:highlight w:val="none"/>
              </w:rPr>
            </w:pPr>
            <w:r>
              <w:rPr>
                <w:rFonts w:hint="eastAsia"/>
                <w:b/>
                <w:bCs/>
                <w:color w:val="auto"/>
                <w:sz w:val="26"/>
                <w:szCs w:val="26"/>
                <w:highlight w:val="none"/>
              </w:rPr>
              <w:t>质量服务考核情况</w:t>
            </w:r>
          </w:p>
        </w:tc>
      </w:tr>
      <w:tr w14:paraId="4BB716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717" w:type="dxa"/>
            <w:tcBorders>
              <w:tl2br w:val="nil"/>
              <w:tr2bl w:val="nil"/>
            </w:tcBorders>
            <w:shd w:val="clear" w:color="auto" w:fill="FFFFFF"/>
            <w:noWrap w:val="0"/>
            <w:vAlign w:val="center"/>
          </w:tcPr>
          <w:p w14:paraId="72FF5FE7">
            <w:pPr>
              <w:jc w:val="center"/>
              <w:rPr>
                <w:color w:val="auto"/>
                <w:szCs w:val="21"/>
                <w:highlight w:val="none"/>
              </w:rPr>
            </w:pPr>
            <w:r>
              <w:rPr>
                <w:rFonts w:hint="eastAsia"/>
                <w:color w:val="auto"/>
                <w:szCs w:val="21"/>
                <w:highlight w:val="none"/>
              </w:rPr>
              <w:t>序号</w:t>
            </w:r>
          </w:p>
        </w:tc>
        <w:tc>
          <w:tcPr>
            <w:tcW w:w="6205" w:type="dxa"/>
            <w:gridSpan w:val="4"/>
            <w:tcBorders>
              <w:tl2br w:val="nil"/>
              <w:tr2bl w:val="nil"/>
            </w:tcBorders>
            <w:shd w:val="clear" w:color="auto" w:fill="FFFFFF"/>
            <w:noWrap w:val="0"/>
            <w:vAlign w:val="center"/>
          </w:tcPr>
          <w:p w14:paraId="29FAD2D9">
            <w:pPr>
              <w:jc w:val="center"/>
              <w:rPr>
                <w:color w:val="auto"/>
                <w:szCs w:val="21"/>
                <w:highlight w:val="none"/>
              </w:rPr>
            </w:pPr>
            <w:r>
              <w:rPr>
                <w:rFonts w:hint="eastAsia"/>
                <w:color w:val="auto"/>
                <w:szCs w:val="21"/>
                <w:highlight w:val="none"/>
              </w:rPr>
              <w:t>扣分细则</w:t>
            </w:r>
          </w:p>
        </w:tc>
        <w:tc>
          <w:tcPr>
            <w:tcW w:w="1118" w:type="dxa"/>
            <w:tcBorders>
              <w:tl2br w:val="nil"/>
              <w:tr2bl w:val="nil"/>
            </w:tcBorders>
            <w:shd w:val="clear" w:color="auto" w:fill="FFFFFF"/>
            <w:noWrap w:val="0"/>
            <w:vAlign w:val="center"/>
          </w:tcPr>
          <w:p w14:paraId="0D3C3057">
            <w:pPr>
              <w:jc w:val="center"/>
              <w:rPr>
                <w:color w:val="auto"/>
                <w:szCs w:val="21"/>
                <w:highlight w:val="none"/>
              </w:rPr>
            </w:pPr>
            <w:r>
              <w:rPr>
                <w:rFonts w:hint="eastAsia"/>
                <w:color w:val="auto"/>
                <w:szCs w:val="21"/>
                <w:highlight w:val="none"/>
              </w:rPr>
              <w:t>扣分标准</w:t>
            </w:r>
          </w:p>
        </w:tc>
        <w:tc>
          <w:tcPr>
            <w:tcW w:w="649" w:type="dxa"/>
            <w:tcBorders>
              <w:tl2br w:val="nil"/>
              <w:tr2bl w:val="nil"/>
            </w:tcBorders>
            <w:shd w:val="clear" w:color="auto" w:fill="FFFFFF"/>
            <w:noWrap w:val="0"/>
            <w:vAlign w:val="center"/>
          </w:tcPr>
          <w:p w14:paraId="11E58818">
            <w:pPr>
              <w:jc w:val="center"/>
              <w:rPr>
                <w:color w:val="auto"/>
                <w:szCs w:val="21"/>
                <w:highlight w:val="none"/>
              </w:rPr>
            </w:pPr>
            <w:r>
              <w:rPr>
                <w:rFonts w:hint="eastAsia"/>
                <w:color w:val="auto"/>
                <w:szCs w:val="21"/>
                <w:highlight w:val="none"/>
              </w:rPr>
              <w:t>扣分</w:t>
            </w:r>
          </w:p>
        </w:tc>
      </w:tr>
      <w:tr w14:paraId="10255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7C8EE0E9">
            <w:pPr>
              <w:jc w:val="center"/>
              <w:rPr>
                <w:color w:val="auto"/>
                <w:szCs w:val="21"/>
                <w:highlight w:val="none"/>
              </w:rPr>
            </w:pPr>
            <w:r>
              <w:rPr>
                <w:rFonts w:hint="eastAsia"/>
                <w:color w:val="auto"/>
                <w:szCs w:val="21"/>
                <w:highlight w:val="none"/>
              </w:rPr>
              <w:t>1</w:t>
            </w:r>
          </w:p>
        </w:tc>
        <w:tc>
          <w:tcPr>
            <w:tcW w:w="6205" w:type="dxa"/>
            <w:gridSpan w:val="4"/>
            <w:tcBorders>
              <w:tl2br w:val="nil"/>
              <w:tr2bl w:val="nil"/>
            </w:tcBorders>
            <w:shd w:val="clear" w:color="auto" w:fill="FFFFFF"/>
            <w:noWrap w:val="0"/>
            <w:vAlign w:val="center"/>
          </w:tcPr>
          <w:p w14:paraId="66948038">
            <w:pPr>
              <w:jc w:val="left"/>
              <w:rPr>
                <w:color w:val="auto"/>
                <w:szCs w:val="21"/>
                <w:highlight w:val="none"/>
              </w:rPr>
            </w:pPr>
            <w:r>
              <w:rPr>
                <w:rFonts w:hint="eastAsia"/>
                <w:color w:val="auto"/>
                <w:szCs w:val="21"/>
                <w:highlight w:val="none"/>
              </w:rPr>
              <w:t>未按招标文件或合同要求缴纳履约保证金的</w:t>
            </w:r>
          </w:p>
        </w:tc>
        <w:tc>
          <w:tcPr>
            <w:tcW w:w="1118" w:type="dxa"/>
            <w:tcBorders>
              <w:tl2br w:val="nil"/>
              <w:tr2bl w:val="nil"/>
            </w:tcBorders>
            <w:shd w:val="clear" w:color="auto" w:fill="FFFFFF"/>
            <w:noWrap w:val="0"/>
            <w:vAlign w:val="center"/>
          </w:tcPr>
          <w:p w14:paraId="0EDA18EF">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3989D232">
            <w:pPr>
              <w:jc w:val="center"/>
              <w:rPr>
                <w:color w:val="auto"/>
                <w:szCs w:val="21"/>
                <w:highlight w:val="none"/>
              </w:rPr>
            </w:pPr>
          </w:p>
        </w:tc>
      </w:tr>
      <w:tr w14:paraId="1DF116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53F2F49B">
            <w:pPr>
              <w:jc w:val="center"/>
              <w:rPr>
                <w:color w:val="auto"/>
                <w:szCs w:val="21"/>
                <w:highlight w:val="none"/>
              </w:rPr>
            </w:pPr>
            <w:r>
              <w:rPr>
                <w:rFonts w:hint="eastAsia"/>
                <w:color w:val="auto"/>
                <w:szCs w:val="21"/>
                <w:highlight w:val="none"/>
              </w:rPr>
              <w:t>2</w:t>
            </w:r>
          </w:p>
        </w:tc>
        <w:tc>
          <w:tcPr>
            <w:tcW w:w="6205" w:type="dxa"/>
            <w:gridSpan w:val="4"/>
            <w:tcBorders>
              <w:tl2br w:val="nil"/>
              <w:tr2bl w:val="nil"/>
            </w:tcBorders>
            <w:shd w:val="clear" w:color="auto" w:fill="FFFFFF"/>
            <w:noWrap w:val="0"/>
            <w:vAlign w:val="center"/>
          </w:tcPr>
          <w:p w14:paraId="38056136">
            <w:pPr>
              <w:jc w:val="left"/>
              <w:rPr>
                <w:color w:val="auto"/>
                <w:szCs w:val="21"/>
                <w:highlight w:val="none"/>
              </w:rPr>
            </w:pPr>
            <w:r>
              <w:rPr>
                <w:rFonts w:hint="eastAsia"/>
                <w:color w:val="auto"/>
                <w:szCs w:val="21"/>
                <w:highlight w:val="none"/>
              </w:rPr>
              <w:t>项目经理和项目管理人员未按要求到岗履职的</w:t>
            </w:r>
          </w:p>
        </w:tc>
        <w:tc>
          <w:tcPr>
            <w:tcW w:w="1118" w:type="dxa"/>
            <w:tcBorders>
              <w:tl2br w:val="nil"/>
              <w:tr2bl w:val="nil"/>
            </w:tcBorders>
            <w:shd w:val="clear" w:color="auto" w:fill="FFFFFF"/>
            <w:noWrap w:val="0"/>
            <w:vAlign w:val="center"/>
          </w:tcPr>
          <w:p w14:paraId="14DEACE3">
            <w:pPr>
              <w:jc w:val="center"/>
              <w:rPr>
                <w:color w:val="auto"/>
                <w:szCs w:val="21"/>
                <w:highlight w:val="none"/>
              </w:rPr>
            </w:pPr>
            <w:r>
              <w:rPr>
                <w:rFonts w:hint="eastAsia"/>
                <w:color w:val="auto"/>
                <w:szCs w:val="21"/>
                <w:highlight w:val="none"/>
              </w:rPr>
              <w:t>2分/天</w:t>
            </w:r>
          </w:p>
        </w:tc>
        <w:tc>
          <w:tcPr>
            <w:tcW w:w="649" w:type="dxa"/>
            <w:tcBorders>
              <w:tl2br w:val="nil"/>
              <w:tr2bl w:val="nil"/>
            </w:tcBorders>
            <w:shd w:val="clear" w:color="auto" w:fill="FFFFFF"/>
            <w:noWrap w:val="0"/>
            <w:vAlign w:val="center"/>
          </w:tcPr>
          <w:p w14:paraId="0587B09A">
            <w:pPr>
              <w:jc w:val="center"/>
              <w:rPr>
                <w:color w:val="auto"/>
                <w:szCs w:val="21"/>
                <w:highlight w:val="none"/>
              </w:rPr>
            </w:pPr>
          </w:p>
        </w:tc>
      </w:tr>
      <w:tr w14:paraId="39E6F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2E87AF6A">
            <w:pPr>
              <w:jc w:val="center"/>
              <w:rPr>
                <w:color w:val="auto"/>
                <w:szCs w:val="21"/>
                <w:highlight w:val="none"/>
              </w:rPr>
            </w:pPr>
            <w:r>
              <w:rPr>
                <w:rFonts w:hint="eastAsia"/>
                <w:color w:val="auto"/>
                <w:szCs w:val="21"/>
                <w:highlight w:val="none"/>
              </w:rPr>
              <w:t>3</w:t>
            </w:r>
          </w:p>
        </w:tc>
        <w:tc>
          <w:tcPr>
            <w:tcW w:w="6205" w:type="dxa"/>
            <w:gridSpan w:val="4"/>
            <w:tcBorders>
              <w:tl2br w:val="nil"/>
              <w:tr2bl w:val="nil"/>
            </w:tcBorders>
            <w:shd w:val="clear" w:color="auto" w:fill="FFFFFF"/>
            <w:noWrap w:val="0"/>
            <w:vAlign w:val="center"/>
          </w:tcPr>
          <w:p w14:paraId="6EBDAAB7">
            <w:pPr>
              <w:jc w:val="left"/>
              <w:rPr>
                <w:color w:val="auto"/>
                <w:szCs w:val="21"/>
                <w:highlight w:val="none"/>
              </w:rPr>
            </w:pPr>
            <w:r>
              <w:rPr>
                <w:rFonts w:hint="eastAsia"/>
                <w:color w:val="auto"/>
                <w:szCs w:val="21"/>
                <w:highlight w:val="none"/>
              </w:rPr>
              <w:t>主要专业工种操作人员及特种操作人员无证上岗或证件到期的</w:t>
            </w:r>
          </w:p>
        </w:tc>
        <w:tc>
          <w:tcPr>
            <w:tcW w:w="1118" w:type="dxa"/>
            <w:tcBorders>
              <w:tl2br w:val="nil"/>
              <w:tr2bl w:val="nil"/>
            </w:tcBorders>
            <w:shd w:val="clear" w:color="auto" w:fill="FFFFFF"/>
            <w:noWrap w:val="0"/>
            <w:vAlign w:val="center"/>
          </w:tcPr>
          <w:p w14:paraId="7264015D">
            <w:pPr>
              <w:jc w:val="center"/>
              <w:rPr>
                <w:color w:val="auto"/>
                <w:szCs w:val="21"/>
                <w:highlight w:val="none"/>
              </w:rPr>
            </w:pPr>
            <w:r>
              <w:rPr>
                <w:rFonts w:hint="eastAsia"/>
                <w:color w:val="auto"/>
                <w:szCs w:val="21"/>
                <w:highlight w:val="none"/>
              </w:rPr>
              <w:t>5分/次</w:t>
            </w:r>
          </w:p>
        </w:tc>
        <w:tc>
          <w:tcPr>
            <w:tcW w:w="649" w:type="dxa"/>
            <w:tcBorders>
              <w:tl2br w:val="nil"/>
              <w:tr2bl w:val="nil"/>
            </w:tcBorders>
            <w:shd w:val="clear" w:color="auto" w:fill="FFFFFF"/>
            <w:noWrap w:val="0"/>
            <w:vAlign w:val="center"/>
          </w:tcPr>
          <w:p w14:paraId="5C765364">
            <w:pPr>
              <w:jc w:val="center"/>
              <w:rPr>
                <w:color w:val="auto"/>
                <w:szCs w:val="21"/>
                <w:highlight w:val="none"/>
              </w:rPr>
            </w:pPr>
          </w:p>
        </w:tc>
      </w:tr>
      <w:tr w14:paraId="1CDF0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4D014572">
            <w:pPr>
              <w:jc w:val="center"/>
              <w:rPr>
                <w:color w:val="auto"/>
                <w:szCs w:val="21"/>
                <w:highlight w:val="none"/>
              </w:rPr>
            </w:pPr>
            <w:r>
              <w:rPr>
                <w:rFonts w:hint="eastAsia"/>
                <w:color w:val="auto"/>
                <w:szCs w:val="21"/>
                <w:highlight w:val="none"/>
              </w:rPr>
              <w:t>4</w:t>
            </w:r>
          </w:p>
        </w:tc>
        <w:tc>
          <w:tcPr>
            <w:tcW w:w="6205" w:type="dxa"/>
            <w:gridSpan w:val="4"/>
            <w:tcBorders>
              <w:tl2br w:val="nil"/>
              <w:tr2bl w:val="nil"/>
            </w:tcBorders>
            <w:shd w:val="clear" w:color="auto" w:fill="FFFFFF"/>
            <w:noWrap w:val="0"/>
            <w:vAlign w:val="center"/>
          </w:tcPr>
          <w:p w14:paraId="7E70651C">
            <w:pPr>
              <w:jc w:val="left"/>
              <w:rPr>
                <w:color w:val="auto"/>
                <w:szCs w:val="21"/>
                <w:highlight w:val="none"/>
              </w:rPr>
            </w:pPr>
            <w:r>
              <w:rPr>
                <w:rFonts w:hint="eastAsia"/>
                <w:color w:val="auto"/>
                <w:szCs w:val="21"/>
                <w:highlight w:val="none"/>
              </w:rPr>
              <w:t>关键分部分项或重大危险源分项无专项施工方案或未按要求审批的</w:t>
            </w:r>
          </w:p>
        </w:tc>
        <w:tc>
          <w:tcPr>
            <w:tcW w:w="1118" w:type="dxa"/>
            <w:tcBorders>
              <w:tl2br w:val="nil"/>
              <w:tr2bl w:val="nil"/>
            </w:tcBorders>
            <w:shd w:val="clear" w:color="auto" w:fill="FFFFFF"/>
            <w:noWrap w:val="0"/>
            <w:vAlign w:val="center"/>
          </w:tcPr>
          <w:p w14:paraId="11C059A5">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59CDFE2E">
            <w:pPr>
              <w:jc w:val="center"/>
              <w:rPr>
                <w:color w:val="auto"/>
                <w:szCs w:val="21"/>
                <w:highlight w:val="none"/>
              </w:rPr>
            </w:pPr>
          </w:p>
        </w:tc>
      </w:tr>
      <w:tr w14:paraId="31DA0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03278AEC">
            <w:pPr>
              <w:jc w:val="center"/>
              <w:rPr>
                <w:color w:val="auto"/>
                <w:szCs w:val="21"/>
                <w:highlight w:val="none"/>
              </w:rPr>
            </w:pPr>
            <w:r>
              <w:rPr>
                <w:rFonts w:hint="eastAsia"/>
                <w:color w:val="auto"/>
                <w:szCs w:val="21"/>
                <w:highlight w:val="none"/>
              </w:rPr>
              <w:t>5</w:t>
            </w:r>
          </w:p>
        </w:tc>
        <w:tc>
          <w:tcPr>
            <w:tcW w:w="6205" w:type="dxa"/>
            <w:gridSpan w:val="4"/>
            <w:tcBorders>
              <w:tl2br w:val="nil"/>
              <w:tr2bl w:val="nil"/>
            </w:tcBorders>
            <w:shd w:val="clear" w:color="auto" w:fill="FFFFFF"/>
            <w:noWrap w:val="0"/>
            <w:vAlign w:val="center"/>
          </w:tcPr>
          <w:p w14:paraId="0C69F4B0">
            <w:pPr>
              <w:jc w:val="left"/>
              <w:rPr>
                <w:color w:val="auto"/>
                <w:szCs w:val="21"/>
                <w:highlight w:val="none"/>
              </w:rPr>
            </w:pPr>
            <w:r>
              <w:rPr>
                <w:rFonts w:hint="eastAsia"/>
                <w:color w:val="auto"/>
                <w:szCs w:val="21"/>
                <w:highlight w:val="none"/>
              </w:rPr>
              <w:t>依据施工进度，各分项工程未施工交底、安全交底的</w:t>
            </w:r>
          </w:p>
        </w:tc>
        <w:tc>
          <w:tcPr>
            <w:tcW w:w="1118" w:type="dxa"/>
            <w:tcBorders>
              <w:tl2br w:val="nil"/>
              <w:tr2bl w:val="nil"/>
            </w:tcBorders>
            <w:shd w:val="clear" w:color="auto" w:fill="FFFFFF"/>
            <w:noWrap w:val="0"/>
            <w:vAlign w:val="center"/>
          </w:tcPr>
          <w:p w14:paraId="25188D49">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7C7A4374">
            <w:pPr>
              <w:jc w:val="center"/>
              <w:rPr>
                <w:color w:val="auto"/>
                <w:szCs w:val="21"/>
                <w:highlight w:val="none"/>
              </w:rPr>
            </w:pPr>
          </w:p>
        </w:tc>
      </w:tr>
      <w:tr w14:paraId="1FED18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00714931">
            <w:pPr>
              <w:jc w:val="center"/>
              <w:rPr>
                <w:color w:val="auto"/>
                <w:szCs w:val="21"/>
                <w:highlight w:val="none"/>
              </w:rPr>
            </w:pPr>
            <w:r>
              <w:rPr>
                <w:rFonts w:hint="eastAsia"/>
                <w:color w:val="auto"/>
                <w:szCs w:val="21"/>
                <w:highlight w:val="none"/>
              </w:rPr>
              <w:t>6</w:t>
            </w:r>
          </w:p>
        </w:tc>
        <w:tc>
          <w:tcPr>
            <w:tcW w:w="6205" w:type="dxa"/>
            <w:gridSpan w:val="4"/>
            <w:tcBorders>
              <w:tl2br w:val="nil"/>
              <w:tr2bl w:val="nil"/>
            </w:tcBorders>
            <w:shd w:val="clear" w:color="auto" w:fill="FFFFFF"/>
            <w:noWrap w:val="0"/>
            <w:vAlign w:val="center"/>
          </w:tcPr>
          <w:p w14:paraId="1B10D40F">
            <w:pPr>
              <w:jc w:val="left"/>
              <w:rPr>
                <w:color w:val="auto"/>
                <w:szCs w:val="21"/>
                <w:highlight w:val="none"/>
              </w:rPr>
            </w:pPr>
            <w:r>
              <w:rPr>
                <w:rFonts w:hint="eastAsia"/>
                <w:color w:val="auto"/>
                <w:szCs w:val="21"/>
                <w:highlight w:val="none"/>
              </w:rPr>
              <w:t>未按规定建立原材料、构配件、设备等的进场自检台账，或台账内容不完善、与施工进度不符的</w:t>
            </w:r>
          </w:p>
        </w:tc>
        <w:tc>
          <w:tcPr>
            <w:tcW w:w="1118" w:type="dxa"/>
            <w:tcBorders>
              <w:tl2br w:val="nil"/>
              <w:tr2bl w:val="nil"/>
            </w:tcBorders>
            <w:shd w:val="clear" w:color="auto" w:fill="FFFFFF"/>
            <w:noWrap w:val="0"/>
            <w:vAlign w:val="center"/>
          </w:tcPr>
          <w:p w14:paraId="342FD860">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08F935AF">
            <w:pPr>
              <w:jc w:val="center"/>
              <w:rPr>
                <w:color w:val="auto"/>
                <w:szCs w:val="21"/>
                <w:highlight w:val="none"/>
              </w:rPr>
            </w:pPr>
          </w:p>
        </w:tc>
      </w:tr>
      <w:tr w14:paraId="1CECAA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C926E7B">
            <w:pPr>
              <w:jc w:val="center"/>
              <w:rPr>
                <w:color w:val="auto"/>
                <w:szCs w:val="21"/>
                <w:highlight w:val="none"/>
              </w:rPr>
            </w:pPr>
            <w:r>
              <w:rPr>
                <w:rFonts w:hint="eastAsia"/>
                <w:color w:val="auto"/>
                <w:szCs w:val="21"/>
                <w:highlight w:val="none"/>
              </w:rPr>
              <w:t>7</w:t>
            </w:r>
          </w:p>
        </w:tc>
        <w:tc>
          <w:tcPr>
            <w:tcW w:w="6205" w:type="dxa"/>
            <w:gridSpan w:val="4"/>
            <w:tcBorders>
              <w:tl2br w:val="nil"/>
              <w:tr2bl w:val="nil"/>
            </w:tcBorders>
            <w:shd w:val="clear" w:color="auto" w:fill="FFFFFF"/>
            <w:noWrap w:val="0"/>
            <w:vAlign w:val="center"/>
          </w:tcPr>
          <w:p w14:paraId="2D123AF8">
            <w:pPr>
              <w:jc w:val="left"/>
              <w:rPr>
                <w:color w:val="auto"/>
                <w:szCs w:val="21"/>
                <w:highlight w:val="none"/>
              </w:rPr>
            </w:pPr>
            <w:r>
              <w:rPr>
                <w:rFonts w:hint="eastAsia"/>
                <w:color w:val="auto"/>
                <w:szCs w:val="21"/>
                <w:highlight w:val="none"/>
              </w:rPr>
              <w:t>未严格按图纸和规范施工的，在施工中偷工减料的，使用不合格的建筑材料、建筑构配件和设备的</w:t>
            </w:r>
          </w:p>
        </w:tc>
        <w:tc>
          <w:tcPr>
            <w:tcW w:w="1118" w:type="dxa"/>
            <w:tcBorders>
              <w:tl2br w:val="nil"/>
              <w:tr2bl w:val="nil"/>
            </w:tcBorders>
            <w:shd w:val="clear" w:color="auto" w:fill="FFFFFF"/>
            <w:noWrap w:val="0"/>
            <w:vAlign w:val="center"/>
          </w:tcPr>
          <w:p w14:paraId="75980707">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5630C979">
            <w:pPr>
              <w:jc w:val="center"/>
              <w:rPr>
                <w:color w:val="auto"/>
                <w:szCs w:val="21"/>
                <w:highlight w:val="none"/>
              </w:rPr>
            </w:pPr>
          </w:p>
        </w:tc>
      </w:tr>
      <w:tr w14:paraId="63ACC9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5475EEA">
            <w:pPr>
              <w:jc w:val="center"/>
              <w:rPr>
                <w:color w:val="auto"/>
                <w:szCs w:val="21"/>
                <w:highlight w:val="none"/>
              </w:rPr>
            </w:pPr>
            <w:r>
              <w:rPr>
                <w:rFonts w:hint="eastAsia"/>
                <w:color w:val="auto"/>
                <w:szCs w:val="21"/>
                <w:highlight w:val="none"/>
              </w:rPr>
              <w:t>8</w:t>
            </w:r>
          </w:p>
        </w:tc>
        <w:tc>
          <w:tcPr>
            <w:tcW w:w="6205" w:type="dxa"/>
            <w:gridSpan w:val="4"/>
            <w:tcBorders>
              <w:tl2br w:val="nil"/>
              <w:tr2bl w:val="nil"/>
            </w:tcBorders>
            <w:shd w:val="clear" w:color="auto" w:fill="FFFFFF"/>
            <w:noWrap w:val="0"/>
            <w:vAlign w:val="center"/>
          </w:tcPr>
          <w:p w14:paraId="79A4A0BE">
            <w:pPr>
              <w:jc w:val="left"/>
              <w:rPr>
                <w:color w:val="auto"/>
                <w:szCs w:val="21"/>
                <w:highlight w:val="none"/>
              </w:rPr>
            </w:pPr>
            <w:r>
              <w:rPr>
                <w:rFonts w:hint="eastAsia"/>
                <w:color w:val="auto"/>
                <w:szCs w:val="21"/>
                <w:highlight w:val="none"/>
              </w:rPr>
              <w:t>未按有关规定对重点部分、关键工序进行报验，擅自进入下道工序施工的行为</w:t>
            </w:r>
          </w:p>
        </w:tc>
        <w:tc>
          <w:tcPr>
            <w:tcW w:w="1118" w:type="dxa"/>
            <w:tcBorders>
              <w:tl2br w:val="nil"/>
              <w:tr2bl w:val="nil"/>
            </w:tcBorders>
            <w:shd w:val="clear" w:color="auto" w:fill="FFFFFF"/>
            <w:noWrap w:val="0"/>
            <w:vAlign w:val="center"/>
          </w:tcPr>
          <w:p w14:paraId="4F8F2D07">
            <w:pPr>
              <w:jc w:val="center"/>
              <w:rPr>
                <w:color w:val="auto"/>
                <w:szCs w:val="21"/>
                <w:highlight w:val="none"/>
              </w:rPr>
            </w:pPr>
            <w:r>
              <w:rPr>
                <w:rFonts w:hint="eastAsia"/>
                <w:color w:val="auto"/>
                <w:szCs w:val="21"/>
                <w:highlight w:val="none"/>
              </w:rPr>
              <w:t>10分/次</w:t>
            </w:r>
          </w:p>
        </w:tc>
        <w:tc>
          <w:tcPr>
            <w:tcW w:w="649" w:type="dxa"/>
            <w:tcBorders>
              <w:tl2br w:val="nil"/>
              <w:tr2bl w:val="nil"/>
            </w:tcBorders>
            <w:shd w:val="clear" w:color="auto" w:fill="FFFFFF"/>
            <w:noWrap w:val="0"/>
            <w:vAlign w:val="center"/>
          </w:tcPr>
          <w:p w14:paraId="6882D828">
            <w:pPr>
              <w:jc w:val="center"/>
              <w:rPr>
                <w:color w:val="auto"/>
                <w:szCs w:val="21"/>
                <w:highlight w:val="none"/>
              </w:rPr>
            </w:pPr>
          </w:p>
        </w:tc>
      </w:tr>
      <w:tr w14:paraId="14B9C1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3B871654">
            <w:pPr>
              <w:jc w:val="center"/>
              <w:rPr>
                <w:color w:val="auto"/>
                <w:szCs w:val="21"/>
                <w:highlight w:val="none"/>
              </w:rPr>
            </w:pPr>
            <w:r>
              <w:rPr>
                <w:rFonts w:hint="eastAsia"/>
                <w:color w:val="auto"/>
                <w:szCs w:val="21"/>
                <w:highlight w:val="none"/>
              </w:rPr>
              <w:t>9</w:t>
            </w:r>
          </w:p>
        </w:tc>
        <w:tc>
          <w:tcPr>
            <w:tcW w:w="6205" w:type="dxa"/>
            <w:gridSpan w:val="4"/>
            <w:tcBorders>
              <w:tl2br w:val="nil"/>
              <w:tr2bl w:val="nil"/>
            </w:tcBorders>
            <w:shd w:val="clear" w:color="auto" w:fill="FFFFFF"/>
            <w:noWrap w:val="0"/>
            <w:vAlign w:val="center"/>
          </w:tcPr>
          <w:p w14:paraId="4FA14F27">
            <w:pPr>
              <w:jc w:val="left"/>
              <w:rPr>
                <w:color w:val="auto"/>
                <w:szCs w:val="21"/>
                <w:highlight w:val="none"/>
              </w:rPr>
            </w:pPr>
            <w:r>
              <w:rPr>
                <w:rFonts w:hint="eastAsia"/>
                <w:color w:val="auto"/>
                <w:szCs w:val="21"/>
                <w:highlight w:val="none"/>
              </w:rPr>
              <w:t>拒签整改通知单，或签发整改通知单后，拒不执行整改指令的</w:t>
            </w:r>
          </w:p>
        </w:tc>
        <w:tc>
          <w:tcPr>
            <w:tcW w:w="1118" w:type="dxa"/>
            <w:tcBorders>
              <w:tl2br w:val="nil"/>
              <w:tr2bl w:val="nil"/>
            </w:tcBorders>
            <w:shd w:val="clear" w:color="auto" w:fill="FFFFFF"/>
            <w:noWrap w:val="0"/>
            <w:vAlign w:val="center"/>
          </w:tcPr>
          <w:p w14:paraId="61BFFA04">
            <w:pPr>
              <w:jc w:val="center"/>
              <w:rPr>
                <w:color w:val="auto"/>
                <w:szCs w:val="21"/>
                <w:highlight w:val="none"/>
              </w:rPr>
            </w:pPr>
            <w:r>
              <w:rPr>
                <w:rFonts w:hint="eastAsia"/>
                <w:color w:val="auto"/>
                <w:szCs w:val="21"/>
                <w:highlight w:val="none"/>
              </w:rPr>
              <w:t>10分/次</w:t>
            </w:r>
          </w:p>
        </w:tc>
        <w:tc>
          <w:tcPr>
            <w:tcW w:w="649" w:type="dxa"/>
            <w:tcBorders>
              <w:tl2br w:val="nil"/>
              <w:tr2bl w:val="nil"/>
            </w:tcBorders>
            <w:shd w:val="clear" w:color="auto" w:fill="FFFFFF"/>
            <w:noWrap w:val="0"/>
            <w:vAlign w:val="center"/>
          </w:tcPr>
          <w:p w14:paraId="799FA916">
            <w:pPr>
              <w:jc w:val="center"/>
              <w:rPr>
                <w:color w:val="auto"/>
                <w:szCs w:val="21"/>
                <w:highlight w:val="none"/>
              </w:rPr>
            </w:pPr>
          </w:p>
        </w:tc>
      </w:tr>
      <w:tr w14:paraId="150BD8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7B83535E">
            <w:pPr>
              <w:jc w:val="center"/>
              <w:rPr>
                <w:color w:val="auto"/>
                <w:szCs w:val="21"/>
                <w:highlight w:val="none"/>
              </w:rPr>
            </w:pPr>
            <w:r>
              <w:rPr>
                <w:rFonts w:hint="eastAsia"/>
                <w:color w:val="auto"/>
                <w:szCs w:val="21"/>
                <w:highlight w:val="none"/>
              </w:rPr>
              <w:t>10</w:t>
            </w:r>
          </w:p>
        </w:tc>
        <w:tc>
          <w:tcPr>
            <w:tcW w:w="6205" w:type="dxa"/>
            <w:gridSpan w:val="4"/>
            <w:tcBorders>
              <w:tl2br w:val="nil"/>
              <w:tr2bl w:val="nil"/>
            </w:tcBorders>
            <w:shd w:val="clear" w:color="auto" w:fill="FFFFFF"/>
            <w:noWrap w:val="0"/>
            <w:vAlign w:val="center"/>
          </w:tcPr>
          <w:p w14:paraId="7A2FB15B">
            <w:pPr>
              <w:jc w:val="left"/>
              <w:rPr>
                <w:color w:val="auto"/>
                <w:szCs w:val="21"/>
                <w:highlight w:val="none"/>
              </w:rPr>
            </w:pPr>
            <w:r>
              <w:rPr>
                <w:rFonts w:hint="eastAsia"/>
                <w:color w:val="auto"/>
                <w:szCs w:val="21"/>
                <w:highlight w:val="none"/>
              </w:rPr>
              <w:t>现场物料堆放等文明施工措施不到位，被数字城管案卷采集的</w:t>
            </w:r>
          </w:p>
        </w:tc>
        <w:tc>
          <w:tcPr>
            <w:tcW w:w="1118" w:type="dxa"/>
            <w:tcBorders>
              <w:tl2br w:val="nil"/>
              <w:tr2bl w:val="nil"/>
            </w:tcBorders>
            <w:shd w:val="clear" w:color="auto" w:fill="FFFFFF"/>
            <w:noWrap w:val="0"/>
            <w:vAlign w:val="center"/>
          </w:tcPr>
          <w:p w14:paraId="568984A5">
            <w:pPr>
              <w:jc w:val="center"/>
              <w:rPr>
                <w:color w:val="auto"/>
                <w:szCs w:val="21"/>
                <w:highlight w:val="none"/>
              </w:rPr>
            </w:pPr>
            <w:r>
              <w:rPr>
                <w:rFonts w:hint="eastAsia"/>
                <w:color w:val="auto"/>
                <w:szCs w:val="21"/>
                <w:highlight w:val="none"/>
              </w:rPr>
              <w:t>3分/次</w:t>
            </w:r>
          </w:p>
        </w:tc>
        <w:tc>
          <w:tcPr>
            <w:tcW w:w="649" w:type="dxa"/>
            <w:tcBorders>
              <w:tl2br w:val="nil"/>
              <w:tr2bl w:val="nil"/>
            </w:tcBorders>
            <w:shd w:val="clear" w:color="auto" w:fill="FFFFFF"/>
            <w:noWrap w:val="0"/>
            <w:vAlign w:val="center"/>
          </w:tcPr>
          <w:p w14:paraId="34B5D2F1">
            <w:pPr>
              <w:jc w:val="center"/>
              <w:rPr>
                <w:color w:val="auto"/>
                <w:szCs w:val="21"/>
                <w:highlight w:val="none"/>
              </w:rPr>
            </w:pPr>
          </w:p>
        </w:tc>
      </w:tr>
      <w:tr w14:paraId="64A5AA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43E323A2">
            <w:pPr>
              <w:jc w:val="center"/>
              <w:rPr>
                <w:color w:val="auto"/>
                <w:szCs w:val="21"/>
                <w:highlight w:val="none"/>
              </w:rPr>
            </w:pPr>
            <w:r>
              <w:rPr>
                <w:rFonts w:hint="eastAsia"/>
                <w:color w:val="auto"/>
                <w:szCs w:val="21"/>
                <w:highlight w:val="none"/>
              </w:rPr>
              <w:t>11</w:t>
            </w:r>
          </w:p>
        </w:tc>
        <w:tc>
          <w:tcPr>
            <w:tcW w:w="6205" w:type="dxa"/>
            <w:gridSpan w:val="4"/>
            <w:tcBorders>
              <w:tl2br w:val="nil"/>
              <w:tr2bl w:val="nil"/>
            </w:tcBorders>
            <w:shd w:val="clear" w:color="auto" w:fill="FFFFFF"/>
            <w:noWrap w:val="0"/>
            <w:vAlign w:val="center"/>
          </w:tcPr>
          <w:p w14:paraId="785E3CDA">
            <w:pPr>
              <w:jc w:val="left"/>
              <w:rPr>
                <w:color w:val="auto"/>
                <w:szCs w:val="21"/>
                <w:highlight w:val="none"/>
              </w:rPr>
            </w:pPr>
            <w:r>
              <w:rPr>
                <w:rFonts w:hint="eastAsia"/>
                <w:color w:val="auto"/>
                <w:szCs w:val="21"/>
                <w:highlight w:val="none"/>
              </w:rPr>
              <w:t>工程完成时间超出合同时间5天以内、5~10天和10天以上的，分别扣</w:t>
            </w:r>
          </w:p>
        </w:tc>
        <w:tc>
          <w:tcPr>
            <w:tcW w:w="1118" w:type="dxa"/>
            <w:tcBorders>
              <w:tl2br w:val="nil"/>
              <w:tr2bl w:val="nil"/>
            </w:tcBorders>
            <w:shd w:val="clear" w:color="auto" w:fill="FFFFFF"/>
            <w:noWrap w:val="0"/>
            <w:vAlign w:val="center"/>
          </w:tcPr>
          <w:p w14:paraId="7F3C4DED">
            <w:pPr>
              <w:jc w:val="center"/>
              <w:rPr>
                <w:color w:val="auto"/>
                <w:szCs w:val="21"/>
                <w:highlight w:val="none"/>
              </w:rPr>
            </w:pPr>
            <w:r>
              <w:rPr>
                <w:rFonts w:hint="eastAsia"/>
                <w:color w:val="auto"/>
                <w:szCs w:val="21"/>
                <w:highlight w:val="none"/>
              </w:rPr>
              <w:t>10,15,20</w:t>
            </w:r>
          </w:p>
        </w:tc>
        <w:tc>
          <w:tcPr>
            <w:tcW w:w="649" w:type="dxa"/>
            <w:tcBorders>
              <w:tl2br w:val="nil"/>
              <w:tr2bl w:val="nil"/>
            </w:tcBorders>
            <w:shd w:val="clear" w:color="auto" w:fill="FFFFFF"/>
            <w:noWrap w:val="0"/>
            <w:vAlign w:val="center"/>
          </w:tcPr>
          <w:p w14:paraId="6C2A745F">
            <w:pPr>
              <w:jc w:val="center"/>
              <w:rPr>
                <w:color w:val="auto"/>
                <w:szCs w:val="21"/>
                <w:highlight w:val="none"/>
              </w:rPr>
            </w:pPr>
          </w:p>
        </w:tc>
      </w:tr>
      <w:tr w14:paraId="2658AA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4016A69B">
            <w:pPr>
              <w:jc w:val="center"/>
              <w:rPr>
                <w:color w:val="auto"/>
                <w:szCs w:val="21"/>
                <w:highlight w:val="none"/>
              </w:rPr>
            </w:pPr>
            <w:r>
              <w:rPr>
                <w:rFonts w:hint="eastAsia"/>
                <w:color w:val="auto"/>
                <w:szCs w:val="21"/>
                <w:highlight w:val="none"/>
              </w:rPr>
              <w:t>12</w:t>
            </w:r>
          </w:p>
        </w:tc>
        <w:tc>
          <w:tcPr>
            <w:tcW w:w="6205" w:type="dxa"/>
            <w:gridSpan w:val="4"/>
            <w:tcBorders>
              <w:tl2br w:val="nil"/>
              <w:tr2bl w:val="nil"/>
            </w:tcBorders>
            <w:shd w:val="clear" w:color="auto" w:fill="FFFFFF"/>
            <w:noWrap w:val="0"/>
            <w:vAlign w:val="center"/>
          </w:tcPr>
          <w:p w14:paraId="60F0FF2F">
            <w:pPr>
              <w:jc w:val="left"/>
              <w:rPr>
                <w:color w:val="auto"/>
                <w:szCs w:val="21"/>
                <w:highlight w:val="none"/>
              </w:rPr>
            </w:pPr>
            <w:r>
              <w:rPr>
                <w:rFonts w:hint="eastAsia"/>
                <w:color w:val="auto"/>
                <w:szCs w:val="21"/>
                <w:highlight w:val="none"/>
              </w:rPr>
              <w:t>无故不参加项目建设单位组织召开的各种会议的</w:t>
            </w:r>
          </w:p>
        </w:tc>
        <w:tc>
          <w:tcPr>
            <w:tcW w:w="1118" w:type="dxa"/>
            <w:tcBorders>
              <w:tl2br w:val="nil"/>
              <w:tr2bl w:val="nil"/>
            </w:tcBorders>
            <w:shd w:val="clear" w:color="auto" w:fill="FFFFFF"/>
            <w:noWrap w:val="0"/>
            <w:vAlign w:val="center"/>
          </w:tcPr>
          <w:p w14:paraId="65512E61">
            <w:pPr>
              <w:jc w:val="center"/>
              <w:rPr>
                <w:color w:val="auto"/>
                <w:szCs w:val="21"/>
                <w:highlight w:val="none"/>
              </w:rPr>
            </w:pPr>
            <w:r>
              <w:rPr>
                <w:rFonts w:hint="eastAsia"/>
                <w:color w:val="auto"/>
                <w:szCs w:val="21"/>
                <w:highlight w:val="none"/>
              </w:rPr>
              <w:t>5分/次</w:t>
            </w:r>
          </w:p>
        </w:tc>
        <w:tc>
          <w:tcPr>
            <w:tcW w:w="649" w:type="dxa"/>
            <w:tcBorders>
              <w:tl2br w:val="nil"/>
              <w:tr2bl w:val="nil"/>
            </w:tcBorders>
            <w:shd w:val="clear" w:color="auto" w:fill="FFFFFF"/>
            <w:noWrap w:val="0"/>
            <w:vAlign w:val="center"/>
          </w:tcPr>
          <w:p w14:paraId="0658B6C2">
            <w:pPr>
              <w:jc w:val="center"/>
              <w:rPr>
                <w:color w:val="auto"/>
                <w:szCs w:val="21"/>
                <w:highlight w:val="none"/>
              </w:rPr>
            </w:pPr>
          </w:p>
        </w:tc>
      </w:tr>
      <w:tr w14:paraId="7ACB1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1F0342B9">
            <w:pPr>
              <w:jc w:val="center"/>
              <w:rPr>
                <w:color w:val="auto"/>
                <w:szCs w:val="21"/>
                <w:highlight w:val="none"/>
              </w:rPr>
            </w:pPr>
            <w:r>
              <w:rPr>
                <w:rFonts w:hint="eastAsia"/>
                <w:color w:val="auto"/>
                <w:szCs w:val="21"/>
                <w:highlight w:val="none"/>
              </w:rPr>
              <w:t>13</w:t>
            </w:r>
          </w:p>
        </w:tc>
        <w:tc>
          <w:tcPr>
            <w:tcW w:w="6205" w:type="dxa"/>
            <w:gridSpan w:val="4"/>
            <w:tcBorders>
              <w:tl2br w:val="nil"/>
              <w:tr2bl w:val="nil"/>
            </w:tcBorders>
            <w:shd w:val="clear" w:color="auto" w:fill="FFFFFF"/>
            <w:noWrap w:val="0"/>
            <w:vAlign w:val="center"/>
          </w:tcPr>
          <w:p w14:paraId="0F50E97C">
            <w:pPr>
              <w:jc w:val="left"/>
              <w:rPr>
                <w:color w:val="auto"/>
                <w:szCs w:val="21"/>
                <w:highlight w:val="none"/>
              </w:rPr>
            </w:pPr>
            <w:r>
              <w:rPr>
                <w:rFonts w:hint="eastAsia"/>
                <w:color w:val="auto"/>
                <w:szCs w:val="21"/>
                <w:highlight w:val="none"/>
              </w:rPr>
              <w:t>竣工决算资料报送时间超出合同约定及相关规定的</w:t>
            </w:r>
          </w:p>
        </w:tc>
        <w:tc>
          <w:tcPr>
            <w:tcW w:w="1118" w:type="dxa"/>
            <w:tcBorders>
              <w:tl2br w:val="nil"/>
              <w:tr2bl w:val="nil"/>
            </w:tcBorders>
            <w:shd w:val="clear" w:color="auto" w:fill="FFFFFF"/>
            <w:noWrap w:val="0"/>
            <w:vAlign w:val="center"/>
          </w:tcPr>
          <w:p w14:paraId="01DD013B">
            <w:pPr>
              <w:jc w:val="center"/>
              <w:rPr>
                <w:color w:val="auto"/>
                <w:szCs w:val="21"/>
                <w:highlight w:val="none"/>
              </w:rPr>
            </w:pPr>
            <w:r>
              <w:rPr>
                <w:rFonts w:hint="eastAsia"/>
                <w:color w:val="auto"/>
                <w:szCs w:val="21"/>
                <w:highlight w:val="none"/>
              </w:rPr>
              <w:t>3分/天</w:t>
            </w:r>
          </w:p>
        </w:tc>
        <w:tc>
          <w:tcPr>
            <w:tcW w:w="649" w:type="dxa"/>
            <w:tcBorders>
              <w:tl2br w:val="nil"/>
              <w:tr2bl w:val="nil"/>
            </w:tcBorders>
            <w:shd w:val="clear" w:color="auto" w:fill="FFFFFF"/>
            <w:noWrap w:val="0"/>
            <w:vAlign w:val="center"/>
          </w:tcPr>
          <w:p w14:paraId="5C34D043">
            <w:pPr>
              <w:jc w:val="center"/>
              <w:rPr>
                <w:color w:val="auto"/>
                <w:szCs w:val="21"/>
                <w:highlight w:val="none"/>
              </w:rPr>
            </w:pPr>
          </w:p>
        </w:tc>
      </w:tr>
      <w:tr w14:paraId="328BA7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70E6C8CC">
            <w:pPr>
              <w:jc w:val="center"/>
              <w:rPr>
                <w:color w:val="auto"/>
                <w:szCs w:val="21"/>
                <w:highlight w:val="none"/>
              </w:rPr>
            </w:pPr>
            <w:r>
              <w:rPr>
                <w:rFonts w:hint="eastAsia"/>
                <w:color w:val="auto"/>
                <w:szCs w:val="21"/>
                <w:highlight w:val="none"/>
              </w:rPr>
              <w:t>14</w:t>
            </w:r>
          </w:p>
        </w:tc>
        <w:tc>
          <w:tcPr>
            <w:tcW w:w="6205" w:type="dxa"/>
            <w:gridSpan w:val="4"/>
            <w:tcBorders>
              <w:tl2br w:val="nil"/>
              <w:tr2bl w:val="nil"/>
            </w:tcBorders>
            <w:shd w:val="clear" w:color="auto" w:fill="FFFFFF"/>
            <w:noWrap w:val="0"/>
            <w:vAlign w:val="center"/>
          </w:tcPr>
          <w:p w14:paraId="3576FB06">
            <w:pPr>
              <w:jc w:val="left"/>
              <w:rPr>
                <w:color w:val="auto"/>
                <w:szCs w:val="21"/>
                <w:highlight w:val="none"/>
              </w:rPr>
            </w:pPr>
            <w:r>
              <w:rPr>
                <w:rFonts w:hint="eastAsia"/>
                <w:color w:val="auto"/>
                <w:szCs w:val="21"/>
                <w:highlight w:val="none"/>
              </w:rPr>
              <w:t>不配合项目建设单位开展项目竣工验收、决算审计、档案移交和相关资料盖章的</w:t>
            </w:r>
          </w:p>
        </w:tc>
        <w:tc>
          <w:tcPr>
            <w:tcW w:w="1118" w:type="dxa"/>
            <w:tcBorders>
              <w:tl2br w:val="nil"/>
              <w:tr2bl w:val="nil"/>
            </w:tcBorders>
            <w:shd w:val="clear" w:color="auto" w:fill="FFFFFF"/>
            <w:noWrap w:val="0"/>
            <w:vAlign w:val="center"/>
          </w:tcPr>
          <w:p w14:paraId="7B521F8E">
            <w:pPr>
              <w:jc w:val="center"/>
              <w:rPr>
                <w:color w:val="auto"/>
                <w:szCs w:val="21"/>
                <w:highlight w:val="none"/>
              </w:rPr>
            </w:pPr>
            <w:r>
              <w:rPr>
                <w:rFonts w:hint="eastAsia"/>
                <w:color w:val="auto"/>
                <w:szCs w:val="21"/>
                <w:highlight w:val="none"/>
              </w:rPr>
              <w:t>5分/次</w:t>
            </w:r>
          </w:p>
        </w:tc>
        <w:tc>
          <w:tcPr>
            <w:tcW w:w="649" w:type="dxa"/>
            <w:tcBorders>
              <w:tl2br w:val="nil"/>
              <w:tr2bl w:val="nil"/>
            </w:tcBorders>
            <w:shd w:val="clear" w:color="auto" w:fill="FFFFFF"/>
            <w:noWrap w:val="0"/>
            <w:vAlign w:val="center"/>
          </w:tcPr>
          <w:p w14:paraId="61A70565">
            <w:pPr>
              <w:jc w:val="center"/>
              <w:rPr>
                <w:color w:val="auto"/>
                <w:szCs w:val="21"/>
                <w:highlight w:val="none"/>
              </w:rPr>
            </w:pPr>
          </w:p>
        </w:tc>
      </w:tr>
      <w:tr w14:paraId="31AA51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bottom w:val="double" w:color="auto" w:sz="4" w:space="0"/>
              <w:tl2br w:val="nil"/>
              <w:tr2bl w:val="nil"/>
            </w:tcBorders>
            <w:shd w:val="clear" w:color="auto" w:fill="FFFFFF"/>
            <w:noWrap w:val="0"/>
            <w:vAlign w:val="center"/>
          </w:tcPr>
          <w:p w14:paraId="21C3BB2E">
            <w:pPr>
              <w:jc w:val="center"/>
              <w:rPr>
                <w:color w:val="auto"/>
                <w:szCs w:val="21"/>
                <w:highlight w:val="none"/>
              </w:rPr>
            </w:pPr>
            <w:r>
              <w:rPr>
                <w:rFonts w:hint="eastAsia"/>
                <w:color w:val="auto"/>
                <w:szCs w:val="21"/>
                <w:highlight w:val="none"/>
              </w:rPr>
              <w:t>15</w:t>
            </w:r>
          </w:p>
        </w:tc>
        <w:tc>
          <w:tcPr>
            <w:tcW w:w="6205" w:type="dxa"/>
            <w:gridSpan w:val="4"/>
            <w:tcBorders>
              <w:bottom w:val="double" w:color="auto" w:sz="4" w:space="0"/>
              <w:tl2br w:val="nil"/>
              <w:tr2bl w:val="nil"/>
            </w:tcBorders>
            <w:shd w:val="clear" w:color="auto" w:fill="FFFFFF"/>
            <w:noWrap w:val="0"/>
            <w:vAlign w:val="center"/>
          </w:tcPr>
          <w:p w14:paraId="7C5CF594">
            <w:pPr>
              <w:jc w:val="left"/>
              <w:rPr>
                <w:color w:val="auto"/>
                <w:szCs w:val="21"/>
                <w:highlight w:val="none"/>
              </w:rPr>
            </w:pPr>
            <w:r>
              <w:rPr>
                <w:rFonts w:hint="eastAsia"/>
                <w:color w:val="auto"/>
                <w:szCs w:val="21"/>
                <w:highlight w:val="none"/>
              </w:rPr>
              <w:t>*在本项目中被各级建设行政主管部门通报批评、被行政处罚或记入不良行为记录的</w:t>
            </w:r>
          </w:p>
        </w:tc>
        <w:tc>
          <w:tcPr>
            <w:tcW w:w="1118" w:type="dxa"/>
            <w:tcBorders>
              <w:bottom w:val="double" w:color="auto" w:sz="4" w:space="0"/>
              <w:tl2br w:val="nil"/>
              <w:tr2bl w:val="nil"/>
            </w:tcBorders>
            <w:shd w:val="clear" w:color="auto" w:fill="FFFFFF"/>
            <w:noWrap w:val="0"/>
            <w:vAlign w:val="center"/>
          </w:tcPr>
          <w:p w14:paraId="4604EA85">
            <w:pPr>
              <w:jc w:val="center"/>
              <w:rPr>
                <w:color w:val="auto"/>
                <w:szCs w:val="21"/>
                <w:highlight w:val="none"/>
              </w:rPr>
            </w:pPr>
            <w:r>
              <w:rPr>
                <w:rFonts w:hint="eastAsia"/>
                <w:color w:val="auto"/>
                <w:szCs w:val="21"/>
                <w:highlight w:val="none"/>
              </w:rPr>
              <w:t>50</w:t>
            </w:r>
          </w:p>
        </w:tc>
        <w:tc>
          <w:tcPr>
            <w:tcW w:w="649" w:type="dxa"/>
            <w:tcBorders>
              <w:bottom w:val="double" w:color="auto" w:sz="4" w:space="0"/>
              <w:tl2br w:val="nil"/>
              <w:tr2bl w:val="nil"/>
            </w:tcBorders>
            <w:shd w:val="clear" w:color="auto" w:fill="FFFFFF"/>
            <w:noWrap w:val="0"/>
            <w:vAlign w:val="center"/>
          </w:tcPr>
          <w:p w14:paraId="0B81A0F7">
            <w:pPr>
              <w:jc w:val="center"/>
              <w:rPr>
                <w:color w:val="auto"/>
                <w:szCs w:val="21"/>
                <w:highlight w:val="none"/>
              </w:rPr>
            </w:pPr>
          </w:p>
        </w:tc>
      </w:tr>
      <w:tr w14:paraId="43586E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bottom w:val="double" w:color="auto" w:sz="4" w:space="0"/>
              <w:tl2br w:val="nil"/>
              <w:tr2bl w:val="nil"/>
            </w:tcBorders>
            <w:shd w:val="clear" w:color="auto" w:fill="FFFFFF"/>
            <w:noWrap w:val="0"/>
            <w:vAlign w:val="center"/>
          </w:tcPr>
          <w:p w14:paraId="06360798">
            <w:pPr>
              <w:jc w:val="center"/>
              <w:rPr>
                <w:color w:val="auto"/>
                <w:szCs w:val="21"/>
                <w:highlight w:val="none"/>
              </w:rPr>
            </w:pPr>
            <w:r>
              <w:rPr>
                <w:rFonts w:hint="eastAsia"/>
                <w:color w:val="auto"/>
                <w:szCs w:val="21"/>
                <w:highlight w:val="none"/>
              </w:rPr>
              <w:t>16</w:t>
            </w:r>
          </w:p>
        </w:tc>
        <w:tc>
          <w:tcPr>
            <w:tcW w:w="6205" w:type="dxa"/>
            <w:gridSpan w:val="4"/>
            <w:tcBorders>
              <w:bottom w:val="double" w:color="auto" w:sz="4" w:space="0"/>
              <w:tl2br w:val="nil"/>
              <w:tr2bl w:val="nil"/>
            </w:tcBorders>
            <w:shd w:val="clear" w:color="auto" w:fill="FFFFFF"/>
            <w:noWrap w:val="0"/>
            <w:vAlign w:val="center"/>
          </w:tcPr>
          <w:p w14:paraId="5694A757">
            <w:pPr>
              <w:jc w:val="left"/>
              <w:rPr>
                <w:color w:val="auto"/>
                <w:szCs w:val="21"/>
                <w:highlight w:val="none"/>
              </w:rPr>
            </w:pPr>
            <w:r>
              <w:rPr>
                <w:rFonts w:hint="eastAsia"/>
                <w:color w:val="auto"/>
                <w:szCs w:val="21"/>
                <w:highlight w:val="none"/>
              </w:rPr>
              <w:t>其他未按合同约定或违反相关规定的情形</w:t>
            </w:r>
          </w:p>
        </w:tc>
        <w:tc>
          <w:tcPr>
            <w:tcW w:w="1118" w:type="dxa"/>
            <w:tcBorders>
              <w:bottom w:val="double" w:color="auto" w:sz="4" w:space="0"/>
              <w:tl2br w:val="nil"/>
              <w:tr2bl w:val="nil"/>
            </w:tcBorders>
            <w:shd w:val="clear" w:color="auto" w:fill="FFFFFF"/>
            <w:noWrap w:val="0"/>
            <w:vAlign w:val="center"/>
          </w:tcPr>
          <w:p w14:paraId="2A3C1442">
            <w:pPr>
              <w:jc w:val="center"/>
              <w:rPr>
                <w:color w:val="auto"/>
                <w:szCs w:val="21"/>
                <w:highlight w:val="none"/>
              </w:rPr>
            </w:pPr>
            <w:r>
              <w:rPr>
                <w:rFonts w:hint="eastAsia"/>
                <w:color w:val="auto"/>
                <w:szCs w:val="21"/>
                <w:highlight w:val="none"/>
              </w:rPr>
              <w:t>10分/次</w:t>
            </w:r>
          </w:p>
        </w:tc>
        <w:tc>
          <w:tcPr>
            <w:tcW w:w="649" w:type="dxa"/>
            <w:tcBorders>
              <w:bottom w:val="double" w:color="auto" w:sz="4" w:space="0"/>
              <w:tl2br w:val="nil"/>
              <w:tr2bl w:val="nil"/>
            </w:tcBorders>
            <w:shd w:val="clear" w:color="auto" w:fill="FFFFFF"/>
            <w:noWrap w:val="0"/>
            <w:vAlign w:val="center"/>
          </w:tcPr>
          <w:p w14:paraId="73A6F22E">
            <w:pPr>
              <w:jc w:val="center"/>
              <w:rPr>
                <w:color w:val="auto"/>
                <w:szCs w:val="21"/>
                <w:highlight w:val="none"/>
              </w:rPr>
            </w:pPr>
          </w:p>
        </w:tc>
      </w:tr>
      <w:tr w14:paraId="163E54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33" w:type="dxa"/>
            <w:gridSpan w:val="2"/>
            <w:tcBorders>
              <w:top w:val="double" w:color="auto" w:sz="4" w:space="0"/>
              <w:bottom w:val="double" w:color="auto" w:sz="4" w:space="0"/>
            </w:tcBorders>
            <w:shd w:val="clear" w:color="auto" w:fill="FFFFFF"/>
            <w:noWrap w:val="0"/>
            <w:vAlign w:val="center"/>
          </w:tcPr>
          <w:p w14:paraId="35AAD9B5">
            <w:pPr>
              <w:jc w:val="center"/>
              <w:rPr>
                <w:color w:val="auto"/>
                <w:szCs w:val="21"/>
                <w:highlight w:val="none"/>
              </w:rPr>
            </w:pPr>
            <w:r>
              <w:rPr>
                <w:rFonts w:hint="eastAsia" w:ascii="黑体" w:hAnsi="黑体" w:eastAsia="黑体" w:cs="黑体"/>
                <w:color w:val="auto"/>
                <w:szCs w:val="21"/>
                <w:highlight w:val="none"/>
              </w:rPr>
              <w:t>最终考核分数</w:t>
            </w:r>
          </w:p>
        </w:tc>
        <w:tc>
          <w:tcPr>
            <w:tcW w:w="7056" w:type="dxa"/>
            <w:gridSpan w:val="5"/>
            <w:tcBorders>
              <w:top w:val="double" w:color="auto" w:sz="4" w:space="0"/>
              <w:bottom w:val="double" w:color="auto" w:sz="4" w:space="0"/>
            </w:tcBorders>
            <w:shd w:val="clear" w:color="auto" w:fill="FFFFFF"/>
            <w:noWrap w:val="0"/>
            <w:vAlign w:val="center"/>
          </w:tcPr>
          <w:p w14:paraId="6342FB66">
            <w:pPr>
              <w:jc w:val="center"/>
              <w:rPr>
                <w:color w:val="auto"/>
                <w:szCs w:val="21"/>
                <w:highlight w:val="none"/>
              </w:rPr>
            </w:pPr>
          </w:p>
        </w:tc>
      </w:tr>
    </w:tbl>
    <w:p w14:paraId="335CB40A">
      <w:pPr>
        <w:rPr>
          <w:rFonts w:ascii="仿宋" w:hAnsi="仿宋" w:eastAsia="仿宋" w:cs="仿宋"/>
          <w:color w:val="auto"/>
          <w:sz w:val="32"/>
          <w:highlight w:val="none"/>
        </w:rPr>
      </w:pPr>
    </w:p>
    <w:p w14:paraId="78C313A8">
      <w:pPr>
        <w:rPr>
          <w:rFonts w:ascii="黑体" w:hAnsi="黑体" w:eastAsia="黑体" w:cs="黑体"/>
          <w:color w:val="auto"/>
          <w:sz w:val="32"/>
          <w:highlight w:val="none"/>
        </w:rPr>
      </w:pPr>
      <w:r>
        <w:rPr>
          <w:rFonts w:hint="eastAsia" w:ascii="黑体" w:hAnsi="黑体" w:eastAsia="黑体" w:cs="黑体"/>
          <w:color w:val="auto"/>
          <w:sz w:val="32"/>
          <w:highlight w:val="none"/>
        </w:rPr>
        <w:br w:type="page"/>
      </w:r>
      <w:r>
        <w:rPr>
          <w:rFonts w:hint="eastAsia" w:ascii="黑体" w:hAnsi="黑体" w:eastAsia="黑体" w:cs="黑体"/>
          <w:color w:val="auto"/>
          <w:sz w:val="32"/>
          <w:highlight w:val="none"/>
        </w:rPr>
        <w:t>附件3</w:t>
      </w:r>
    </w:p>
    <w:p w14:paraId="3C1A71B3">
      <w:pPr>
        <w:jc w:val="center"/>
        <w:rPr>
          <w:rFonts w:ascii="黑体" w:hAnsi="黑体" w:eastAsia="黑体" w:cs="黑体"/>
          <w:color w:val="auto"/>
          <w:sz w:val="36"/>
          <w:szCs w:val="44"/>
          <w:highlight w:val="none"/>
        </w:rPr>
      </w:pPr>
      <w:r>
        <w:rPr>
          <w:rFonts w:hint="eastAsia" w:ascii="黑体" w:hAnsi="黑体" w:eastAsia="黑体" w:cs="黑体"/>
          <w:color w:val="auto"/>
          <w:sz w:val="36"/>
          <w:szCs w:val="44"/>
          <w:highlight w:val="none"/>
        </w:rPr>
        <w:t>监理单位质量服务考核表</w:t>
      </w:r>
    </w:p>
    <w:p w14:paraId="7A8BAD34">
      <w:pPr>
        <w:spacing w:afterLines="20"/>
        <w:jc w:val="left"/>
        <w:rPr>
          <w:color w:val="auto"/>
          <w:sz w:val="24"/>
          <w:szCs w:val="32"/>
          <w:highlight w:val="none"/>
        </w:rPr>
      </w:pPr>
      <w:r>
        <w:rPr>
          <w:rFonts w:hint="eastAsia"/>
          <w:color w:val="auto"/>
          <w:sz w:val="24"/>
          <w:highlight w:val="none"/>
        </w:rPr>
        <w:t>填写部门（盖章）：                             填写时间：    年   月   日</w:t>
      </w:r>
    </w:p>
    <w:tbl>
      <w:tblPr>
        <w:tblStyle w:val="65"/>
        <w:tblW w:w="86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16"/>
        <w:gridCol w:w="2807"/>
        <w:gridCol w:w="1773"/>
        <w:gridCol w:w="709"/>
        <w:gridCol w:w="1118"/>
        <w:gridCol w:w="649"/>
      </w:tblGrid>
      <w:tr w14:paraId="5A8424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33" w:type="dxa"/>
            <w:gridSpan w:val="2"/>
            <w:tcBorders>
              <w:tl2br w:val="nil"/>
              <w:tr2bl w:val="nil"/>
            </w:tcBorders>
            <w:shd w:val="clear" w:color="auto" w:fill="FFFFFF"/>
            <w:noWrap w:val="0"/>
            <w:vAlign w:val="center"/>
          </w:tcPr>
          <w:p w14:paraId="1A312FA7">
            <w:pPr>
              <w:jc w:val="center"/>
              <w:rPr>
                <w:color w:val="auto"/>
                <w:highlight w:val="none"/>
              </w:rPr>
            </w:pPr>
            <w:r>
              <w:rPr>
                <w:rFonts w:hint="eastAsia"/>
                <w:color w:val="auto"/>
                <w:sz w:val="22"/>
                <w:szCs w:val="28"/>
                <w:highlight w:val="none"/>
              </w:rPr>
              <w:t>项目名称</w:t>
            </w:r>
          </w:p>
        </w:tc>
        <w:tc>
          <w:tcPr>
            <w:tcW w:w="7056" w:type="dxa"/>
            <w:gridSpan w:val="5"/>
            <w:tcBorders>
              <w:tl2br w:val="nil"/>
              <w:tr2bl w:val="nil"/>
            </w:tcBorders>
            <w:shd w:val="clear" w:color="auto" w:fill="FFFFFF"/>
            <w:noWrap w:val="0"/>
            <w:vAlign w:val="center"/>
          </w:tcPr>
          <w:p w14:paraId="3C69D976">
            <w:pPr>
              <w:jc w:val="center"/>
              <w:rPr>
                <w:color w:val="auto"/>
                <w:highlight w:val="none"/>
              </w:rPr>
            </w:pPr>
          </w:p>
        </w:tc>
      </w:tr>
      <w:tr w14:paraId="01A350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33" w:type="dxa"/>
            <w:gridSpan w:val="2"/>
            <w:tcBorders>
              <w:tl2br w:val="nil"/>
              <w:tr2bl w:val="nil"/>
            </w:tcBorders>
            <w:shd w:val="clear" w:color="auto" w:fill="FFFFFF"/>
            <w:noWrap w:val="0"/>
            <w:vAlign w:val="center"/>
          </w:tcPr>
          <w:p w14:paraId="744BEA9F">
            <w:pPr>
              <w:jc w:val="center"/>
              <w:rPr>
                <w:color w:val="auto"/>
                <w:sz w:val="22"/>
                <w:szCs w:val="28"/>
                <w:highlight w:val="none"/>
              </w:rPr>
            </w:pPr>
            <w:r>
              <w:rPr>
                <w:rFonts w:hint="eastAsia"/>
                <w:color w:val="auto"/>
                <w:sz w:val="22"/>
                <w:szCs w:val="28"/>
                <w:highlight w:val="none"/>
              </w:rPr>
              <w:t>监理单位名称</w:t>
            </w:r>
          </w:p>
        </w:tc>
        <w:tc>
          <w:tcPr>
            <w:tcW w:w="7056" w:type="dxa"/>
            <w:gridSpan w:val="5"/>
            <w:tcBorders>
              <w:tl2br w:val="nil"/>
              <w:tr2bl w:val="nil"/>
            </w:tcBorders>
            <w:shd w:val="clear" w:color="auto" w:fill="FFFFFF"/>
            <w:noWrap w:val="0"/>
            <w:vAlign w:val="center"/>
          </w:tcPr>
          <w:p w14:paraId="5D6596A5">
            <w:pPr>
              <w:jc w:val="center"/>
              <w:rPr>
                <w:color w:val="auto"/>
                <w:highlight w:val="none"/>
              </w:rPr>
            </w:pPr>
          </w:p>
        </w:tc>
      </w:tr>
      <w:tr w14:paraId="69CA46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633" w:type="dxa"/>
            <w:gridSpan w:val="2"/>
            <w:tcBorders>
              <w:bottom w:val="double" w:color="auto" w:sz="4" w:space="0"/>
              <w:tl2br w:val="nil"/>
              <w:tr2bl w:val="nil"/>
            </w:tcBorders>
            <w:shd w:val="clear" w:color="auto" w:fill="FFFFFF"/>
            <w:noWrap w:val="0"/>
            <w:vAlign w:val="center"/>
          </w:tcPr>
          <w:p w14:paraId="7AA26412">
            <w:pPr>
              <w:jc w:val="center"/>
              <w:rPr>
                <w:color w:val="auto"/>
                <w:sz w:val="22"/>
                <w:szCs w:val="28"/>
                <w:highlight w:val="none"/>
              </w:rPr>
            </w:pPr>
            <w:r>
              <w:rPr>
                <w:rFonts w:hint="eastAsia"/>
                <w:color w:val="auto"/>
                <w:sz w:val="22"/>
                <w:szCs w:val="28"/>
                <w:highlight w:val="none"/>
              </w:rPr>
              <w:t>项目责任人</w:t>
            </w:r>
          </w:p>
          <w:p w14:paraId="1D72180A">
            <w:pPr>
              <w:jc w:val="center"/>
              <w:rPr>
                <w:color w:val="auto"/>
                <w:sz w:val="22"/>
                <w:szCs w:val="28"/>
                <w:highlight w:val="none"/>
              </w:rPr>
            </w:pPr>
            <w:r>
              <w:rPr>
                <w:rFonts w:hint="eastAsia"/>
                <w:color w:val="auto"/>
                <w:sz w:val="22"/>
                <w:szCs w:val="28"/>
                <w:highlight w:val="none"/>
              </w:rPr>
              <w:t>（签名）</w:t>
            </w:r>
          </w:p>
        </w:tc>
        <w:tc>
          <w:tcPr>
            <w:tcW w:w="2807" w:type="dxa"/>
            <w:tcBorders>
              <w:bottom w:val="double" w:color="auto" w:sz="4" w:space="0"/>
              <w:tl2br w:val="nil"/>
              <w:tr2bl w:val="nil"/>
            </w:tcBorders>
            <w:shd w:val="clear" w:color="auto" w:fill="FFFFFF"/>
            <w:noWrap w:val="0"/>
            <w:vAlign w:val="center"/>
          </w:tcPr>
          <w:p w14:paraId="2B14B998">
            <w:pPr>
              <w:jc w:val="left"/>
              <w:rPr>
                <w:color w:val="auto"/>
                <w:highlight w:val="none"/>
              </w:rPr>
            </w:pPr>
          </w:p>
          <w:p w14:paraId="2E7E9BE8">
            <w:pPr>
              <w:jc w:val="center"/>
              <w:rPr>
                <w:color w:val="auto"/>
                <w:highlight w:val="none"/>
              </w:rPr>
            </w:pPr>
          </w:p>
        </w:tc>
        <w:tc>
          <w:tcPr>
            <w:tcW w:w="1773" w:type="dxa"/>
            <w:tcBorders>
              <w:bottom w:val="double" w:color="auto" w:sz="4" w:space="0"/>
              <w:tl2br w:val="nil"/>
              <w:tr2bl w:val="nil"/>
            </w:tcBorders>
            <w:shd w:val="clear" w:color="auto" w:fill="FFFFFF"/>
            <w:noWrap w:val="0"/>
            <w:vAlign w:val="center"/>
          </w:tcPr>
          <w:p w14:paraId="355772B6">
            <w:pPr>
              <w:jc w:val="center"/>
              <w:rPr>
                <w:color w:val="auto"/>
                <w:sz w:val="22"/>
                <w:szCs w:val="28"/>
                <w:highlight w:val="none"/>
              </w:rPr>
            </w:pPr>
            <w:r>
              <w:rPr>
                <w:rFonts w:hint="eastAsia"/>
                <w:color w:val="auto"/>
                <w:sz w:val="22"/>
                <w:szCs w:val="28"/>
                <w:highlight w:val="none"/>
              </w:rPr>
              <w:t>部门负责人</w:t>
            </w:r>
          </w:p>
          <w:p w14:paraId="63083162">
            <w:pPr>
              <w:jc w:val="center"/>
              <w:rPr>
                <w:color w:val="auto"/>
                <w:highlight w:val="none"/>
              </w:rPr>
            </w:pPr>
            <w:r>
              <w:rPr>
                <w:rFonts w:hint="eastAsia"/>
                <w:color w:val="auto"/>
                <w:sz w:val="22"/>
                <w:szCs w:val="28"/>
                <w:highlight w:val="none"/>
              </w:rPr>
              <w:t>（签名）</w:t>
            </w:r>
          </w:p>
        </w:tc>
        <w:tc>
          <w:tcPr>
            <w:tcW w:w="2476" w:type="dxa"/>
            <w:gridSpan w:val="3"/>
            <w:tcBorders>
              <w:bottom w:val="double" w:color="auto" w:sz="4" w:space="0"/>
              <w:tl2br w:val="nil"/>
              <w:tr2bl w:val="nil"/>
            </w:tcBorders>
            <w:shd w:val="clear" w:color="auto" w:fill="FFFFFF"/>
            <w:noWrap w:val="0"/>
            <w:vAlign w:val="center"/>
          </w:tcPr>
          <w:p w14:paraId="21173B0F">
            <w:pPr>
              <w:jc w:val="center"/>
              <w:rPr>
                <w:color w:val="auto"/>
                <w:highlight w:val="none"/>
              </w:rPr>
            </w:pPr>
          </w:p>
        </w:tc>
      </w:tr>
      <w:tr w14:paraId="590E65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89" w:type="dxa"/>
            <w:gridSpan w:val="7"/>
            <w:tcBorders>
              <w:top w:val="double" w:color="auto" w:sz="4" w:space="0"/>
              <w:bottom w:val="double" w:color="auto" w:sz="4" w:space="0"/>
            </w:tcBorders>
            <w:shd w:val="clear" w:color="auto" w:fill="FFFFFF"/>
            <w:noWrap w:val="0"/>
            <w:vAlign w:val="center"/>
          </w:tcPr>
          <w:p w14:paraId="5A1BF30B">
            <w:pPr>
              <w:jc w:val="center"/>
              <w:rPr>
                <w:color w:val="auto"/>
                <w:highlight w:val="none"/>
              </w:rPr>
            </w:pPr>
            <w:r>
              <w:rPr>
                <w:rFonts w:hint="eastAsia"/>
                <w:b/>
                <w:bCs/>
                <w:color w:val="auto"/>
                <w:sz w:val="26"/>
                <w:szCs w:val="26"/>
                <w:highlight w:val="none"/>
              </w:rPr>
              <w:t>质量服务考核情况</w:t>
            </w:r>
          </w:p>
        </w:tc>
      </w:tr>
      <w:tr w14:paraId="466522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717" w:type="dxa"/>
            <w:tcBorders>
              <w:tl2br w:val="nil"/>
              <w:tr2bl w:val="nil"/>
            </w:tcBorders>
            <w:shd w:val="clear" w:color="auto" w:fill="FFFFFF"/>
            <w:noWrap w:val="0"/>
            <w:vAlign w:val="center"/>
          </w:tcPr>
          <w:p w14:paraId="60C6F1EC">
            <w:pPr>
              <w:jc w:val="center"/>
              <w:rPr>
                <w:color w:val="auto"/>
                <w:szCs w:val="21"/>
                <w:highlight w:val="none"/>
              </w:rPr>
            </w:pPr>
            <w:r>
              <w:rPr>
                <w:rFonts w:hint="eastAsia"/>
                <w:color w:val="auto"/>
                <w:szCs w:val="21"/>
                <w:highlight w:val="none"/>
              </w:rPr>
              <w:t>序号</w:t>
            </w:r>
          </w:p>
        </w:tc>
        <w:tc>
          <w:tcPr>
            <w:tcW w:w="6205" w:type="dxa"/>
            <w:gridSpan w:val="4"/>
            <w:tcBorders>
              <w:tl2br w:val="nil"/>
              <w:tr2bl w:val="nil"/>
            </w:tcBorders>
            <w:shd w:val="clear" w:color="auto" w:fill="FFFFFF"/>
            <w:noWrap w:val="0"/>
            <w:vAlign w:val="center"/>
          </w:tcPr>
          <w:p w14:paraId="566E2EBF">
            <w:pPr>
              <w:jc w:val="center"/>
              <w:rPr>
                <w:color w:val="auto"/>
                <w:szCs w:val="21"/>
                <w:highlight w:val="none"/>
              </w:rPr>
            </w:pPr>
            <w:r>
              <w:rPr>
                <w:rFonts w:hint="eastAsia"/>
                <w:color w:val="auto"/>
                <w:szCs w:val="21"/>
                <w:highlight w:val="none"/>
              </w:rPr>
              <w:t>扣分细则</w:t>
            </w:r>
          </w:p>
        </w:tc>
        <w:tc>
          <w:tcPr>
            <w:tcW w:w="1118" w:type="dxa"/>
            <w:tcBorders>
              <w:tl2br w:val="nil"/>
              <w:tr2bl w:val="nil"/>
            </w:tcBorders>
            <w:shd w:val="clear" w:color="auto" w:fill="FFFFFF"/>
            <w:noWrap w:val="0"/>
            <w:vAlign w:val="center"/>
          </w:tcPr>
          <w:p w14:paraId="0BC6A921">
            <w:pPr>
              <w:jc w:val="center"/>
              <w:rPr>
                <w:color w:val="auto"/>
                <w:szCs w:val="21"/>
                <w:highlight w:val="none"/>
              </w:rPr>
            </w:pPr>
            <w:r>
              <w:rPr>
                <w:rFonts w:hint="eastAsia"/>
                <w:color w:val="auto"/>
                <w:szCs w:val="21"/>
                <w:highlight w:val="none"/>
              </w:rPr>
              <w:t>扣分标准</w:t>
            </w:r>
          </w:p>
        </w:tc>
        <w:tc>
          <w:tcPr>
            <w:tcW w:w="649" w:type="dxa"/>
            <w:tcBorders>
              <w:tl2br w:val="nil"/>
              <w:tr2bl w:val="nil"/>
            </w:tcBorders>
            <w:shd w:val="clear" w:color="auto" w:fill="FFFFFF"/>
            <w:noWrap w:val="0"/>
            <w:vAlign w:val="center"/>
          </w:tcPr>
          <w:p w14:paraId="19CE9038">
            <w:pPr>
              <w:jc w:val="center"/>
              <w:rPr>
                <w:color w:val="auto"/>
                <w:szCs w:val="21"/>
                <w:highlight w:val="none"/>
              </w:rPr>
            </w:pPr>
            <w:r>
              <w:rPr>
                <w:rFonts w:hint="eastAsia"/>
                <w:color w:val="auto"/>
                <w:szCs w:val="21"/>
                <w:highlight w:val="none"/>
              </w:rPr>
              <w:t>扣分</w:t>
            </w:r>
          </w:p>
        </w:tc>
      </w:tr>
      <w:tr w14:paraId="0EC63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292C8AD2">
            <w:pPr>
              <w:jc w:val="center"/>
              <w:rPr>
                <w:color w:val="auto"/>
                <w:szCs w:val="21"/>
                <w:highlight w:val="none"/>
              </w:rPr>
            </w:pPr>
            <w:r>
              <w:rPr>
                <w:rFonts w:hint="eastAsia"/>
                <w:color w:val="auto"/>
                <w:szCs w:val="21"/>
                <w:highlight w:val="none"/>
              </w:rPr>
              <w:t>1</w:t>
            </w:r>
          </w:p>
        </w:tc>
        <w:tc>
          <w:tcPr>
            <w:tcW w:w="6205" w:type="dxa"/>
            <w:gridSpan w:val="4"/>
            <w:tcBorders>
              <w:tl2br w:val="nil"/>
              <w:tr2bl w:val="nil"/>
            </w:tcBorders>
            <w:shd w:val="clear" w:color="auto" w:fill="FFFFFF"/>
            <w:noWrap w:val="0"/>
            <w:vAlign w:val="center"/>
          </w:tcPr>
          <w:p w14:paraId="651EE6DC">
            <w:pPr>
              <w:jc w:val="left"/>
              <w:rPr>
                <w:color w:val="auto"/>
                <w:szCs w:val="21"/>
                <w:highlight w:val="none"/>
              </w:rPr>
            </w:pPr>
            <w:r>
              <w:rPr>
                <w:rFonts w:hint="eastAsia"/>
                <w:color w:val="auto"/>
                <w:szCs w:val="21"/>
                <w:highlight w:val="none"/>
              </w:rPr>
              <w:t>未按招投标文件及合同要求配置现场监理人员的</w:t>
            </w:r>
          </w:p>
        </w:tc>
        <w:tc>
          <w:tcPr>
            <w:tcW w:w="1118" w:type="dxa"/>
            <w:tcBorders>
              <w:tl2br w:val="nil"/>
              <w:tr2bl w:val="nil"/>
            </w:tcBorders>
            <w:shd w:val="clear" w:color="auto" w:fill="FFFFFF"/>
            <w:noWrap w:val="0"/>
            <w:vAlign w:val="center"/>
          </w:tcPr>
          <w:p w14:paraId="66B8A75F">
            <w:pPr>
              <w:jc w:val="center"/>
              <w:rPr>
                <w:color w:val="auto"/>
                <w:szCs w:val="21"/>
                <w:highlight w:val="none"/>
              </w:rPr>
            </w:pPr>
            <w:r>
              <w:rPr>
                <w:rFonts w:hint="eastAsia"/>
                <w:color w:val="auto"/>
                <w:szCs w:val="21"/>
                <w:highlight w:val="none"/>
              </w:rPr>
              <w:t>20</w:t>
            </w:r>
          </w:p>
        </w:tc>
        <w:tc>
          <w:tcPr>
            <w:tcW w:w="649" w:type="dxa"/>
            <w:tcBorders>
              <w:tl2br w:val="nil"/>
              <w:tr2bl w:val="nil"/>
            </w:tcBorders>
            <w:shd w:val="clear" w:color="auto" w:fill="FFFFFF"/>
            <w:noWrap w:val="0"/>
            <w:vAlign w:val="center"/>
          </w:tcPr>
          <w:p w14:paraId="4E01A16F">
            <w:pPr>
              <w:jc w:val="center"/>
              <w:rPr>
                <w:color w:val="auto"/>
                <w:szCs w:val="21"/>
                <w:highlight w:val="none"/>
              </w:rPr>
            </w:pPr>
          </w:p>
        </w:tc>
      </w:tr>
      <w:tr w14:paraId="7D95E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534E4E0E">
            <w:pPr>
              <w:jc w:val="center"/>
              <w:rPr>
                <w:color w:val="auto"/>
                <w:szCs w:val="21"/>
                <w:highlight w:val="none"/>
              </w:rPr>
            </w:pPr>
            <w:r>
              <w:rPr>
                <w:rFonts w:hint="eastAsia"/>
                <w:color w:val="auto"/>
                <w:szCs w:val="21"/>
                <w:highlight w:val="none"/>
              </w:rPr>
              <w:t>2</w:t>
            </w:r>
          </w:p>
        </w:tc>
        <w:tc>
          <w:tcPr>
            <w:tcW w:w="6205" w:type="dxa"/>
            <w:gridSpan w:val="4"/>
            <w:tcBorders>
              <w:tl2br w:val="nil"/>
              <w:tr2bl w:val="nil"/>
            </w:tcBorders>
            <w:shd w:val="clear" w:color="auto" w:fill="FFFFFF"/>
            <w:noWrap w:val="0"/>
            <w:vAlign w:val="center"/>
          </w:tcPr>
          <w:p w14:paraId="1B898172">
            <w:pPr>
              <w:jc w:val="left"/>
              <w:rPr>
                <w:color w:val="auto"/>
                <w:szCs w:val="21"/>
                <w:highlight w:val="none"/>
              </w:rPr>
            </w:pPr>
            <w:r>
              <w:rPr>
                <w:rFonts w:hint="eastAsia"/>
                <w:color w:val="auto"/>
                <w:szCs w:val="21"/>
                <w:highlight w:val="none"/>
              </w:rPr>
              <w:t>未经建设单位同意随意更换现场监理人员，影响现场施工的</w:t>
            </w:r>
          </w:p>
        </w:tc>
        <w:tc>
          <w:tcPr>
            <w:tcW w:w="1118" w:type="dxa"/>
            <w:tcBorders>
              <w:tl2br w:val="nil"/>
              <w:tr2bl w:val="nil"/>
            </w:tcBorders>
            <w:shd w:val="clear" w:color="auto" w:fill="FFFFFF"/>
            <w:noWrap w:val="0"/>
            <w:vAlign w:val="center"/>
          </w:tcPr>
          <w:p w14:paraId="32BF4112">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741958CF">
            <w:pPr>
              <w:jc w:val="center"/>
              <w:rPr>
                <w:color w:val="auto"/>
                <w:szCs w:val="21"/>
                <w:highlight w:val="none"/>
              </w:rPr>
            </w:pPr>
          </w:p>
        </w:tc>
      </w:tr>
      <w:tr w14:paraId="6F2290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476AE1B6">
            <w:pPr>
              <w:jc w:val="center"/>
              <w:rPr>
                <w:color w:val="auto"/>
                <w:szCs w:val="21"/>
                <w:highlight w:val="none"/>
              </w:rPr>
            </w:pPr>
            <w:r>
              <w:rPr>
                <w:rFonts w:hint="eastAsia"/>
                <w:color w:val="auto"/>
                <w:szCs w:val="21"/>
                <w:highlight w:val="none"/>
              </w:rPr>
              <w:t>3</w:t>
            </w:r>
          </w:p>
        </w:tc>
        <w:tc>
          <w:tcPr>
            <w:tcW w:w="6205" w:type="dxa"/>
            <w:gridSpan w:val="4"/>
            <w:tcBorders>
              <w:tl2br w:val="nil"/>
              <w:tr2bl w:val="nil"/>
            </w:tcBorders>
            <w:shd w:val="clear" w:color="auto" w:fill="FFFFFF"/>
            <w:noWrap w:val="0"/>
            <w:vAlign w:val="center"/>
          </w:tcPr>
          <w:p w14:paraId="39F7DC56">
            <w:pPr>
              <w:jc w:val="left"/>
              <w:rPr>
                <w:color w:val="auto"/>
                <w:szCs w:val="21"/>
                <w:highlight w:val="none"/>
              </w:rPr>
            </w:pPr>
            <w:r>
              <w:rPr>
                <w:rFonts w:hint="eastAsia"/>
                <w:color w:val="auto"/>
                <w:szCs w:val="21"/>
                <w:highlight w:val="none"/>
              </w:rPr>
              <w:t>与施工单位串通，弄虚作假、降低工程质量的</w:t>
            </w:r>
          </w:p>
        </w:tc>
        <w:tc>
          <w:tcPr>
            <w:tcW w:w="1118" w:type="dxa"/>
            <w:tcBorders>
              <w:tl2br w:val="nil"/>
              <w:tr2bl w:val="nil"/>
            </w:tcBorders>
            <w:shd w:val="clear" w:color="auto" w:fill="FFFFFF"/>
            <w:noWrap w:val="0"/>
            <w:vAlign w:val="center"/>
          </w:tcPr>
          <w:p w14:paraId="6AD55A69">
            <w:pPr>
              <w:jc w:val="center"/>
              <w:rPr>
                <w:color w:val="auto"/>
                <w:szCs w:val="21"/>
                <w:highlight w:val="none"/>
              </w:rPr>
            </w:pPr>
            <w:r>
              <w:rPr>
                <w:rFonts w:hint="eastAsia"/>
                <w:color w:val="auto"/>
                <w:szCs w:val="21"/>
                <w:highlight w:val="none"/>
              </w:rPr>
              <w:t>30</w:t>
            </w:r>
          </w:p>
        </w:tc>
        <w:tc>
          <w:tcPr>
            <w:tcW w:w="649" w:type="dxa"/>
            <w:tcBorders>
              <w:tl2br w:val="nil"/>
              <w:tr2bl w:val="nil"/>
            </w:tcBorders>
            <w:shd w:val="clear" w:color="auto" w:fill="FFFFFF"/>
            <w:noWrap w:val="0"/>
            <w:vAlign w:val="center"/>
          </w:tcPr>
          <w:p w14:paraId="42ECD5CB">
            <w:pPr>
              <w:jc w:val="center"/>
              <w:rPr>
                <w:color w:val="auto"/>
                <w:szCs w:val="21"/>
                <w:highlight w:val="none"/>
              </w:rPr>
            </w:pPr>
          </w:p>
        </w:tc>
      </w:tr>
      <w:tr w14:paraId="699F23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C87CC67">
            <w:pPr>
              <w:jc w:val="center"/>
              <w:rPr>
                <w:color w:val="auto"/>
                <w:szCs w:val="21"/>
                <w:highlight w:val="none"/>
              </w:rPr>
            </w:pPr>
            <w:r>
              <w:rPr>
                <w:rFonts w:hint="eastAsia"/>
                <w:color w:val="auto"/>
                <w:szCs w:val="21"/>
                <w:highlight w:val="none"/>
              </w:rPr>
              <w:t>4</w:t>
            </w:r>
          </w:p>
        </w:tc>
        <w:tc>
          <w:tcPr>
            <w:tcW w:w="6205" w:type="dxa"/>
            <w:gridSpan w:val="4"/>
            <w:tcBorders>
              <w:tl2br w:val="nil"/>
              <w:tr2bl w:val="nil"/>
            </w:tcBorders>
            <w:shd w:val="clear" w:color="auto" w:fill="FFFFFF"/>
            <w:noWrap w:val="0"/>
            <w:vAlign w:val="center"/>
          </w:tcPr>
          <w:p w14:paraId="1782C0AC">
            <w:pPr>
              <w:jc w:val="left"/>
              <w:rPr>
                <w:color w:val="auto"/>
                <w:szCs w:val="21"/>
                <w:highlight w:val="none"/>
              </w:rPr>
            </w:pPr>
            <w:r>
              <w:rPr>
                <w:rFonts w:hint="eastAsia"/>
                <w:color w:val="auto"/>
                <w:szCs w:val="21"/>
                <w:highlight w:val="none"/>
              </w:rPr>
              <w:t>将不合格的建设工程、建筑材料、建筑构配件和设备按照合格签字的</w:t>
            </w:r>
          </w:p>
        </w:tc>
        <w:tc>
          <w:tcPr>
            <w:tcW w:w="1118" w:type="dxa"/>
            <w:tcBorders>
              <w:tl2br w:val="nil"/>
              <w:tr2bl w:val="nil"/>
            </w:tcBorders>
            <w:shd w:val="clear" w:color="auto" w:fill="FFFFFF"/>
            <w:noWrap w:val="0"/>
            <w:vAlign w:val="center"/>
          </w:tcPr>
          <w:p w14:paraId="08EB0103">
            <w:pPr>
              <w:jc w:val="center"/>
              <w:rPr>
                <w:color w:val="auto"/>
                <w:szCs w:val="21"/>
                <w:highlight w:val="none"/>
              </w:rPr>
            </w:pPr>
            <w:r>
              <w:rPr>
                <w:rFonts w:hint="eastAsia"/>
                <w:color w:val="auto"/>
                <w:szCs w:val="21"/>
                <w:highlight w:val="none"/>
              </w:rPr>
              <w:t>20</w:t>
            </w:r>
          </w:p>
        </w:tc>
        <w:tc>
          <w:tcPr>
            <w:tcW w:w="649" w:type="dxa"/>
            <w:tcBorders>
              <w:tl2br w:val="nil"/>
              <w:tr2bl w:val="nil"/>
            </w:tcBorders>
            <w:shd w:val="clear" w:color="auto" w:fill="FFFFFF"/>
            <w:noWrap w:val="0"/>
            <w:vAlign w:val="center"/>
          </w:tcPr>
          <w:p w14:paraId="009D7A85">
            <w:pPr>
              <w:jc w:val="center"/>
              <w:rPr>
                <w:color w:val="auto"/>
                <w:szCs w:val="21"/>
                <w:highlight w:val="none"/>
              </w:rPr>
            </w:pPr>
          </w:p>
        </w:tc>
      </w:tr>
      <w:tr w14:paraId="59A19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58478E20">
            <w:pPr>
              <w:jc w:val="center"/>
              <w:rPr>
                <w:color w:val="auto"/>
                <w:szCs w:val="21"/>
                <w:highlight w:val="none"/>
              </w:rPr>
            </w:pPr>
            <w:r>
              <w:rPr>
                <w:rFonts w:hint="eastAsia"/>
                <w:color w:val="auto"/>
                <w:szCs w:val="21"/>
                <w:highlight w:val="none"/>
              </w:rPr>
              <w:t>5</w:t>
            </w:r>
          </w:p>
        </w:tc>
        <w:tc>
          <w:tcPr>
            <w:tcW w:w="6205" w:type="dxa"/>
            <w:gridSpan w:val="4"/>
            <w:tcBorders>
              <w:tl2br w:val="nil"/>
              <w:tr2bl w:val="nil"/>
            </w:tcBorders>
            <w:shd w:val="clear" w:color="auto" w:fill="FFFFFF"/>
            <w:noWrap w:val="0"/>
            <w:vAlign w:val="center"/>
          </w:tcPr>
          <w:p w14:paraId="44C97534">
            <w:pPr>
              <w:jc w:val="left"/>
              <w:rPr>
                <w:color w:val="auto"/>
                <w:szCs w:val="21"/>
                <w:highlight w:val="none"/>
              </w:rPr>
            </w:pPr>
            <w:r>
              <w:rPr>
                <w:rFonts w:hint="eastAsia"/>
                <w:color w:val="auto"/>
                <w:szCs w:val="21"/>
                <w:highlight w:val="none"/>
              </w:rPr>
              <w:t>对施工企业各道工序未经报验，擅自进入下道工序施工的行为，未及时以书面形式予以制止和纠正的</w:t>
            </w:r>
          </w:p>
        </w:tc>
        <w:tc>
          <w:tcPr>
            <w:tcW w:w="1118" w:type="dxa"/>
            <w:tcBorders>
              <w:tl2br w:val="nil"/>
              <w:tr2bl w:val="nil"/>
            </w:tcBorders>
            <w:shd w:val="clear" w:color="auto" w:fill="FFFFFF"/>
            <w:noWrap w:val="0"/>
            <w:vAlign w:val="center"/>
          </w:tcPr>
          <w:p w14:paraId="4357E650">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01140982">
            <w:pPr>
              <w:jc w:val="center"/>
              <w:rPr>
                <w:color w:val="auto"/>
                <w:szCs w:val="21"/>
                <w:highlight w:val="none"/>
              </w:rPr>
            </w:pPr>
          </w:p>
        </w:tc>
      </w:tr>
      <w:tr w14:paraId="7D7F78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17" w:type="dxa"/>
            <w:tcBorders>
              <w:tl2br w:val="nil"/>
              <w:tr2bl w:val="nil"/>
            </w:tcBorders>
            <w:shd w:val="clear" w:color="auto" w:fill="FFFFFF"/>
            <w:noWrap w:val="0"/>
            <w:vAlign w:val="center"/>
          </w:tcPr>
          <w:p w14:paraId="52E1059B">
            <w:pPr>
              <w:jc w:val="center"/>
              <w:rPr>
                <w:color w:val="auto"/>
                <w:szCs w:val="21"/>
                <w:highlight w:val="none"/>
              </w:rPr>
            </w:pPr>
            <w:r>
              <w:rPr>
                <w:rFonts w:hint="eastAsia"/>
                <w:color w:val="auto"/>
                <w:szCs w:val="21"/>
                <w:highlight w:val="none"/>
              </w:rPr>
              <w:t>6</w:t>
            </w:r>
          </w:p>
        </w:tc>
        <w:tc>
          <w:tcPr>
            <w:tcW w:w="6205" w:type="dxa"/>
            <w:gridSpan w:val="4"/>
            <w:tcBorders>
              <w:tl2br w:val="nil"/>
              <w:tr2bl w:val="nil"/>
            </w:tcBorders>
            <w:shd w:val="clear" w:color="auto" w:fill="FFFFFF"/>
            <w:noWrap w:val="0"/>
            <w:vAlign w:val="center"/>
          </w:tcPr>
          <w:p w14:paraId="0E065F5C">
            <w:pPr>
              <w:jc w:val="left"/>
              <w:rPr>
                <w:color w:val="auto"/>
                <w:szCs w:val="21"/>
                <w:highlight w:val="none"/>
              </w:rPr>
            </w:pPr>
            <w:r>
              <w:rPr>
                <w:rFonts w:hint="eastAsia"/>
                <w:color w:val="auto"/>
                <w:szCs w:val="21"/>
                <w:highlight w:val="none"/>
              </w:rPr>
              <w:t>未按规定组织验收或验收程序不符合要求的</w:t>
            </w:r>
          </w:p>
        </w:tc>
        <w:tc>
          <w:tcPr>
            <w:tcW w:w="1118" w:type="dxa"/>
            <w:tcBorders>
              <w:tl2br w:val="nil"/>
              <w:tr2bl w:val="nil"/>
            </w:tcBorders>
            <w:shd w:val="clear" w:color="auto" w:fill="FFFFFF"/>
            <w:noWrap w:val="0"/>
            <w:vAlign w:val="center"/>
          </w:tcPr>
          <w:p w14:paraId="33C0EAF7">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6C877DB6">
            <w:pPr>
              <w:jc w:val="center"/>
              <w:rPr>
                <w:color w:val="auto"/>
                <w:szCs w:val="21"/>
                <w:highlight w:val="none"/>
              </w:rPr>
            </w:pPr>
          </w:p>
        </w:tc>
      </w:tr>
      <w:tr w14:paraId="6A71C5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408D17DA">
            <w:pPr>
              <w:jc w:val="center"/>
              <w:rPr>
                <w:color w:val="auto"/>
                <w:szCs w:val="21"/>
                <w:highlight w:val="none"/>
              </w:rPr>
            </w:pPr>
            <w:r>
              <w:rPr>
                <w:rFonts w:hint="eastAsia"/>
                <w:color w:val="auto"/>
                <w:szCs w:val="21"/>
                <w:highlight w:val="none"/>
              </w:rPr>
              <w:t>7</w:t>
            </w:r>
          </w:p>
        </w:tc>
        <w:tc>
          <w:tcPr>
            <w:tcW w:w="6205" w:type="dxa"/>
            <w:gridSpan w:val="4"/>
            <w:tcBorders>
              <w:tl2br w:val="nil"/>
              <w:tr2bl w:val="nil"/>
            </w:tcBorders>
            <w:shd w:val="clear" w:color="auto" w:fill="FFFFFF"/>
            <w:noWrap w:val="0"/>
            <w:vAlign w:val="center"/>
          </w:tcPr>
          <w:p w14:paraId="3B47E6B9">
            <w:pPr>
              <w:jc w:val="left"/>
              <w:rPr>
                <w:color w:val="auto"/>
                <w:szCs w:val="21"/>
                <w:highlight w:val="none"/>
              </w:rPr>
            </w:pPr>
            <w:r>
              <w:rPr>
                <w:rFonts w:hint="eastAsia"/>
                <w:color w:val="auto"/>
                <w:szCs w:val="21"/>
                <w:highlight w:val="none"/>
              </w:rPr>
              <w:t>未按图审合格的设计文件进行监理，或对施工企业未按经图审合格的设计文件进行施工的行为书面予以制止的</w:t>
            </w:r>
          </w:p>
        </w:tc>
        <w:tc>
          <w:tcPr>
            <w:tcW w:w="1118" w:type="dxa"/>
            <w:tcBorders>
              <w:tl2br w:val="nil"/>
              <w:tr2bl w:val="nil"/>
            </w:tcBorders>
            <w:shd w:val="clear" w:color="auto" w:fill="FFFFFF"/>
            <w:noWrap w:val="0"/>
            <w:vAlign w:val="center"/>
          </w:tcPr>
          <w:p w14:paraId="4CCF2821">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26765C2C">
            <w:pPr>
              <w:jc w:val="center"/>
              <w:rPr>
                <w:color w:val="auto"/>
                <w:szCs w:val="21"/>
                <w:highlight w:val="none"/>
              </w:rPr>
            </w:pPr>
          </w:p>
        </w:tc>
      </w:tr>
      <w:tr w14:paraId="628B4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FB16822">
            <w:pPr>
              <w:jc w:val="center"/>
              <w:rPr>
                <w:color w:val="auto"/>
                <w:szCs w:val="21"/>
                <w:highlight w:val="none"/>
              </w:rPr>
            </w:pPr>
            <w:r>
              <w:rPr>
                <w:rFonts w:hint="eastAsia"/>
                <w:color w:val="auto"/>
                <w:szCs w:val="21"/>
                <w:highlight w:val="none"/>
              </w:rPr>
              <w:t>8</w:t>
            </w:r>
          </w:p>
        </w:tc>
        <w:tc>
          <w:tcPr>
            <w:tcW w:w="6205" w:type="dxa"/>
            <w:gridSpan w:val="4"/>
            <w:tcBorders>
              <w:tl2br w:val="nil"/>
              <w:tr2bl w:val="nil"/>
            </w:tcBorders>
            <w:shd w:val="clear" w:color="auto" w:fill="FFFFFF"/>
            <w:noWrap w:val="0"/>
            <w:vAlign w:val="center"/>
          </w:tcPr>
          <w:p w14:paraId="254A8614">
            <w:pPr>
              <w:jc w:val="left"/>
              <w:rPr>
                <w:color w:val="auto"/>
                <w:szCs w:val="21"/>
                <w:highlight w:val="none"/>
              </w:rPr>
            </w:pPr>
            <w:r>
              <w:rPr>
                <w:rFonts w:hint="eastAsia"/>
                <w:color w:val="auto"/>
                <w:szCs w:val="21"/>
                <w:highlight w:val="none"/>
              </w:rPr>
              <w:t>未按规定对原材料、构配件、设备等的进行进场检查，未按要求对实物核对批次及外观、质量、尺寸，或报验单填写不齐全的</w:t>
            </w:r>
          </w:p>
        </w:tc>
        <w:tc>
          <w:tcPr>
            <w:tcW w:w="1118" w:type="dxa"/>
            <w:tcBorders>
              <w:tl2br w:val="nil"/>
              <w:tr2bl w:val="nil"/>
            </w:tcBorders>
            <w:shd w:val="clear" w:color="auto" w:fill="FFFFFF"/>
            <w:noWrap w:val="0"/>
            <w:vAlign w:val="center"/>
          </w:tcPr>
          <w:p w14:paraId="49675700">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1B6143CA">
            <w:pPr>
              <w:jc w:val="center"/>
              <w:rPr>
                <w:color w:val="auto"/>
                <w:szCs w:val="21"/>
                <w:highlight w:val="none"/>
              </w:rPr>
            </w:pPr>
          </w:p>
        </w:tc>
      </w:tr>
      <w:tr w14:paraId="655FBF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79F35C20">
            <w:pPr>
              <w:jc w:val="center"/>
              <w:rPr>
                <w:color w:val="auto"/>
                <w:szCs w:val="21"/>
                <w:highlight w:val="none"/>
              </w:rPr>
            </w:pPr>
            <w:r>
              <w:rPr>
                <w:rFonts w:hint="eastAsia"/>
                <w:color w:val="auto"/>
                <w:szCs w:val="21"/>
                <w:highlight w:val="none"/>
              </w:rPr>
              <w:t>9</w:t>
            </w:r>
          </w:p>
        </w:tc>
        <w:tc>
          <w:tcPr>
            <w:tcW w:w="6205" w:type="dxa"/>
            <w:gridSpan w:val="4"/>
            <w:tcBorders>
              <w:tl2br w:val="nil"/>
              <w:tr2bl w:val="nil"/>
            </w:tcBorders>
            <w:shd w:val="clear" w:color="auto" w:fill="FFFFFF"/>
            <w:noWrap w:val="0"/>
            <w:vAlign w:val="center"/>
          </w:tcPr>
          <w:p w14:paraId="73959EFD">
            <w:pPr>
              <w:jc w:val="left"/>
              <w:rPr>
                <w:color w:val="auto"/>
                <w:szCs w:val="21"/>
                <w:highlight w:val="none"/>
              </w:rPr>
            </w:pPr>
            <w:r>
              <w:rPr>
                <w:rFonts w:hint="eastAsia"/>
                <w:color w:val="auto"/>
                <w:szCs w:val="21"/>
                <w:highlight w:val="none"/>
              </w:rPr>
              <w:t>未严格按有关规定实行见证取样，造成送检试样与实际施工情况不符的</w:t>
            </w:r>
          </w:p>
        </w:tc>
        <w:tc>
          <w:tcPr>
            <w:tcW w:w="1118" w:type="dxa"/>
            <w:tcBorders>
              <w:tl2br w:val="nil"/>
              <w:tr2bl w:val="nil"/>
            </w:tcBorders>
            <w:shd w:val="clear" w:color="auto" w:fill="FFFFFF"/>
            <w:noWrap w:val="0"/>
            <w:vAlign w:val="center"/>
          </w:tcPr>
          <w:p w14:paraId="2BD47849">
            <w:pPr>
              <w:jc w:val="center"/>
              <w:rPr>
                <w:color w:val="auto"/>
                <w:szCs w:val="21"/>
                <w:highlight w:val="none"/>
              </w:rPr>
            </w:pPr>
            <w:r>
              <w:rPr>
                <w:rFonts w:hint="eastAsia"/>
                <w:color w:val="auto"/>
                <w:szCs w:val="21"/>
                <w:highlight w:val="none"/>
              </w:rPr>
              <w:t>10</w:t>
            </w:r>
          </w:p>
        </w:tc>
        <w:tc>
          <w:tcPr>
            <w:tcW w:w="649" w:type="dxa"/>
            <w:tcBorders>
              <w:tl2br w:val="nil"/>
              <w:tr2bl w:val="nil"/>
            </w:tcBorders>
            <w:shd w:val="clear" w:color="auto" w:fill="FFFFFF"/>
            <w:noWrap w:val="0"/>
            <w:vAlign w:val="center"/>
          </w:tcPr>
          <w:p w14:paraId="38E595D2">
            <w:pPr>
              <w:jc w:val="center"/>
              <w:rPr>
                <w:color w:val="auto"/>
                <w:szCs w:val="21"/>
                <w:highlight w:val="none"/>
              </w:rPr>
            </w:pPr>
          </w:p>
        </w:tc>
      </w:tr>
      <w:tr w14:paraId="3A127D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0C81F8D8">
            <w:pPr>
              <w:jc w:val="center"/>
              <w:rPr>
                <w:color w:val="auto"/>
                <w:szCs w:val="21"/>
                <w:highlight w:val="none"/>
              </w:rPr>
            </w:pPr>
            <w:r>
              <w:rPr>
                <w:rFonts w:hint="eastAsia"/>
                <w:color w:val="auto"/>
                <w:szCs w:val="21"/>
                <w:highlight w:val="none"/>
              </w:rPr>
              <w:t>10</w:t>
            </w:r>
          </w:p>
        </w:tc>
        <w:tc>
          <w:tcPr>
            <w:tcW w:w="6205" w:type="dxa"/>
            <w:gridSpan w:val="4"/>
            <w:tcBorders>
              <w:tl2br w:val="nil"/>
              <w:tr2bl w:val="nil"/>
            </w:tcBorders>
            <w:shd w:val="clear" w:color="auto" w:fill="FFFFFF"/>
            <w:noWrap w:val="0"/>
            <w:vAlign w:val="center"/>
          </w:tcPr>
          <w:p w14:paraId="63ED2D6B">
            <w:pPr>
              <w:jc w:val="left"/>
              <w:rPr>
                <w:color w:val="auto"/>
                <w:szCs w:val="21"/>
                <w:highlight w:val="none"/>
              </w:rPr>
            </w:pPr>
            <w:r>
              <w:rPr>
                <w:rFonts w:hint="eastAsia"/>
                <w:color w:val="auto"/>
                <w:szCs w:val="21"/>
                <w:highlight w:val="none"/>
              </w:rPr>
              <w:t>未按监理细则及有关规定对重点部分、关键工序进行全过程旁站监理，或监理旁站资料不全、不及时的</w:t>
            </w:r>
          </w:p>
        </w:tc>
        <w:tc>
          <w:tcPr>
            <w:tcW w:w="1118" w:type="dxa"/>
            <w:tcBorders>
              <w:tl2br w:val="nil"/>
              <w:tr2bl w:val="nil"/>
            </w:tcBorders>
            <w:shd w:val="clear" w:color="auto" w:fill="FFFFFF"/>
            <w:noWrap w:val="0"/>
            <w:vAlign w:val="center"/>
          </w:tcPr>
          <w:p w14:paraId="306EB57D">
            <w:pPr>
              <w:jc w:val="center"/>
              <w:rPr>
                <w:color w:val="auto"/>
                <w:szCs w:val="21"/>
                <w:highlight w:val="none"/>
              </w:rPr>
            </w:pPr>
            <w:r>
              <w:rPr>
                <w:rFonts w:hint="eastAsia"/>
                <w:color w:val="auto"/>
                <w:szCs w:val="21"/>
                <w:highlight w:val="none"/>
              </w:rPr>
              <w:t>10分/次</w:t>
            </w:r>
          </w:p>
        </w:tc>
        <w:tc>
          <w:tcPr>
            <w:tcW w:w="649" w:type="dxa"/>
            <w:tcBorders>
              <w:tl2br w:val="nil"/>
              <w:tr2bl w:val="nil"/>
            </w:tcBorders>
            <w:shd w:val="clear" w:color="auto" w:fill="FFFFFF"/>
            <w:noWrap w:val="0"/>
            <w:vAlign w:val="center"/>
          </w:tcPr>
          <w:p w14:paraId="41E7F8B4">
            <w:pPr>
              <w:jc w:val="center"/>
              <w:rPr>
                <w:color w:val="auto"/>
                <w:szCs w:val="21"/>
                <w:highlight w:val="none"/>
              </w:rPr>
            </w:pPr>
          </w:p>
        </w:tc>
      </w:tr>
      <w:tr w14:paraId="33D048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F1ABC1B">
            <w:pPr>
              <w:jc w:val="center"/>
              <w:rPr>
                <w:color w:val="auto"/>
                <w:szCs w:val="21"/>
                <w:highlight w:val="none"/>
              </w:rPr>
            </w:pPr>
            <w:r>
              <w:rPr>
                <w:rFonts w:hint="eastAsia"/>
                <w:color w:val="auto"/>
                <w:szCs w:val="21"/>
                <w:highlight w:val="none"/>
              </w:rPr>
              <w:t>11</w:t>
            </w:r>
          </w:p>
        </w:tc>
        <w:tc>
          <w:tcPr>
            <w:tcW w:w="6205" w:type="dxa"/>
            <w:gridSpan w:val="4"/>
            <w:tcBorders>
              <w:tl2br w:val="nil"/>
              <w:tr2bl w:val="nil"/>
            </w:tcBorders>
            <w:shd w:val="clear" w:color="auto" w:fill="FFFFFF"/>
            <w:noWrap w:val="0"/>
            <w:vAlign w:val="center"/>
          </w:tcPr>
          <w:p w14:paraId="78111781">
            <w:pPr>
              <w:jc w:val="left"/>
              <w:rPr>
                <w:color w:val="auto"/>
                <w:szCs w:val="21"/>
                <w:highlight w:val="none"/>
              </w:rPr>
            </w:pPr>
            <w:r>
              <w:rPr>
                <w:rFonts w:hint="eastAsia"/>
                <w:color w:val="auto"/>
                <w:szCs w:val="21"/>
                <w:highlight w:val="none"/>
              </w:rPr>
              <w:t>未对项目存在的质量、安全问题及时签发整改通知单，或签发整改通知单后，未对整改结果及时复查，管理过程没有闭合的</w:t>
            </w:r>
          </w:p>
        </w:tc>
        <w:tc>
          <w:tcPr>
            <w:tcW w:w="1118" w:type="dxa"/>
            <w:tcBorders>
              <w:tl2br w:val="nil"/>
              <w:tr2bl w:val="nil"/>
            </w:tcBorders>
            <w:shd w:val="clear" w:color="auto" w:fill="FFFFFF"/>
            <w:noWrap w:val="0"/>
            <w:vAlign w:val="center"/>
          </w:tcPr>
          <w:p w14:paraId="74781A1F">
            <w:pPr>
              <w:jc w:val="center"/>
              <w:rPr>
                <w:color w:val="auto"/>
                <w:szCs w:val="21"/>
                <w:highlight w:val="none"/>
              </w:rPr>
            </w:pPr>
            <w:r>
              <w:rPr>
                <w:rFonts w:hint="eastAsia"/>
                <w:color w:val="auto"/>
                <w:szCs w:val="21"/>
                <w:highlight w:val="none"/>
              </w:rPr>
              <w:t>10分/次</w:t>
            </w:r>
          </w:p>
        </w:tc>
        <w:tc>
          <w:tcPr>
            <w:tcW w:w="649" w:type="dxa"/>
            <w:tcBorders>
              <w:tl2br w:val="nil"/>
              <w:tr2bl w:val="nil"/>
            </w:tcBorders>
            <w:shd w:val="clear" w:color="auto" w:fill="FFFFFF"/>
            <w:noWrap w:val="0"/>
            <w:vAlign w:val="center"/>
          </w:tcPr>
          <w:p w14:paraId="3755FF03">
            <w:pPr>
              <w:jc w:val="center"/>
              <w:rPr>
                <w:color w:val="auto"/>
                <w:szCs w:val="21"/>
                <w:highlight w:val="none"/>
              </w:rPr>
            </w:pPr>
          </w:p>
        </w:tc>
      </w:tr>
      <w:tr w14:paraId="1FD9F5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5708C707">
            <w:pPr>
              <w:jc w:val="center"/>
              <w:rPr>
                <w:color w:val="auto"/>
                <w:szCs w:val="21"/>
                <w:highlight w:val="none"/>
              </w:rPr>
            </w:pPr>
            <w:r>
              <w:rPr>
                <w:rFonts w:hint="eastAsia"/>
                <w:color w:val="auto"/>
                <w:szCs w:val="21"/>
                <w:highlight w:val="none"/>
              </w:rPr>
              <w:t>12</w:t>
            </w:r>
          </w:p>
        </w:tc>
        <w:tc>
          <w:tcPr>
            <w:tcW w:w="6205" w:type="dxa"/>
            <w:gridSpan w:val="4"/>
            <w:tcBorders>
              <w:tl2br w:val="nil"/>
              <w:tr2bl w:val="nil"/>
            </w:tcBorders>
            <w:shd w:val="clear" w:color="auto" w:fill="FFFFFF"/>
            <w:noWrap w:val="0"/>
            <w:vAlign w:val="center"/>
          </w:tcPr>
          <w:p w14:paraId="638F0BE7">
            <w:pPr>
              <w:jc w:val="left"/>
              <w:rPr>
                <w:color w:val="auto"/>
                <w:szCs w:val="21"/>
                <w:highlight w:val="none"/>
              </w:rPr>
            </w:pPr>
            <w:r>
              <w:rPr>
                <w:rFonts w:hint="eastAsia"/>
                <w:color w:val="auto"/>
                <w:szCs w:val="21"/>
                <w:highlight w:val="none"/>
              </w:rPr>
              <w:t>未对施工现场的质量、安全情况进行认真检查，不能及时发现和处理质量、安全隐患的</w:t>
            </w:r>
          </w:p>
        </w:tc>
        <w:tc>
          <w:tcPr>
            <w:tcW w:w="1118" w:type="dxa"/>
            <w:tcBorders>
              <w:tl2br w:val="nil"/>
              <w:tr2bl w:val="nil"/>
            </w:tcBorders>
            <w:shd w:val="clear" w:color="auto" w:fill="FFFFFF"/>
            <w:noWrap w:val="0"/>
            <w:vAlign w:val="center"/>
          </w:tcPr>
          <w:p w14:paraId="0773B915">
            <w:pPr>
              <w:jc w:val="center"/>
              <w:rPr>
                <w:color w:val="auto"/>
                <w:szCs w:val="21"/>
                <w:highlight w:val="none"/>
              </w:rPr>
            </w:pPr>
            <w:r>
              <w:rPr>
                <w:rFonts w:hint="eastAsia"/>
                <w:color w:val="auto"/>
                <w:szCs w:val="21"/>
                <w:highlight w:val="none"/>
              </w:rPr>
              <w:t>10分/次</w:t>
            </w:r>
          </w:p>
        </w:tc>
        <w:tc>
          <w:tcPr>
            <w:tcW w:w="649" w:type="dxa"/>
            <w:tcBorders>
              <w:tl2br w:val="nil"/>
              <w:tr2bl w:val="nil"/>
            </w:tcBorders>
            <w:shd w:val="clear" w:color="auto" w:fill="FFFFFF"/>
            <w:noWrap w:val="0"/>
            <w:vAlign w:val="center"/>
          </w:tcPr>
          <w:p w14:paraId="441CEDDC">
            <w:pPr>
              <w:jc w:val="center"/>
              <w:rPr>
                <w:color w:val="auto"/>
                <w:szCs w:val="21"/>
                <w:highlight w:val="none"/>
              </w:rPr>
            </w:pPr>
          </w:p>
        </w:tc>
      </w:tr>
      <w:tr w14:paraId="1F281C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35ECA3D3">
            <w:pPr>
              <w:jc w:val="center"/>
              <w:rPr>
                <w:color w:val="auto"/>
                <w:szCs w:val="21"/>
                <w:highlight w:val="none"/>
              </w:rPr>
            </w:pPr>
            <w:r>
              <w:rPr>
                <w:rFonts w:hint="eastAsia"/>
                <w:color w:val="auto"/>
                <w:szCs w:val="21"/>
                <w:highlight w:val="none"/>
              </w:rPr>
              <w:t>13</w:t>
            </w:r>
          </w:p>
        </w:tc>
        <w:tc>
          <w:tcPr>
            <w:tcW w:w="6205" w:type="dxa"/>
            <w:gridSpan w:val="4"/>
            <w:tcBorders>
              <w:tl2br w:val="nil"/>
              <w:tr2bl w:val="nil"/>
            </w:tcBorders>
            <w:shd w:val="clear" w:color="auto" w:fill="FFFFFF"/>
            <w:noWrap w:val="0"/>
            <w:vAlign w:val="center"/>
          </w:tcPr>
          <w:p w14:paraId="1DF42127">
            <w:pPr>
              <w:jc w:val="left"/>
              <w:rPr>
                <w:color w:val="auto"/>
                <w:szCs w:val="21"/>
                <w:highlight w:val="none"/>
              </w:rPr>
            </w:pPr>
            <w:r>
              <w:rPr>
                <w:rFonts w:hint="eastAsia"/>
                <w:color w:val="auto"/>
                <w:szCs w:val="21"/>
                <w:highlight w:val="none"/>
              </w:rPr>
              <w:t>无故不参加项目建设单位组织召开的各种会议的</w:t>
            </w:r>
          </w:p>
        </w:tc>
        <w:tc>
          <w:tcPr>
            <w:tcW w:w="1118" w:type="dxa"/>
            <w:tcBorders>
              <w:tl2br w:val="nil"/>
              <w:tr2bl w:val="nil"/>
            </w:tcBorders>
            <w:shd w:val="clear" w:color="auto" w:fill="FFFFFF"/>
            <w:noWrap w:val="0"/>
            <w:vAlign w:val="center"/>
          </w:tcPr>
          <w:p w14:paraId="34D26698">
            <w:pPr>
              <w:jc w:val="center"/>
              <w:rPr>
                <w:color w:val="auto"/>
                <w:szCs w:val="21"/>
                <w:highlight w:val="none"/>
              </w:rPr>
            </w:pPr>
            <w:r>
              <w:rPr>
                <w:rFonts w:hint="eastAsia"/>
                <w:color w:val="auto"/>
                <w:szCs w:val="21"/>
                <w:highlight w:val="none"/>
              </w:rPr>
              <w:t>5分/次</w:t>
            </w:r>
          </w:p>
        </w:tc>
        <w:tc>
          <w:tcPr>
            <w:tcW w:w="649" w:type="dxa"/>
            <w:tcBorders>
              <w:tl2br w:val="nil"/>
              <w:tr2bl w:val="nil"/>
            </w:tcBorders>
            <w:shd w:val="clear" w:color="auto" w:fill="FFFFFF"/>
            <w:noWrap w:val="0"/>
            <w:vAlign w:val="center"/>
          </w:tcPr>
          <w:p w14:paraId="1D2A9855">
            <w:pPr>
              <w:jc w:val="center"/>
              <w:rPr>
                <w:color w:val="auto"/>
                <w:szCs w:val="21"/>
                <w:highlight w:val="none"/>
              </w:rPr>
            </w:pPr>
          </w:p>
        </w:tc>
      </w:tr>
      <w:tr w14:paraId="3CE41B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44E525DC">
            <w:pPr>
              <w:jc w:val="center"/>
              <w:rPr>
                <w:color w:val="auto"/>
                <w:szCs w:val="21"/>
                <w:highlight w:val="none"/>
              </w:rPr>
            </w:pPr>
            <w:r>
              <w:rPr>
                <w:rFonts w:hint="eastAsia"/>
                <w:color w:val="auto"/>
                <w:szCs w:val="21"/>
                <w:highlight w:val="none"/>
              </w:rPr>
              <w:t>14</w:t>
            </w:r>
          </w:p>
        </w:tc>
        <w:tc>
          <w:tcPr>
            <w:tcW w:w="6205" w:type="dxa"/>
            <w:gridSpan w:val="4"/>
            <w:tcBorders>
              <w:tl2br w:val="nil"/>
              <w:tr2bl w:val="nil"/>
            </w:tcBorders>
            <w:shd w:val="clear" w:color="auto" w:fill="FFFFFF"/>
            <w:noWrap w:val="0"/>
            <w:vAlign w:val="center"/>
          </w:tcPr>
          <w:p w14:paraId="5CBB6A8C">
            <w:pPr>
              <w:jc w:val="left"/>
              <w:rPr>
                <w:color w:val="auto"/>
                <w:szCs w:val="21"/>
                <w:highlight w:val="none"/>
              </w:rPr>
            </w:pPr>
            <w:r>
              <w:rPr>
                <w:rFonts w:hint="eastAsia"/>
                <w:color w:val="auto"/>
                <w:szCs w:val="21"/>
                <w:highlight w:val="none"/>
              </w:rPr>
              <w:t>不配合项目建设单位开展项目竣工验收、决算审计、档案移交和相关资料盖章的</w:t>
            </w:r>
          </w:p>
        </w:tc>
        <w:tc>
          <w:tcPr>
            <w:tcW w:w="1118" w:type="dxa"/>
            <w:tcBorders>
              <w:tl2br w:val="nil"/>
              <w:tr2bl w:val="nil"/>
            </w:tcBorders>
            <w:shd w:val="clear" w:color="auto" w:fill="FFFFFF"/>
            <w:noWrap w:val="0"/>
            <w:vAlign w:val="center"/>
          </w:tcPr>
          <w:p w14:paraId="25372CE9">
            <w:pPr>
              <w:jc w:val="center"/>
              <w:rPr>
                <w:color w:val="auto"/>
                <w:szCs w:val="21"/>
                <w:highlight w:val="none"/>
              </w:rPr>
            </w:pPr>
            <w:r>
              <w:rPr>
                <w:rFonts w:hint="eastAsia"/>
                <w:color w:val="auto"/>
                <w:szCs w:val="21"/>
                <w:highlight w:val="none"/>
              </w:rPr>
              <w:t>5分/次</w:t>
            </w:r>
          </w:p>
        </w:tc>
        <w:tc>
          <w:tcPr>
            <w:tcW w:w="649" w:type="dxa"/>
            <w:tcBorders>
              <w:tl2br w:val="nil"/>
              <w:tr2bl w:val="nil"/>
            </w:tcBorders>
            <w:shd w:val="clear" w:color="auto" w:fill="FFFFFF"/>
            <w:noWrap w:val="0"/>
            <w:vAlign w:val="center"/>
          </w:tcPr>
          <w:p w14:paraId="4A494BF6">
            <w:pPr>
              <w:jc w:val="center"/>
              <w:rPr>
                <w:color w:val="auto"/>
                <w:szCs w:val="21"/>
                <w:highlight w:val="none"/>
              </w:rPr>
            </w:pPr>
          </w:p>
        </w:tc>
      </w:tr>
      <w:tr w14:paraId="60E790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bottom w:val="double" w:color="auto" w:sz="4" w:space="0"/>
              <w:tl2br w:val="nil"/>
              <w:tr2bl w:val="nil"/>
            </w:tcBorders>
            <w:shd w:val="clear" w:color="auto" w:fill="FFFFFF"/>
            <w:noWrap w:val="0"/>
            <w:vAlign w:val="center"/>
          </w:tcPr>
          <w:p w14:paraId="33ECE345">
            <w:pPr>
              <w:jc w:val="center"/>
              <w:rPr>
                <w:color w:val="auto"/>
                <w:szCs w:val="21"/>
                <w:highlight w:val="none"/>
              </w:rPr>
            </w:pPr>
            <w:r>
              <w:rPr>
                <w:rFonts w:hint="eastAsia"/>
                <w:color w:val="auto"/>
                <w:szCs w:val="21"/>
                <w:highlight w:val="none"/>
              </w:rPr>
              <w:t>15</w:t>
            </w:r>
          </w:p>
        </w:tc>
        <w:tc>
          <w:tcPr>
            <w:tcW w:w="6205" w:type="dxa"/>
            <w:gridSpan w:val="4"/>
            <w:tcBorders>
              <w:bottom w:val="double" w:color="auto" w:sz="4" w:space="0"/>
              <w:tl2br w:val="nil"/>
              <w:tr2bl w:val="nil"/>
            </w:tcBorders>
            <w:shd w:val="clear" w:color="auto" w:fill="FFFFFF"/>
            <w:noWrap w:val="0"/>
            <w:vAlign w:val="center"/>
          </w:tcPr>
          <w:p w14:paraId="4428B925">
            <w:pPr>
              <w:jc w:val="left"/>
              <w:rPr>
                <w:color w:val="auto"/>
                <w:szCs w:val="21"/>
                <w:highlight w:val="none"/>
              </w:rPr>
            </w:pPr>
            <w:r>
              <w:rPr>
                <w:rFonts w:hint="eastAsia"/>
                <w:color w:val="auto"/>
                <w:szCs w:val="21"/>
                <w:highlight w:val="none"/>
              </w:rPr>
              <w:t>*在本项目中被各级建设行政主管部门通报批评、被行政处罚或记入不良行为记录的</w:t>
            </w:r>
          </w:p>
        </w:tc>
        <w:tc>
          <w:tcPr>
            <w:tcW w:w="1118" w:type="dxa"/>
            <w:tcBorders>
              <w:bottom w:val="double" w:color="auto" w:sz="4" w:space="0"/>
              <w:tl2br w:val="nil"/>
              <w:tr2bl w:val="nil"/>
            </w:tcBorders>
            <w:shd w:val="clear" w:color="auto" w:fill="FFFFFF"/>
            <w:noWrap w:val="0"/>
            <w:vAlign w:val="center"/>
          </w:tcPr>
          <w:p w14:paraId="57332CA3">
            <w:pPr>
              <w:jc w:val="center"/>
              <w:rPr>
                <w:color w:val="auto"/>
                <w:szCs w:val="21"/>
                <w:highlight w:val="none"/>
              </w:rPr>
            </w:pPr>
            <w:r>
              <w:rPr>
                <w:rFonts w:hint="eastAsia"/>
                <w:color w:val="auto"/>
                <w:szCs w:val="21"/>
                <w:highlight w:val="none"/>
              </w:rPr>
              <w:t>50</w:t>
            </w:r>
          </w:p>
        </w:tc>
        <w:tc>
          <w:tcPr>
            <w:tcW w:w="649" w:type="dxa"/>
            <w:tcBorders>
              <w:bottom w:val="double" w:color="auto" w:sz="4" w:space="0"/>
              <w:tl2br w:val="nil"/>
              <w:tr2bl w:val="nil"/>
            </w:tcBorders>
            <w:shd w:val="clear" w:color="auto" w:fill="FFFFFF"/>
            <w:noWrap w:val="0"/>
            <w:vAlign w:val="center"/>
          </w:tcPr>
          <w:p w14:paraId="473A2A3A">
            <w:pPr>
              <w:jc w:val="center"/>
              <w:rPr>
                <w:color w:val="auto"/>
                <w:szCs w:val="21"/>
                <w:highlight w:val="none"/>
              </w:rPr>
            </w:pPr>
          </w:p>
        </w:tc>
      </w:tr>
      <w:tr w14:paraId="223F3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bottom w:val="double" w:color="auto" w:sz="4" w:space="0"/>
              <w:tl2br w:val="nil"/>
              <w:tr2bl w:val="nil"/>
            </w:tcBorders>
            <w:shd w:val="clear" w:color="auto" w:fill="FFFFFF"/>
            <w:noWrap w:val="0"/>
            <w:vAlign w:val="center"/>
          </w:tcPr>
          <w:p w14:paraId="29F7DB0B">
            <w:pPr>
              <w:jc w:val="center"/>
              <w:rPr>
                <w:color w:val="auto"/>
                <w:szCs w:val="21"/>
                <w:highlight w:val="none"/>
              </w:rPr>
            </w:pPr>
            <w:r>
              <w:rPr>
                <w:rFonts w:hint="eastAsia"/>
                <w:color w:val="auto"/>
                <w:szCs w:val="21"/>
                <w:highlight w:val="none"/>
              </w:rPr>
              <w:t>16</w:t>
            </w:r>
          </w:p>
        </w:tc>
        <w:tc>
          <w:tcPr>
            <w:tcW w:w="6205" w:type="dxa"/>
            <w:gridSpan w:val="4"/>
            <w:tcBorders>
              <w:bottom w:val="double" w:color="auto" w:sz="4" w:space="0"/>
              <w:tl2br w:val="nil"/>
              <w:tr2bl w:val="nil"/>
            </w:tcBorders>
            <w:shd w:val="clear" w:color="auto" w:fill="FFFFFF"/>
            <w:noWrap w:val="0"/>
            <w:vAlign w:val="center"/>
          </w:tcPr>
          <w:p w14:paraId="3D99581D">
            <w:pPr>
              <w:jc w:val="left"/>
              <w:rPr>
                <w:color w:val="auto"/>
                <w:szCs w:val="21"/>
                <w:highlight w:val="none"/>
              </w:rPr>
            </w:pPr>
            <w:r>
              <w:rPr>
                <w:rFonts w:hint="eastAsia"/>
                <w:color w:val="auto"/>
                <w:szCs w:val="21"/>
                <w:highlight w:val="none"/>
              </w:rPr>
              <w:t>其他未按合同约定或违反相关规定的情形</w:t>
            </w:r>
          </w:p>
        </w:tc>
        <w:tc>
          <w:tcPr>
            <w:tcW w:w="1118" w:type="dxa"/>
            <w:tcBorders>
              <w:bottom w:val="double" w:color="auto" w:sz="4" w:space="0"/>
              <w:tl2br w:val="nil"/>
              <w:tr2bl w:val="nil"/>
            </w:tcBorders>
            <w:shd w:val="clear" w:color="auto" w:fill="FFFFFF"/>
            <w:noWrap w:val="0"/>
            <w:vAlign w:val="center"/>
          </w:tcPr>
          <w:p w14:paraId="62D7705B">
            <w:pPr>
              <w:jc w:val="center"/>
              <w:rPr>
                <w:color w:val="auto"/>
                <w:szCs w:val="21"/>
                <w:highlight w:val="none"/>
              </w:rPr>
            </w:pPr>
            <w:r>
              <w:rPr>
                <w:rFonts w:hint="eastAsia"/>
                <w:color w:val="auto"/>
                <w:szCs w:val="21"/>
                <w:highlight w:val="none"/>
              </w:rPr>
              <w:t>10分/次</w:t>
            </w:r>
          </w:p>
        </w:tc>
        <w:tc>
          <w:tcPr>
            <w:tcW w:w="649" w:type="dxa"/>
            <w:tcBorders>
              <w:bottom w:val="double" w:color="auto" w:sz="4" w:space="0"/>
              <w:tl2br w:val="nil"/>
              <w:tr2bl w:val="nil"/>
            </w:tcBorders>
            <w:shd w:val="clear" w:color="auto" w:fill="FFFFFF"/>
            <w:noWrap w:val="0"/>
            <w:vAlign w:val="center"/>
          </w:tcPr>
          <w:p w14:paraId="2C013C18">
            <w:pPr>
              <w:jc w:val="center"/>
              <w:rPr>
                <w:color w:val="auto"/>
                <w:szCs w:val="21"/>
                <w:highlight w:val="none"/>
              </w:rPr>
            </w:pPr>
          </w:p>
        </w:tc>
      </w:tr>
      <w:tr w14:paraId="1C888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33" w:type="dxa"/>
            <w:gridSpan w:val="2"/>
            <w:tcBorders>
              <w:top w:val="double" w:color="auto" w:sz="4" w:space="0"/>
              <w:bottom w:val="double" w:color="auto" w:sz="4" w:space="0"/>
            </w:tcBorders>
            <w:shd w:val="clear" w:color="auto" w:fill="FFFFFF"/>
            <w:noWrap w:val="0"/>
            <w:vAlign w:val="center"/>
          </w:tcPr>
          <w:p w14:paraId="7ACD9B7F">
            <w:pPr>
              <w:jc w:val="center"/>
              <w:rPr>
                <w:color w:val="auto"/>
                <w:szCs w:val="21"/>
                <w:highlight w:val="none"/>
              </w:rPr>
            </w:pPr>
            <w:r>
              <w:rPr>
                <w:rFonts w:hint="eastAsia" w:ascii="黑体" w:hAnsi="黑体" w:eastAsia="黑体" w:cs="黑体"/>
                <w:color w:val="auto"/>
                <w:szCs w:val="21"/>
                <w:highlight w:val="none"/>
              </w:rPr>
              <w:t>最终考核分数</w:t>
            </w:r>
          </w:p>
        </w:tc>
        <w:tc>
          <w:tcPr>
            <w:tcW w:w="7056" w:type="dxa"/>
            <w:gridSpan w:val="5"/>
            <w:tcBorders>
              <w:top w:val="double" w:color="auto" w:sz="4" w:space="0"/>
              <w:bottom w:val="double" w:color="auto" w:sz="4" w:space="0"/>
            </w:tcBorders>
            <w:shd w:val="clear" w:color="auto" w:fill="FFFFFF"/>
            <w:noWrap w:val="0"/>
            <w:vAlign w:val="center"/>
          </w:tcPr>
          <w:p w14:paraId="4746856B">
            <w:pPr>
              <w:jc w:val="center"/>
              <w:rPr>
                <w:color w:val="auto"/>
                <w:szCs w:val="21"/>
                <w:highlight w:val="none"/>
              </w:rPr>
            </w:pPr>
          </w:p>
        </w:tc>
      </w:tr>
    </w:tbl>
    <w:p w14:paraId="2E234682">
      <w:pPr>
        <w:rPr>
          <w:rFonts w:ascii="仿宋" w:hAnsi="仿宋" w:eastAsia="仿宋" w:cs="仿宋"/>
          <w:color w:val="auto"/>
          <w:sz w:val="32"/>
          <w:highlight w:val="none"/>
        </w:rPr>
      </w:pPr>
      <w:r>
        <w:rPr>
          <w:rFonts w:hint="eastAsia" w:ascii="仿宋" w:hAnsi="仿宋" w:eastAsia="仿宋" w:cs="仿宋"/>
          <w:color w:val="auto"/>
          <w:sz w:val="32"/>
          <w:highlight w:val="none"/>
        </w:rPr>
        <w:br w:type="page"/>
      </w:r>
    </w:p>
    <w:p w14:paraId="15815F0A">
      <w:pPr>
        <w:spacing w:line="560" w:lineRule="exact"/>
        <w:rPr>
          <w:rFonts w:ascii="黑体" w:hAnsi="黑体" w:eastAsia="黑体" w:cs="黑体"/>
          <w:color w:val="auto"/>
          <w:sz w:val="32"/>
          <w:highlight w:val="none"/>
        </w:rPr>
      </w:pPr>
      <w:r>
        <w:rPr>
          <w:rFonts w:hint="eastAsia" w:ascii="黑体" w:hAnsi="黑体" w:eastAsia="黑体" w:cs="黑体"/>
          <w:color w:val="auto"/>
          <w:sz w:val="32"/>
          <w:highlight w:val="none"/>
        </w:rPr>
        <w:t>附件4</w:t>
      </w:r>
    </w:p>
    <w:p w14:paraId="4FCFDA02">
      <w:pPr>
        <w:jc w:val="center"/>
        <w:rPr>
          <w:rFonts w:ascii="黑体" w:hAnsi="黑体" w:eastAsia="黑体" w:cs="黑体"/>
          <w:color w:val="auto"/>
          <w:sz w:val="36"/>
          <w:szCs w:val="44"/>
          <w:highlight w:val="none"/>
        </w:rPr>
      </w:pPr>
      <w:r>
        <w:rPr>
          <w:rFonts w:hint="eastAsia" w:ascii="黑体" w:hAnsi="黑体" w:eastAsia="黑体" w:cs="黑体"/>
          <w:color w:val="auto"/>
          <w:sz w:val="36"/>
          <w:szCs w:val="44"/>
          <w:highlight w:val="none"/>
        </w:rPr>
        <w:t>造价咨询单位质量服务考核表</w:t>
      </w:r>
    </w:p>
    <w:tbl>
      <w:tblPr>
        <w:tblStyle w:val="65"/>
        <w:tblW w:w="86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37"/>
        <w:gridCol w:w="479"/>
        <w:gridCol w:w="2807"/>
        <w:gridCol w:w="1773"/>
        <w:gridCol w:w="709"/>
        <w:gridCol w:w="1118"/>
        <w:gridCol w:w="649"/>
      </w:tblGrid>
      <w:tr w14:paraId="158850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33" w:type="dxa"/>
            <w:gridSpan w:val="3"/>
            <w:tcBorders>
              <w:tl2br w:val="nil"/>
              <w:tr2bl w:val="nil"/>
            </w:tcBorders>
            <w:shd w:val="clear" w:color="auto" w:fill="FFFFFF"/>
            <w:noWrap w:val="0"/>
            <w:vAlign w:val="center"/>
          </w:tcPr>
          <w:p w14:paraId="76DD9504">
            <w:pPr>
              <w:jc w:val="center"/>
              <w:rPr>
                <w:color w:val="auto"/>
                <w:highlight w:val="none"/>
              </w:rPr>
            </w:pPr>
            <w:r>
              <w:rPr>
                <w:rFonts w:hint="eastAsia"/>
                <w:color w:val="auto"/>
                <w:sz w:val="22"/>
                <w:szCs w:val="28"/>
                <w:highlight w:val="none"/>
              </w:rPr>
              <w:t>项目名称</w:t>
            </w:r>
          </w:p>
        </w:tc>
        <w:tc>
          <w:tcPr>
            <w:tcW w:w="7056" w:type="dxa"/>
            <w:gridSpan w:val="5"/>
            <w:tcBorders>
              <w:tl2br w:val="nil"/>
              <w:tr2bl w:val="nil"/>
            </w:tcBorders>
            <w:shd w:val="clear" w:color="auto" w:fill="FFFFFF"/>
            <w:noWrap w:val="0"/>
            <w:vAlign w:val="center"/>
          </w:tcPr>
          <w:p w14:paraId="507A2E00">
            <w:pPr>
              <w:jc w:val="center"/>
              <w:rPr>
                <w:color w:val="auto"/>
                <w:highlight w:val="none"/>
              </w:rPr>
            </w:pPr>
          </w:p>
        </w:tc>
      </w:tr>
      <w:tr w14:paraId="178F1B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33" w:type="dxa"/>
            <w:gridSpan w:val="3"/>
            <w:tcBorders>
              <w:tl2br w:val="nil"/>
              <w:tr2bl w:val="nil"/>
            </w:tcBorders>
            <w:shd w:val="clear" w:color="auto" w:fill="FFFFFF"/>
            <w:noWrap w:val="0"/>
            <w:vAlign w:val="center"/>
          </w:tcPr>
          <w:p w14:paraId="1F160647">
            <w:pPr>
              <w:jc w:val="center"/>
              <w:rPr>
                <w:color w:val="auto"/>
                <w:sz w:val="22"/>
                <w:szCs w:val="28"/>
                <w:highlight w:val="none"/>
              </w:rPr>
            </w:pPr>
            <w:r>
              <w:rPr>
                <w:rFonts w:hint="eastAsia"/>
                <w:color w:val="auto"/>
                <w:sz w:val="22"/>
                <w:szCs w:val="28"/>
                <w:highlight w:val="none"/>
              </w:rPr>
              <w:t>造价咨询</w:t>
            </w:r>
          </w:p>
          <w:p w14:paraId="7634AD10">
            <w:pPr>
              <w:jc w:val="center"/>
              <w:rPr>
                <w:color w:val="auto"/>
                <w:sz w:val="22"/>
                <w:szCs w:val="28"/>
                <w:highlight w:val="none"/>
              </w:rPr>
            </w:pPr>
            <w:r>
              <w:rPr>
                <w:rFonts w:hint="eastAsia"/>
                <w:color w:val="auto"/>
                <w:sz w:val="22"/>
                <w:szCs w:val="28"/>
                <w:highlight w:val="none"/>
              </w:rPr>
              <w:t>单位名称</w:t>
            </w:r>
          </w:p>
        </w:tc>
        <w:tc>
          <w:tcPr>
            <w:tcW w:w="7056" w:type="dxa"/>
            <w:gridSpan w:val="5"/>
            <w:tcBorders>
              <w:tl2br w:val="nil"/>
              <w:tr2bl w:val="nil"/>
            </w:tcBorders>
            <w:shd w:val="clear" w:color="auto" w:fill="FFFFFF"/>
            <w:noWrap w:val="0"/>
            <w:vAlign w:val="center"/>
          </w:tcPr>
          <w:p w14:paraId="3B7C1949">
            <w:pPr>
              <w:jc w:val="center"/>
              <w:rPr>
                <w:color w:val="auto"/>
                <w:highlight w:val="none"/>
              </w:rPr>
            </w:pPr>
          </w:p>
        </w:tc>
      </w:tr>
      <w:tr w14:paraId="6366C5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633" w:type="dxa"/>
            <w:gridSpan w:val="3"/>
            <w:tcBorders>
              <w:bottom w:val="double" w:color="auto" w:sz="4" w:space="0"/>
              <w:tl2br w:val="nil"/>
              <w:tr2bl w:val="nil"/>
            </w:tcBorders>
            <w:shd w:val="clear" w:color="auto" w:fill="FFFFFF"/>
            <w:noWrap w:val="0"/>
            <w:vAlign w:val="center"/>
          </w:tcPr>
          <w:p w14:paraId="7A0BED2A">
            <w:pPr>
              <w:jc w:val="center"/>
              <w:rPr>
                <w:color w:val="auto"/>
                <w:sz w:val="22"/>
                <w:szCs w:val="28"/>
                <w:highlight w:val="none"/>
              </w:rPr>
            </w:pPr>
            <w:r>
              <w:rPr>
                <w:rFonts w:hint="eastAsia"/>
                <w:color w:val="auto"/>
                <w:sz w:val="22"/>
                <w:szCs w:val="28"/>
                <w:highlight w:val="none"/>
              </w:rPr>
              <w:t>项目责任人</w:t>
            </w:r>
          </w:p>
          <w:p w14:paraId="792F4358">
            <w:pPr>
              <w:jc w:val="center"/>
              <w:rPr>
                <w:color w:val="auto"/>
                <w:sz w:val="22"/>
                <w:szCs w:val="28"/>
                <w:highlight w:val="none"/>
              </w:rPr>
            </w:pPr>
            <w:r>
              <w:rPr>
                <w:rFonts w:hint="eastAsia"/>
                <w:color w:val="auto"/>
                <w:sz w:val="22"/>
                <w:szCs w:val="28"/>
                <w:highlight w:val="none"/>
              </w:rPr>
              <w:t>（签名）</w:t>
            </w:r>
          </w:p>
        </w:tc>
        <w:tc>
          <w:tcPr>
            <w:tcW w:w="2807" w:type="dxa"/>
            <w:tcBorders>
              <w:bottom w:val="double" w:color="auto" w:sz="4" w:space="0"/>
              <w:tl2br w:val="nil"/>
              <w:tr2bl w:val="nil"/>
            </w:tcBorders>
            <w:shd w:val="clear" w:color="auto" w:fill="FFFFFF"/>
            <w:noWrap w:val="0"/>
            <w:vAlign w:val="center"/>
          </w:tcPr>
          <w:p w14:paraId="12A15219">
            <w:pPr>
              <w:jc w:val="left"/>
              <w:rPr>
                <w:color w:val="auto"/>
                <w:highlight w:val="none"/>
              </w:rPr>
            </w:pPr>
          </w:p>
          <w:p w14:paraId="73230244">
            <w:pPr>
              <w:jc w:val="center"/>
              <w:rPr>
                <w:color w:val="auto"/>
                <w:highlight w:val="none"/>
              </w:rPr>
            </w:pPr>
          </w:p>
        </w:tc>
        <w:tc>
          <w:tcPr>
            <w:tcW w:w="1773" w:type="dxa"/>
            <w:tcBorders>
              <w:bottom w:val="double" w:color="auto" w:sz="4" w:space="0"/>
              <w:tl2br w:val="nil"/>
              <w:tr2bl w:val="nil"/>
            </w:tcBorders>
            <w:shd w:val="clear" w:color="auto" w:fill="FFFFFF"/>
            <w:noWrap w:val="0"/>
            <w:vAlign w:val="center"/>
          </w:tcPr>
          <w:p w14:paraId="57A9DE76">
            <w:pPr>
              <w:jc w:val="center"/>
              <w:rPr>
                <w:color w:val="auto"/>
                <w:sz w:val="22"/>
                <w:szCs w:val="28"/>
                <w:highlight w:val="none"/>
              </w:rPr>
            </w:pPr>
            <w:r>
              <w:rPr>
                <w:rFonts w:hint="eastAsia"/>
                <w:color w:val="auto"/>
                <w:sz w:val="22"/>
                <w:szCs w:val="28"/>
                <w:highlight w:val="none"/>
              </w:rPr>
              <w:t>部门负责人</w:t>
            </w:r>
          </w:p>
          <w:p w14:paraId="1EE27CCA">
            <w:pPr>
              <w:jc w:val="center"/>
              <w:rPr>
                <w:color w:val="auto"/>
                <w:highlight w:val="none"/>
              </w:rPr>
            </w:pPr>
            <w:r>
              <w:rPr>
                <w:rFonts w:hint="eastAsia"/>
                <w:color w:val="auto"/>
                <w:sz w:val="22"/>
                <w:szCs w:val="28"/>
                <w:highlight w:val="none"/>
              </w:rPr>
              <w:t>（签名）</w:t>
            </w:r>
          </w:p>
        </w:tc>
        <w:tc>
          <w:tcPr>
            <w:tcW w:w="2476" w:type="dxa"/>
            <w:gridSpan w:val="3"/>
            <w:tcBorders>
              <w:bottom w:val="double" w:color="auto" w:sz="4" w:space="0"/>
              <w:tl2br w:val="nil"/>
              <w:tr2bl w:val="nil"/>
            </w:tcBorders>
            <w:shd w:val="clear" w:color="auto" w:fill="FFFFFF"/>
            <w:noWrap w:val="0"/>
            <w:vAlign w:val="center"/>
          </w:tcPr>
          <w:p w14:paraId="42E9869D">
            <w:pPr>
              <w:jc w:val="center"/>
              <w:rPr>
                <w:color w:val="auto"/>
                <w:highlight w:val="none"/>
              </w:rPr>
            </w:pPr>
          </w:p>
        </w:tc>
      </w:tr>
      <w:tr w14:paraId="101B7A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89" w:type="dxa"/>
            <w:gridSpan w:val="8"/>
            <w:tcBorders>
              <w:top w:val="double" w:color="auto" w:sz="4" w:space="0"/>
              <w:bottom w:val="double" w:color="auto" w:sz="4" w:space="0"/>
            </w:tcBorders>
            <w:shd w:val="clear" w:color="auto" w:fill="FFFFFF"/>
            <w:noWrap w:val="0"/>
            <w:vAlign w:val="center"/>
          </w:tcPr>
          <w:p w14:paraId="40CC2674">
            <w:pPr>
              <w:jc w:val="center"/>
              <w:rPr>
                <w:color w:val="auto"/>
                <w:highlight w:val="none"/>
              </w:rPr>
            </w:pPr>
            <w:r>
              <w:rPr>
                <w:rFonts w:hint="eastAsia"/>
                <w:b/>
                <w:bCs/>
                <w:color w:val="auto"/>
                <w:sz w:val="26"/>
                <w:szCs w:val="26"/>
                <w:highlight w:val="none"/>
              </w:rPr>
              <w:t>质量服务考核情况</w:t>
            </w:r>
          </w:p>
        </w:tc>
      </w:tr>
      <w:tr w14:paraId="1C3A6F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717" w:type="dxa"/>
            <w:tcBorders>
              <w:tl2br w:val="nil"/>
              <w:tr2bl w:val="nil"/>
            </w:tcBorders>
            <w:shd w:val="clear" w:color="auto" w:fill="FFFFFF"/>
            <w:noWrap w:val="0"/>
            <w:vAlign w:val="center"/>
          </w:tcPr>
          <w:p w14:paraId="573EFD78">
            <w:pPr>
              <w:jc w:val="center"/>
              <w:rPr>
                <w:color w:val="auto"/>
                <w:szCs w:val="21"/>
                <w:highlight w:val="none"/>
              </w:rPr>
            </w:pPr>
            <w:r>
              <w:rPr>
                <w:rFonts w:hint="eastAsia"/>
                <w:color w:val="auto"/>
                <w:szCs w:val="21"/>
                <w:highlight w:val="none"/>
              </w:rPr>
              <w:t>序号</w:t>
            </w:r>
          </w:p>
        </w:tc>
        <w:tc>
          <w:tcPr>
            <w:tcW w:w="6205" w:type="dxa"/>
            <w:gridSpan w:val="5"/>
            <w:tcBorders>
              <w:tl2br w:val="nil"/>
              <w:tr2bl w:val="nil"/>
            </w:tcBorders>
            <w:shd w:val="clear" w:color="auto" w:fill="FFFFFF"/>
            <w:noWrap w:val="0"/>
            <w:vAlign w:val="center"/>
          </w:tcPr>
          <w:p w14:paraId="10D5465C">
            <w:pPr>
              <w:jc w:val="center"/>
              <w:rPr>
                <w:color w:val="auto"/>
                <w:szCs w:val="21"/>
                <w:highlight w:val="none"/>
              </w:rPr>
            </w:pPr>
            <w:r>
              <w:rPr>
                <w:rFonts w:hint="eastAsia"/>
                <w:color w:val="auto"/>
                <w:szCs w:val="21"/>
                <w:highlight w:val="none"/>
              </w:rPr>
              <w:t>扣分细则</w:t>
            </w:r>
          </w:p>
        </w:tc>
        <w:tc>
          <w:tcPr>
            <w:tcW w:w="1118" w:type="dxa"/>
            <w:tcBorders>
              <w:tl2br w:val="nil"/>
              <w:tr2bl w:val="nil"/>
            </w:tcBorders>
            <w:shd w:val="clear" w:color="auto" w:fill="FFFFFF"/>
            <w:noWrap w:val="0"/>
            <w:vAlign w:val="center"/>
          </w:tcPr>
          <w:p w14:paraId="2DA19393">
            <w:pPr>
              <w:jc w:val="center"/>
              <w:rPr>
                <w:color w:val="auto"/>
                <w:szCs w:val="21"/>
                <w:highlight w:val="none"/>
              </w:rPr>
            </w:pPr>
            <w:r>
              <w:rPr>
                <w:rFonts w:hint="eastAsia"/>
                <w:color w:val="auto"/>
                <w:szCs w:val="21"/>
                <w:highlight w:val="none"/>
              </w:rPr>
              <w:t>扣分标准</w:t>
            </w:r>
          </w:p>
        </w:tc>
        <w:tc>
          <w:tcPr>
            <w:tcW w:w="649" w:type="dxa"/>
            <w:tcBorders>
              <w:tl2br w:val="nil"/>
              <w:tr2bl w:val="nil"/>
            </w:tcBorders>
            <w:shd w:val="clear" w:color="auto" w:fill="FFFFFF"/>
            <w:noWrap w:val="0"/>
            <w:vAlign w:val="center"/>
          </w:tcPr>
          <w:p w14:paraId="0D127BA7">
            <w:pPr>
              <w:jc w:val="center"/>
              <w:rPr>
                <w:color w:val="auto"/>
                <w:szCs w:val="21"/>
                <w:highlight w:val="none"/>
              </w:rPr>
            </w:pPr>
            <w:r>
              <w:rPr>
                <w:rFonts w:hint="eastAsia"/>
                <w:color w:val="auto"/>
                <w:szCs w:val="21"/>
                <w:highlight w:val="none"/>
              </w:rPr>
              <w:t>扣分</w:t>
            </w:r>
          </w:p>
        </w:tc>
      </w:tr>
      <w:tr w14:paraId="597912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A74D045">
            <w:pPr>
              <w:jc w:val="center"/>
              <w:rPr>
                <w:color w:val="auto"/>
                <w:szCs w:val="21"/>
                <w:highlight w:val="none"/>
              </w:rPr>
            </w:pPr>
            <w:r>
              <w:rPr>
                <w:rFonts w:hint="eastAsia"/>
                <w:color w:val="auto"/>
                <w:szCs w:val="21"/>
                <w:highlight w:val="none"/>
              </w:rPr>
              <w:t>1</w:t>
            </w:r>
          </w:p>
        </w:tc>
        <w:tc>
          <w:tcPr>
            <w:tcW w:w="437" w:type="dxa"/>
            <w:vMerge w:val="restart"/>
            <w:tcBorders>
              <w:tl2br w:val="nil"/>
              <w:tr2bl w:val="nil"/>
            </w:tcBorders>
            <w:shd w:val="clear" w:color="auto" w:fill="FFFFFF"/>
            <w:noWrap w:val="0"/>
            <w:vAlign w:val="center"/>
          </w:tcPr>
          <w:p w14:paraId="2749F6EC">
            <w:pPr>
              <w:jc w:val="left"/>
              <w:rPr>
                <w:color w:val="auto"/>
                <w:szCs w:val="21"/>
                <w:highlight w:val="none"/>
              </w:rPr>
            </w:pPr>
            <w:r>
              <w:rPr>
                <w:rFonts w:hint="eastAsia"/>
                <w:color w:val="auto"/>
                <w:szCs w:val="21"/>
                <w:highlight w:val="none"/>
              </w:rPr>
              <w:t>预算编制</w:t>
            </w:r>
          </w:p>
        </w:tc>
        <w:tc>
          <w:tcPr>
            <w:tcW w:w="5768" w:type="dxa"/>
            <w:gridSpan w:val="4"/>
            <w:tcBorders>
              <w:tl2br w:val="nil"/>
              <w:tr2bl w:val="nil"/>
            </w:tcBorders>
            <w:shd w:val="clear" w:color="auto" w:fill="FFFFFF"/>
            <w:noWrap w:val="0"/>
            <w:vAlign w:val="center"/>
          </w:tcPr>
          <w:p w14:paraId="0EF9BE31">
            <w:pPr>
              <w:jc w:val="left"/>
              <w:rPr>
                <w:color w:val="auto"/>
                <w:szCs w:val="21"/>
                <w:highlight w:val="none"/>
              </w:rPr>
            </w:pPr>
            <w:r>
              <w:rPr>
                <w:rFonts w:hint="eastAsia"/>
                <w:color w:val="auto"/>
                <w:szCs w:val="21"/>
                <w:highlight w:val="none"/>
              </w:rPr>
              <w:t>工程量清单出现工程量或计量单位有误、单价不合理、项目漏项、项目特征及工程内容不明确、项目编码、项目名称等不符合计价规范要求的</w:t>
            </w:r>
          </w:p>
        </w:tc>
        <w:tc>
          <w:tcPr>
            <w:tcW w:w="1118" w:type="dxa"/>
            <w:tcBorders>
              <w:tl2br w:val="nil"/>
              <w:tr2bl w:val="nil"/>
            </w:tcBorders>
            <w:shd w:val="clear" w:color="auto" w:fill="FFFFFF"/>
            <w:noWrap w:val="0"/>
            <w:vAlign w:val="center"/>
          </w:tcPr>
          <w:p w14:paraId="23D7A953">
            <w:pPr>
              <w:jc w:val="center"/>
              <w:rPr>
                <w:color w:val="auto"/>
                <w:szCs w:val="21"/>
                <w:highlight w:val="none"/>
              </w:rPr>
            </w:pPr>
            <w:r>
              <w:rPr>
                <w:rFonts w:hint="eastAsia"/>
                <w:color w:val="auto"/>
                <w:szCs w:val="21"/>
                <w:highlight w:val="none"/>
              </w:rPr>
              <w:t>5分/处</w:t>
            </w:r>
          </w:p>
        </w:tc>
        <w:tc>
          <w:tcPr>
            <w:tcW w:w="649" w:type="dxa"/>
            <w:tcBorders>
              <w:tl2br w:val="nil"/>
              <w:tr2bl w:val="nil"/>
            </w:tcBorders>
            <w:shd w:val="clear" w:color="auto" w:fill="FFFFFF"/>
            <w:noWrap w:val="0"/>
            <w:vAlign w:val="center"/>
          </w:tcPr>
          <w:p w14:paraId="00413033">
            <w:pPr>
              <w:jc w:val="center"/>
              <w:rPr>
                <w:color w:val="auto"/>
                <w:szCs w:val="21"/>
                <w:highlight w:val="none"/>
              </w:rPr>
            </w:pPr>
          </w:p>
        </w:tc>
      </w:tr>
      <w:tr w14:paraId="3EA551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3C7CA66F">
            <w:pPr>
              <w:jc w:val="center"/>
              <w:rPr>
                <w:color w:val="auto"/>
                <w:szCs w:val="21"/>
                <w:highlight w:val="none"/>
              </w:rPr>
            </w:pPr>
            <w:r>
              <w:rPr>
                <w:rFonts w:hint="eastAsia"/>
                <w:color w:val="auto"/>
                <w:szCs w:val="21"/>
                <w:highlight w:val="none"/>
              </w:rPr>
              <w:t>2</w:t>
            </w:r>
          </w:p>
        </w:tc>
        <w:tc>
          <w:tcPr>
            <w:tcW w:w="437" w:type="dxa"/>
            <w:vMerge w:val="continue"/>
            <w:tcBorders>
              <w:tl2br w:val="nil"/>
              <w:tr2bl w:val="nil"/>
            </w:tcBorders>
            <w:shd w:val="clear" w:color="auto" w:fill="FFFFFF"/>
            <w:noWrap w:val="0"/>
            <w:vAlign w:val="center"/>
          </w:tcPr>
          <w:p w14:paraId="73017858">
            <w:pPr>
              <w:jc w:val="left"/>
              <w:rPr>
                <w:color w:val="auto"/>
                <w:szCs w:val="21"/>
                <w:highlight w:val="none"/>
              </w:rPr>
            </w:pPr>
          </w:p>
        </w:tc>
        <w:tc>
          <w:tcPr>
            <w:tcW w:w="5768" w:type="dxa"/>
            <w:gridSpan w:val="4"/>
            <w:tcBorders>
              <w:tl2br w:val="nil"/>
              <w:tr2bl w:val="nil"/>
            </w:tcBorders>
            <w:shd w:val="clear" w:color="auto" w:fill="FFFFFF"/>
            <w:noWrap w:val="0"/>
            <w:vAlign w:val="center"/>
          </w:tcPr>
          <w:p w14:paraId="3F02AA5F">
            <w:pPr>
              <w:jc w:val="left"/>
              <w:rPr>
                <w:color w:val="auto"/>
                <w:szCs w:val="21"/>
                <w:highlight w:val="none"/>
              </w:rPr>
            </w:pPr>
            <w:r>
              <w:rPr>
                <w:rFonts w:hint="eastAsia"/>
                <w:color w:val="auto"/>
                <w:szCs w:val="21"/>
                <w:highlight w:val="none"/>
              </w:rPr>
              <w:t>招标控制价采用的消耗量定额、取费标准、材料及设备市场信息价有误、套用消耗量定额错项、漏项、重项、计价程序取费基数出现错误的</w:t>
            </w:r>
          </w:p>
        </w:tc>
        <w:tc>
          <w:tcPr>
            <w:tcW w:w="1118" w:type="dxa"/>
            <w:tcBorders>
              <w:tl2br w:val="nil"/>
              <w:tr2bl w:val="nil"/>
            </w:tcBorders>
            <w:shd w:val="clear" w:color="auto" w:fill="FFFFFF"/>
            <w:noWrap w:val="0"/>
            <w:vAlign w:val="center"/>
          </w:tcPr>
          <w:p w14:paraId="2F873078">
            <w:pPr>
              <w:jc w:val="center"/>
              <w:rPr>
                <w:color w:val="auto"/>
                <w:szCs w:val="21"/>
                <w:highlight w:val="none"/>
              </w:rPr>
            </w:pPr>
            <w:r>
              <w:rPr>
                <w:rFonts w:hint="eastAsia"/>
                <w:color w:val="auto"/>
                <w:szCs w:val="21"/>
                <w:highlight w:val="none"/>
              </w:rPr>
              <w:t>5分/处</w:t>
            </w:r>
          </w:p>
        </w:tc>
        <w:tc>
          <w:tcPr>
            <w:tcW w:w="649" w:type="dxa"/>
            <w:tcBorders>
              <w:tl2br w:val="nil"/>
              <w:tr2bl w:val="nil"/>
            </w:tcBorders>
            <w:shd w:val="clear" w:color="auto" w:fill="FFFFFF"/>
            <w:noWrap w:val="0"/>
            <w:vAlign w:val="center"/>
          </w:tcPr>
          <w:p w14:paraId="088E96E4">
            <w:pPr>
              <w:jc w:val="center"/>
              <w:rPr>
                <w:color w:val="auto"/>
                <w:szCs w:val="21"/>
                <w:highlight w:val="none"/>
              </w:rPr>
            </w:pPr>
          </w:p>
        </w:tc>
      </w:tr>
      <w:tr w14:paraId="518662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18F6BF56">
            <w:pPr>
              <w:jc w:val="center"/>
              <w:rPr>
                <w:color w:val="auto"/>
                <w:szCs w:val="21"/>
                <w:highlight w:val="none"/>
              </w:rPr>
            </w:pPr>
            <w:r>
              <w:rPr>
                <w:rFonts w:hint="eastAsia"/>
                <w:color w:val="auto"/>
                <w:szCs w:val="21"/>
                <w:highlight w:val="none"/>
              </w:rPr>
              <w:t>3</w:t>
            </w:r>
          </w:p>
        </w:tc>
        <w:tc>
          <w:tcPr>
            <w:tcW w:w="437" w:type="dxa"/>
            <w:vMerge w:val="continue"/>
            <w:tcBorders>
              <w:tl2br w:val="nil"/>
              <w:tr2bl w:val="nil"/>
            </w:tcBorders>
            <w:shd w:val="clear" w:color="auto" w:fill="FFFFFF"/>
            <w:noWrap w:val="0"/>
            <w:vAlign w:val="center"/>
          </w:tcPr>
          <w:p w14:paraId="1BBD65D3">
            <w:pPr>
              <w:jc w:val="left"/>
              <w:rPr>
                <w:color w:val="auto"/>
                <w:szCs w:val="21"/>
                <w:highlight w:val="none"/>
              </w:rPr>
            </w:pPr>
          </w:p>
        </w:tc>
        <w:tc>
          <w:tcPr>
            <w:tcW w:w="5768" w:type="dxa"/>
            <w:gridSpan w:val="4"/>
            <w:tcBorders>
              <w:tl2br w:val="nil"/>
              <w:tr2bl w:val="nil"/>
            </w:tcBorders>
            <w:shd w:val="clear" w:color="auto" w:fill="FFFFFF"/>
            <w:noWrap w:val="0"/>
            <w:vAlign w:val="center"/>
          </w:tcPr>
          <w:p w14:paraId="1E09B079">
            <w:pPr>
              <w:jc w:val="left"/>
              <w:rPr>
                <w:color w:val="auto"/>
                <w:szCs w:val="21"/>
                <w:highlight w:val="none"/>
              </w:rPr>
            </w:pPr>
            <w:r>
              <w:rPr>
                <w:rFonts w:hint="eastAsia"/>
                <w:color w:val="auto"/>
                <w:szCs w:val="21"/>
                <w:highlight w:val="none"/>
              </w:rPr>
              <w:t>询价材料价格明显不合理，且不提供询价资料的</w:t>
            </w:r>
          </w:p>
        </w:tc>
        <w:tc>
          <w:tcPr>
            <w:tcW w:w="1118" w:type="dxa"/>
            <w:tcBorders>
              <w:tl2br w:val="nil"/>
              <w:tr2bl w:val="nil"/>
            </w:tcBorders>
            <w:shd w:val="clear" w:color="auto" w:fill="FFFFFF"/>
            <w:noWrap w:val="0"/>
            <w:vAlign w:val="center"/>
          </w:tcPr>
          <w:p w14:paraId="5703D618">
            <w:pPr>
              <w:jc w:val="center"/>
              <w:rPr>
                <w:color w:val="auto"/>
                <w:szCs w:val="21"/>
                <w:highlight w:val="none"/>
              </w:rPr>
            </w:pPr>
            <w:r>
              <w:rPr>
                <w:rFonts w:hint="eastAsia"/>
                <w:color w:val="auto"/>
                <w:szCs w:val="21"/>
                <w:highlight w:val="none"/>
              </w:rPr>
              <w:t>5分/处</w:t>
            </w:r>
          </w:p>
        </w:tc>
        <w:tc>
          <w:tcPr>
            <w:tcW w:w="649" w:type="dxa"/>
            <w:tcBorders>
              <w:tl2br w:val="nil"/>
              <w:tr2bl w:val="nil"/>
            </w:tcBorders>
            <w:shd w:val="clear" w:color="auto" w:fill="FFFFFF"/>
            <w:noWrap w:val="0"/>
            <w:vAlign w:val="center"/>
          </w:tcPr>
          <w:p w14:paraId="47DCDD02">
            <w:pPr>
              <w:jc w:val="center"/>
              <w:rPr>
                <w:color w:val="auto"/>
                <w:szCs w:val="21"/>
                <w:highlight w:val="none"/>
              </w:rPr>
            </w:pPr>
          </w:p>
        </w:tc>
      </w:tr>
      <w:tr w14:paraId="6FB131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77F5AB72">
            <w:pPr>
              <w:jc w:val="center"/>
              <w:rPr>
                <w:color w:val="auto"/>
                <w:szCs w:val="21"/>
                <w:highlight w:val="none"/>
              </w:rPr>
            </w:pPr>
            <w:r>
              <w:rPr>
                <w:rFonts w:hint="eastAsia"/>
                <w:color w:val="auto"/>
                <w:szCs w:val="21"/>
                <w:highlight w:val="none"/>
              </w:rPr>
              <w:t>4</w:t>
            </w:r>
          </w:p>
        </w:tc>
        <w:tc>
          <w:tcPr>
            <w:tcW w:w="437" w:type="dxa"/>
            <w:vMerge w:val="continue"/>
            <w:tcBorders>
              <w:tl2br w:val="nil"/>
              <w:tr2bl w:val="nil"/>
            </w:tcBorders>
            <w:shd w:val="clear" w:color="auto" w:fill="FFFFFF"/>
            <w:noWrap w:val="0"/>
            <w:vAlign w:val="center"/>
          </w:tcPr>
          <w:p w14:paraId="099B7A7A">
            <w:pPr>
              <w:jc w:val="left"/>
              <w:rPr>
                <w:color w:val="auto"/>
                <w:szCs w:val="21"/>
                <w:highlight w:val="none"/>
              </w:rPr>
            </w:pPr>
          </w:p>
        </w:tc>
        <w:tc>
          <w:tcPr>
            <w:tcW w:w="5768" w:type="dxa"/>
            <w:gridSpan w:val="4"/>
            <w:tcBorders>
              <w:tl2br w:val="nil"/>
              <w:tr2bl w:val="nil"/>
            </w:tcBorders>
            <w:shd w:val="clear" w:color="auto" w:fill="FFFFFF"/>
            <w:noWrap w:val="0"/>
            <w:vAlign w:val="center"/>
          </w:tcPr>
          <w:p w14:paraId="3E8CD909">
            <w:pPr>
              <w:jc w:val="left"/>
              <w:rPr>
                <w:color w:val="auto"/>
                <w:szCs w:val="21"/>
                <w:highlight w:val="none"/>
              </w:rPr>
            </w:pPr>
            <w:r>
              <w:rPr>
                <w:rFonts w:hint="eastAsia"/>
                <w:color w:val="auto"/>
                <w:szCs w:val="21"/>
                <w:highlight w:val="none"/>
              </w:rPr>
              <w:t>招标控制价计算如项目清单费用不全的、或擅自调整人工、机械、材料信息价格和定额含量的</w:t>
            </w:r>
          </w:p>
        </w:tc>
        <w:tc>
          <w:tcPr>
            <w:tcW w:w="1118" w:type="dxa"/>
            <w:tcBorders>
              <w:tl2br w:val="nil"/>
              <w:tr2bl w:val="nil"/>
            </w:tcBorders>
            <w:shd w:val="clear" w:color="auto" w:fill="FFFFFF"/>
            <w:noWrap w:val="0"/>
            <w:vAlign w:val="center"/>
          </w:tcPr>
          <w:p w14:paraId="39F62D4B">
            <w:pPr>
              <w:jc w:val="center"/>
              <w:rPr>
                <w:color w:val="auto"/>
                <w:szCs w:val="21"/>
                <w:highlight w:val="none"/>
              </w:rPr>
            </w:pPr>
            <w:r>
              <w:rPr>
                <w:rFonts w:hint="eastAsia"/>
                <w:color w:val="auto"/>
                <w:szCs w:val="21"/>
                <w:highlight w:val="none"/>
              </w:rPr>
              <w:t>5分/处</w:t>
            </w:r>
          </w:p>
        </w:tc>
        <w:tc>
          <w:tcPr>
            <w:tcW w:w="649" w:type="dxa"/>
            <w:tcBorders>
              <w:tl2br w:val="nil"/>
              <w:tr2bl w:val="nil"/>
            </w:tcBorders>
            <w:shd w:val="clear" w:color="auto" w:fill="FFFFFF"/>
            <w:noWrap w:val="0"/>
            <w:vAlign w:val="center"/>
          </w:tcPr>
          <w:p w14:paraId="170A7A05">
            <w:pPr>
              <w:jc w:val="center"/>
              <w:rPr>
                <w:color w:val="auto"/>
                <w:szCs w:val="21"/>
                <w:highlight w:val="none"/>
              </w:rPr>
            </w:pPr>
          </w:p>
        </w:tc>
      </w:tr>
      <w:tr w14:paraId="5FBDC2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1D3FF69D">
            <w:pPr>
              <w:jc w:val="center"/>
              <w:rPr>
                <w:color w:val="auto"/>
                <w:szCs w:val="21"/>
                <w:highlight w:val="none"/>
              </w:rPr>
            </w:pPr>
            <w:r>
              <w:rPr>
                <w:rFonts w:hint="eastAsia"/>
                <w:color w:val="auto"/>
                <w:szCs w:val="21"/>
                <w:highlight w:val="none"/>
              </w:rPr>
              <w:t>5</w:t>
            </w:r>
          </w:p>
        </w:tc>
        <w:tc>
          <w:tcPr>
            <w:tcW w:w="437" w:type="dxa"/>
            <w:vMerge w:val="restart"/>
            <w:tcBorders>
              <w:tl2br w:val="nil"/>
              <w:tr2bl w:val="nil"/>
            </w:tcBorders>
            <w:shd w:val="clear" w:color="auto" w:fill="FFFFFF"/>
            <w:noWrap w:val="0"/>
            <w:vAlign w:val="center"/>
          </w:tcPr>
          <w:p w14:paraId="2AE87840">
            <w:pPr>
              <w:jc w:val="left"/>
              <w:rPr>
                <w:color w:val="auto"/>
                <w:szCs w:val="21"/>
                <w:highlight w:val="none"/>
              </w:rPr>
            </w:pPr>
            <w:r>
              <w:rPr>
                <w:rFonts w:hint="eastAsia"/>
                <w:color w:val="auto"/>
                <w:szCs w:val="21"/>
                <w:highlight w:val="none"/>
              </w:rPr>
              <w:t>结算审计</w:t>
            </w:r>
          </w:p>
        </w:tc>
        <w:tc>
          <w:tcPr>
            <w:tcW w:w="5768" w:type="dxa"/>
            <w:gridSpan w:val="4"/>
            <w:tcBorders>
              <w:tl2br w:val="nil"/>
              <w:tr2bl w:val="nil"/>
            </w:tcBorders>
            <w:shd w:val="clear" w:color="auto" w:fill="FFFFFF"/>
            <w:noWrap w:val="0"/>
            <w:vAlign w:val="center"/>
          </w:tcPr>
          <w:p w14:paraId="541FAF29">
            <w:pPr>
              <w:jc w:val="left"/>
              <w:rPr>
                <w:color w:val="auto"/>
                <w:szCs w:val="21"/>
                <w:highlight w:val="none"/>
              </w:rPr>
            </w:pPr>
            <w:r>
              <w:rPr>
                <w:rFonts w:hint="eastAsia"/>
                <w:color w:val="auto"/>
                <w:szCs w:val="21"/>
                <w:highlight w:val="none"/>
              </w:rPr>
              <w:t>重要的设计变更、工程签证手续不完善或与实际项目状况不一致且未向项目委托方提出合理化建议的</w:t>
            </w:r>
          </w:p>
        </w:tc>
        <w:tc>
          <w:tcPr>
            <w:tcW w:w="1118" w:type="dxa"/>
            <w:tcBorders>
              <w:tl2br w:val="nil"/>
              <w:tr2bl w:val="nil"/>
            </w:tcBorders>
            <w:shd w:val="clear" w:color="auto" w:fill="FFFFFF"/>
            <w:noWrap w:val="0"/>
            <w:vAlign w:val="center"/>
          </w:tcPr>
          <w:p w14:paraId="20D57B43">
            <w:pPr>
              <w:jc w:val="center"/>
              <w:rPr>
                <w:color w:val="auto"/>
                <w:szCs w:val="21"/>
                <w:highlight w:val="none"/>
              </w:rPr>
            </w:pPr>
            <w:r>
              <w:rPr>
                <w:rFonts w:hint="eastAsia"/>
                <w:color w:val="auto"/>
                <w:szCs w:val="21"/>
                <w:highlight w:val="none"/>
              </w:rPr>
              <w:t>10分/处</w:t>
            </w:r>
          </w:p>
        </w:tc>
        <w:tc>
          <w:tcPr>
            <w:tcW w:w="649" w:type="dxa"/>
            <w:tcBorders>
              <w:tl2br w:val="nil"/>
              <w:tr2bl w:val="nil"/>
            </w:tcBorders>
            <w:shd w:val="clear" w:color="auto" w:fill="FFFFFF"/>
            <w:noWrap w:val="0"/>
            <w:vAlign w:val="center"/>
          </w:tcPr>
          <w:p w14:paraId="3AEB1E0B">
            <w:pPr>
              <w:jc w:val="center"/>
              <w:rPr>
                <w:color w:val="auto"/>
                <w:szCs w:val="21"/>
                <w:highlight w:val="none"/>
              </w:rPr>
            </w:pPr>
          </w:p>
        </w:tc>
      </w:tr>
      <w:tr w14:paraId="4F1928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1210C635">
            <w:pPr>
              <w:jc w:val="center"/>
              <w:rPr>
                <w:color w:val="auto"/>
                <w:szCs w:val="21"/>
                <w:highlight w:val="none"/>
              </w:rPr>
            </w:pPr>
            <w:r>
              <w:rPr>
                <w:rFonts w:hint="eastAsia"/>
                <w:color w:val="auto"/>
                <w:szCs w:val="21"/>
                <w:highlight w:val="none"/>
              </w:rPr>
              <w:t>6</w:t>
            </w:r>
          </w:p>
        </w:tc>
        <w:tc>
          <w:tcPr>
            <w:tcW w:w="437" w:type="dxa"/>
            <w:vMerge w:val="continue"/>
            <w:tcBorders>
              <w:tl2br w:val="nil"/>
              <w:tr2bl w:val="nil"/>
            </w:tcBorders>
            <w:shd w:val="clear" w:color="auto" w:fill="FFFFFF"/>
            <w:noWrap w:val="0"/>
            <w:vAlign w:val="center"/>
          </w:tcPr>
          <w:p w14:paraId="5BCD8A90">
            <w:pPr>
              <w:jc w:val="left"/>
              <w:rPr>
                <w:color w:val="auto"/>
                <w:szCs w:val="21"/>
                <w:highlight w:val="none"/>
              </w:rPr>
            </w:pPr>
          </w:p>
        </w:tc>
        <w:tc>
          <w:tcPr>
            <w:tcW w:w="5768" w:type="dxa"/>
            <w:gridSpan w:val="4"/>
            <w:tcBorders>
              <w:tl2br w:val="nil"/>
              <w:tr2bl w:val="nil"/>
            </w:tcBorders>
            <w:shd w:val="clear" w:color="auto" w:fill="FFFFFF"/>
            <w:noWrap w:val="0"/>
            <w:vAlign w:val="center"/>
          </w:tcPr>
          <w:p w14:paraId="66BC19D5">
            <w:pPr>
              <w:jc w:val="left"/>
              <w:rPr>
                <w:color w:val="auto"/>
                <w:szCs w:val="21"/>
                <w:highlight w:val="none"/>
              </w:rPr>
            </w:pPr>
            <w:r>
              <w:rPr>
                <w:rFonts w:hint="eastAsia"/>
                <w:color w:val="auto"/>
                <w:szCs w:val="21"/>
                <w:highlight w:val="none"/>
              </w:rPr>
              <w:t>工程变更价款的确定、材料价差调整不符合有关规定的，取费程序、取费基数、取费标准有误的</w:t>
            </w:r>
          </w:p>
        </w:tc>
        <w:tc>
          <w:tcPr>
            <w:tcW w:w="1118" w:type="dxa"/>
            <w:tcBorders>
              <w:tl2br w:val="nil"/>
              <w:tr2bl w:val="nil"/>
            </w:tcBorders>
            <w:shd w:val="clear" w:color="auto" w:fill="FFFFFF"/>
            <w:noWrap w:val="0"/>
            <w:vAlign w:val="center"/>
          </w:tcPr>
          <w:p w14:paraId="1896C142">
            <w:pPr>
              <w:jc w:val="center"/>
              <w:rPr>
                <w:color w:val="auto"/>
                <w:szCs w:val="21"/>
                <w:highlight w:val="none"/>
              </w:rPr>
            </w:pPr>
            <w:r>
              <w:rPr>
                <w:rFonts w:hint="eastAsia"/>
                <w:color w:val="auto"/>
                <w:szCs w:val="21"/>
                <w:highlight w:val="none"/>
              </w:rPr>
              <w:t>5分/处</w:t>
            </w:r>
          </w:p>
        </w:tc>
        <w:tc>
          <w:tcPr>
            <w:tcW w:w="649" w:type="dxa"/>
            <w:tcBorders>
              <w:tl2br w:val="nil"/>
              <w:tr2bl w:val="nil"/>
            </w:tcBorders>
            <w:shd w:val="clear" w:color="auto" w:fill="FFFFFF"/>
            <w:noWrap w:val="0"/>
            <w:vAlign w:val="center"/>
          </w:tcPr>
          <w:p w14:paraId="333BF353">
            <w:pPr>
              <w:jc w:val="center"/>
              <w:rPr>
                <w:color w:val="auto"/>
                <w:szCs w:val="21"/>
                <w:highlight w:val="none"/>
              </w:rPr>
            </w:pPr>
          </w:p>
        </w:tc>
      </w:tr>
      <w:tr w14:paraId="3EF017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3BC46F43">
            <w:pPr>
              <w:jc w:val="center"/>
              <w:rPr>
                <w:color w:val="auto"/>
                <w:szCs w:val="21"/>
                <w:highlight w:val="none"/>
              </w:rPr>
            </w:pPr>
            <w:r>
              <w:rPr>
                <w:rFonts w:hint="eastAsia"/>
                <w:color w:val="auto"/>
                <w:szCs w:val="21"/>
                <w:highlight w:val="none"/>
              </w:rPr>
              <w:t>7</w:t>
            </w:r>
          </w:p>
        </w:tc>
        <w:tc>
          <w:tcPr>
            <w:tcW w:w="437" w:type="dxa"/>
            <w:vMerge w:val="continue"/>
            <w:tcBorders>
              <w:tl2br w:val="nil"/>
              <w:tr2bl w:val="nil"/>
            </w:tcBorders>
            <w:shd w:val="clear" w:color="auto" w:fill="FFFFFF"/>
            <w:noWrap w:val="0"/>
            <w:vAlign w:val="center"/>
          </w:tcPr>
          <w:p w14:paraId="4286C4AD">
            <w:pPr>
              <w:jc w:val="left"/>
              <w:rPr>
                <w:color w:val="auto"/>
                <w:szCs w:val="21"/>
                <w:highlight w:val="none"/>
              </w:rPr>
            </w:pPr>
          </w:p>
        </w:tc>
        <w:tc>
          <w:tcPr>
            <w:tcW w:w="5768" w:type="dxa"/>
            <w:gridSpan w:val="4"/>
            <w:tcBorders>
              <w:tl2br w:val="nil"/>
              <w:tr2bl w:val="nil"/>
            </w:tcBorders>
            <w:shd w:val="clear" w:color="auto" w:fill="FFFFFF"/>
            <w:noWrap w:val="0"/>
            <w:vAlign w:val="center"/>
          </w:tcPr>
          <w:p w14:paraId="2A0E4458">
            <w:pPr>
              <w:jc w:val="left"/>
              <w:rPr>
                <w:color w:val="auto"/>
                <w:szCs w:val="21"/>
                <w:highlight w:val="none"/>
              </w:rPr>
            </w:pPr>
            <w:r>
              <w:rPr>
                <w:rFonts w:hint="eastAsia"/>
                <w:color w:val="auto"/>
                <w:szCs w:val="21"/>
                <w:highlight w:val="none"/>
              </w:rPr>
              <w:t>主要材料价格确定有误的</w:t>
            </w:r>
          </w:p>
        </w:tc>
        <w:tc>
          <w:tcPr>
            <w:tcW w:w="1118" w:type="dxa"/>
            <w:tcBorders>
              <w:tl2br w:val="nil"/>
              <w:tr2bl w:val="nil"/>
            </w:tcBorders>
            <w:shd w:val="clear" w:color="auto" w:fill="FFFFFF"/>
            <w:noWrap w:val="0"/>
            <w:vAlign w:val="center"/>
          </w:tcPr>
          <w:p w14:paraId="2AEC53A2">
            <w:pPr>
              <w:jc w:val="center"/>
              <w:rPr>
                <w:color w:val="auto"/>
                <w:szCs w:val="21"/>
                <w:highlight w:val="none"/>
              </w:rPr>
            </w:pPr>
            <w:r>
              <w:rPr>
                <w:rFonts w:hint="eastAsia"/>
                <w:color w:val="auto"/>
                <w:szCs w:val="21"/>
                <w:highlight w:val="none"/>
              </w:rPr>
              <w:t>3分/处</w:t>
            </w:r>
          </w:p>
        </w:tc>
        <w:tc>
          <w:tcPr>
            <w:tcW w:w="649" w:type="dxa"/>
            <w:tcBorders>
              <w:tl2br w:val="nil"/>
              <w:tr2bl w:val="nil"/>
            </w:tcBorders>
            <w:shd w:val="clear" w:color="auto" w:fill="FFFFFF"/>
            <w:noWrap w:val="0"/>
            <w:vAlign w:val="center"/>
          </w:tcPr>
          <w:p w14:paraId="2D0FE936">
            <w:pPr>
              <w:jc w:val="center"/>
              <w:rPr>
                <w:color w:val="auto"/>
                <w:szCs w:val="21"/>
                <w:highlight w:val="none"/>
              </w:rPr>
            </w:pPr>
          </w:p>
        </w:tc>
      </w:tr>
      <w:tr w14:paraId="6AA976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3096F57B">
            <w:pPr>
              <w:jc w:val="center"/>
              <w:rPr>
                <w:color w:val="auto"/>
                <w:szCs w:val="21"/>
                <w:highlight w:val="none"/>
              </w:rPr>
            </w:pPr>
            <w:r>
              <w:rPr>
                <w:rFonts w:hint="eastAsia"/>
                <w:color w:val="auto"/>
                <w:szCs w:val="21"/>
                <w:highlight w:val="none"/>
              </w:rPr>
              <w:t>8</w:t>
            </w:r>
          </w:p>
        </w:tc>
        <w:tc>
          <w:tcPr>
            <w:tcW w:w="437" w:type="dxa"/>
            <w:vMerge w:val="continue"/>
            <w:tcBorders>
              <w:tl2br w:val="nil"/>
              <w:tr2bl w:val="nil"/>
            </w:tcBorders>
            <w:shd w:val="clear" w:color="auto" w:fill="FFFFFF"/>
            <w:noWrap w:val="0"/>
            <w:vAlign w:val="center"/>
          </w:tcPr>
          <w:p w14:paraId="2BF42DDF">
            <w:pPr>
              <w:jc w:val="left"/>
              <w:rPr>
                <w:color w:val="auto"/>
                <w:szCs w:val="21"/>
                <w:highlight w:val="none"/>
              </w:rPr>
            </w:pPr>
          </w:p>
        </w:tc>
        <w:tc>
          <w:tcPr>
            <w:tcW w:w="5768" w:type="dxa"/>
            <w:gridSpan w:val="4"/>
            <w:tcBorders>
              <w:tl2br w:val="nil"/>
              <w:tr2bl w:val="nil"/>
            </w:tcBorders>
            <w:shd w:val="clear" w:color="auto" w:fill="FFFFFF"/>
            <w:noWrap w:val="0"/>
            <w:vAlign w:val="center"/>
          </w:tcPr>
          <w:p w14:paraId="31E7F405">
            <w:pPr>
              <w:jc w:val="left"/>
              <w:rPr>
                <w:color w:val="auto"/>
                <w:szCs w:val="21"/>
                <w:highlight w:val="none"/>
              </w:rPr>
            </w:pPr>
            <w:r>
              <w:rPr>
                <w:rFonts w:hint="eastAsia"/>
                <w:color w:val="auto"/>
                <w:szCs w:val="21"/>
                <w:highlight w:val="none"/>
              </w:rPr>
              <w:t>审核过程中如发现存在重大问题应做好书面记录，无记录的</w:t>
            </w:r>
          </w:p>
        </w:tc>
        <w:tc>
          <w:tcPr>
            <w:tcW w:w="1118" w:type="dxa"/>
            <w:tcBorders>
              <w:tl2br w:val="nil"/>
              <w:tr2bl w:val="nil"/>
            </w:tcBorders>
            <w:shd w:val="clear" w:color="auto" w:fill="FFFFFF"/>
            <w:noWrap w:val="0"/>
            <w:vAlign w:val="center"/>
          </w:tcPr>
          <w:p w14:paraId="2996EA89">
            <w:pPr>
              <w:jc w:val="center"/>
              <w:rPr>
                <w:color w:val="auto"/>
                <w:szCs w:val="21"/>
                <w:highlight w:val="none"/>
              </w:rPr>
            </w:pPr>
            <w:r>
              <w:rPr>
                <w:rFonts w:hint="eastAsia"/>
                <w:color w:val="auto"/>
                <w:szCs w:val="21"/>
                <w:highlight w:val="none"/>
              </w:rPr>
              <w:t>5分/项</w:t>
            </w:r>
          </w:p>
        </w:tc>
        <w:tc>
          <w:tcPr>
            <w:tcW w:w="649" w:type="dxa"/>
            <w:tcBorders>
              <w:tl2br w:val="nil"/>
              <w:tr2bl w:val="nil"/>
            </w:tcBorders>
            <w:shd w:val="clear" w:color="auto" w:fill="FFFFFF"/>
            <w:noWrap w:val="0"/>
            <w:vAlign w:val="center"/>
          </w:tcPr>
          <w:p w14:paraId="66304849">
            <w:pPr>
              <w:jc w:val="center"/>
              <w:rPr>
                <w:color w:val="auto"/>
                <w:szCs w:val="21"/>
                <w:highlight w:val="none"/>
              </w:rPr>
            </w:pPr>
          </w:p>
        </w:tc>
      </w:tr>
      <w:tr w14:paraId="38E33B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66CDEA15">
            <w:pPr>
              <w:jc w:val="center"/>
              <w:rPr>
                <w:color w:val="auto"/>
                <w:szCs w:val="21"/>
                <w:highlight w:val="none"/>
              </w:rPr>
            </w:pPr>
            <w:r>
              <w:rPr>
                <w:rFonts w:hint="eastAsia"/>
                <w:color w:val="auto"/>
                <w:szCs w:val="21"/>
                <w:highlight w:val="none"/>
              </w:rPr>
              <w:t>9</w:t>
            </w:r>
          </w:p>
        </w:tc>
        <w:tc>
          <w:tcPr>
            <w:tcW w:w="437" w:type="dxa"/>
            <w:vMerge w:val="continue"/>
            <w:tcBorders>
              <w:tl2br w:val="nil"/>
              <w:tr2bl w:val="nil"/>
            </w:tcBorders>
            <w:shd w:val="clear" w:color="auto" w:fill="FFFFFF"/>
            <w:noWrap w:val="0"/>
            <w:vAlign w:val="center"/>
          </w:tcPr>
          <w:p w14:paraId="52271D31">
            <w:pPr>
              <w:jc w:val="left"/>
              <w:rPr>
                <w:color w:val="auto"/>
                <w:szCs w:val="21"/>
                <w:highlight w:val="none"/>
              </w:rPr>
            </w:pPr>
          </w:p>
        </w:tc>
        <w:tc>
          <w:tcPr>
            <w:tcW w:w="5768" w:type="dxa"/>
            <w:gridSpan w:val="4"/>
            <w:tcBorders>
              <w:tl2br w:val="nil"/>
              <w:tr2bl w:val="nil"/>
            </w:tcBorders>
            <w:shd w:val="clear" w:color="auto" w:fill="FFFFFF"/>
            <w:noWrap w:val="0"/>
            <w:vAlign w:val="center"/>
          </w:tcPr>
          <w:p w14:paraId="6C637142">
            <w:pPr>
              <w:jc w:val="left"/>
              <w:rPr>
                <w:color w:val="auto"/>
                <w:szCs w:val="21"/>
                <w:highlight w:val="none"/>
              </w:rPr>
            </w:pPr>
            <w:r>
              <w:rPr>
                <w:rFonts w:hint="eastAsia"/>
                <w:color w:val="auto"/>
                <w:szCs w:val="21"/>
                <w:highlight w:val="none"/>
              </w:rPr>
              <w:t>结算评审计价方式与施工投标文件、施工合同文本确定的计价方式相背离的</w:t>
            </w:r>
          </w:p>
        </w:tc>
        <w:tc>
          <w:tcPr>
            <w:tcW w:w="1118" w:type="dxa"/>
            <w:tcBorders>
              <w:tl2br w:val="nil"/>
              <w:tr2bl w:val="nil"/>
            </w:tcBorders>
            <w:shd w:val="clear" w:color="auto" w:fill="FFFFFF"/>
            <w:noWrap w:val="0"/>
            <w:vAlign w:val="center"/>
          </w:tcPr>
          <w:p w14:paraId="2AF0AFCD">
            <w:pPr>
              <w:jc w:val="center"/>
              <w:rPr>
                <w:color w:val="auto"/>
                <w:szCs w:val="21"/>
                <w:highlight w:val="none"/>
              </w:rPr>
            </w:pPr>
            <w:r>
              <w:rPr>
                <w:rFonts w:hint="eastAsia"/>
                <w:color w:val="auto"/>
                <w:szCs w:val="21"/>
                <w:highlight w:val="none"/>
              </w:rPr>
              <w:t>30</w:t>
            </w:r>
          </w:p>
        </w:tc>
        <w:tc>
          <w:tcPr>
            <w:tcW w:w="649" w:type="dxa"/>
            <w:tcBorders>
              <w:tl2br w:val="nil"/>
              <w:tr2bl w:val="nil"/>
            </w:tcBorders>
            <w:shd w:val="clear" w:color="auto" w:fill="FFFFFF"/>
            <w:noWrap w:val="0"/>
            <w:vAlign w:val="center"/>
          </w:tcPr>
          <w:p w14:paraId="6D917CBD">
            <w:pPr>
              <w:jc w:val="center"/>
              <w:rPr>
                <w:color w:val="auto"/>
                <w:szCs w:val="21"/>
                <w:highlight w:val="none"/>
              </w:rPr>
            </w:pPr>
          </w:p>
        </w:tc>
      </w:tr>
      <w:tr w14:paraId="53F746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7602D07A">
            <w:pPr>
              <w:jc w:val="center"/>
              <w:rPr>
                <w:color w:val="auto"/>
                <w:szCs w:val="21"/>
                <w:highlight w:val="none"/>
              </w:rPr>
            </w:pPr>
            <w:r>
              <w:rPr>
                <w:rFonts w:hint="eastAsia"/>
                <w:color w:val="auto"/>
                <w:szCs w:val="21"/>
                <w:highlight w:val="none"/>
              </w:rPr>
              <w:t>10</w:t>
            </w:r>
          </w:p>
        </w:tc>
        <w:tc>
          <w:tcPr>
            <w:tcW w:w="437" w:type="dxa"/>
            <w:vMerge w:val="continue"/>
            <w:tcBorders>
              <w:tl2br w:val="nil"/>
              <w:tr2bl w:val="nil"/>
            </w:tcBorders>
            <w:shd w:val="clear" w:color="auto" w:fill="FFFFFF"/>
            <w:noWrap w:val="0"/>
            <w:vAlign w:val="center"/>
          </w:tcPr>
          <w:p w14:paraId="46BB9BC8">
            <w:pPr>
              <w:jc w:val="left"/>
              <w:rPr>
                <w:color w:val="auto"/>
                <w:szCs w:val="21"/>
                <w:highlight w:val="none"/>
              </w:rPr>
            </w:pPr>
          </w:p>
        </w:tc>
        <w:tc>
          <w:tcPr>
            <w:tcW w:w="5768" w:type="dxa"/>
            <w:gridSpan w:val="4"/>
            <w:tcBorders>
              <w:tl2br w:val="nil"/>
              <w:tr2bl w:val="nil"/>
            </w:tcBorders>
            <w:shd w:val="clear" w:color="auto" w:fill="FFFFFF"/>
            <w:noWrap w:val="0"/>
            <w:vAlign w:val="center"/>
          </w:tcPr>
          <w:p w14:paraId="4DF3C7B7">
            <w:pPr>
              <w:jc w:val="left"/>
              <w:rPr>
                <w:color w:val="auto"/>
                <w:szCs w:val="21"/>
                <w:highlight w:val="none"/>
              </w:rPr>
            </w:pPr>
            <w:r>
              <w:rPr>
                <w:rFonts w:hint="eastAsia"/>
                <w:color w:val="auto"/>
                <w:szCs w:val="21"/>
                <w:highlight w:val="none"/>
              </w:rPr>
              <w:t>经委托单位通知对帐的，应按时到达指定地点，未经委托单位同意，无故或借故缺席、改期或无限期推迟的</w:t>
            </w:r>
          </w:p>
        </w:tc>
        <w:tc>
          <w:tcPr>
            <w:tcW w:w="1118" w:type="dxa"/>
            <w:tcBorders>
              <w:tl2br w:val="nil"/>
              <w:tr2bl w:val="nil"/>
            </w:tcBorders>
            <w:shd w:val="clear" w:color="auto" w:fill="FFFFFF"/>
            <w:noWrap w:val="0"/>
            <w:vAlign w:val="center"/>
          </w:tcPr>
          <w:p w14:paraId="29040369">
            <w:pPr>
              <w:jc w:val="center"/>
              <w:rPr>
                <w:color w:val="auto"/>
                <w:szCs w:val="21"/>
                <w:highlight w:val="none"/>
              </w:rPr>
            </w:pPr>
            <w:r>
              <w:rPr>
                <w:rFonts w:hint="eastAsia"/>
                <w:color w:val="auto"/>
                <w:szCs w:val="21"/>
                <w:highlight w:val="none"/>
              </w:rPr>
              <w:t>10分/次</w:t>
            </w:r>
          </w:p>
        </w:tc>
        <w:tc>
          <w:tcPr>
            <w:tcW w:w="649" w:type="dxa"/>
            <w:tcBorders>
              <w:tl2br w:val="nil"/>
              <w:tr2bl w:val="nil"/>
            </w:tcBorders>
            <w:shd w:val="clear" w:color="auto" w:fill="FFFFFF"/>
            <w:noWrap w:val="0"/>
            <w:vAlign w:val="center"/>
          </w:tcPr>
          <w:p w14:paraId="1AD1C70F">
            <w:pPr>
              <w:jc w:val="center"/>
              <w:rPr>
                <w:color w:val="auto"/>
                <w:szCs w:val="21"/>
                <w:highlight w:val="none"/>
              </w:rPr>
            </w:pPr>
          </w:p>
        </w:tc>
      </w:tr>
      <w:tr w14:paraId="5B2195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183F9726">
            <w:pPr>
              <w:jc w:val="center"/>
              <w:rPr>
                <w:color w:val="auto"/>
                <w:szCs w:val="21"/>
                <w:highlight w:val="none"/>
              </w:rPr>
            </w:pPr>
            <w:r>
              <w:rPr>
                <w:rFonts w:hint="eastAsia"/>
                <w:color w:val="auto"/>
                <w:szCs w:val="21"/>
                <w:highlight w:val="none"/>
              </w:rPr>
              <w:t>11</w:t>
            </w:r>
          </w:p>
        </w:tc>
        <w:tc>
          <w:tcPr>
            <w:tcW w:w="437" w:type="dxa"/>
            <w:vMerge w:val="continue"/>
            <w:tcBorders>
              <w:tl2br w:val="nil"/>
              <w:tr2bl w:val="nil"/>
            </w:tcBorders>
            <w:shd w:val="clear" w:color="auto" w:fill="FFFFFF"/>
            <w:noWrap w:val="0"/>
            <w:vAlign w:val="center"/>
          </w:tcPr>
          <w:p w14:paraId="5949E82A">
            <w:pPr>
              <w:jc w:val="left"/>
              <w:rPr>
                <w:color w:val="auto"/>
                <w:szCs w:val="21"/>
                <w:highlight w:val="none"/>
              </w:rPr>
            </w:pPr>
          </w:p>
        </w:tc>
        <w:tc>
          <w:tcPr>
            <w:tcW w:w="5768" w:type="dxa"/>
            <w:gridSpan w:val="4"/>
            <w:tcBorders>
              <w:tl2br w:val="nil"/>
              <w:tr2bl w:val="nil"/>
            </w:tcBorders>
            <w:shd w:val="clear" w:color="auto" w:fill="FFFFFF"/>
            <w:noWrap w:val="0"/>
            <w:vAlign w:val="center"/>
          </w:tcPr>
          <w:p w14:paraId="0594706E">
            <w:pPr>
              <w:jc w:val="left"/>
              <w:rPr>
                <w:color w:val="auto"/>
                <w:szCs w:val="21"/>
                <w:highlight w:val="none"/>
              </w:rPr>
            </w:pPr>
            <w:r>
              <w:rPr>
                <w:rFonts w:hint="eastAsia"/>
                <w:color w:val="auto"/>
                <w:szCs w:val="21"/>
                <w:highlight w:val="none"/>
              </w:rPr>
              <w:t>出现丢失或部分丢失或损坏委托单位提供的审核资料的</w:t>
            </w:r>
          </w:p>
        </w:tc>
        <w:tc>
          <w:tcPr>
            <w:tcW w:w="1118" w:type="dxa"/>
            <w:tcBorders>
              <w:tl2br w:val="nil"/>
              <w:tr2bl w:val="nil"/>
            </w:tcBorders>
            <w:shd w:val="clear" w:color="auto" w:fill="FFFFFF"/>
            <w:noWrap w:val="0"/>
            <w:vAlign w:val="center"/>
          </w:tcPr>
          <w:p w14:paraId="135781BD">
            <w:pPr>
              <w:jc w:val="center"/>
              <w:rPr>
                <w:color w:val="auto"/>
                <w:szCs w:val="21"/>
                <w:highlight w:val="none"/>
              </w:rPr>
            </w:pPr>
            <w:r>
              <w:rPr>
                <w:rFonts w:hint="eastAsia"/>
                <w:color w:val="auto"/>
                <w:szCs w:val="21"/>
                <w:highlight w:val="none"/>
              </w:rPr>
              <w:t>20</w:t>
            </w:r>
          </w:p>
        </w:tc>
        <w:tc>
          <w:tcPr>
            <w:tcW w:w="649" w:type="dxa"/>
            <w:tcBorders>
              <w:tl2br w:val="nil"/>
              <w:tr2bl w:val="nil"/>
            </w:tcBorders>
            <w:shd w:val="clear" w:color="auto" w:fill="FFFFFF"/>
            <w:noWrap w:val="0"/>
            <w:vAlign w:val="center"/>
          </w:tcPr>
          <w:p w14:paraId="54A5F806">
            <w:pPr>
              <w:jc w:val="center"/>
              <w:rPr>
                <w:color w:val="auto"/>
                <w:szCs w:val="21"/>
                <w:highlight w:val="none"/>
              </w:rPr>
            </w:pPr>
          </w:p>
        </w:tc>
      </w:tr>
      <w:tr w14:paraId="797D19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16A12208">
            <w:pPr>
              <w:jc w:val="center"/>
              <w:rPr>
                <w:color w:val="auto"/>
                <w:szCs w:val="21"/>
                <w:highlight w:val="none"/>
              </w:rPr>
            </w:pPr>
            <w:r>
              <w:rPr>
                <w:rFonts w:hint="eastAsia"/>
                <w:color w:val="auto"/>
                <w:szCs w:val="21"/>
                <w:highlight w:val="none"/>
              </w:rPr>
              <w:t>12</w:t>
            </w:r>
          </w:p>
        </w:tc>
        <w:tc>
          <w:tcPr>
            <w:tcW w:w="437" w:type="dxa"/>
            <w:vMerge w:val="restart"/>
            <w:tcBorders>
              <w:tl2br w:val="nil"/>
              <w:tr2bl w:val="nil"/>
            </w:tcBorders>
            <w:shd w:val="clear" w:color="auto" w:fill="FFFFFF"/>
            <w:noWrap w:val="0"/>
            <w:vAlign w:val="center"/>
          </w:tcPr>
          <w:p w14:paraId="32327630">
            <w:pPr>
              <w:jc w:val="left"/>
              <w:rPr>
                <w:color w:val="auto"/>
                <w:szCs w:val="21"/>
                <w:highlight w:val="none"/>
              </w:rPr>
            </w:pPr>
            <w:r>
              <w:rPr>
                <w:rFonts w:hint="eastAsia"/>
                <w:color w:val="auto"/>
                <w:szCs w:val="21"/>
                <w:highlight w:val="none"/>
              </w:rPr>
              <w:t>通用</w:t>
            </w:r>
          </w:p>
        </w:tc>
        <w:tc>
          <w:tcPr>
            <w:tcW w:w="5768" w:type="dxa"/>
            <w:gridSpan w:val="4"/>
            <w:tcBorders>
              <w:tl2br w:val="nil"/>
              <w:tr2bl w:val="nil"/>
            </w:tcBorders>
            <w:shd w:val="clear" w:color="auto" w:fill="FFFFFF"/>
            <w:noWrap w:val="0"/>
            <w:vAlign w:val="center"/>
          </w:tcPr>
          <w:p w14:paraId="608E3152">
            <w:pPr>
              <w:jc w:val="left"/>
              <w:rPr>
                <w:color w:val="auto"/>
                <w:szCs w:val="21"/>
                <w:highlight w:val="none"/>
              </w:rPr>
            </w:pPr>
            <w:r>
              <w:rPr>
                <w:rFonts w:hint="eastAsia"/>
                <w:color w:val="auto"/>
                <w:szCs w:val="21"/>
                <w:highlight w:val="none"/>
              </w:rPr>
              <w:t>未按合同约定或文件规定时间内完成的，每延误一天</w:t>
            </w:r>
          </w:p>
        </w:tc>
        <w:tc>
          <w:tcPr>
            <w:tcW w:w="1118" w:type="dxa"/>
            <w:tcBorders>
              <w:tl2br w:val="nil"/>
              <w:tr2bl w:val="nil"/>
            </w:tcBorders>
            <w:shd w:val="clear" w:color="auto" w:fill="FFFFFF"/>
            <w:noWrap w:val="0"/>
            <w:vAlign w:val="center"/>
          </w:tcPr>
          <w:p w14:paraId="0D9B065B">
            <w:pPr>
              <w:jc w:val="center"/>
              <w:rPr>
                <w:color w:val="auto"/>
                <w:szCs w:val="21"/>
                <w:highlight w:val="none"/>
              </w:rPr>
            </w:pPr>
            <w:r>
              <w:rPr>
                <w:rFonts w:hint="eastAsia"/>
                <w:color w:val="auto"/>
                <w:szCs w:val="21"/>
                <w:highlight w:val="none"/>
              </w:rPr>
              <w:t>2分/天</w:t>
            </w:r>
          </w:p>
        </w:tc>
        <w:tc>
          <w:tcPr>
            <w:tcW w:w="649" w:type="dxa"/>
            <w:tcBorders>
              <w:tl2br w:val="nil"/>
              <w:tr2bl w:val="nil"/>
            </w:tcBorders>
            <w:shd w:val="clear" w:color="auto" w:fill="FFFFFF"/>
            <w:noWrap w:val="0"/>
            <w:vAlign w:val="center"/>
          </w:tcPr>
          <w:p w14:paraId="16C71BFC">
            <w:pPr>
              <w:jc w:val="center"/>
              <w:rPr>
                <w:color w:val="auto"/>
                <w:szCs w:val="21"/>
                <w:highlight w:val="none"/>
              </w:rPr>
            </w:pPr>
          </w:p>
        </w:tc>
      </w:tr>
      <w:tr w14:paraId="4BE054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tl2br w:val="nil"/>
              <w:tr2bl w:val="nil"/>
            </w:tcBorders>
            <w:shd w:val="clear" w:color="auto" w:fill="FFFFFF"/>
            <w:noWrap w:val="0"/>
            <w:vAlign w:val="center"/>
          </w:tcPr>
          <w:p w14:paraId="05A23C2E">
            <w:pPr>
              <w:jc w:val="center"/>
              <w:rPr>
                <w:color w:val="auto"/>
                <w:szCs w:val="21"/>
                <w:highlight w:val="none"/>
              </w:rPr>
            </w:pPr>
            <w:r>
              <w:rPr>
                <w:rFonts w:hint="eastAsia"/>
                <w:color w:val="auto"/>
                <w:szCs w:val="21"/>
                <w:highlight w:val="none"/>
              </w:rPr>
              <w:t>13</w:t>
            </w:r>
          </w:p>
        </w:tc>
        <w:tc>
          <w:tcPr>
            <w:tcW w:w="437" w:type="dxa"/>
            <w:vMerge w:val="continue"/>
            <w:tcBorders>
              <w:tl2br w:val="nil"/>
              <w:tr2bl w:val="nil"/>
            </w:tcBorders>
            <w:shd w:val="clear" w:color="auto" w:fill="FFFFFF"/>
            <w:noWrap w:val="0"/>
            <w:vAlign w:val="center"/>
          </w:tcPr>
          <w:p w14:paraId="006C2130">
            <w:pPr>
              <w:jc w:val="left"/>
              <w:rPr>
                <w:color w:val="auto"/>
                <w:szCs w:val="21"/>
                <w:highlight w:val="none"/>
              </w:rPr>
            </w:pPr>
          </w:p>
        </w:tc>
        <w:tc>
          <w:tcPr>
            <w:tcW w:w="5768" w:type="dxa"/>
            <w:gridSpan w:val="4"/>
            <w:tcBorders>
              <w:tl2br w:val="nil"/>
              <w:tr2bl w:val="nil"/>
            </w:tcBorders>
            <w:shd w:val="clear" w:color="auto" w:fill="FFFFFF"/>
            <w:noWrap w:val="0"/>
            <w:vAlign w:val="center"/>
          </w:tcPr>
          <w:p w14:paraId="630F9309">
            <w:pPr>
              <w:jc w:val="left"/>
              <w:rPr>
                <w:color w:val="auto"/>
                <w:szCs w:val="21"/>
                <w:highlight w:val="none"/>
              </w:rPr>
            </w:pPr>
            <w:r>
              <w:rPr>
                <w:rFonts w:hint="eastAsia"/>
                <w:color w:val="auto"/>
                <w:szCs w:val="21"/>
                <w:highlight w:val="none"/>
              </w:rPr>
              <w:t>存在有意增大或减少工程量、弄虚作假增加金额、有意使工程量清单漏项，影响项目的客观、公正性的</w:t>
            </w:r>
          </w:p>
        </w:tc>
        <w:tc>
          <w:tcPr>
            <w:tcW w:w="1118" w:type="dxa"/>
            <w:tcBorders>
              <w:tl2br w:val="nil"/>
              <w:tr2bl w:val="nil"/>
            </w:tcBorders>
            <w:shd w:val="clear" w:color="auto" w:fill="FFFFFF"/>
            <w:noWrap w:val="0"/>
            <w:vAlign w:val="center"/>
          </w:tcPr>
          <w:p w14:paraId="16D8B535">
            <w:pPr>
              <w:jc w:val="center"/>
              <w:rPr>
                <w:color w:val="auto"/>
                <w:szCs w:val="21"/>
                <w:highlight w:val="none"/>
              </w:rPr>
            </w:pPr>
            <w:r>
              <w:rPr>
                <w:rFonts w:hint="eastAsia"/>
                <w:color w:val="auto"/>
                <w:szCs w:val="21"/>
                <w:highlight w:val="none"/>
              </w:rPr>
              <w:t>50</w:t>
            </w:r>
          </w:p>
        </w:tc>
        <w:tc>
          <w:tcPr>
            <w:tcW w:w="649" w:type="dxa"/>
            <w:tcBorders>
              <w:tl2br w:val="nil"/>
              <w:tr2bl w:val="nil"/>
            </w:tcBorders>
            <w:shd w:val="clear" w:color="auto" w:fill="FFFFFF"/>
            <w:noWrap w:val="0"/>
            <w:vAlign w:val="center"/>
          </w:tcPr>
          <w:p w14:paraId="25FE6AC4">
            <w:pPr>
              <w:jc w:val="center"/>
              <w:rPr>
                <w:color w:val="auto"/>
                <w:szCs w:val="21"/>
                <w:highlight w:val="none"/>
              </w:rPr>
            </w:pPr>
          </w:p>
        </w:tc>
      </w:tr>
      <w:tr w14:paraId="6C1166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bottom w:val="double" w:color="auto" w:sz="4" w:space="0"/>
              <w:tl2br w:val="nil"/>
              <w:tr2bl w:val="nil"/>
            </w:tcBorders>
            <w:shd w:val="clear" w:color="auto" w:fill="FFFFFF"/>
            <w:noWrap w:val="0"/>
            <w:vAlign w:val="center"/>
          </w:tcPr>
          <w:p w14:paraId="495ABF8F">
            <w:pPr>
              <w:jc w:val="center"/>
              <w:rPr>
                <w:color w:val="auto"/>
                <w:szCs w:val="21"/>
                <w:highlight w:val="none"/>
              </w:rPr>
            </w:pPr>
            <w:r>
              <w:rPr>
                <w:rFonts w:hint="eastAsia"/>
                <w:color w:val="auto"/>
                <w:szCs w:val="21"/>
                <w:highlight w:val="none"/>
              </w:rPr>
              <w:t>14</w:t>
            </w:r>
          </w:p>
        </w:tc>
        <w:tc>
          <w:tcPr>
            <w:tcW w:w="437" w:type="dxa"/>
            <w:vMerge w:val="continue"/>
            <w:tcBorders>
              <w:tl2br w:val="nil"/>
              <w:tr2bl w:val="nil"/>
            </w:tcBorders>
            <w:shd w:val="clear" w:color="auto" w:fill="FFFFFF"/>
            <w:noWrap w:val="0"/>
            <w:vAlign w:val="center"/>
          </w:tcPr>
          <w:p w14:paraId="5D2459E3">
            <w:pPr>
              <w:jc w:val="left"/>
              <w:rPr>
                <w:color w:val="auto"/>
                <w:szCs w:val="21"/>
                <w:highlight w:val="none"/>
              </w:rPr>
            </w:pPr>
          </w:p>
        </w:tc>
        <w:tc>
          <w:tcPr>
            <w:tcW w:w="5768" w:type="dxa"/>
            <w:gridSpan w:val="4"/>
            <w:tcBorders>
              <w:bottom w:val="double" w:color="auto" w:sz="4" w:space="0"/>
              <w:tl2br w:val="nil"/>
              <w:tr2bl w:val="nil"/>
            </w:tcBorders>
            <w:shd w:val="clear" w:color="auto" w:fill="FFFFFF"/>
            <w:noWrap w:val="0"/>
            <w:vAlign w:val="center"/>
          </w:tcPr>
          <w:p w14:paraId="3B648B07">
            <w:pPr>
              <w:jc w:val="left"/>
              <w:rPr>
                <w:color w:val="auto"/>
                <w:szCs w:val="21"/>
                <w:highlight w:val="none"/>
              </w:rPr>
            </w:pPr>
            <w:r>
              <w:rPr>
                <w:rFonts w:hint="eastAsia"/>
                <w:color w:val="auto"/>
                <w:szCs w:val="21"/>
                <w:highlight w:val="none"/>
              </w:rPr>
              <w:t>*在本项目中被各级建设行政主管部门通报批评、被行政处罚或记入不良行为记录的</w:t>
            </w:r>
          </w:p>
        </w:tc>
        <w:tc>
          <w:tcPr>
            <w:tcW w:w="1118" w:type="dxa"/>
            <w:tcBorders>
              <w:bottom w:val="double" w:color="auto" w:sz="4" w:space="0"/>
              <w:tl2br w:val="nil"/>
              <w:tr2bl w:val="nil"/>
            </w:tcBorders>
            <w:shd w:val="clear" w:color="auto" w:fill="FFFFFF"/>
            <w:noWrap w:val="0"/>
            <w:vAlign w:val="center"/>
          </w:tcPr>
          <w:p w14:paraId="11C952B2">
            <w:pPr>
              <w:jc w:val="center"/>
              <w:rPr>
                <w:color w:val="auto"/>
                <w:szCs w:val="21"/>
                <w:highlight w:val="none"/>
              </w:rPr>
            </w:pPr>
            <w:r>
              <w:rPr>
                <w:rFonts w:hint="eastAsia"/>
                <w:color w:val="auto"/>
                <w:szCs w:val="21"/>
                <w:highlight w:val="none"/>
              </w:rPr>
              <w:t>50</w:t>
            </w:r>
          </w:p>
        </w:tc>
        <w:tc>
          <w:tcPr>
            <w:tcW w:w="649" w:type="dxa"/>
            <w:tcBorders>
              <w:bottom w:val="double" w:color="auto" w:sz="4" w:space="0"/>
              <w:tl2br w:val="nil"/>
              <w:tr2bl w:val="nil"/>
            </w:tcBorders>
            <w:shd w:val="clear" w:color="auto" w:fill="FFFFFF"/>
            <w:noWrap w:val="0"/>
            <w:vAlign w:val="center"/>
          </w:tcPr>
          <w:p w14:paraId="78A55840">
            <w:pPr>
              <w:jc w:val="center"/>
              <w:rPr>
                <w:color w:val="auto"/>
                <w:szCs w:val="21"/>
                <w:highlight w:val="none"/>
              </w:rPr>
            </w:pPr>
          </w:p>
        </w:tc>
      </w:tr>
      <w:tr w14:paraId="25A1DE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tcBorders>
              <w:bottom w:val="double" w:color="auto" w:sz="4" w:space="0"/>
              <w:tl2br w:val="nil"/>
              <w:tr2bl w:val="nil"/>
            </w:tcBorders>
            <w:shd w:val="clear" w:color="auto" w:fill="FFFFFF"/>
            <w:noWrap w:val="0"/>
            <w:vAlign w:val="center"/>
          </w:tcPr>
          <w:p w14:paraId="7AC076E9">
            <w:pPr>
              <w:jc w:val="center"/>
              <w:rPr>
                <w:color w:val="auto"/>
                <w:szCs w:val="21"/>
                <w:highlight w:val="none"/>
              </w:rPr>
            </w:pPr>
            <w:r>
              <w:rPr>
                <w:rFonts w:hint="eastAsia"/>
                <w:color w:val="auto"/>
                <w:szCs w:val="21"/>
                <w:highlight w:val="none"/>
              </w:rPr>
              <w:t>15</w:t>
            </w:r>
          </w:p>
        </w:tc>
        <w:tc>
          <w:tcPr>
            <w:tcW w:w="437" w:type="dxa"/>
            <w:vMerge w:val="continue"/>
            <w:tcBorders>
              <w:bottom w:val="double" w:color="auto" w:sz="4" w:space="0"/>
              <w:tl2br w:val="nil"/>
              <w:tr2bl w:val="nil"/>
            </w:tcBorders>
            <w:shd w:val="clear" w:color="auto" w:fill="FFFFFF"/>
            <w:noWrap w:val="0"/>
            <w:vAlign w:val="center"/>
          </w:tcPr>
          <w:p w14:paraId="784B6996">
            <w:pPr>
              <w:jc w:val="left"/>
              <w:rPr>
                <w:color w:val="auto"/>
                <w:szCs w:val="21"/>
                <w:highlight w:val="none"/>
              </w:rPr>
            </w:pPr>
          </w:p>
        </w:tc>
        <w:tc>
          <w:tcPr>
            <w:tcW w:w="5768" w:type="dxa"/>
            <w:gridSpan w:val="4"/>
            <w:tcBorders>
              <w:bottom w:val="double" w:color="auto" w:sz="4" w:space="0"/>
              <w:tl2br w:val="nil"/>
              <w:tr2bl w:val="nil"/>
            </w:tcBorders>
            <w:shd w:val="clear" w:color="auto" w:fill="FFFFFF"/>
            <w:noWrap w:val="0"/>
            <w:vAlign w:val="center"/>
          </w:tcPr>
          <w:p w14:paraId="772E8DF3">
            <w:pPr>
              <w:jc w:val="left"/>
              <w:rPr>
                <w:color w:val="auto"/>
                <w:szCs w:val="21"/>
                <w:highlight w:val="none"/>
              </w:rPr>
            </w:pPr>
            <w:r>
              <w:rPr>
                <w:rFonts w:hint="eastAsia"/>
                <w:color w:val="auto"/>
                <w:szCs w:val="21"/>
                <w:highlight w:val="none"/>
              </w:rPr>
              <w:t>其他未按合同约定或违反相关规定的情形</w:t>
            </w:r>
          </w:p>
        </w:tc>
        <w:tc>
          <w:tcPr>
            <w:tcW w:w="1118" w:type="dxa"/>
            <w:tcBorders>
              <w:bottom w:val="double" w:color="auto" w:sz="4" w:space="0"/>
              <w:tl2br w:val="nil"/>
              <w:tr2bl w:val="nil"/>
            </w:tcBorders>
            <w:shd w:val="clear" w:color="auto" w:fill="FFFFFF"/>
            <w:noWrap w:val="0"/>
            <w:vAlign w:val="center"/>
          </w:tcPr>
          <w:p w14:paraId="262E4D6B">
            <w:pPr>
              <w:jc w:val="center"/>
              <w:rPr>
                <w:color w:val="auto"/>
                <w:szCs w:val="21"/>
                <w:highlight w:val="none"/>
              </w:rPr>
            </w:pPr>
            <w:r>
              <w:rPr>
                <w:rFonts w:hint="eastAsia"/>
                <w:color w:val="auto"/>
                <w:szCs w:val="21"/>
                <w:highlight w:val="none"/>
              </w:rPr>
              <w:t>10分/次</w:t>
            </w:r>
          </w:p>
        </w:tc>
        <w:tc>
          <w:tcPr>
            <w:tcW w:w="649" w:type="dxa"/>
            <w:tcBorders>
              <w:bottom w:val="double" w:color="auto" w:sz="4" w:space="0"/>
              <w:tl2br w:val="nil"/>
              <w:tr2bl w:val="nil"/>
            </w:tcBorders>
            <w:shd w:val="clear" w:color="auto" w:fill="FFFFFF"/>
            <w:noWrap w:val="0"/>
            <w:vAlign w:val="center"/>
          </w:tcPr>
          <w:p w14:paraId="07B665E6">
            <w:pPr>
              <w:jc w:val="center"/>
              <w:rPr>
                <w:color w:val="auto"/>
                <w:szCs w:val="21"/>
                <w:highlight w:val="none"/>
              </w:rPr>
            </w:pPr>
          </w:p>
        </w:tc>
      </w:tr>
      <w:tr w14:paraId="39AC78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33" w:type="dxa"/>
            <w:gridSpan w:val="3"/>
            <w:tcBorders>
              <w:top w:val="double" w:color="auto" w:sz="4" w:space="0"/>
              <w:bottom w:val="double" w:color="auto" w:sz="4" w:space="0"/>
            </w:tcBorders>
            <w:shd w:val="clear" w:color="auto" w:fill="FFFFFF"/>
            <w:noWrap w:val="0"/>
            <w:vAlign w:val="center"/>
          </w:tcPr>
          <w:p w14:paraId="70AA9E3F">
            <w:pPr>
              <w:jc w:val="center"/>
              <w:rPr>
                <w:color w:val="auto"/>
                <w:szCs w:val="21"/>
                <w:highlight w:val="none"/>
              </w:rPr>
            </w:pPr>
            <w:r>
              <w:rPr>
                <w:rFonts w:hint="eastAsia" w:ascii="黑体" w:hAnsi="黑体" w:eastAsia="黑体" w:cs="黑体"/>
                <w:color w:val="auto"/>
                <w:szCs w:val="21"/>
                <w:highlight w:val="none"/>
              </w:rPr>
              <w:t>最终考核分数</w:t>
            </w:r>
          </w:p>
        </w:tc>
        <w:tc>
          <w:tcPr>
            <w:tcW w:w="7056" w:type="dxa"/>
            <w:gridSpan w:val="5"/>
            <w:tcBorders>
              <w:top w:val="double" w:color="auto" w:sz="4" w:space="0"/>
              <w:bottom w:val="double" w:color="auto" w:sz="4" w:space="0"/>
            </w:tcBorders>
            <w:shd w:val="clear" w:color="auto" w:fill="FFFFFF"/>
            <w:noWrap w:val="0"/>
            <w:vAlign w:val="center"/>
          </w:tcPr>
          <w:p w14:paraId="4767C5FF">
            <w:pPr>
              <w:jc w:val="center"/>
              <w:rPr>
                <w:color w:val="auto"/>
                <w:szCs w:val="21"/>
                <w:highlight w:val="none"/>
              </w:rPr>
            </w:pPr>
          </w:p>
        </w:tc>
      </w:tr>
    </w:tbl>
    <w:p w14:paraId="2FFEB0B1">
      <w:pPr>
        <w:rPr>
          <w:rFonts w:hint="eastAsia"/>
          <w:b/>
          <w:bCs/>
          <w:color w:val="auto"/>
          <w:sz w:val="32"/>
          <w:szCs w:val="32"/>
          <w:highlight w:val="none"/>
        </w:rPr>
      </w:pPr>
      <w:r>
        <w:rPr>
          <w:rFonts w:hint="eastAsia"/>
          <w:b/>
          <w:bCs/>
          <w:color w:val="auto"/>
          <w:sz w:val="32"/>
          <w:szCs w:val="32"/>
          <w:highlight w:val="none"/>
        </w:rPr>
        <w:br w:type="page"/>
      </w:r>
    </w:p>
    <w:p w14:paraId="42C9D14A">
      <w:pPr>
        <w:jc w:val="center"/>
        <w:rPr>
          <w:rFonts w:hint="eastAsia"/>
          <w:b/>
          <w:bCs/>
          <w:color w:val="auto"/>
          <w:sz w:val="32"/>
          <w:szCs w:val="32"/>
          <w:highlight w:val="none"/>
        </w:rPr>
      </w:pPr>
      <w:r>
        <w:rPr>
          <w:rFonts w:hint="eastAsia"/>
          <w:b/>
          <w:bCs/>
          <w:color w:val="auto"/>
          <w:sz w:val="32"/>
          <w:szCs w:val="32"/>
          <w:highlight w:val="none"/>
        </w:rPr>
        <w:t>安全生产责任书</w:t>
      </w:r>
    </w:p>
    <w:p w14:paraId="30707D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color w:val="auto"/>
          <w:highlight w:val="none"/>
        </w:rPr>
        <w:t>　</w:t>
      </w:r>
      <w:r>
        <w:rPr>
          <w:rFonts w:hint="eastAsia" w:ascii="宋体" w:hAnsi="宋体" w:eastAsia="宋体" w:cs="宋体"/>
          <w:color w:val="auto"/>
          <w:sz w:val="28"/>
          <w:szCs w:val="28"/>
          <w:highlight w:val="none"/>
        </w:rPr>
        <w:t>　</w:t>
      </w:r>
    </w:p>
    <w:p w14:paraId="03B2A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认真贯彻落实《安全生产法》和安全第一，预防为主，综合治理的方针，全面加强生产管理，进一步落实安全生产责任制，建立健全安全标准化管理体系，强化重大风险的监控措施，建立和完善应急救缓和应急保障体系，确保生产</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目标的全面实现，按照“谁主管谁负责”，“分级管理、分级负责”的原则，签订《安全生产责任书》，其具体内容如下：</w:t>
      </w:r>
    </w:p>
    <w:p w14:paraId="583BAB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一、安全生产目标</w:t>
      </w:r>
    </w:p>
    <w:p w14:paraId="52589F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1、杜绝重伤以上伤亡事故；</w:t>
      </w:r>
    </w:p>
    <w:p w14:paraId="6D6896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2、杜绝重大火灾、燃烧爆炸事故；</w:t>
      </w:r>
    </w:p>
    <w:p w14:paraId="4EA98C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3、杜绝急性中毒、职业病、食物中毒等安全事故；</w:t>
      </w:r>
    </w:p>
    <w:p w14:paraId="382EAF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4、公司</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生产管理内不发生交通事故。</w:t>
      </w:r>
    </w:p>
    <w:p w14:paraId="275E7F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5、不发生重大环境污染和有毒有害气体泄漏事故，努力减少污染物的排放。</w:t>
      </w:r>
    </w:p>
    <w:p w14:paraId="6858D1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二、安全生产工作要求</w:t>
      </w:r>
    </w:p>
    <w:p w14:paraId="62031B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1、遵守安全生产法律、法规的规定，保证安全生产、依法承担安全生产责任。组织制定并实施本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的安全生产事故救援预案，及时如实报告生产安全事故。</w:t>
      </w:r>
    </w:p>
    <w:p w14:paraId="04A1A3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2、应和相关管理人员共同自觉学习，提高安全生产管理工作能力，达到相关规定要求。</w:t>
      </w:r>
    </w:p>
    <w:p w14:paraId="7789C28B">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3、把安全生产实绩作为本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与各管理人员工作和重要考核内容，实施安全工作考核并且奖惩分明。</w:t>
      </w:r>
    </w:p>
    <w:p w14:paraId="038925D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4、在工作中把安全生产工作放在重要议事日程，审议安全生产工作规划并进行安全生产规划的具体实施。</w:t>
      </w:r>
    </w:p>
    <w:p w14:paraId="471318B2">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5、及时了解和掌握本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的安全生产工作运行情况，及时监督落实重大问题和事故隐患解决措施，保证安全生</w:t>
      </w:r>
      <w:r>
        <w:rPr>
          <w:rFonts w:hint="eastAsia" w:ascii="宋体" w:hAnsi="宋体" w:eastAsia="宋体" w:cs="宋体"/>
          <w:color w:val="auto"/>
          <w:sz w:val="24"/>
          <w:szCs w:val="24"/>
          <w:highlight w:val="none"/>
          <w:lang w:eastAsia="zh-CN"/>
        </w:rPr>
        <w:t>产。</w:t>
      </w:r>
    </w:p>
    <w:p w14:paraId="7341CB3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做好生产设备、安全装备、消防设施、防护器材和急救器具的检查维护工作，发现问题及时与设备维修人员维修处理，使其经常保持完好和正常运行；督促教育员工合理使用劳保用品、用具，正确使用灭火器材及更新工作。</w:t>
      </w:r>
    </w:p>
    <w:p w14:paraId="7CF3392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安全主管部门定期进行安全生产管理、检查督促、事故隐患整改情况等方面的汇报，对存大安全问题应进行专题汇报并提出具体解决措施。</w:t>
      </w:r>
    </w:p>
    <w:p w14:paraId="11EFCBF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组织所属员工进行安全生产教育和培训，保证员工具备必要的安全生产知识，熟悉有关的安全规章制度和安全操作规程，掌握本岗位的安全操作技能。未经安全生产教育和培训合格，未获得相应执业资业人员，不得上岗作业。</w:t>
      </w:r>
    </w:p>
    <w:p w14:paraId="336CB10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9、对特种作业人员必须按照国家有关规定经专门的安全作业培训，取得特种作业操作资格证书后，方可上岗作业。</w:t>
      </w:r>
    </w:p>
    <w:p w14:paraId="4E7329F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10、及时进行建设项目的安全方案审查与实施，保证建设项目与安全设施同步进行。</w:t>
      </w:r>
    </w:p>
    <w:p w14:paraId="29D2A22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11、进行本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重大危险源应急预案编制，组织预案救灾演练，落实应急救援人员。</w:t>
      </w:r>
    </w:p>
    <w:p w14:paraId="49370D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三、安全事故控制</w:t>
      </w:r>
    </w:p>
    <w:p w14:paraId="165891A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1、必须组织本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员工认真学习《安全生产法》和有关安全生产规定，强化管理，避免安全事故的'发生。</w:t>
      </w:r>
    </w:p>
    <w:p w14:paraId="08014B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2、发生重大生产安全事故时</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的主要负责人应当即组织抢救，并不得在事故调查处理期间撤离职守。</w:t>
      </w:r>
    </w:p>
    <w:p w14:paraId="3F367B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、及时上报有关部门，保护好事故现场，按“四不放过原则（事故原因没有查清不放过、事故责任者没有严肃处理不放过、员工没有受到教育不放过、防范措施没有落实不放过)严肃查处事故责任。</w:t>
      </w:r>
    </w:p>
    <w:p w14:paraId="48F909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4、协助有关部门进行事故调查处理，支持配合事故抢救，提供便利条件并保持正常生产。</w:t>
      </w:r>
    </w:p>
    <w:p w14:paraId="2E1E20B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四、附则</w:t>
      </w:r>
    </w:p>
    <w:p w14:paraId="4BB07C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1、本责任书自取双方签订之日起生效，执行期为20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年1月1日至20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年12月31日。</w:t>
      </w:r>
    </w:p>
    <w:p w14:paraId="7F233F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、本责任书一式两份，双方各执一份。</w:t>
      </w:r>
    </w:p>
    <w:p w14:paraId="341CC7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1D1A74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12D22F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3421E231">
      <w:pPr>
        <w:keepNext w:val="0"/>
        <w:keepLines w:val="0"/>
        <w:pageBreakBefore w:val="0"/>
        <w:widowControl w:val="0"/>
        <w:kinsoku/>
        <w:wordWrap/>
        <w:overflowPunct/>
        <w:topLinePunct w:val="0"/>
        <w:autoSpaceDE/>
        <w:autoSpaceDN/>
        <w:bidi w:val="0"/>
        <w:adjustRightInd/>
        <w:snapToGrid/>
        <w:spacing w:line="400" w:lineRule="exact"/>
        <w:ind w:firstLine="4320" w:firstLineChars="18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责任企业：                                </w:t>
      </w:r>
    </w:p>
    <w:p w14:paraId="49A37191">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责任人：</w:t>
      </w:r>
    </w:p>
    <w:p w14:paraId="4F341811">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color w:val="auto"/>
          <w:highlight w:val="none"/>
        </w:rPr>
      </w:pPr>
      <w:r>
        <w:rPr>
          <w:rFonts w:hint="eastAsia" w:ascii="宋体" w:hAnsi="宋体" w:eastAsia="宋体" w:cs="宋体"/>
          <w:color w:val="auto"/>
          <w:sz w:val="24"/>
          <w:szCs w:val="24"/>
          <w:highlight w:val="none"/>
          <w:lang w:val="en-US" w:eastAsia="zh-CN"/>
        </w:rPr>
        <w:t>日  期：</w:t>
      </w:r>
    </w:p>
    <w:p w14:paraId="48477FE7">
      <w:pPr>
        <w:rPr>
          <w:color w:val="auto"/>
          <w:highlight w:val="none"/>
        </w:rPr>
      </w:pPr>
    </w:p>
    <w:p w14:paraId="1B481F41">
      <w:pPr>
        <w:jc w:val="center"/>
        <w:rPr>
          <w:rFonts w:hAnsi="宋体" w:cs="宋体"/>
          <w:b/>
          <w:color w:val="auto"/>
          <w:sz w:val="52"/>
          <w:szCs w:val="52"/>
          <w:highlight w:val="none"/>
        </w:rPr>
      </w:pPr>
    </w:p>
    <w:p w14:paraId="2A66BFC1">
      <w:pPr>
        <w:jc w:val="center"/>
        <w:rPr>
          <w:rFonts w:hAnsi="宋体" w:cs="宋体"/>
          <w:b/>
          <w:color w:val="auto"/>
          <w:sz w:val="52"/>
          <w:szCs w:val="52"/>
          <w:highlight w:val="none"/>
        </w:rPr>
      </w:pPr>
    </w:p>
    <w:p w14:paraId="6D56BFCF">
      <w:pPr>
        <w:pStyle w:val="63"/>
        <w:ind w:firstLine="1044"/>
        <w:jc w:val="center"/>
        <w:rPr>
          <w:rFonts w:cs="宋体"/>
          <w:b/>
          <w:color w:val="auto"/>
          <w:sz w:val="52"/>
          <w:szCs w:val="52"/>
          <w:highlight w:val="none"/>
        </w:rPr>
      </w:pPr>
    </w:p>
    <w:p w14:paraId="00A6985A">
      <w:pPr>
        <w:pStyle w:val="63"/>
        <w:ind w:firstLine="1044"/>
        <w:jc w:val="center"/>
        <w:rPr>
          <w:rFonts w:cs="宋体"/>
          <w:b/>
          <w:color w:val="auto"/>
          <w:sz w:val="52"/>
          <w:szCs w:val="52"/>
          <w:highlight w:val="none"/>
        </w:rPr>
      </w:pPr>
    </w:p>
    <w:p w14:paraId="6978E811">
      <w:pPr>
        <w:pStyle w:val="63"/>
        <w:ind w:firstLine="1044"/>
        <w:jc w:val="center"/>
        <w:rPr>
          <w:rFonts w:cs="宋体"/>
          <w:b/>
          <w:color w:val="auto"/>
          <w:sz w:val="52"/>
          <w:szCs w:val="52"/>
          <w:highlight w:val="none"/>
        </w:rPr>
      </w:pPr>
    </w:p>
    <w:p w14:paraId="4BA9E580">
      <w:pPr>
        <w:pStyle w:val="63"/>
        <w:ind w:firstLine="1044"/>
        <w:jc w:val="center"/>
        <w:rPr>
          <w:rFonts w:cs="宋体"/>
          <w:b/>
          <w:color w:val="auto"/>
          <w:sz w:val="52"/>
          <w:szCs w:val="52"/>
          <w:highlight w:val="none"/>
        </w:rPr>
      </w:pPr>
    </w:p>
    <w:p w14:paraId="36C9B558">
      <w:pPr>
        <w:pStyle w:val="63"/>
        <w:ind w:firstLine="1044"/>
        <w:jc w:val="center"/>
        <w:rPr>
          <w:rFonts w:cs="宋体"/>
          <w:b/>
          <w:color w:val="auto"/>
          <w:sz w:val="52"/>
          <w:szCs w:val="52"/>
          <w:highlight w:val="none"/>
        </w:rPr>
      </w:pPr>
    </w:p>
    <w:p w14:paraId="7EAE843B">
      <w:pPr>
        <w:pStyle w:val="63"/>
        <w:ind w:firstLine="1044"/>
        <w:jc w:val="center"/>
        <w:rPr>
          <w:rFonts w:cs="宋体"/>
          <w:b/>
          <w:color w:val="auto"/>
          <w:sz w:val="52"/>
          <w:szCs w:val="52"/>
          <w:highlight w:val="none"/>
        </w:rPr>
      </w:pPr>
    </w:p>
    <w:p w14:paraId="3528537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杭州市拱墅区市政养护所</w:t>
      </w:r>
      <w:r>
        <w:rPr>
          <w:rFonts w:hint="eastAsia" w:ascii="宋体" w:hAnsi="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cs="宋体"/>
          <w:color w:val="auto"/>
          <w:sz w:val="24"/>
          <w:highlight w:val="none"/>
        </w:rPr>
        <w:t>：</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颜三路修缮项目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ZJOB-GSCG（CG）-2025003</w:t>
      </w:r>
      <w:r>
        <w:rPr>
          <w:rFonts w:hint="eastAsia" w:ascii="宋体" w:hAnsi="宋体" w:cs="宋体"/>
          <w:color w:val="auto"/>
          <w:sz w:val="24"/>
          <w:highlight w:val="none"/>
        </w:rPr>
        <w:t>】政府采购活动，郑重承诺：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C4D339">
      <w:pPr>
        <w:snapToGrid w:val="0"/>
        <w:spacing w:line="360" w:lineRule="auto"/>
        <w:ind w:right="480"/>
        <w:jc w:val="center"/>
        <w:rPr>
          <w:rFonts w:ascii="宋体" w:hAnsi="宋体" w:cs="宋体"/>
          <w:b/>
          <w:color w:val="auto"/>
          <w:kern w:val="0"/>
          <w:sz w:val="32"/>
          <w:szCs w:val="32"/>
          <w:highlight w:val="none"/>
        </w:rPr>
        <w:sectPr>
          <w:headerReference r:id="rId13" w:type="first"/>
          <w:footerReference r:id="rId15" w:type="first"/>
          <w:footerReference r:id="rId14" w:type="default"/>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3CB09F6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4189B5B9">
      <w:pPr>
        <w:snapToGrid w:val="0"/>
        <w:spacing w:line="360" w:lineRule="auto"/>
        <w:ind w:firstLine="960" w:firstLineChars="400"/>
        <w:rPr>
          <w:rFonts w:hint="eastAsia" w:ascii="宋体" w:hAnsi="宋体" w:cs="宋体"/>
          <w:color w:val="auto"/>
          <w:sz w:val="24"/>
          <w:highlight w:val="none"/>
          <w:u w:val="none"/>
        </w:rPr>
      </w:pPr>
      <w:r>
        <w:rPr>
          <w:rFonts w:hint="eastAsia" w:ascii="宋体" w:hAnsi="宋体" w:cs="宋体"/>
          <w:color w:val="auto"/>
          <w:sz w:val="24"/>
          <w:highlight w:val="none"/>
          <w:lang w:val="en-US" w:eastAsia="zh-CN"/>
        </w:rPr>
        <w:t>（一）</w:t>
      </w:r>
      <w:r>
        <w:rPr>
          <w:rFonts w:hint="eastAsia" w:ascii="宋体" w:hAnsi="宋体" w:cs="宋体"/>
          <w:color w:val="auto"/>
          <w:sz w:val="24"/>
          <w:highlight w:val="none"/>
          <w:u w:val="none"/>
        </w:rPr>
        <w:t>具有施工总承包企业市政公用工程(新)三级及以上资质；</w:t>
      </w:r>
    </w:p>
    <w:p w14:paraId="201633A0">
      <w:pPr>
        <w:snapToGrid w:val="0"/>
        <w:spacing w:line="360" w:lineRule="auto"/>
        <w:ind w:firstLine="960" w:firstLineChars="400"/>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（二）</w:t>
      </w:r>
      <w:r>
        <w:rPr>
          <w:rFonts w:hint="eastAsia" w:ascii="宋体" w:hAnsi="宋体" w:cs="宋体"/>
          <w:color w:val="auto"/>
          <w:sz w:val="24"/>
          <w:highlight w:val="none"/>
          <w:u w:val="none"/>
        </w:rPr>
        <w:t>供应商具有有效的《安全生产许可证》；</w:t>
      </w:r>
    </w:p>
    <w:p w14:paraId="294EB322">
      <w:pPr>
        <w:snapToGrid w:val="0"/>
        <w:spacing w:line="360" w:lineRule="auto"/>
        <w:ind w:firstLine="960" w:firstLineChars="400"/>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（三）</w:t>
      </w:r>
      <w:r>
        <w:rPr>
          <w:rFonts w:hint="eastAsia" w:ascii="宋体" w:hAnsi="宋体" w:cs="宋体"/>
          <w:color w:val="auto"/>
          <w:sz w:val="24"/>
          <w:highlight w:val="none"/>
          <w:u w:val="none"/>
        </w:rPr>
        <w:t>企业主要负责人具有有效的三类人员A类证书；拟派现场安全管理人员具有有效的三类人员C类证书；</w:t>
      </w:r>
    </w:p>
    <w:p w14:paraId="20FB8F2F">
      <w:pPr>
        <w:snapToGrid w:val="0"/>
        <w:spacing w:line="360" w:lineRule="auto"/>
        <w:ind w:firstLine="960" w:firstLineChars="400"/>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（四）</w:t>
      </w:r>
      <w:r>
        <w:rPr>
          <w:rFonts w:hint="eastAsia" w:ascii="宋体" w:hAnsi="宋体" w:cs="宋体"/>
          <w:color w:val="auto"/>
          <w:sz w:val="24"/>
          <w:highlight w:val="none"/>
          <w:u w:val="none"/>
        </w:rPr>
        <w:t>拟派项目负责人具有市政公用专业二级及以上注册建造师，同时具有“三类人员”有效B类证书，且无在建工程</w:t>
      </w:r>
      <w:r>
        <w:rPr>
          <w:rFonts w:hint="eastAsia" w:ascii="宋体" w:hAnsi="宋体" w:cs="宋体"/>
          <w:color w:val="auto"/>
          <w:sz w:val="24"/>
          <w:highlight w:val="none"/>
          <w:u w:val="none"/>
          <w:lang w:eastAsia="zh-CN"/>
        </w:rPr>
        <w:t>；</w:t>
      </w:r>
    </w:p>
    <w:p w14:paraId="3F2FBF1E">
      <w:pPr>
        <w:snapToGrid w:val="0"/>
        <w:spacing w:line="360" w:lineRule="auto"/>
        <w:ind w:right="480"/>
        <w:jc w:val="center"/>
        <w:rPr>
          <w:rFonts w:ascii="宋体" w:hAnsi="宋体" w:cs="宋体"/>
          <w:b/>
          <w:color w:val="auto"/>
          <w:kern w:val="0"/>
          <w:sz w:val="32"/>
          <w:szCs w:val="32"/>
          <w:highlight w:val="none"/>
        </w:rPr>
      </w:pPr>
    </w:p>
    <w:p w14:paraId="4CE0EF22">
      <w:pPr>
        <w:pStyle w:val="35"/>
        <w:snapToGrid w:val="0"/>
        <w:spacing w:line="300" w:lineRule="auto"/>
        <w:jc w:val="center"/>
        <w:rPr>
          <w:rFonts w:hint="eastAsia" w:cs="Calibri"/>
          <w:b/>
          <w:bCs/>
          <w:color w:val="auto"/>
          <w:sz w:val="32"/>
          <w:szCs w:val="32"/>
          <w:highlight w:val="none"/>
        </w:rPr>
      </w:pPr>
    </w:p>
    <w:p w14:paraId="6D4E00B8">
      <w:pPr>
        <w:pStyle w:val="35"/>
        <w:snapToGrid w:val="0"/>
        <w:spacing w:line="300" w:lineRule="auto"/>
        <w:jc w:val="center"/>
        <w:rPr>
          <w:rFonts w:hint="eastAsia" w:cs="Calibri"/>
          <w:b/>
          <w:bCs/>
          <w:color w:val="auto"/>
          <w:sz w:val="32"/>
          <w:szCs w:val="32"/>
          <w:highlight w:val="none"/>
        </w:rPr>
      </w:pPr>
    </w:p>
    <w:p w14:paraId="1C80628A">
      <w:pPr>
        <w:pStyle w:val="35"/>
        <w:snapToGrid w:val="0"/>
        <w:spacing w:line="300" w:lineRule="auto"/>
        <w:jc w:val="center"/>
        <w:rPr>
          <w:rFonts w:cs="Calibri"/>
          <w:b/>
          <w:bCs/>
          <w:color w:val="auto"/>
          <w:sz w:val="32"/>
          <w:szCs w:val="32"/>
          <w:highlight w:val="none"/>
        </w:rPr>
      </w:pPr>
      <w:r>
        <w:rPr>
          <w:rFonts w:hint="eastAsia" w:cs="Calibri"/>
          <w:b/>
          <w:bCs/>
          <w:color w:val="auto"/>
          <w:sz w:val="32"/>
          <w:szCs w:val="32"/>
          <w:highlight w:val="none"/>
        </w:rPr>
        <w:t>项目负责人无在建工程声明函</w:t>
      </w:r>
    </w:p>
    <w:p w14:paraId="246B7A17">
      <w:pPr>
        <w:pStyle w:val="35"/>
        <w:snapToGrid w:val="0"/>
        <w:spacing w:line="300" w:lineRule="auto"/>
        <w:jc w:val="center"/>
        <w:rPr>
          <w:rFonts w:cs="Calibri"/>
          <w:b/>
          <w:bCs/>
          <w:color w:val="auto"/>
          <w:sz w:val="32"/>
          <w:szCs w:val="32"/>
          <w:highlight w:val="none"/>
        </w:rPr>
      </w:pPr>
    </w:p>
    <w:p w14:paraId="1E6F89E0">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lang w:eastAsia="zh-CN"/>
        </w:rPr>
        <w:t>杭州市拱墅区市政养护所</w:t>
      </w:r>
      <w:r>
        <w:rPr>
          <w:rFonts w:hint="eastAsia" w:ascii="宋体" w:hAnsi="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cs="宋体"/>
          <w:color w:val="auto"/>
          <w:sz w:val="24"/>
          <w:szCs w:val="20"/>
          <w:highlight w:val="none"/>
        </w:rPr>
        <w:t>：</w:t>
      </w:r>
    </w:p>
    <w:p w14:paraId="7362D96C">
      <w:pPr>
        <w:snapToGrid w:val="0"/>
        <w:spacing w:line="360" w:lineRule="auto"/>
        <w:ind w:firstLine="480" w:firstLineChars="200"/>
        <w:rPr>
          <w:rFonts w:ascii="宋体" w:hAnsi="宋体" w:cs="Calibri"/>
          <w:color w:val="auto"/>
          <w:sz w:val="24"/>
          <w:szCs w:val="20"/>
          <w:highlight w:val="none"/>
        </w:rPr>
      </w:pPr>
      <w:r>
        <w:rPr>
          <w:rFonts w:ascii="宋体" w:hAnsi="宋体" w:cs="Calibri"/>
          <w:color w:val="auto"/>
          <w:sz w:val="24"/>
          <w:szCs w:val="20"/>
          <w:highlight w:val="none"/>
        </w:rPr>
        <w:t>我方参加</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【项目编号：     】</w:t>
      </w:r>
      <w:r>
        <w:rPr>
          <w:rFonts w:ascii="宋体" w:hAnsi="宋体" w:cs="Calibri"/>
          <w:color w:val="auto"/>
          <w:sz w:val="24"/>
          <w:szCs w:val="20"/>
          <w:highlight w:val="none"/>
        </w:rPr>
        <w:t>采购活动，拟派</w:t>
      </w:r>
      <w:r>
        <w:rPr>
          <w:rFonts w:hint="eastAsia" w:ascii="宋体" w:hAnsi="宋体" w:cs="Calibri"/>
          <w:color w:val="auto"/>
          <w:sz w:val="24"/>
          <w:szCs w:val="20"/>
          <w:highlight w:val="none"/>
        </w:rPr>
        <w:t>本项目的</w:t>
      </w:r>
      <w:r>
        <w:rPr>
          <w:rFonts w:ascii="宋体" w:hAnsi="宋体" w:cs="Calibri"/>
          <w:color w:val="auto"/>
          <w:sz w:val="24"/>
          <w:szCs w:val="20"/>
          <w:highlight w:val="none"/>
        </w:rPr>
        <w:t>项目</w:t>
      </w:r>
      <w:r>
        <w:rPr>
          <w:rFonts w:hint="eastAsia" w:ascii="宋体" w:hAnsi="宋体" w:cs="Calibri"/>
          <w:color w:val="auto"/>
          <w:sz w:val="24"/>
          <w:szCs w:val="20"/>
          <w:highlight w:val="none"/>
        </w:rPr>
        <w:t>负责人（</w:t>
      </w:r>
      <w:r>
        <w:rPr>
          <w:rFonts w:hint="eastAsia" w:ascii="宋体" w:hAnsi="宋体" w:cs="Calibri"/>
          <w:color w:val="auto"/>
          <w:sz w:val="24"/>
          <w:szCs w:val="20"/>
          <w:highlight w:val="none"/>
          <w:u w:val="single"/>
        </w:rPr>
        <w:t xml:space="preserve">姓名： </w:t>
      </w:r>
      <w:r>
        <w:rPr>
          <w:rFonts w:ascii="宋体" w:hAnsi="宋体" w:cs="Calibri"/>
          <w:color w:val="auto"/>
          <w:sz w:val="24"/>
          <w:szCs w:val="20"/>
          <w:highlight w:val="none"/>
          <w:u w:val="single"/>
        </w:rPr>
        <w:t xml:space="preserve">      </w:t>
      </w:r>
      <w:r>
        <w:rPr>
          <w:rFonts w:hint="eastAsia" w:ascii="宋体" w:hAnsi="宋体" w:cs="Calibri"/>
          <w:color w:val="auto"/>
          <w:sz w:val="24"/>
          <w:szCs w:val="20"/>
          <w:highlight w:val="none"/>
          <w:u w:val="single"/>
        </w:rPr>
        <w:t xml:space="preserve">联系方式： </w:t>
      </w:r>
      <w:r>
        <w:rPr>
          <w:rFonts w:ascii="宋体" w:hAnsi="宋体" w:cs="Calibri"/>
          <w:color w:val="auto"/>
          <w:sz w:val="24"/>
          <w:szCs w:val="20"/>
          <w:highlight w:val="none"/>
          <w:u w:val="single"/>
        </w:rPr>
        <w:t xml:space="preserve">        </w:t>
      </w:r>
      <w:r>
        <w:rPr>
          <w:rFonts w:hint="eastAsia" w:ascii="宋体" w:hAnsi="宋体" w:cs="Calibri"/>
          <w:color w:val="auto"/>
          <w:sz w:val="24"/>
          <w:szCs w:val="20"/>
          <w:highlight w:val="none"/>
          <w:u w:val="single"/>
        </w:rPr>
        <w:t>）</w:t>
      </w:r>
      <w:r>
        <w:rPr>
          <w:rFonts w:ascii="宋体" w:hAnsi="宋体" w:cs="Calibri"/>
          <w:color w:val="auto"/>
          <w:sz w:val="24"/>
          <w:szCs w:val="20"/>
          <w:highlight w:val="none"/>
        </w:rPr>
        <w:t>无在建工程。</w:t>
      </w:r>
    </w:p>
    <w:p w14:paraId="03217CE7">
      <w:pPr>
        <w:snapToGrid w:val="0"/>
        <w:spacing w:line="360" w:lineRule="auto"/>
        <w:ind w:firstLine="480" w:firstLineChars="200"/>
        <w:rPr>
          <w:rFonts w:ascii="宋体" w:hAnsi="宋体" w:cs="Calibri"/>
          <w:color w:val="auto"/>
          <w:kern w:val="0"/>
          <w:sz w:val="24"/>
          <w:szCs w:val="20"/>
          <w:highlight w:val="none"/>
        </w:rPr>
      </w:pPr>
      <w:r>
        <w:rPr>
          <w:rFonts w:ascii="宋体" w:hAnsi="宋体" w:cs="Calibri"/>
          <w:color w:val="auto"/>
          <w:kern w:val="0"/>
          <w:sz w:val="24"/>
          <w:szCs w:val="20"/>
          <w:highlight w:val="none"/>
        </w:rPr>
        <w:t>本公司对上述声明的真实性负责。如有虚假，愿意承担相应责任，对此无任何异议。</w:t>
      </w:r>
    </w:p>
    <w:p w14:paraId="0C3B0F0A">
      <w:pPr>
        <w:snapToGrid w:val="0"/>
        <w:spacing w:line="360" w:lineRule="auto"/>
        <w:rPr>
          <w:rFonts w:ascii="宋体" w:hAnsi="宋体" w:cs="宋体"/>
          <w:color w:val="auto"/>
          <w:kern w:val="0"/>
          <w:sz w:val="24"/>
          <w:szCs w:val="20"/>
          <w:highlight w:val="none"/>
          <w:lang w:val="zh-CN"/>
        </w:rPr>
      </w:pPr>
      <w:r>
        <w:rPr>
          <w:rFonts w:ascii="宋体" w:hAnsi="宋体" w:cs="Calibri"/>
          <w:color w:val="auto"/>
          <w:sz w:val="24"/>
          <w:szCs w:val="20"/>
          <w:highlight w:val="none"/>
        </w:rPr>
        <w:t>特此声明！</w:t>
      </w:r>
    </w:p>
    <w:p w14:paraId="7839C5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106BEC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E5575F">
      <w:pPr>
        <w:spacing w:line="360" w:lineRule="auto"/>
        <w:ind w:right="420"/>
        <w:rPr>
          <w:rFonts w:ascii="宋体" w:hAnsi="宋体" w:cs="宋体"/>
          <w:b/>
          <w:bCs/>
          <w:color w:val="auto"/>
          <w:sz w:val="24"/>
          <w:highlight w:val="none"/>
        </w:rPr>
      </w:pPr>
      <w:r>
        <w:rPr>
          <w:rFonts w:hint="eastAsia" w:ascii="宋体" w:hAnsi="宋体" w:cs="宋体"/>
          <w:b/>
          <w:bCs/>
          <w:color w:val="auto"/>
          <w:sz w:val="24"/>
          <w:highlight w:val="none"/>
        </w:rPr>
        <w:t>注：按本格式和要求提供。</w:t>
      </w:r>
    </w:p>
    <w:p w14:paraId="39FF5E02">
      <w:pPr>
        <w:rPr>
          <w:rFonts w:ascii="宋体" w:hAnsi="宋体" w:cs="宋体"/>
          <w:b/>
          <w:bCs/>
          <w:color w:val="auto"/>
          <w:sz w:val="24"/>
          <w:highlight w:val="none"/>
        </w:rPr>
      </w:pPr>
      <w:r>
        <w:rPr>
          <w:rFonts w:hint="eastAsia" w:ascii="宋体" w:hAnsi="宋体" w:cs="宋体"/>
          <w:b/>
          <w:bCs/>
          <w:color w:val="auto"/>
          <w:sz w:val="24"/>
          <w:highlight w:val="none"/>
        </w:rPr>
        <w:br w:type="page"/>
      </w:r>
    </w:p>
    <w:p w14:paraId="1130341D">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6"/>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406886FC">
      <w:pPr>
        <w:pStyle w:val="83"/>
        <w:rPr>
          <w:rFonts w:hint="eastAsia" w:ascii="宋体" w:hAnsi="宋体" w:eastAsia="宋体" w:cs="宋体"/>
          <w:color w:val="auto"/>
          <w:highlight w:val="none"/>
          <w:lang w:val="zh-CN"/>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）其他…………………………………………………………………………………（页码）</w:t>
      </w: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杭州市拱墅区市政养护所</w:t>
      </w:r>
      <w:r>
        <w:rPr>
          <w:rFonts w:hint="eastAsia" w:ascii="宋体" w:hAnsi="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cs="宋体"/>
          <w:color w:val="auto"/>
          <w:sz w:val="24"/>
          <w:highlight w:val="none"/>
        </w:rPr>
        <w:t>：</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颜三路修缮项目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ZJOB-GSCG（CG）-2025003</w:t>
      </w:r>
      <w:r>
        <w:rPr>
          <w:rFonts w:hint="eastAsia" w:ascii="宋体" w:hAnsi="宋体" w:cs="宋体"/>
          <w:color w:val="auto"/>
          <w:sz w:val="24"/>
          <w:highlight w:val="none"/>
        </w:rPr>
        <w:t>】采购的有关活动，并对此项目提交响应文件及报价。为此：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86BA652">
      <w:pPr>
        <w:snapToGrid w:val="0"/>
        <w:spacing w:line="360" w:lineRule="auto"/>
        <w:ind w:firstLine="960" w:firstLineChars="400"/>
        <w:rPr>
          <w:rFonts w:hint="eastAsia" w:ascii="宋体" w:hAnsi="宋体" w:cs="宋体"/>
          <w:color w:val="auto"/>
          <w:sz w:val="24"/>
          <w:highlight w:val="none"/>
          <w:u w:val="none"/>
        </w:rPr>
      </w:pPr>
      <w:r>
        <w:rPr>
          <w:rFonts w:hint="eastAsia" w:ascii="宋体" w:hAnsi="宋体" w:cs="宋体"/>
          <w:color w:val="auto"/>
          <w:sz w:val="24"/>
          <w:highlight w:val="none"/>
          <w:lang w:val="en-US" w:eastAsia="zh-CN"/>
        </w:rPr>
        <w:t>2.1.4.1</w:t>
      </w:r>
      <w:r>
        <w:rPr>
          <w:rFonts w:hint="eastAsia" w:ascii="宋体" w:hAnsi="宋体" w:cs="宋体"/>
          <w:color w:val="auto"/>
          <w:sz w:val="24"/>
          <w:highlight w:val="none"/>
          <w:u w:val="none"/>
        </w:rPr>
        <w:t>供应商具有施工总承包企业市政公用工程(新)三级及以上资质；</w:t>
      </w:r>
    </w:p>
    <w:p w14:paraId="0A43E805">
      <w:pPr>
        <w:snapToGrid w:val="0"/>
        <w:spacing w:line="360" w:lineRule="auto"/>
        <w:ind w:firstLine="960" w:firstLineChars="400"/>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2.1.4.2</w:t>
      </w:r>
      <w:r>
        <w:rPr>
          <w:rFonts w:hint="eastAsia" w:ascii="宋体" w:hAnsi="宋体" w:cs="宋体"/>
          <w:color w:val="auto"/>
          <w:sz w:val="24"/>
          <w:highlight w:val="none"/>
          <w:u w:val="none"/>
        </w:rPr>
        <w:t>供应商具有有效的《安全生产许可证》；</w:t>
      </w:r>
    </w:p>
    <w:p w14:paraId="320FA38A">
      <w:pPr>
        <w:snapToGrid w:val="0"/>
        <w:spacing w:line="360" w:lineRule="auto"/>
        <w:ind w:firstLine="960" w:firstLineChars="400"/>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2.1.4.3</w:t>
      </w:r>
      <w:r>
        <w:rPr>
          <w:rFonts w:hint="eastAsia" w:ascii="宋体" w:hAnsi="宋体" w:cs="宋体"/>
          <w:color w:val="auto"/>
          <w:sz w:val="24"/>
          <w:highlight w:val="none"/>
          <w:u w:val="none"/>
        </w:rPr>
        <w:t>企业主要负责人具有有效的三类人员A类证书；拟派现场安全管理人员具有有效的三类人员C类证书；</w:t>
      </w:r>
    </w:p>
    <w:p w14:paraId="51C606DA">
      <w:pPr>
        <w:snapToGrid w:val="0"/>
        <w:spacing w:line="360" w:lineRule="auto"/>
        <w:ind w:firstLine="960" w:firstLineChars="400"/>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2.1.4.4</w:t>
      </w:r>
      <w:r>
        <w:rPr>
          <w:rFonts w:hint="eastAsia" w:ascii="宋体" w:hAnsi="宋体" w:cs="宋体"/>
          <w:color w:val="auto"/>
          <w:sz w:val="24"/>
          <w:highlight w:val="none"/>
          <w:u w:val="none"/>
        </w:rPr>
        <w:t>拟派项目负责人具有市政公用专业二级及以上注册建造师，同时具有“三类人员”有效B类证书，且无在建工程</w:t>
      </w:r>
      <w:r>
        <w:rPr>
          <w:rFonts w:hint="eastAsia" w:ascii="宋体" w:hAnsi="宋体" w:cs="宋体"/>
          <w:color w:val="auto"/>
          <w:sz w:val="24"/>
          <w:highlight w:val="none"/>
          <w:u w:val="none"/>
          <w:lang w:eastAsia="zh-CN"/>
        </w:rPr>
        <w:t>；</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928" w:leftChars="442" w:firstLine="0" w:firstLineChars="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84"/>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306655B">
      <w:pPr>
        <w:snapToGrid w:val="0"/>
        <w:spacing w:line="360" w:lineRule="auto"/>
        <w:ind w:firstLine="480" w:firstLineChars="200"/>
        <w:rPr>
          <w:rFonts w:hint="eastAsia" w:ascii="宋体" w:hAnsi="宋体" w:eastAsia="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3B665341">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杭州市拱墅区市政养护所</w:t>
      </w:r>
      <w:r>
        <w:rPr>
          <w:rFonts w:hint="eastAsia" w:ascii="宋体" w:hAnsi="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cs="宋体"/>
          <w:color w:val="auto"/>
          <w:kern w:val="0"/>
          <w:sz w:val="24"/>
          <w:highlight w:val="none"/>
          <w:lang w:val="zh-CN"/>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颜三路修缮项目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ZJOB-GSCG（CG）-2025003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杭州市拱墅区市政养护所</w:t>
      </w:r>
      <w:r>
        <w:rPr>
          <w:rFonts w:hint="eastAsia" w:ascii="宋体" w:hAnsi="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cs="宋体"/>
          <w:color w:val="auto"/>
          <w:kern w:val="0"/>
          <w:sz w:val="24"/>
          <w:highlight w:val="none"/>
          <w:lang w:val="zh-CN"/>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颜三路修缮项目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ZJOB-GSCG（CG）-2025003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53"/>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36EBF94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416"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16"/>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6"/>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r>
              <w:rPr>
                <w:rFonts w:hint="eastAsia" w:ascii="宋体" w:hAnsi="宋体" w:cs="宋体"/>
                <w:color w:val="auto"/>
                <w:kern w:val="0"/>
                <w:sz w:val="24"/>
                <w:highlight w:val="none"/>
              </w:rPr>
              <w:t>……</w:t>
            </w:r>
          </w:p>
        </w:tc>
        <w:tc>
          <w:tcPr>
            <w:tcW w:w="2551" w:type="dxa"/>
            <w:vMerge w:val="restart"/>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r>
              <w:rPr>
                <w:rFonts w:hint="eastAsia" w:ascii="宋体" w:hAnsi="宋体" w:cs="宋体"/>
                <w:color w:val="auto"/>
                <w:kern w:val="0"/>
                <w:sz w:val="24"/>
                <w:highlight w:val="none"/>
              </w:rPr>
              <w:t>……</w:t>
            </w:r>
          </w:p>
        </w:tc>
        <w:tc>
          <w:tcPr>
            <w:tcW w:w="2551" w:type="dxa"/>
            <w:vMerge w:val="continue"/>
            <w:vAlign w:val="center"/>
          </w:tcPr>
          <w:p w14:paraId="66361DEA">
            <w:pPr>
              <w:rPr>
                <w:rFonts w:hint="eastAsia" w:ascii="宋体" w:hAnsi="宋体" w:cs="宋体"/>
                <w:color w:val="auto"/>
                <w:kern w:val="0"/>
                <w:sz w:val="24"/>
                <w:highlight w:val="none"/>
              </w:rPr>
            </w:pPr>
          </w:p>
        </w:tc>
        <w:tc>
          <w:tcPr>
            <w:tcW w:w="1418" w:type="dxa"/>
            <w:vAlign w:val="center"/>
          </w:tcPr>
          <w:p w14:paraId="4AD41BDA">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cs="宋体"/>
                <w:color w:val="auto"/>
                <w:kern w:val="0"/>
                <w:sz w:val="24"/>
                <w:highlight w:val="none"/>
              </w:rPr>
            </w:pPr>
          </w:p>
        </w:tc>
        <w:tc>
          <w:tcPr>
            <w:tcW w:w="1418" w:type="dxa"/>
            <w:vAlign w:val="center"/>
          </w:tcPr>
          <w:p w14:paraId="20BCB9CE">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83"/>
        <w:rPr>
          <w:color w:val="auto"/>
          <w:highlight w:val="none"/>
        </w:rPr>
      </w:pPr>
    </w:p>
    <w:p w14:paraId="69CC33B6">
      <w:pPr>
        <w:jc w:val="center"/>
        <w:rPr>
          <w:rFonts w:ascii="宋体" w:hAnsi="宋体" w:cs="宋体"/>
          <w:b/>
          <w:color w:val="auto"/>
          <w:kern w:val="0"/>
          <w:sz w:val="32"/>
          <w:szCs w:val="32"/>
          <w:highlight w:val="none"/>
        </w:rPr>
      </w:pPr>
    </w:p>
    <w:p w14:paraId="26266A5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jc w:val="center"/>
        <w:rPr>
          <w:rFonts w:ascii="宋体" w:hAnsi="宋体" w:cs="宋体"/>
          <w:b/>
          <w:color w:val="auto"/>
          <w:kern w:val="0"/>
          <w:sz w:val="32"/>
          <w:szCs w:val="32"/>
          <w:highlight w:val="none"/>
        </w:rPr>
      </w:pPr>
    </w:p>
    <w:p w14:paraId="574CD4B3">
      <w:pPr>
        <w:jc w:val="center"/>
        <w:rPr>
          <w:rFonts w:ascii="宋体" w:hAnsi="宋体" w:cs="宋体"/>
          <w:b/>
          <w:color w:val="auto"/>
          <w:kern w:val="0"/>
          <w:sz w:val="32"/>
          <w:szCs w:val="32"/>
          <w:highlight w:val="none"/>
        </w:rPr>
      </w:pPr>
    </w:p>
    <w:p w14:paraId="32105FB2">
      <w:pPr>
        <w:jc w:val="center"/>
        <w:rPr>
          <w:rFonts w:ascii="宋体" w:hAnsi="宋体" w:cs="宋体"/>
          <w:b/>
          <w:color w:val="auto"/>
          <w:kern w:val="0"/>
          <w:sz w:val="32"/>
          <w:szCs w:val="32"/>
          <w:highlight w:val="none"/>
        </w:rPr>
      </w:pPr>
    </w:p>
    <w:p w14:paraId="2FE72B19">
      <w:pPr>
        <w:jc w:val="center"/>
        <w:rPr>
          <w:rFonts w:ascii="宋体" w:hAnsi="宋体" w:cs="宋体"/>
          <w:b/>
          <w:color w:val="auto"/>
          <w:kern w:val="0"/>
          <w:sz w:val="32"/>
          <w:szCs w:val="32"/>
          <w:highlight w:val="none"/>
        </w:rPr>
      </w:pPr>
    </w:p>
    <w:p w14:paraId="602F4DE8">
      <w:pPr>
        <w:jc w:val="center"/>
        <w:rPr>
          <w:rFonts w:ascii="宋体" w:hAnsi="宋体" w:cs="宋体"/>
          <w:b/>
          <w:color w:val="auto"/>
          <w:kern w:val="0"/>
          <w:sz w:val="32"/>
          <w:szCs w:val="32"/>
          <w:highlight w:val="none"/>
        </w:rPr>
      </w:pP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5"/>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285"/>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285"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285"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285"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285"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jc w:val="center"/>
        <w:rPr>
          <w:rFonts w:ascii="宋体" w:hAnsi="宋体" w:cs="宋体"/>
          <w:b/>
          <w:color w:val="auto"/>
          <w:kern w:val="0"/>
          <w:sz w:val="32"/>
          <w:szCs w:val="32"/>
          <w:highlight w:val="none"/>
        </w:rPr>
      </w:pPr>
    </w:p>
    <w:p w14:paraId="1BF7E7E8">
      <w:pPr>
        <w:jc w:val="center"/>
        <w:rPr>
          <w:rFonts w:ascii="宋体" w:hAnsi="宋体" w:cs="宋体"/>
          <w:b/>
          <w:color w:val="auto"/>
          <w:kern w:val="0"/>
          <w:sz w:val="32"/>
          <w:szCs w:val="32"/>
          <w:highlight w:val="none"/>
        </w:rPr>
      </w:pP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8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8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color w:val="auto"/>
          <w:sz w:val="24"/>
          <w:highlight w:val="none"/>
        </w:rPr>
      </w:pPr>
    </w:p>
    <w:p w14:paraId="2358ADE7">
      <w:pPr>
        <w:ind w:firstLine="1911" w:firstLineChars="595"/>
        <w:rPr>
          <w:rFonts w:ascii="宋体" w:hAnsi="宋体" w:cs="宋体"/>
          <w:b/>
          <w:bCs/>
          <w:color w:val="auto"/>
          <w:sz w:val="32"/>
          <w:szCs w:val="32"/>
          <w:highlight w:val="none"/>
        </w:rPr>
        <w:sectPr>
          <w:footerReference r:id="rId17" w:type="first"/>
          <w:footerReference r:id="rId16"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1DEA6C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杭州市拱墅区市政养护所</w:t>
      </w:r>
      <w:r>
        <w:rPr>
          <w:rFonts w:hint="eastAsia" w:ascii="宋体" w:hAnsi="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cs="宋体"/>
          <w:color w:val="auto"/>
          <w:kern w:val="0"/>
          <w:sz w:val="24"/>
          <w:highlight w:val="none"/>
          <w:lang w:val="zh-CN"/>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37515F">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5BDA7939">
      <w:pPr>
        <w:pStyle w:val="89"/>
        <w:ind w:firstLine="993"/>
        <w:rPr>
          <w:b/>
          <w:bCs/>
          <w:color w:val="auto"/>
          <w:highlight w:val="none"/>
        </w:r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84"/>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2047F7BE">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0" w:type="first"/>
          <w:headerReference r:id="rId18" w:type="default"/>
          <w:footerReference r:id="rId19" w:type="default"/>
          <w:pgSz w:w="11906" w:h="16838"/>
          <w:pgMar w:top="1440" w:right="1080" w:bottom="1440" w:left="1080" w:header="851" w:footer="992" w:gutter="0"/>
          <w:cols w:space="720" w:num="1"/>
          <w:titlePg/>
          <w:docGrid w:linePitch="312" w:charSpace="0"/>
        </w:sectPr>
      </w:pPr>
    </w:p>
    <w:p w14:paraId="76ADA537">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杭州市拱墅区市政养护所</w:t>
      </w:r>
      <w:r>
        <w:rPr>
          <w:rFonts w:hint="eastAsia" w:ascii="宋体" w:hAnsi="宋体" w:cs="宋体"/>
          <w:color w:val="auto"/>
          <w:sz w:val="24"/>
          <w:highlight w:val="none"/>
        </w:rPr>
        <w:t>、</w:t>
      </w:r>
      <w:r>
        <w:rPr>
          <w:rFonts w:hint="eastAsia" w:ascii="宋体" w:hAnsi="宋体" w:cs="宋体"/>
          <w:color w:val="auto"/>
          <w:sz w:val="24"/>
          <w:highlight w:val="none"/>
          <w:lang w:eastAsia="zh-CN"/>
        </w:rPr>
        <w:t>欧邦工程管理集团有限公司</w:t>
      </w:r>
      <w:r>
        <w:rPr>
          <w:rFonts w:hint="eastAsia" w:ascii="宋体" w:hAnsi="宋体" w:cs="宋体"/>
          <w:color w:val="auto"/>
          <w:kern w:val="0"/>
          <w:sz w:val="24"/>
          <w:highlight w:val="none"/>
          <w:lang w:val="zh-CN"/>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 xml:space="preserve">颜三路修缮项目 </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ZJOB-GSCG（CG）-2025003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951" w:type="dxa"/>
            <w:vAlign w:val="center"/>
          </w:tcPr>
          <w:p w14:paraId="7E531EE5">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pacing w:line="240" w:lineRule="auto"/>
              <w:jc w:val="center"/>
              <w:rPr>
                <w:rFonts w:ascii="宋体" w:hAnsi="宋体" w:cs="宋体"/>
                <w:b/>
                <w:color w:val="auto"/>
                <w:sz w:val="24"/>
                <w:highlight w:val="none"/>
              </w:rPr>
            </w:pPr>
          </w:p>
          <w:p w14:paraId="1F6AAF90">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项目</w:t>
            </w:r>
            <w:r>
              <w:rPr>
                <w:rFonts w:hint="eastAsia" w:ascii="宋体" w:hAnsi="宋体" w:cs="宋体"/>
                <w:b/>
                <w:color w:val="auto"/>
                <w:sz w:val="24"/>
                <w:highlight w:val="none"/>
                <w:lang w:val="en-US" w:eastAsia="zh-CN"/>
              </w:rPr>
              <w:t>负责人</w:t>
            </w:r>
          </w:p>
        </w:tc>
        <w:tc>
          <w:tcPr>
            <w:tcW w:w="1984" w:type="dxa"/>
            <w:vAlign w:val="center"/>
          </w:tcPr>
          <w:p w14:paraId="5D61ED5A">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pacing w:line="240" w:lineRule="auto"/>
              <w:jc w:val="center"/>
              <w:rPr>
                <w:rFonts w:ascii="宋体" w:hAnsi="宋体" w:cs="宋体"/>
                <w:b/>
                <w:color w:val="auto"/>
                <w:sz w:val="24"/>
                <w:highlight w:val="none"/>
              </w:rPr>
            </w:pPr>
          </w:p>
          <w:p w14:paraId="7074A6BA">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pacing w:line="24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3118" w:type="dxa"/>
            <w:vAlign w:val="center"/>
          </w:tcPr>
          <w:p w14:paraId="052ECF62">
            <w:pPr>
              <w:snapToGrid w:val="0"/>
              <w:spacing w:line="360" w:lineRule="auto"/>
              <w:jc w:val="center"/>
              <w:rPr>
                <w:rFonts w:ascii="宋体" w:hAnsi="宋体" w:cs="宋体"/>
                <w:color w:val="auto"/>
                <w:sz w:val="24"/>
                <w:highlight w:val="none"/>
              </w:rPr>
            </w:pPr>
          </w:p>
        </w:tc>
        <w:tc>
          <w:tcPr>
            <w:tcW w:w="2552" w:type="dxa"/>
            <w:vAlign w:val="center"/>
          </w:tcPr>
          <w:p w14:paraId="28D0496E">
            <w:pPr>
              <w:spacing w:line="360" w:lineRule="auto"/>
              <w:jc w:val="center"/>
              <w:rPr>
                <w:rFonts w:ascii="宋体" w:hAnsi="宋体" w:cs="宋体"/>
                <w:color w:val="auto"/>
                <w:sz w:val="24"/>
                <w:highlight w:val="none"/>
              </w:rPr>
            </w:pPr>
          </w:p>
        </w:tc>
        <w:tc>
          <w:tcPr>
            <w:tcW w:w="1984" w:type="dxa"/>
            <w:vAlign w:val="center"/>
          </w:tcPr>
          <w:p w14:paraId="438E67FF">
            <w:pPr>
              <w:spacing w:line="360" w:lineRule="auto"/>
              <w:jc w:val="center"/>
              <w:rPr>
                <w:rFonts w:ascii="宋体" w:hAnsi="宋体" w:cs="宋体"/>
                <w:color w:val="auto"/>
                <w:sz w:val="24"/>
                <w:highlight w:val="none"/>
              </w:rPr>
            </w:pPr>
          </w:p>
        </w:tc>
        <w:tc>
          <w:tcPr>
            <w:tcW w:w="3119" w:type="dxa"/>
            <w:vAlign w:val="center"/>
          </w:tcPr>
          <w:p w14:paraId="624E6030">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12"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12"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73DF63C">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w:t>
      </w:r>
      <w:r>
        <w:rPr>
          <w:rFonts w:hint="eastAsia" w:ascii="宋体" w:hAnsi="宋体" w:cs="宋体"/>
          <w:color w:val="auto"/>
          <w:kern w:val="0"/>
          <w:sz w:val="24"/>
          <w:highlight w:val="none"/>
          <w:lang w:val="en-US" w:eastAsia="zh-CN"/>
        </w:rPr>
        <w:t>负责人</w:t>
      </w:r>
      <w:r>
        <w:rPr>
          <w:rFonts w:hint="eastAsia" w:ascii="宋体" w:hAnsi="宋体" w:cs="宋体"/>
          <w:color w:val="auto"/>
          <w:kern w:val="0"/>
          <w:sz w:val="24"/>
          <w:highlight w:val="none"/>
          <w:lang w:val="zh-CN"/>
        </w:rPr>
        <w:t>、执业证书信息、品牌（如果有）、规格型号、数量、单价等予以公示。</w:t>
      </w:r>
    </w:p>
    <w:p w14:paraId="1858D93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7"/>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17477E6C">
      <w:pPr>
        <w:pStyle w:val="63"/>
        <w:ind w:firstLine="480"/>
        <w:rPr>
          <w:rFonts w:cs="宋体"/>
          <w:color w:val="auto"/>
          <w:sz w:val="24"/>
          <w:highlight w:val="none"/>
        </w:rPr>
      </w:pPr>
    </w:p>
    <w:p w14:paraId="7B403265">
      <w:pPr>
        <w:pStyle w:val="63"/>
        <w:ind w:firstLine="480"/>
        <w:rPr>
          <w:rFonts w:cs="宋体"/>
          <w:color w:val="auto"/>
          <w:sz w:val="24"/>
          <w:highlight w:val="none"/>
        </w:rPr>
        <w:sectPr>
          <w:footerReference r:id="rId24" w:type="first"/>
          <w:headerReference r:id="rId21" w:type="default"/>
          <w:footerReference r:id="rId22" w:type="default"/>
          <w:footerReference r:id="rId23" w:type="even"/>
          <w:pgSz w:w="11906" w:h="16838"/>
          <w:pgMar w:top="1440" w:right="1080" w:bottom="1440" w:left="1080" w:header="851" w:footer="992" w:gutter="0"/>
          <w:cols w:space="720" w:num="1"/>
          <w:titlePg/>
          <w:docGrid w:linePitch="312" w:charSpace="0"/>
        </w:sectPr>
      </w:pPr>
    </w:p>
    <w:p w14:paraId="58C65A9B">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7" w:name="_Hlk101259491"/>
      <w:r>
        <w:rPr>
          <w:rFonts w:hint="eastAsia" w:ascii="宋体" w:hAnsi="宋体" w:eastAsia="宋体" w:cs="宋体"/>
          <w:color w:val="auto"/>
          <w:sz w:val="32"/>
          <w:szCs w:val="32"/>
          <w:highlight w:val="none"/>
        </w:rPr>
        <w:t>（如果有）</w:t>
      </w:r>
      <w:bookmarkEnd w:id="417"/>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8" w:name="_Toc465665161"/>
      <w:r>
        <w:rPr>
          <w:rFonts w:hint="eastAsia" w:ascii="宋体" w:hAnsi="宋体" w:cs="宋体"/>
          <w:color w:val="auto"/>
          <w:highlight w:val="none"/>
        </w:rPr>
        <w:t>附件</w:t>
      </w:r>
      <w:bookmarkEnd w:id="418"/>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419" w:name="OLE_LINK14"/>
      <w:bookmarkStart w:id="420" w:name="OLE_LINK13"/>
      <w:r>
        <w:rPr>
          <w:rFonts w:hint="eastAsia" w:ascii="宋体" w:hAnsi="宋体" w:cs="宋体"/>
          <w:b/>
          <w:color w:val="auto"/>
          <w:spacing w:val="6"/>
          <w:sz w:val="32"/>
          <w:szCs w:val="32"/>
          <w:highlight w:val="none"/>
        </w:rPr>
        <w:t>残疾人福利性单位声明函</w:t>
      </w:r>
    </w:p>
    <w:bookmarkEnd w:id="419"/>
    <w:bookmarkEnd w:id="420"/>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116D9B3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杭州市拱墅区市政养护所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欧邦工程管理集团有限公司</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颜三路修缮项目 </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ZJOB-GSCG（CG）-2025003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颜三路修缮项目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ZJOB-GSCG（CG）-2025003</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42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1"/>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1F507F">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颜三路修缮项目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ZJOB-GSCG（CG）-2025003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2"/>
    </w:p>
    <w:p w14:paraId="4032C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autoSpaceDE w:val="0"/>
        <w:autoSpaceDN w:val="0"/>
        <w:jc w:val="center"/>
        <w:rPr>
          <w:rFonts w:ascii="宋体" w:hAnsi="宋体" w:cs="宋体"/>
          <w:b/>
          <w:color w:val="auto"/>
          <w:spacing w:val="6"/>
          <w:sz w:val="32"/>
          <w:szCs w:val="32"/>
          <w:highlight w:val="none"/>
        </w:rPr>
      </w:pPr>
    </w:p>
    <w:p w14:paraId="0369CC5E">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杭州市拱墅区市政养护所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颜三路修缮项目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color w:val="auto"/>
          <w:sz w:val="32"/>
          <w:szCs w:val="32"/>
          <w:highlight w:val="none"/>
        </w:rPr>
      </w:pPr>
    </w:p>
    <w:p w14:paraId="00BCDF83">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pacing w:line="360" w:lineRule="auto"/>
        <w:rPr>
          <w:rFonts w:ascii="宋体" w:hAnsi="宋体" w:cs="宋体"/>
          <w:b/>
          <w:color w:val="auto"/>
          <w:spacing w:val="6"/>
          <w:sz w:val="32"/>
          <w:szCs w:val="32"/>
          <w:highlight w:val="none"/>
        </w:rPr>
      </w:pPr>
    </w:p>
    <w:p w14:paraId="1510688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5B922A18">
      <w:pPr>
        <w:pStyle w:val="27"/>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2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方正公文小标宋">
    <w:panose1 w:val="02000500000000000000"/>
    <w:charset w:val="86"/>
    <w:family w:val="auto"/>
    <w:pitch w:val="default"/>
    <w:sig w:usb0="A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2"/>
      <w:framePr w:wrap="around" w:vAnchor="text" w:hAnchor="margin" w:xAlign="right" w:y="1"/>
      <w:rPr>
        <w:rStyle w:val="74"/>
      </w:rPr>
    </w:pPr>
    <w:r>
      <w:fldChar w:fldCharType="begin"/>
    </w:r>
    <w:r>
      <w:rPr>
        <w:rStyle w:val="74"/>
      </w:rPr>
      <w:instrText xml:space="preserve">PAGE  </w:instrText>
    </w:r>
    <w:r>
      <w:fldChar w:fldCharType="end"/>
    </w:r>
  </w:p>
  <w:p w14:paraId="5FE92C6F">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23" w:name="_Toc91899912"/>
    <w:bookmarkStart w:id="424" w:name="_Toc131845147"/>
    <w:bookmarkStart w:id="425" w:name="_Toc36110187"/>
    <w:bookmarkStart w:id="426" w:name="_Toc164085800"/>
    <w:r>
      <w:rPr>
        <w:rFonts w:hint="eastAsia" w:ascii="仿宋_GB2312" w:eastAsia="仿宋_GB2312"/>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2"/>
      <w:framePr w:wrap="around" w:vAnchor="text" w:hAnchor="margin" w:xAlign="right" w:y="1"/>
      <w:rPr>
        <w:rStyle w:val="74"/>
      </w:rPr>
    </w:pPr>
    <w:r>
      <w:fldChar w:fldCharType="begin"/>
    </w:r>
    <w:r>
      <w:rPr>
        <w:rStyle w:val="74"/>
      </w:rPr>
      <w:instrText xml:space="preserve">PAGE  </w:instrText>
    </w:r>
    <w:r>
      <w:fldChar w:fldCharType="end"/>
    </w:r>
  </w:p>
  <w:p w14:paraId="7185516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F7F0B">
    <w:pPr>
      <w:spacing w:line="176" w:lineRule="auto"/>
      <w:ind w:left="443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262E8">
    <w:pPr>
      <w:pStyle w:val="42"/>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B168AF">
                          <w:pPr>
                            <w:pStyle w:val="42"/>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Nft80BAACp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WHJmhaEXv/z8cfn15/L7O6MY&#10;CdR7rKju3lNlHN65gYrnOFIw8R7aYNKXGDHKk7znq7wwRCbTpfVqvS4pJSk3O4RfPFz3AeN7cIYl&#10;o+aB3i/LKk4fMY6lc0nqZt2d0jq/obb/BAhzjEBegul2YjJOnKw47IeJ3t41Z2LX0yLU3NLec6Y/&#10;WNI57cxshNnYz8bRB3XoaNBlnhL97THSSHnS1GGEJYbJoRfMXKdtSyvy2M9VD3/Y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NNft80BAACpAwAADgAAAAAAAAABACAAAAAeAQAAZHJzL2Uy&#10;b0RvYy54bWxQSwUGAAAAAAYABgBZAQAAXQUAAAAA&#10;">
              <v:fill on="f" focussize="0,0"/>
              <v:stroke on="f"/>
              <v:imagedata o:title=""/>
              <o:lock v:ext="edit" aspectratio="f"/>
              <v:textbox inset="0mm,0mm,0mm,0mm" style="mso-fit-shape-to-text:t;">
                <w:txbxContent>
                  <w:p w14:paraId="44B168AF">
                    <w:pPr>
                      <w:pStyle w:val="4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F8090">
    <w:pPr>
      <w:pStyle w:val="4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06AF38">
                          <w:pPr>
                            <w:pStyle w:val="42"/>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206AF38">
                    <w:pPr>
                      <w:pStyle w:val="4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8161">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D9A14">
    <w:pPr>
      <w:pStyle w:val="4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F6B48ED"/>
    <w:multiLevelType w:val="singleLevel"/>
    <w:tmpl w:val="1F6B48ED"/>
    <w:lvl w:ilvl="0" w:tentative="0">
      <w:start w:val="1"/>
      <w:numFmt w:val="decimal"/>
      <w:suff w:val="nothing"/>
      <w:lvlText w:val="（%1）"/>
      <w:lvlJc w:val="left"/>
      <w:pPr>
        <w:ind w:left="0" w:firstLine="0"/>
      </w:pPr>
    </w:lvl>
  </w:abstractNum>
  <w:abstractNum w:abstractNumId="2">
    <w:nsid w:val="603CA22E"/>
    <w:multiLevelType w:val="singleLevel"/>
    <w:tmpl w:val="603CA22E"/>
    <w:lvl w:ilvl="0" w:tentative="0">
      <w:start w:val="3"/>
      <w:numFmt w:val="decimal"/>
      <w:suff w:val="nothing"/>
      <w:lvlText w:val="%1）"/>
      <w:lvlJc w:val="left"/>
    </w:lvl>
  </w:abstractNum>
  <w:num w:numId="1">
    <w:abstractNumId w:val="2"/>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GRkZjk4MTFkZTkwNjA2NWI2M2UyYWFiODc5Y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929E0"/>
    <w:rsid w:val="042B157A"/>
    <w:rsid w:val="048F763B"/>
    <w:rsid w:val="049F330E"/>
    <w:rsid w:val="04AA775C"/>
    <w:rsid w:val="04AF1889"/>
    <w:rsid w:val="04C64E6C"/>
    <w:rsid w:val="04F66F48"/>
    <w:rsid w:val="05251E14"/>
    <w:rsid w:val="05A16594"/>
    <w:rsid w:val="05A7762D"/>
    <w:rsid w:val="06084521"/>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A631E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E2EFD"/>
    <w:rsid w:val="150536C3"/>
    <w:rsid w:val="150C1963"/>
    <w:rsid w:val="151447A0"/>
    <w:rsid w:val="152B4878"/>
    <w:rsid w:val="154A6454"/>
    <w:rsid w:val="15762120"/>
    <w:rsid w:val="163A442E"/>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AD4B60"/>
    <w:rsid w:val="1EB7330C"/>
    <w:rsid w:val="1EBD7834"/>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F117B5"/>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749E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924D8"/>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078C7"/>
    <w:rsid w:val="2EBB0FEE"/>
    <w:rsid w:val="2EC63002"/>
    <w:rsid w:val="2F0A6B38"/>
    <w:rsid w:val="2F195A15"/>
    <w:rsid w:val="2F946CCB"/>
    <w:rsid w:val="2FD25781"/>
    <w:rsid w:val="2FDC745C"/>
    <w:rsid w:val="2FFD7934"/>
    <w:rsid w:val="30733ACD"/>
    <w:rsid w:val="308C3862"/>
    <w:rsid w:val="309379D8"/>
    <w:rsid w:val="30A270F7"/>
    <w:rsid w:val="30AA14F8"/>
    <w:rsid w:val="30DF1478"/>
    <w:rsid w:val="30EC586F"/>
    <w:rsid w:val="319C6071"/>
    <w:rsid w:val="31A11ECE"/>
    <w:rsid w:val="31A94989"/>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D1ECC"/>
    <w:rsid w:val="373F410B"/>
    <w:rsid w:val="37EE7094"/>
    <w:rsid w:val="38296C89"/>
    <w:rsid w:val="383002EB"/>
    <w:rsid w:val="38586797"/>
    <w:rsid w:val="38BC0149"/>
    <w:rsid w:val="38D87D1C"/>
    <w:rsid w:val="39111E53"/>
    <w:rsid w:val="39636459"/>
    <w:rsid w:val="396B7F6C"/>
    <w:rsid w:val="39B417A9"/>
    <w:rsid w:val="39FC5695"/>
    <w:rsid w:val="3A006D8E"/>
    <w:rsid w:val="3A036F3F"/>
    <w:rsid w:val="3A204F94"/>
    <w:rsid w:val="3A3651E5"/>
    <w:rsid w:val="3A744481"/>
    <w:rsid w:val="3A8C7BEF"/>
    <w:rsid w:val="3A906246"/>
    <w:rsid w:val="3A9E536B"/>
    <w:rsid w:val="3B2349B7"/>
    <w:rsid w:val="3B616CFF"/>
    <w:rsid w:val="3B6259F6"/>
    <w:rsid w:val="3B7C46E9"/>
    <w:rsid w:val="3B976654"/>
    <w:rsid w:val="3BC01EFC"/>
    <w:rsid w:val="3BCA786A"/>
    <w:rsid w:val="3BD31E2F"/>
    <w:rsid w:val="3BD41BB4"/>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DCBFC"/>
    <w:rsid w:val="4019356B"/>
    <w:rsid w:val="40592157"/>
    <w:rsid w:val="406E1CAE"/>
    <w:rsid w:val="40A0133A"/>
    <w:rsid w:val="40C31A53"/>
    <w:rsid w:val="40FF545D"/>
    <w:rsid w:val="410067C8"/>
    <w:rsid w:val="416176D3"/>
    <w:rsid w:val="41761A4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620A1A"/>
    <w:rsid w:val="449101DD"/>
    <w:rsid w:val="44D3620E"/>
    <w:rsid w:val="44DE1391"/>
    <w:rsid w:val="451B225C"/>
    <w:rsid w:val="452410C9"/>
    <w:rsid w:val="45317DFB"/>
    <w:rsid w:val="456D3CE4"/>
    <w:rsid w:val="4579042C"/>
    <w:rsid w:val="457D4696"/>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212949"/>
    <w:rsid w:val="49357228"/>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CE86476"/>
    <w:rsid w:val="4D077F3C"/>
    <w:rsid w:val="4D123355"/>
    <w:rsid w:val="4D1C4610"/>
    <w:rsid w:val="4D2A3B31"/>
    <w:rsid w:val="4D312C52"/>
    <w:rsid w:val="4D905305"/>
    <w:rsid w:val="4D964A72"/>
    <w:rsid w:val="4D9C1254"/>
    <w:rsid w:val="4D9E5B15"/>
    <w:rsid w:val="4E793892"/>
    <w:rsid w:val="4E800872"/>
    <w:rsid w:val="4EC569ED"/>
    <w:rsid w:val="4ED50EA1"/>
    <w:rsid w:val="4EEC050C"/>
    <w:rsid w:val="4F104EC3"/>
    <w:rsid w:val="4F47354A"/>
    <w:rsid w:val="4F911C54"/>
    <w:rsid w:val="4FD94D0C"/>
    <w:rsid w:val="4FE625E0"/>
    <w:rsid w:val="5021480F"/>
    <w:rsid w:val="505C301C"/>
    <w:rsid w:val="50962ECB"/>
    <w:rsid w:val="50A42E38"/>
    <w:rsid w:val="50A4577F"/>
    <w:rsid w:val="50B73D1F"/>
    <w:rsid w:val="50BD5BC9"/>
    <w:rsid w:val="50C11EEE"/>
    <w:rsid w:val="50CC72B8"/>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8057B3"/>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6A640E4"/>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379F3"/>
    <w:rsid w:val="57CD20C2"/>
    <w:rsid w:val="57D675AB"/>
    <w:rsid w:val="57D95FDD"/>
    <w:rsid w:val="58150BC0"/>
    <w:rsid w:val="58917D2F"/>
    <w:rsid w:val="5894085C"/>
    <w:rsid w:val="58AE4F0C"/>
    <w:rsid w:val="58B85899"/>
    <w:rsid w:val="58E363A9"/>
    <w:rsid w:val="58F34251"/>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426BAC"/>
    <w:rsid w:val="5B435FAD"/>
    <w:rsid w:val="5B843A1C"/>
    <w:rsid w:val="5B873E3F"/>
    <w:rsid w:val="5C02690E"/>
    <w:rsid w:val="5C196DA7"/>
    <w:rsid w:val="5C2A048C"/>
    <w:rsid w:val="5C4D2220"/>
    <w:rsid w:val="5C80234E"/>
    <w:rsid w:val="5C8A680C"/>
    <w:rsid w:val="5CB07109"/>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1414F2"/>
    <w:rsid w:val="5F3A3602"/>
    <w:rsid w:val="5F45733B"/>
    <w:rsid w:val="5F6277C6"/>
    <w:rsid w:val="5F6D0B1D"/>
    <w:rsid w:val="5F8D0B82"/>
    <w:rsid w:val="5FCC5339"/>
    <w:rsid w:val="5FE34A5B"/>
    <w:rsid w:val="5FFE1E36"/>
    <w:rsid w:val="60232584"/>
    <w:rsid w:val="607330CE"/>
    <w:rsid w:val="60825176"/>
    <w:rsid w:val="609F2AC4"/>
    <w:rsid w:val="60E05AE3"/>
    <w:rsid w:val="60FA2EE8"/>
    <w:rsid w:val="61054A27"/>
    <w:rsid w:val="610A52BC"/>
    <w:rsid w:val="610D059B"/>
    <w:rsid w:val="611D2366"/>
    <w:rsid w:val="61421856"/>
    <w:rsid w:val="615227C4"/>
    <w:rsid w:val="61654E3F"/>
    <w:rsid w:val="6182292A"/>
    <w:rsid w:val="619F7F92"/>
    <w:rsid w:val="61E756D6"/>
    <w:rsid w:val="61F94C26"/>
    <w:rsid w:val="62000E56"/>
    <w:rsid w:val="624F3E49"/>
    <w:rsid w:val="62632286"/>
    <w:rsid w:val="62885958"/>
    <w:rsid w:val="62965DD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8A31C7"/>
    <w:rsid w:val="66195831"/>
    <w:rsid w:val="662E75B1"/>
    <w:rsid w:val="66342C2E"/>
    <w:rsid w:val="663E784C"/>
    <w:rsid w:val="664517A7"/>
    <w:rsid w:val="668B6A45"/>
    <w:rsid w:val="66F72253"/>
    <w:rsid w:val="67112C4A"/>
    <w:rsid w:val="672F3F24"/>
    <w:rsid w:val="673E055F"/>
    <w:rsid w:val="674A63AC"/>
    <w:rsid w:val="67551CE3"/>
    <w:rsid w:val="67A22552"/>
    <w:rsid w:val="67B22DCC"/>
    <w:rsid w:val="67BE71AA"/>
    <w:rsid w:val="67CF7323"/>
    <w:rsid w:val="67D90273"/>
    <w:rsid w:val="67DE5875"/>
    <w:rsid w:val="67E55852"/>
    <w:rsid w:val="67EB1AB4"/>
    <w:rsid w:val="67FA1285"/>
    <w:rsid w:val="68551F4F"/>
    <w:rsid w:val="687152A7"/>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8343C6"/>
    <w:rsid w:val="6D9078AF"/>
    <w:rsid w:val="6DAA3FEF"/>
    <w:rsid w:val="6DC0172B"/>
    <w:rsid w:val="6DCB690C"/>
    <w:rsid w:val="6DD41A5B"/>
    <w:rsid w:val="6DF43C2E"/>
    <w:rsid w:val="6DF51CA3"/>
    <w:rsid w:val="6E8335BD"/>
    <w:rsid w:val="6E8E12EF"/>
    <w:rsid w:val="6E972936"/>
    <w:rsid w:val="6ED446C5"/>
    <w:rsid w:val="6EE26E18"/>
    <w:rsid w:val="6F2A7D94"/>
    <w:rsid w:val="6F8331F1"/>
    <w:rsid w:val="6FAE1A09"/>
    <w:rsid w:val="6FD75BF8"/>
    <w:rsid w:val="704D6E88"/>
    <w:rsid w:val="707723D0"/>
    <w:rsid w:val="70F5661B"/>
    <w:rsid w:val="71360107"/>
    <w:rsid w:val="713B688E"/>
    <w:rsid w:val="7148279F"/>
    <w:rsid w:val="71D43752"/>
    <w:rsid w:val="71F1796A"/>
    <w:rsid w:val="71FB63D5"/>
    <w:rsid w:val="72154626"/>
    <w:rsid w:val="721D6341"/>
    <w:rsid w:val="72262B5D"/>
    <w:rsid w:val="72283FF7"/>
    <w:rsid w:val="722E7212"/>
    <w:rsid w:val="723A0474"/>
    <w:rsid w:val="72541E8D"/>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42A11"/>
    <w:rsid w:val="78A42DB0"/>
    <w:rsid w:val="78A656AB"/>
    <w:rsid w:val="78B2245C"/>
    <w:rsid w:val="78E172CC"/>
    <w:rsid w:val="78EA1D1F"/>
    <w:rsid w:val="79036DC3"/>
    <w:rsid w:val="7904172F"/>
    <w:rsid w:val="790F7E27"/>
    <w:rsid w:val="79237D49"/>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4D0390"/>
    <w:rsid w:val="7F715AF2"/>
    <w:rsid w:val="7F7B47F9"/>
    <w:rsid w:val="7F886E69"/>
    <w:rsid w:val="8EDFA232"/>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4"/>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5"/>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toa heading"/>
    <w:basedOn w:val="1"/>
    <w:next w:val="1"/>
    <w:qFormat/>
    <w:uiPriority w:val="0"/>
    <w:pPr>
      <w:spacing w:before="120"/>
    </w:pPr>
    <w:rPr>
      <w:rFonts w:ascii="Arial" w:hAnsi="Arial" w:cs="Arial"/>
      <w:sz w:val="24"/>
    </w:rPr>
  </w:style>
  <w:style w:type="paragraph" w:styleId="23">
    <w:name w:val="annotation text"/>
    <w:basedOn w:val="1"/>
    <w:link w:val="348"/>
    <w:qFormat/>
    <w:uiPriority w:val="99"/>
    <w:pPr>
      <w:jc w:val="left"/>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9"/>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6"/>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index 7"/>
    <w:basedOn w:val="1"/>
    <w:next w:val="1"/>
    <w:qFormat/>
    <w:uiPriority w:val="0"/>
    <w:pPr>
      <w:ind w:left="1200" w:leftChars="1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00"/>
    <w:qFormat/>
    <w:uiPriority w:val="0"/>
    <w:rPr>
      <w:b/>
      <w:bCs/>
    </w:rPr>
  </w:style>
  <w:style w:type="paragraph" w:styleId="63">
    <w:name w:val="Body Text First Indent 2"/>
    <w:basedOn w:val="27"/>
    <w:link w:val="12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Body Text First Indent1"/>
    <w:basedOn w:val="2"/>
    <w:next w:val="4"/>
    <w:qFormat/>
    <w:uiPriority w:val="0"/>
    <w:pPr>
      <w:autoSpaceDE/>
      <w:autoSpaceDN/>
      <w:adjustRightInd/>
      <w:spacing w:after="120" w:line="240" w:lineRule="auto"/>
      <w:ind w:firstLine="420" w:firstLineChars="100"/>
    </w:pPr>
    <w:rPr>
      <w:rFonts w:ascii="Times New Roman"/>
      <w:sz w:val="21"/>
      <w:szCs w:val="24"/>
      <w:lang w:val="en-US" w:eastAsia="zh-CN"/>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3"/>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8"/>
    <w:qFormat/>
    <w:uiPriority w:val="0"/>
    <w:rPr>
      <w:rFonts w:ascii="宋体"/>
      <w:kern w:val="2"/>
      <w:sz w:val="24"/>
      <w:szCs w:val="21"/>
      <w:lang w:val="zh-CN"/>
    </w:rPr>
  </w:style>
  <w:style w:type="character" w:customStyle="1" w:styleId="186">
    <w:name w:val="标题 9 Char"/>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7"/>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5"/>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5"/>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3"/>
    <w:qFormat/>
    <w:uiPriority w:val="99"/>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8"/>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6"/>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7"/>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7"/>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5"/>
    <w:qFormat/>
    <w:uiPriority w:val="0"/>
    <w:pPr>
      <w:tabs>
        <w:tab w:val="left" w:pos="840"/>
      </w:tabs>
      <w:adjustRightInd/>
      <w:ind w:left="840" w:hanging="420"/>
    </w:pPr>
  </w:style>
  <w:style w:type="paragraph" w:customStyle="1" w:styleId="63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1"/>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qFormat/>
    <w:uiPriority w:val="0"/>
    <w:pPr>
      <w:tabs>
        <w:tab w:val="left" w:pos="1080"/>
      </w:tabs>
      <w:ind w:left="1080" w:hanging="1080"/>
    </w:pPr>
  </w:style>
  <w:style w:type="paragraph" w:customStyle="1" w:styleId="901">
    <w:name w:val="数字标题1"/>
    <w:basedOn w:val="5"/>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40"/>
    <w:qFormat/>
    <w:uiPriority w:val="0"/>
    <w:rPr>
      <w:kern w:val="2"/>
      <w:sz w:val="21"/>
      <w:szCs w:val="24"/>
      <w:lang w:val="zh-CN"/>
    </w:rPr>
  </w:style>
  <w:style w:type="character" w:customStyle="1" w:styleId="937">
    <w:name w:val="无间隔 字符"/>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2"/>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样式 标题 2 + Times New Roman 四号 非加粗 段前: 5 磅 段后: 0 磅 行距: 固定值 20..."/>
    <w:basedOn w:val="6"/>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9">
    <w:name w:val="p16"/>
    <w:basedOn w:val="1"/>
    <w:qFormat/>
    <w:uiPriority w:val="0"/>
    <w:pPr>
      <w:widowControl/>
      <w:spacing w:before="100" w:after="100"/>
      <w:jc w:val="left"/>
    </w:pPr>
    <w:rPr>
      <w:rFonts w:ascii="宋体" w:hAnsi="宋体" w:cs="宋体"/>
      <w:color w:val="000000"/>
      <w:kern w:val="0"/>
      <w:sz w:val="24"/>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内文正文"/>
    <w:basedOn w:val="35"/>
    <w:qFormat/>
    <w:uiPriority w:val="0"/>
    <w:pPr>
      <w:snapToGrid w:val="0"/>
      <w:spacing w:line="400" w:lineRule="atLeast"/>
      <w:ind w:firstLine="420" w:firstLineChars="200"/>
    </w:pPr>
    <w:rPr>
      <w:szCs w:val="24"/>
    </w:rPr>
  </w:style>
  <w:style w:type="paragraph" w:customStyle="1" w:styleId="972">
    <w:name w:val="样式 样式1 + 首行缩进:  2 字符"/>
    <w:basedOn w:val="728"/>
    <w:qFormat/>
    <w:uiPriority w:val="0"/>
    <w:pPr>
      <w:spacing w:line="360" w:lineRule="exact"/>
      <w:ind w:firstLine="420" w:firstLineChars="200"/>
    </w:pPr>
    <w:rPr>
      <w:rFonts w:ascii="Arial" w:hAnsi="Arial" w:cs="宋体"/>
      <w:sz w:val="21"/>
    </w:rPr>
  </w:style>
  <w:style w:type="paragraph" w:styleId="973">
    <w:name w:val="List Paragraph"/>
    <w:basedOn w:val="1"/>
    <w:qFormat/>
    <w:uiPriority w:val="0"/>
  </w:style>
  <w:style w:type="paragraph" w:customStyle="1" w:styleId="974">
    <w:name w:val="内文"/>
    <w:qFormat/>
    <w:uiPriority w:val="0"/>
    <w:pPr>
      <w:adjustRightInd w:val="0"/>
      <w:snapToGrid w:val="0"/>
      <w:spacing w:line="400" w:lineRule="exact"/>
      <w:ind w:firstLine="200" w:firstLineChars="200"/>
      <w:jc w:val="both"/>
    </w:pPr>
    <w:rPr>
      <w:rFonts w:ascii="Arial" w:hAnsi="Arial" w:eastAsia="微软雅黑"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125</Pages>
  <Words>74862</Words>
  <Characters>78347</Characters>
  <Lines>1</Lines>
  <Paragraphs>1</Paragraphs>
  <TotalTime>16</TotalTime>
  <ScaleCrop>false</ScaleCrop>
  <LinksUpToDate>false</LinksUpToDate>
  <CharactersWithSpaces>85032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2022-05-08T15:35:00Z</dcterms:created>
  <dc:creator>玥</dc:creator>
  <cp:lastModifiedBy>招标代理</cp:lastModifiedBy>
  <cp:lastPrinted>2021-12-28T19:06:00Z</cp:lastPrinted>
  <dcterms:modified xsi:type="dcterms:W3CDTF">2025-06-24T13:04:07Z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5C0A89CA815946148AB613F98A5D0D5B_13</vt:lpwstr>
  </property>
  <property fmtid="{D5CDD505-2E9C-101B-9397-08002B2CF9AE}" pid="5" name="commondata">
    <vt:lpwstr>eyJoZGlkIjoiNGNlMmFkMDQ1NDY0ZmRiM2Q0NjY4NTFjN2IwMTllYjMifQ==</vt:lpwstr>
  </property>
  <property fmtid="{D5CDD505-2E9C-101B-9397-08002B2CF9AE}" pid="6" name="KSOTemplateDocerSaveRecord">
    <vt:lpwstr>eyJoZGlkIjoiYzE4NDE5ZjRhOGNlMzkzNTA1ZjExMGM0MDUxYzc5NTAiLCJ1c2VySWQiOiIzMDYyMjA1NzkifQ==</vt:lpwstr>
  </property>
</Properties>
</file>