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F0678">
      <w:pPr>
        <w:spacing w:line="360" w:lineRule="auto"/>
        <w:jc w:val="center"/>
        <w:rPr>
          <w:rFonts w:ascii="仿宋" w:hAnsi="仿宋" w:eastAsia="仿宋" w:cs="仿宋"/>
          <w:b/>
          <w:sz w:val="24"/>
        </w:rPr>
      </w:pPr>
    </w:p>
    <w:p w14:paraId="43F932FA">
      <w:pPr>
        <w:spacing w:line="360" w:lineRule="auto"/>
        <w:jc w:val="center"/>
        <w:rPr>
          <w:rFonts w:ascii="仿宋" w:hAnsi="仿宋" w:eastAsia="仿宋" w:cs="仿宋"/>
          <w:b/>
          <w:sz w:val="44"/>
          <w:szCs w:val="44"/>
        </w:rPr>
      </w:pPr>
    </w:p>
    <w:p w14:paraId="262BD1FA">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智慧后勤系统建设-中国计量大学</w:t>
      </w:r>
    </w:p>
    <w:p w14:paraId="75D093CE">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东生活区道闸系统</w:t>
      </w:r>
      <w:bookmarkStart w:id="404" w:name="_GoBack"/>
      <w:bookmarkEnd w:id="404"/>
    </w:p>
    <w:p w14:paraId="1DE7D2C8">
      <w:pPr>
        <w:pStyle w:val="23"/>
      </w:pPr>
    </w:p>
    <w:p w14:paraId="491C946C">
      <w:pPr>
        <w:adjustRightInd/>
        <w:spacing w:line="240" w:lineRule="auto"/>
        <w:jc w:val="center"/>
        <w:rPr>
          <w:rFonts w:ascii="仿宋" w:hAnsi="仿宋" w:eastAsia="仿宋" w:cs="仿宋"/>
          <w:sz w:val="48"/>
          <w:szCs w:val="48"/>
        </w:rPr>
      </w:pPr>
      <w:r>
        <w:rPr>
          <w:rFonts w:hint="eastAsia" w:ascii="仿宋" w:hAnsi="仿宋" w:eastAsia="仿宋" w:cs="仿宋"/>
          <w:sz w:val="96"/>
          <w:szCs w:val="96"/>
        </w:rPr>
        <w:t>招标文件</w:t>
      </w:r>
    </w:p>
    <w:p w14:paraId="586F4C19">
      <w:pPr>
        <w:widowControl/>
        <w:adjustRightInd w:val="0"/>
        <w:snapToGrid w:val="0"/>
        <w:spacing w:line="288" w:lineRule="auto"/>
        <w:ind w:right="-2"/>
        <w:jc w:val="center"/>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w:t>
      </w:r>
      <w:r>
        <w:rPr>
          <w:rFonts w:hint="eastAsia" w:ascii="仿宋" w:hAnsi="仿宋" w:eastAsia="仿宋" w:cs="仿宋"/>
          <w:b/>
          <w:color w:val="auto"/>
          <w:sz w:val="36"/>
          <w:szCs w:val="24"/>
          <w:highlight w:val="none"/>
          <w:lang w:eastAsia="zh-CN"/>
        </w:rPr>
        <w:t>非政府采购线上电子招投标</w:t>
      </w:r>
      <w:r>
        <w:rPr>
          <w:rFonts w:hint="eastAsia" w:ascii="仿宋" w:hAnsi="仿宋" w:eastAsia="仿宋" w:cs="仿宋"/>
          <w:b/>
          <w:color w:val="auto"/>
          <w:sz w:val="36"/>
          <w:szCs w:val="24"/>
          <w:highlight w:val="none"/>
        </w:rPr>
        <w:t>）</w:t>
      </w:r>
    </w:p>
    <w:p w14:paraId="32599D81">
      <w:pPr>
        <w:snapToGrid w:val="0"/>
        <w:spacing w:line="360" w:lineRule="auto"/>
        <w:jc w:val="center"/>
        <w:rPr>
          <w:rFonts w:hint="eastAsia" w:ascii="仿宋" w:hAnsi="仿宋" w:eastAsia="仿宋" w:cs="仿宋"/>
          <w:sz w:val="32"/>
          <w:szCs w:val="32"/>
        </w:rPr>
      </w:pPr>
    </w:p>
    <w:p w14:paraId="6F9BB96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2"/>
          <w:szCs w:val="32"/>
        </w:rPr>
        <w:t>项目编号:</w:t>
      </w:r>
      <w:r>
        <w:rPr>
          <w:rFonts w:hint="eastAsia" w:ascii="仿宋" w:hAnsi="仿宋" w:eastAsia="仿宋" w:cs="仿宋"/>
          <w:sz w:val="32"/>
          <w:szCs w:val="32"/>
          <w:lang w:eastAsia="zh-CN"/>
        </w:rPr>
        <w:t>ZJ-2541836</w:t>
      </w:r>
    </w:p>
    <w:p w14:paraId="26E4B2C4">
      <w:pPr>
        <w:adjustRightInd/>
        <w:spacing w:line="360" w:lineRule="auto"/>
        <w:rPr>
          <w:rFonts w:ascii="仿宋" w:hAnsi="仿宋" w:eastAsia="仿宋" w:cs="仿宋"/>
          <w:sz w:val="28"/>
          <w:szCs w:val="20"/>
        </w:rPr>
      </w:pPr>
    </w:p>
    <w:p w14:paraId="77C6E3DB">
      <w:pPr>
        <w:pStyle w:val="23"/>
        <w:rPr>
          <w:rFonts w:ascii="仿宋" w:hAnsi="仿宋" w:eastAsia="仿宋" w:cs="仿宋"/>
          <w:b/>
          <w:sz w:val="44"/>
          <w:szCs w:val="44"/>
        </w:rPr>
      </w:pPr>
    </w:p>
    <w:p w14:paraId="65627ECA">
      <w:pPr>
        <w:pStyle w:val="23"/>
        <w:rPr>
          <w:rFonts w:ascii="仿宋" w:hAnsi="仿宋" w:eastAsia="仿宋" w:cs="仿宋"/>
          <w:b/>
          <w:sz w:val="44"/>
          <w:szCs w:val="44"/>
        </w:rPr>
      </w:pPr>
    </w:p>
    <w:p w14:paraId="4234A70D">
      <w:pPr>
        <w:spacing w:line="360" w:lineRule="auto"/>
        <w:jc w:val="center"/>
        <w:rPr>
          <w:rFonts w:ascii="仿宋" w:hAnsi="仿宋" w:eastAsia="仿宋" w:cs="仿宋"/>
          <w:sz w:val="24"/>
        </w:rPr>
      </w:pPr>
    </w:p>
    <w:p w14:paraId="295041BD">
      <w:pPr>
        <w:spacing w:line="360" w:lineRule="auto"/>
        <w:jc w:val="center"/>
        <w:rPr>
          <w:rFonts w:ascii="仿宋" w:hAnsi="仿宋" w:eastAsia="仿宋" w:cs="仿宋"/>
          <w:sz w:val="24"/>
        </w:rPr>
      </w:pPr>
    </w:p>
    <w:p w14:paraId="5772CF33">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采购人</w:t>
      </w:r>
      <w:r>
        <w:rPr>
          <w:rFonts w:hint="eastAsia" w:ascii="仿宋" w:hAnsi="仿宋" w:eastAsia="仿宋" w:cs="仿宋"/>
          <w:sz w:val="32"/>
          <w:szCs w:val="32"/>
        </w:rPr>
        <w:t>：</w:t>
      </w:r>
      <w:r>
        <w:rPr>
          <w:rFonts w:hint="eastAsia" w:ascii="仿宋" w:hAnsi="仿宋" w:eastAsia="仿宋" w:cs="仿宋"/>
          <w:sz w:val="32"/>
          <w:szCs w:val="32"/>
          <w:lang w:eastAsia="zh-CN"/>
        </w:rPr>
        <w:t>中国计量大学</w:t>
      </w:r>
    </w:p>
    <w:p w14:paraId="067F72E4">
      <w:pPr>
        <w:pStyle w:val="23"/>
        <w:jc w:val="center"/>
      </w:pPr>
    </w:p>
    <w:p w14:paraId="37198FA1">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采购代理机构：浙江国际招投标有限公司</w:t>
      </w:r>
    </w:p>
    <w:p w14:paraId="328718BE">
      <w:pPr>
        <w:snapToGrid w:val="0"/>
        <w:spacing w:line="360" w:lineRule="auto"/>
        <w:jc w:val="center"/>
        <w:rPr>
          <w:rFonts w:ascii="仿宋" w:hAnsi="仿宋" w:eastAsia="仿宋" w:cs="仿宋"/>
          <w:bCs/>
          <w:sz w:val="32"/>
          <w:szCs w:val="32"/>
        </w:rPr>
      </w:pPr>
    </w:p>
    <w:p w14:paraId="00AB6082">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14:paraId="3F5EB5F1">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3570A476">
      <w:pPr>
        <w:spacing w:line="360" w:lineRule="auto"/>
        <w:jc w:val="center"/>
        <w:rPr>
          <w:rFonts w:ascii="仿宋" w:hAnsi="仿宋" w:eastAsia="仿宋" w:cs="仿宋"/>
          <w:sz w:val="24"/>
        </w:rPr>
      </w:pPr>
    </w:p>
    <w:p w14:paraId="544F22C8">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14:paraId="4AD3A0E0">
      <w:pPr>
        <w:spacing w:line="360" w:lineRule="auto"/>
        <w:rPr>
          <w:rFonts w:ascii="仿宋" w:hAnsi="仿宋" w:eastAsia="仿宋" w:cs="仿宋"/>
          <w:sz w:val="32"/>
          <w:szCs w:val="32"/>
        </w:rPr>
      </w:pPr>
    </w:p>
    <w:p w14:paraId="6EA21F28">
      <w:pPr>
        <w:spacing w:line="360" w:lineRule="auto"/>
        <w:rPr>
          <w:rFonts w:ascii="仿宋" w:hAnsi="仿宋" w:eastAsia="仿宋" w:cs="仿宋"/>
          <w:sz w:val="32"/>
          <w:szCs w:val="32"/>
        </w:rPr>
      </w:pPr>
    </w:p>
    <w:p w14:paraId="37D7DD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341E5A4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4EB82B3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5AEC479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70169D5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36CB6B2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602438BC">
      <w:pPr>
        <w:spacing w:line="360" w:lineRule="auto"/>
        <w:ind w:firstLine="549" w:firstLineChars="229"/>
        <w:rPr>
          <w:rFonts w:ascii="仿宋" w:hAnsi="仿宋" w:eastAsia="仿宋" w:cs="仿宋"/>
          <w:sz w:val="24"/>
        </w:rPr>
      </w:pPr>
      <w:bookmarkStart w:id="1" w:name="_Hlt91233176"/>
      <w:bookmarkEnd w:id="1"/>
      <w:bookmarkStart w:id="2" w:name="_Toc91899869"/>
    </w:p>
    <w:p w14:paraId="50721DDF">
      <w:pPr>
        <w:spacing w:line="360" w:lineRule="auto"/>
        <w:ind w:firstLine="549" w:firstLineChars="229"/>
        <w:rPr>
          <w:rFonts w:ascii="仿宋" w:hAnsi="仿宋" w:eastAsia="仿宋" w:cs="仿宋"/>
          <w:sz w:val="24"/>
        </w:rPr>
      </w:pPr>
    </w:p>
    <w:p w14:paraId="13EBB677">
      <w:pPr>
        <w:spacing w:line="360" w:lineRule="auto"/>
        <w:ind w:firstLine="549" w:firstLineChars="229"/>
        <w:rPr>
          <w:rFonts w:ascii="仿宋" w:hAnsi="仿宋" w:eastAsia="仿宋" w:cs="仿宋"/>
          <w:sz w:val="24"/>
        </w:rPr>
      </w:pPr>
    </w:p>
    <w:p w14:paraId="7492064A">
      <w:pPr>
        <w:spacing w:line="360" w:lineRule="auto"/>
        <w:ind w:firstLine="549" w:firstLineChars="229"/>
        <w:rPr>
          <w:rFonts w:ascii="仿宋" w:hAnsi="仿宋" w:eastAsia="仿宋" w:cs="仿宋"/>
          <w:sz w:val="24"/>
        </w:rPr>
      </w:pPr>
    </w:p>
    <w:p w14:paraId="2430EA74">
      <w:pPr>
        <w:spacing w:line="360" w:lineRule="auto"/>
        <w:ind w:firstLine="549" w:firstLineChars="229"/>
        <w:rPr>
          <w:rFonts w:ascii="仿宋" w:hAnsi="仿宋" w:eastAsia="仿宋" w:cs="仿宋"/>
          <w:sz w:val="24"/>
        </w:rPr>
      </w:pPr>
    </w:p>
    <w:p w14:paraId="4DF91E67">
      <w:pPr>
        <w:spacing w:line="360" w:lineRule="auto"/>
        <w:ind w:firstLine="549" w:firstLineChars="229"/>
        <w:rPr>
          <w:rFonts w:ascii="仿宋" w:hAnsi="仿宋" w:eastAsia="仿宋" w:cs="仿宋"/>
          <w:sz w:val="24"/>
        </w:rPr>
      </w:pPr>
    </w:p>
    <w:p w14:paraId="54B1F27B">
      <w:pPr>
        <w:spacing w:line="360" w:lineRule="auto"/>
        <w:ind w:firstLine="549" w:firstLineChars="229"/>
        <w:rPr>
          <w:rFonts w:ascii="仿宋" w:hAnsi="仿宋" w:eastAsia="仿宋" w:cs="仿宋"/>
          <w:sz w:val="24"/>
        </w:rPr>
      </w:pPr>
    </w:p>
    <w:p w14:paraId="6FE51814">
      <w:pPr>
        <w:spacing w:line="360" w:lineRule="auto"/>
        <w:ind w:firstLine="549" w:firstLineChars="229"/>
        <w:rPr>
          <w:rFonts w:ascii="仿宋" w:hAnsi="仿宋" w:eastAsia="仿宋" w:cs="仿宋"/>
          <w:sz w:val="24"/>
        </w:rPr>
      </w:pPr>
    </w:p>
    <w:p w14:paraId="480296C5">
      <w:pPr>
        <w:spacing w:line="360" w:lineRule="auto"/>
        <w:ind w:firstLine="549" w:firstLineChars="229"/>
        <w:rPr>
          <w:rFonts w:ascii="仿宋" w:hAnsi="仿宋" w:eastAsia="仿宋" w:cs="仿宋"/>
          <w:sz w:val="24"/>
        </w:rPr>
      </w:pPr>
    </w:p>
    <w:p w14:paraId="41A41CF8">
      <w:pPr>
        <w:spacing w:line="360" w:lineRule="auto"/>
        <w:ind w:firstLine="549" w:firstLineChars="229"/>
        <w:rPr>
          <w:rFonts w:ascii="仿宋" w:hAnsi="仿宋" w:eastAsia="仿宋" w:cs="仿宋"/>
          <w:sz w:val="24"/>
        </w:rPr>
      </w:pPr>
    </w:p>
    <w:p w14:paraId="7581B397">
      <w:pPr>
        <w:spacing w:line="360" w:lineRule="auto"/>
        <w:ind w:firstLine="549" w:firstLineChars="229"/>
        <w:rPr>
          <w:rFonts w:ascii="仿宋" w:hAnsi="仿宋" w:eastAsia="仿宋" w:cs="仿宋"/>
          <w:sz w:val="24"/>
        </w:rPr>
      </w:pPr>
    </w:p>
    <w:p w14:paraId="189C2CAE">
      <w:pPr>
        <w:spacing w:line="360" w:lineRule="auto"/>
        <w:ind w:firstLine="549" w:firstLineChars="229"/>
        <w:rPr>
          <w:rFonts w:ascii="仿宋" w:hAnsi="仿宋" w:eastAsia="仿宋" w:cs="仿宋"/>
          <w:sz w:val="24"/>
        </w:rPr>
      </w:pPr>
    </w:p>
    <w:p w14:paraId="23E0F110">
      <w:pPr>
        <w:spacing w:line="360" w:lineRule="auto"/>
        <w:ind w:firstLine="549" w:firstLineChars="229"/>
        <w:rPr>
          <w:rFonts w:ascii="仿宋" w:hAnsi="仿宋" w:eastAsia="仿宋" w:cs="仿宋"/>
          <w:sz w:val="24"/>
        </w:rPr>
      </w:pPr>
    </w:p>
    <w:p w14:paraId="66550DEC">
      <w:pPr>
        <w:spacing w:line="360" w:lineRule="auto"/>
        <w:rPr>
          <w:rFonts w:ascii="仿宋" w:hAnsi="仿宋" w:eastAsia="仿宋" w:cs="仿宋"/>
          <w:sz w:val="24"/>
        </w:rPr>
      </w:pPr>
    </w:p>
    <w:p w14:paraId="799FC044">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6B274EC1">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项目概况</w:t>
      </w:r>
    </w:p>
    <w:p w14:paraId="0075D513">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智慧后勤系统建设-中国计量大学东生活区道闸系统项目的潜在投标人应在政采云平台（</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"https://www.zcygov.cn/）获取（下载）招标文件，并于2023年10月XX日09点00分00秒"</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https://www.zcygov.cn/）获取（下载）招标文件，并于2025年</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分00秒</w:t>
      </w:r>
      <w:r>
        <w:rPr>
          <w:rFonts w:hint="eastAsia" w:ascii="仿宋" w:hAnsi="仿宋" w:eastAsia="仿宋" w:cs="仿宋"/>
          <w:sz w:val="24"/>
          <w:highlight w:val="none"/>
        </w:rPr>
        <w:fldChar w:fldCharType="end"/>
      </w:r>
      <w:r>
        <w:rPr>
          <w:rFonts w:hint="eastAsia" w:ascii="仿宋" w:hAnsi="仿宋" w:eastAsia="仿宋" w:cs="仿宋"/>
          <w:sz w:val="24"/>
          <w:highlight w:val="none"/>
        </w:rPr>
        <w:t>（北京时间）前递交（上传）投标文件。</w:t>
      </w:r>
    </w:p>
    <w:p w14:paraId="7AD8D935">
      <w:pPr>
        <w:spacing w:line="360" w:lineRule="auto"/>
        <w:rPr>
          <w:rFonts w:ascii="仿宋" w:hAnsi="仿宋" w:eastAsia="仿宋" w:cs="仿宋"/>
          <w:b/>
          <w:sz w:val="24"/>
        </w:rPr>
      </w:pPr>
      <w:r>
        <w:rPr>
          <w:rFonts w:hint="eastAsia" w:ascii="仿宋" w:hAnsi="仿宋" w:eastAsia="仿宋" w:cs="仿宋"/>
          <w:b/>
          <w:sz w:val="24"/>
        </w:rPr>
        <w:t>一、项目基本情况</w:t>
      </w:r>
    </w:p>
    <w:p w14:paraId="2FADA949">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eastAsia="zh-CN"/>
        </w:rPr>
        <w:t>ZJ-2541836</w:t>
      </w:r>
    </w:p>
    <w:p w14:paraId="2D60B6DA">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color w:val="000000"/>
          <w:sz w:val="24"/>
          <w:lang w:eastAsia="zh-CN"/>
        </w:rPr>
        <w:t>智慧后勤系统建设-中国计量大学东生活区道闸系统</w:t>
      </w:r>
    </w:p>
    <w:p w14:paraId="6B2F28AD">
      <w:pPr>
        <w:spacing w:line="360" w:lineRule="auto"/>
        <w:ind w:firstLine="482" w:firstLineChars="200"/>
        <w:rPr>
          <w:rFonts w:hint="eastAsia" w:ascii="仿宋" w:hAnsi="仿宋" w:eastAsia="仿宋" w:cs="仿宋"/>
          <w:bCs/>
          <w:sz w:val="24"/>
          <w:lang w:eastAsia="zh-CN"/>
        </w:rPr>
      </w:pPr>
      <w:r>
        <w:rPr>
          <w:rFonts w:hint="eastAsia" w:ascii="仿宋" w:hAnsi="仿宋" w:eastAsia="仿宋" w:cs="仿宋"/>
          <w:b/>
          <w:sz w:val="24"/>
        </w:rPr>
        <w:t>采购方式：</w:t>
      </w:r>
      <w:r>
        <w:rPr>
          <w:rFonts w:hint="eastAsia" w:ascii="仿宋" w:hAnsi="仿宋" w:eastAsia="仿宋" w:cs="仿宋"/>
          <w:bCs/>
          <w:sz w:val="24"/>
        </w:rPr>
        <w:t>公开招标</w:t>
      </w:r>
      <w:r>
        <w:rPr>
          <w:rFonts w:hint="eastAsia" w:ascii="仿宋" w:hAnsi="仿宋" w:eastAsia="仿宋" w:cs="仿宋"/>
          <w:bCs/>
          <w:sz w:val="24"/>
          <w:lang w:eastAsia="zh-CN"/>
        </w:rPr>
        <w:t>（非政府采购）</w:t>
      </w:r>
    </w:p>
    <w:p w14:paraId="78AA5331">
      <w:pPr>
        <w:pStyle w:val="15"/>
        <w:spacing w:line="360" w:lineRule="auto"/>
        <w:ind w:firstLine="480"/>
        <w:rPr>
          <w:rFonts w:hint="eastAsia" w:ascii="仿宋" w:hAnsi="仿宋" w:eastAsia="仿宋" w:cs="仿宋"/>
          <w:b/>
          <w:color w:val="auto"/>
          <w:sz w:val="24"/>
          <w:lang w:eastAsia="zh-CN"/>
        </w:rPr>
      </w:pPr>
      <w:r>
        <w:rPr>
          <w:rFonts w:hint="eastAsia" w:ascii="仿宋" w:hAnsi="仿宋" w:eastAsia="仿宋" w:cs="仿宋"/>
          <w:b/>
          <w:color w:val="auto"/>
          <w:sz w:val="24"/>
        </w:rPr>
        <w:t>预算金额：</w:t>
      </w:r>
      <w:r>
        <w:rPr>
          <w:rFonts w:hint="eastAsia" w:ascii="仿宋" w:hAnsi="仿宋" w:eastAsia="仿宋" w:cs="仿宋"/>
          <w:snapToGrid/>
          <w:kern w:val="2"/>
          <w:sz w:val="24"/>
          <w:szCs w:val="24"/>
          <w:lang w:eastAsia="zh-CN"/>
        </w:rPr>
        <w:t>1650000元</w:t>
      </w:r>
    </w:p>
    <w:p w14:paraId="09B84B0F">
      <w:pPr>
        <w:pStyle w:val="15"/>
        <w:spacing w:line="360" w:lineRule="auto"/>
        <w:ind w:firstLine="480"/>
        <w:rPr>
          <w:rFonts w:ascii="仿宋" w:hAnsi="仿宋" w:eastAsia="仿宋" w:cs="仿宋"/>
          <w:sz w:val="24"/>
          <w:szCs w:val="24"/>
        </w:rPr>
      </w:pPr>
      <w:r>
        <w:rPr>
          <w:rFonts w:hint="eastAsia" w:ascii="仿宋" w:hAnsi="仿宋" w:eastAsia="仿宋" w:cs="仿宋"/>
          <w:b/>
          <w:color w:val="auto"/>
          <w:sz w:val="24"/>
        </w:rPr>
        <w:t>简要规格描述或项目基本概况介绍、用途：</w:t>
      </w:r>
      <w:r>
        <w:rPr>
          <w:rFonts w:hint="eastAsia" w:ascii="仿宋" w:hAnsi="仿宋" w:eastAsia="仿宋" w:cs="仿宋"/>
          <w:sz w:val="24"/>
          <w:szCs w:val="24"/>
          <w:lang w:eastAsia="zh-CN"/>
        </w:rPr>
        <w:t>智慧后勤系统建设-中国计量大学东生活区道闸系统</w:t>
      </w:r>
      <w:r>
        <w:rPr>
          <w:rFonts w:hint="eastAsia" w:ascii="仿宋" w:hAnsi="仿宋" w:eastAsia="仿宋" w:cs="仿宋"/>
          <w:sz w:val="24"/>
          <w:szCs w:val="24"/>
        </w:rPr>
        <w:t>服务,详见招标文件第三部分。</w:t>
      </w:r>
    </w:p>
    <w:p w14:paraId="1622C6EB">
      <w:pPr>
        <w:spacing w:line="360" w:lineRule="auto"/>
        <w:ind w:firstLine="482" w:firstLineChars="200"/>
        <w:rPr>
          <w:rFonts w:ascii="仿宋" w:hAnsi="仿宋" w:eastAsia="仿宋" w:cs="仿宋"/>
          <w:sz w:val="24"/>
          <w:szCs w:val="32"/>
        </w:rPr>
      </w:pPr>
      <w:r>
        <w:rPr>
          <w:rFonts w:hint="eastAsia" w:ascii="仿宋" w:hAnsi="仿宋" w:eastAsia="仿宋" w:cs="仿宋"/>
          <w:b/>
          <w:sz w:val="24"/>
          <w:szCs w:val="32"/>
        </w:rPr>
        <w:t>合同履约期限：</w:t>
      </w:r>
      <w:r>
        <w:rPr>
          <w:rFonts w:hint="eastAsia" w:ascii="仿宋" w:hAnsi="仿宋" w:eastAsia="仿宋" w:cs="仿宋"/>
          <w:bCs/>
          <w:sz w:val="24"/>
          <w:szCs w:val="32"/>
        </w:rPr>
        <w:t>按招标文件要求。</w:t>
      </w:r>
    </w:p>
    <w:p w14:paraId="508C4E52">
      <w:pPr>
        <w:pStyle w:val="15"/>
        <w:spacing w:line="360" w:lineRule="auto"/>
        <w:ind w:firstLine="480"/>
        <w:rPr>
          <w:rFonts w:ascii="仿宋" w:hAnsi="仿宋" w:eastAsia="仿宋" w:cs="仿宋"/>
          <w:b/>
          <w:sz w:val="24"/>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不允许</w:t>
      </w:r>
      <w:r>
        <w:rPr>
          <w:rFonts w:hint="eastAsia" w:ascii="仿宋" w:hAnsi="仿宋" w:eastAsia="仿宋" w:cs="仿宋"/>
          <w:b/>
          <w:color w:val="auto"/>
          <w:sz w:val="24"/>
          <w:highlight w:val="none"/>
        </w:rPr>
        <w:t>联合体投标</w:t>
      </w:r>
      <w:r>
        <w:rPr>
          <w:rFonts w:hint="eastAsia" w:ascii="仿宋" w:hAnsi="仿宋" w:eastAsia="仿宋" w:cs="仿宋"/>
          <w:color w:val="auto"/>
          <w:kern w:val="0"/>
          <w:sz w:val="24"/>
          <w:highlight w:val="none"/>
        </w:rPr>
        <w:t>。</w:t>
      </w:r>
    </w:p>
    <w:p w14:paraId="4C8E6C1F">
      <w:pPr>
        <w:spacing w:line="360" w:lineRule="auto"/>
        <w:rPr>
          <w:rFonts w:ascii="仿宋" w:hAnsi="仿宋" w:eastAsia="仿宋" w:cs="仿宋"/>
          <w:b/>
          <w:sz w:val="24"/>
        </w:rPr>
      </w:pPr>
      <w:r>
        <w:rPr>
          <w:rFonts w:hint="eastAsia" w:ascii="仿宋" w:hAnsi="仿宋" w:eastAsia="仿宋" w:cs="仿宋"/>
          <w:b/>
          <w:sz w:val="24"/>
        </w:rPr>
        <w:t>二、投标人的资格要求：</w:t>
      </w:r>
    </w:p>
    <w:p w14:paraId="4ED29E09">
      <w:pPr>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未被“信用中国”（www.creditchina.gov.cn）、中国政府采购网（www.ccgp.gov.cn）列入失信被执行人、重大税收违法案件当事人名单、政府采购严重违法失信行为记录名单。</w:t>
      </w:r>
    </w:p>
    <w:p w14:paraId="6EBB40F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2.本项目的特定资格要求：</w:t>
      </w:r>
      <w:r>
        <w:rPr>
          <w:rFonts w:hint="eastAsia" w:ascii="仿宋" w:hAnsi="仿宋" w:eastAsia="仿宋" w:cs="仿宋"/>
          <w:sz w:val="24"/>
          <w:highlight w:val="none"/>
          <w:lang w:val="en-US" w:eastAsia="zh-CN"/>
        </w:rPr>
        <w:t>无</w:t>
      </w:r>
      <w:r>
        <w:rPr>
          <w:rFonts w:hint="eastAsia" w:ascii="仿宋" w:hAnsi="仿宋" w:eastAsia="仿宋" w:cs="仿宋"/>
          <w:sz w:val="24"/>
          <w:highlight w:val="none"/>
        </w:rPr>
        <w:t>。</w:t>
      </w:r>
    </w:p>
    <w:p w14:paraId="02B45E3C">
      <w:pPr>
        <w:spacing w:line="360" w:lineRule="auto"/>
        <w:rPr>
          <w:rFonts w:ascii="仿宋" w:hAnsi="仿宋" w:eastAsia="仿宋" w:cs="仿宋"/>
          <w:b/>
          <w:sz w:val="24"/>
        </w:rPr>
      </w:pPr>
      <w:r>
        <w:rPr>
          <w:rFonts w:hint="eastAsia" w:ascii="仿宋" w:hAnsi="仿宋" w:eastAsia="仿宋" w:cs="仿宋"/>
          <w:b/>
          <w:sz w:val="24"/>
        </w:rPr>
        <w:t>三、获取招标文件</w:t>
      </w:r>
    </w:p>
    <w:p w14:paraId="3AC14611">
      <w:pPr>
        <w:spacing w:line="360" w:lineRule="auto"/>
        <w:ind w:firstLine="480" w:firstLineChars="200"/>
        <w:rPr>
          <w:rFonts w:ascii="仿宋" w:hAnsi="仿宋" w:eastAsia="仿宋" w:cs="仿宋"/>
          <w:bCs/>
          <w:sz w:val="24"/>
        </w:rPr>
      </w:pPr>
      <w:r>
        <w:rPr>
          <w:rFonts w:hint="eastAsia" w:ascii="仿宋" w:hAnsi="仿宋" w:eastAsia="仿宋" w:cs="仿宋"/>
          <w:bCs/>
          <w:sz w:val="24"/>
        </w:rPr>
        <w:t>1.招标文件发售时间：2025年</w:t>
      </w:r>
      <w:r>
        <w:rPr>
          <w:rFonts w:hint="eastAsia" w:ascii="仿宋" w:hAnsi="仿宋" w:eastAsia="仿宋" w:cs="仿宋"/>
          <w:bCs/>
          <w:sz w:val="24"/>
          <w:lang w:val="en-US" w:eastAsia="zh-CN"/>
        </w:rPr>
        <w:t>07</w:t>
      </w:r>
      <w:r>
        <w:rPr>
          <w:rFonts w:hint="eastAsia" w:ascii="仿宋" w:hAnsi="仿宋" w:eastAsia="仿宋" w:cs="仿宋"/>
          <w:bCs/>
          <w:sz w:val="24"/>
        </w:rPr>
        <w:t>月</w:t>
      </w:r>
      <w:r>
        <w:rPr>
          <w:rFonts w:hint="eastAsia" w:ascii="仿宋" w:hAnsi="仿宋" w:eastAsia="仿宋" w:cs="仿宋"/>
          <w:bCs/>
          <w:sz w:val="24"/>
          <w:lang w:val="en-US" w:eastAsia="zh-CN"/>
        </w:rPr>
        <w:t>15</w:t>
      </w:r>
      <w:r>
        <w:rPr>
          <w:rFonts w:hint="eastAsia" w:ascii="仿宋" w:hAnsi="仿宋" w:eastAsia="仿宋" w:cs="仿宋"/>
          <w:bCs/>
          <w:sz w:val="24"/>
        </w:rPr>
        <w:t>日至2025年</w:t>
      </w:r>
      <w:r>
        <w:rPr>
          <w:rFonts w:hint="eastAsia" w:ascii="仿宋" w:hAnsi="仿宋" w:eastAsia="仿宋" w:cs="仿宋"/>
          <w:bCs/>
          <w:sz w:val="24"/>
          <w:lang w:val="en-US" w:eastAsia="zh-CN"/>
        </w:rPr>
        <w:t>08</w:t>
      </w:r>
      <w:r>
        <w:rPr>
          <w:rFonts w:hint="eastAsia" w:ascii="仿宋" w:hAnsi="仿宋" w:eastAsia="仿宋" w:cs="仿宋"/>
          <w:bCs/>
          <w:sz w:val="24"/>
        </w:rPr>
        <w:t>月</w:t>
      </w:r>
      <w:r>
        <w:rPr>
          <w:rFonts w:hint="eastAsia" w:ascii="仿宋" w:hAnsi="仿宋" w:eastAsia="仿宋" w:cs="仿宋"/>
          <w:bCs/>
          <w:sz w:val="24"/>
          <w:lang w:val="en-US" w:eastAsia="zh-CN"/>
        </w:rPr>
        <w:t>04</w:t>
      </w:r>
      <w:r>
        <w:rPr>
          <w:rFonts w:hint="eastAsia" w:ascii="仿宋" w:hAnsi="仿宋" w:eastAsia="仿宋" w:cs="仿宋"/>
          <w:bCs/>
          <w:sz w:val="24"/>
        </w:rPr>
        <w:t>日，上午00:00至12:00，下午12:00至23:59（北京时间，线上获取法定节假日均可，线下获取文件法定节假日除外）。</w:t>
      </w:r>
    </w:p>
    <w:p w14:paraId="76989AED">
      <w:pPr>
        <w:spacing w:line="360" w:lineRule="auto"/>
        <w:ind w:firstLine="480" w:firstLineChars="200"/>
        <w:rPr>
          <w:rFonts w:ascii="仿宋" w:hAnsi="仿宋" w:eastAsia="仿宋" w:cs="仿宋"/>
          <w:bCs/>
          <w:sz w:val="24"/>
        </w:rPr>
      </w:pPr>
      <w:r>
        <w:rPr>
          <w:rFonts w:hint="eastAsia" w:ascii="仿宋" w:hAnsi="仿宋" w:eastAsia="仿宋" w:cs="仿宋"/>
          <w:bCs/>
          <w:sz w:val="24"/>
        </w:rPr>
        <w:t>2.地点（网址）：政府采购云平台（https://www.zcygov.cn）。</w:t>
      </w:r>
    </w:p>
    <w:p w14:paraId="09D6559E">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3.方式：供应商登录政采云平台（https://www.zcygov.cn）在线申请获取采购文件（进入“项目采购”应用，在获取采购文件菜单中选择项目，申请获取采购文件。申请时请同步上传报名费转账凭证）。</w:t>
      </w:r>
    </w:p>
    <w:p w14:paraId="464D7058">
      <w:pPr>
        <w:spacing w:line="360" w:lineRule="auto"/>
        <w:ind w:firstLine="480" w:firstLineChars="200"/>
        <w:rPr>
          <w:rFonts w:hint="default" w:ascii="仿宋" w:hAnsi="仿宋" w:eastAsia="仿宋" w:cs="仿宋"/>
          <w:bCs/>
          <w:sz w:val="24"/>
          <w:lang w:val="en-US" w:eastAsia="zh-CN"/>
        </w:rPr>
      </w:pPr>
      <w:r>
        <w:rPr>
          <w:rFonts w:hint="default" w:ascii="仿宋" w:hAnsi="仿宋" w:eastAsia="仿宋" w:cs="仿宋"/>
          <w:bCs/>
          <w:sz w:val="24"/>
          <w:lang w:val="en-US" w:eastAsia="zh-CN"/>
        </w:rPr>
        <w:t>获取文件联系人：</w:t>
      </w:r>
      <w:r>
        <w:rPr>
          <w:rFonts w:hint="eastAsia" w:ascii="仿宋" w:hAnsi="仿宋" w:eastAsia="仿宋" w:cs="仿宋"/>
          <w:bCs/>
          <w:sz w:val="24"/>
          <w:lang w:val="en-US" w:eastAsia="zh-CN"/>
        </w:rPr>
        <w:t>阮锦洋</w:t>
      </w:r>
      <w:r>
        <w:rPr>
          <w:rFonts w:hint="default" w:ascii="仿宋" w:hAnsi="仿宋" w:eastAsia="仿宋" w:cs="仿宋"/>
          <w:bCs/>
          <w:sz w:val="24"/>
          <w:lang w:val="en-US" w:eastAsia="zh-CN"/>
        </w:rPr>
        <w:t>；联系方式：</w:t>
      </w:r>
      <w:r>
        <w:rPr>
          <w:rFonts w:hint="eastAsia" w:ascii="仿宋" w:hAnsi="仿宋" w:eastAsia="仿宋" w:cs="仿宋"/>
          <w:bCs/>
          <w:sz w:val="24"/>
          <w:lang w:val="en-US" w:eastAsia="zh-CN"/>
        </w:rPr>
        <w:t>0571-81061823。</w:t>
      </w:r>
    </w:p>
    <w:p w14:paraId="0CA6C7C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售价：300元整，售后不退。</w:t>
      </w:r>
    </w:p>
    <w:p w14:paraId="519581C5">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收款单位（户名）：浙江国际招投标有限公司</w:t>
      </w:r>
    </w:p>
    <w:p w14:paraId="30B444D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开户银行：工商银行杭州武林支行</w:t>
      </w:r>
    </w:p>
    <w:p w14:paraId="5B9D725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银行账号：1202021209906782015</w:t>
      </w:r>
    </w:p>
    <w:p w14:paraId="4C8DB5F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联系方式：0571-81061823</w:t>
      </w:r>
    </w:p>
    <w:p w14:paraId="357F81B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开票信息请发送邮件至：</w:t>
      </w:r>
      <w:r>
        <w:rPr>
          <w:rFonts w:hint="eastAsia" w:ascii="仿宋" w:hAnsi="仿宋" w:eastAsia="仿宋" w:cs="仿宋"/>
          <w:bCs/>
          <w:sz w:val="24"/>
          <w:lang w:val="en-US" w:eastAsia="zh-CN"/>
        </w:rPr>
        <w:t>laoyaomm@126.com</w:t>
      </w:r>
      <w:r>
        <w:rPr>
          <w:rFonts w:hint="eastAsia" w:ascii="仿宋" w:hAnsi="仿宋" w:eastAsia="仿宋" w:cs="仿宋"/>
          <w:bCs/>
          <w:sz w:val="24"/>
        </w:rPr>
        <w:t>，提供：项目名称或编号、开票资料、收件信息并注明专普票。</w:t>
      </w:r>
    </w:p>
    <w:p w14:paraId="04D8D7A7">
      <w:pPr>
        <w:spacing w:line="360" w:lineRule="auto"/>
        <w:ind w:firstLine="480" w:firstLineChars="200"/>
        <w:rPr>
          <w:rFonts w:ascii="仿宋" w:hAnsi="仿宋" w:eastAsia="仿宋" w:cs="仿宋"/>
          <w:bCs/>
          <w:sz w:val="24"/>
        </w:rPr>
      </w:pPr>
      <w:r>
        <w:rPr>
          <w:rFonts w:hint="eastAsia" w:ascii="仿宋" w:hAnsi="仿宋" w:eastAsia="仿宋" w:cs="仿宋"/>
          <w:bCs/>
          <w:sz w:val="24"/>
        </w:rPr>
        <w:t>5.投标人未按照本公告规定的方式获取招标文件的，投标文件将被拒绝。</w:t>
      </w:r>
    </w:p>
    <w:p w14:paraId="532BD5D7">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7FB78F58">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lang w:eastAsia="zh-CN"/>
        </w:rPr>
        <w:t>2025年</w:t>
      </w:r>
      <w:r>
        <w:rPr>
          <w:rFonts w:hint="eastAsia" w:ascii="仿宋" w:hAnsi="仿宋" w:eastAsia="仿宋" w:cs="仿宋"/>
          <w:sz w:val="24"/>
          <w:lang w:val="en-US" w:eastAsia="zh-CN"/>
        </w:rPr>
        <w:t>08</w:t>
      </w:r>
      <w:r>
        <w:rPr>
          <w:rFonts w:hint="eastAsia" w:ascii="仿宋" w:hAnsi="仿宋" w:eastAsia="仿宋" w:cs="仿宋"/>
          <w:sz w:val="24"/>
          <w:lang w:eastAsia="zh-CN"/>
        </w:rPr>
        <w:t>月</w:t>
      </w:r>
      <w:r>
        <w:rPr>
          <w:rFonts w:hint="eastAsia" w:ascii="仿宋" w:hAnsi="仿宋" w:eastAsia="仿宋" w:cs="仿宋"/>
          <w:sz w:val="24"/>
          <w:lang w:val="en-US" w:eastAsia="zh-CN"/>
        </w:rPr>
        <w:t>05</w:t>
      </w:r>
      <w:r>
        <w:rPr>
          <w:rFonts w:hint="eastAsia" w:ascii="仿宋" w:hAnsi="仿宋" w:eastAsia="仿宋" w:cs="仿宋"/>
          <w:sz w:val="24"/>
          <w:lang w:eastAsia="zh-CN"/>
        </w:rPr>
        <w:t>日</w:t>
      </w:r>
      <w:r>
        <w:rPr>
          <w:rFonts w:hint="eastAsia" w:ascii="仿宋" w:hAnsi="仿宋" w:eastAsia="仿宋" w:cs="仿宋"/>
          <w:sz w:val="24"/>
          <w:lang w:val="en-US" w:eastAsia="zh-CN"/>
        </w:rPr>
        <w:t>09</w:t>
      </w:r>
      <w:r>
        <w:rPr>
          <w:rFonts w:hint="eastAsia" w:ascii="仿宋" w:hAnsi="仿宋" w:eastAsia="仿宋" w:cs="仿宋"/>
          <w:sz w:val="24"/>
          <w:lang w:eastAsia="zh-CN"/>
        </w:rPr>
        <w:t>:</w:t>
      </w:r>
      <w:r>
        <w:rPr>
          <w:rFonts w:hint="eastAsia" w:ascii="仿宋" w:hAnsi="仿宋" w:eastAsia="仿宋" w:cs="仿宋"/>
          <w:sz w:val="24"/>
          <w:lang w:val="en-US" w:eastAsia="zh-CN"/>
        </w:rPr>
        <w:t>30</w:t>
      </w:r>
      <w:r>
        <w:rPr>
          <w:rFonts w:hint="eastAsia" w:ascii="仿宋" w:hAnsi="仿宋" w:eastAsia="仿宋" w:cs="仿宋"/>
          <w:sz w:val="24"/>
          <w:lang w:eastAsia="zh-CN"/>
        </w:rPr>
        <w:t>:00</w:t>
      </w:r>
      <w:r>
        <w:rPr>
          <w:rFonts w:hint="eastAsia" w:ascii="仿宋" w:hAnsi="仿宋" w:eastAsia="仿宋" w:cs="仿宋"/>
          <w:sz w:val="24"/>
        </w:rPr>
        <w:t>（北京时间）</w:t>
      </w:r>
    </w:p>
    <w:p w14:paraId="122A16F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bCs/>
          <w:sz w:val="24"/>
          <w:lang w:eastAsia="zh-CN"/>
        </w:rPr>
        <w:t>投标地点（网址）：</w:t>
      </w:r>
      <w:r>
        <w:rPr>
          <w:rFonts w:hint="eastAsia" w:ascii="仿宋" w:hAnsi="仿宋" w:eastAsia="仿宋" w:cs="仿宋"/>
          <w:sz w:val="24"/>
          <w:lang w:eastAsia="zh-CN"/>
        </w:rPr>
        <w:t>政府采购云平台（https://www.zcygov.cn）。</w:t>
      </w:r>
    </w:p>
    <w:p w14:paraId="12216933">
      <w:pPr>
        <w:spacing w:line="360" w:lineRule="auto"/>
        <w:ind w:firstLine="482" w:firstLineChars="200"/>
        <w:rPr>
          <w:rFonts w:ascii="仿宋" w:hAnsi="仿宋" w:eastAsia="仿宋" w:cs="仿宋"/>
          <w:bCs/>
          <w:sz w:val="24"/>
        </w:rPr>
      </w:pPr>
      <w:r>
        <w:rPr>
          <w:rFonts w:hint="eastAsia" w:ascii="仿宋" w:hAnsi="仿宋" w:eastAsia="仿宋" w:cs="仿宋"/>
          <w:b/>
          <w:sz w:val="24"/>
        </w:rPr>
        <w:t>开标时间：</w:t>
      </w:r>
      <w:r>
        <w:rPr>
          <w:rFonts w:hint="eastAsia" w:ascii="仿宋" w:hAnsi="仿宋" w:eastAsia="仿宋" w:cs="仿宋"/>
          <w:sz w:val="24"/>
          <w:lang w:eastAsia="zh-CN"/>
        </w:rPr>
        <w:t>2025年</w:t>
      </w:r>
      <w:r>
        <w:rPr>
          <w:rFonts w:hint="eastAsia" w:ascii="仿宋" w:hAnsi="仿宋" w:eastAsia="仿宋" w:cs="仿宋"/>
          <w:sz w:val="24"/>
          <w:lang w:val="en-US" w:eastAsia="zh-CN"/>
        </w:rPr>
        <w:t>08</w:t>
      </w:r>
      <w:r>
        <w:rPr>
          <w:rFonts w:hint="eastAsia" w:ascii="仿宋" w:hAnsi="仿宋" w:eastAsia="仿宋" w:cs="仿宋"/>
          <w:sz w:val="24"/>
          <w:lang w:eastAsia="zh-CN"/>
        </w:rPr>
        <w:t>月</w:t>
      </w:r>
      <w:r>
        <w:rPr>
          <w:rFonts w:hint="eastAsia" w:ascii="仿宋" w:hAnsi="仿宋" w:eastAsia="仿宋" w:cs="仿宋"/>
          <w:sz w:val="24"/>
          <w:lang w:val="en-US" w:eastAsia="zh-CN"/>
        </w:rPr>
        <w:t>05</w:t>
      </w:r>
      <w:r>
        <w:rPr>
          <w:rFonts w:hint="eastAsia" w:ascii="仿宋" w:hAnsi="仿宋" w:eastAsia="仿宋" w:cs="仿宋"/>
          <w:sz w:val="24"/>
          <w:lang w:eastAsia="zh-CN"/>
        </w:rPr>
        <w:t>日</w:t>
      </w:r>
      <w:r>
        <w:rPr>
          <w:rFonts w:hint="eastAsia" w:ascii="仿宋" w:hAnsi="仿宋" w:eastAsia="仿宋" w:cs="仿宋"/>
          <w:sz w:val="24"/>
          <w:lang w:val="en-US" w:eastAsia="zh-CN"/>
        </w:rPr>
        <w:t>09</w:t>
      </w:r>
      <w:r>
        <w:rPr>
          <w:rFonts w:hint="eastAsia" w:ascii="仿宋" w:hAnsi="仿宋" w:eastAsia="仿宋" w:cs="仿宋"/>
          <w:sz w:val="24"/>
          <w:lang w:eastAsia="zh-CN"/>
        </w:rPr>
        <w:t>:</w:t>
      </w:r>
      <w:r>
        <w:rPr>
          <w:rFonts w:hint="eastAsia" w:ascii="仿宋" w:hAnsi="仿宋" w:eastAsia="仿宋" w:cs="仿宋"/>
          <w:sz w:val="24"/>
          <w:lang w:val="en-US" w:eastAsia="zh-CN"/>
        </w:rPr>
        <w:t>30</w:t>
      </w:r>
      <w:r>
        <w:rPr>
          <w:rFonts w:hint="eastAsia" w:ascii="仿宋" w:hAnsi="仿宋" w:eastAsia="仿宋" w:cs="仿宋"/>
          <w:sz w:val="24"/>
          <w:lang w:eastAsia="zh-CN"/>
        </w:rPr>
        <w:t>:00</w:t>
      </w:r>
      <w:r>
        <w:rPr>
          <w:rFonts w:hint="eastAsia" w:ascii="仿宋" w:hAnsi="仿宋" w:eastAsia="仿宋" w:cs="仿宋"/>
          <w:sz w:val="24"/>
        </w:rPr>
        <w:t>（北京时间）</w:t>
      </w:r>
    </w:p>
    <w:p w14:paraId="1C891F23">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开标地点（网址）：政府采购云平台（https://www.zcygov.cn）/</w:t>
      </w:r>
      <w:r>
        <w:rPr>
          <w:rFonts w:hint="eastAsia" w:ascii="仿宋" w:hAnsi="仿宋" w:eastAsia="仿宋" w:cs="仿宋"/>
          <w:sz w:val="24"/>
        </w:rPr>
        <w:t>杭州市西湖区文三路90号东部软件园1号楼3楼</w:t>
      </w:r>
      <w:r>
        <w:rPr>
          <w:rFonts w:hint="eastAsia" w:ascii="仿宋" w:hAnsi="仿宋" w:eastAsia="仿宋" w:cs="仿宋"/>
          <w:sz w:val="24"/>
          <w:lang w:val="en-US" w:eastAsia="zh-CN"/>
        </w:rPr>
        <w:t>328会议</w:t>
      </w:r>
      <w:r>
        <w:rPr>
          <w:rFonts w:hint="eastAsia" w:ascii="仿宋" w:hAnsi="仿宋" w:eastAsia="仿宋" w:cs="仿宋"/>
          <w:sz w:val="24"/>
        </w:rPr>
        <w:t>室</w:t>
      </w:r>
      <w:r>
        <w:rPr>
          <w:rFonts w:hint="eastAsia" w:ascii="仿宋" w:hAnsi="仿宋" w:eastAsia="仿宋" w:cs="仿宋"/>
          <w:sz w:val="24"/>
          <w:lang w:eastAsia="zh-CN"/>
        </w:rPr>
        <w:t>。</w:t>
      </w:r>
    </w:p>
    <w:p w14:paraId="775759BD">
      <w:pPr>
        <w:spacing w:line="360" w:lineRule="auto"/>
        <w:rPr>
          <w:rFonts w:ascii="仿宋" w:hAnsi="仿宋" w:eastAsia="仿宋" w:cs="仿宋"/>
          <w:sz w:val="24"/>
        </w:rPr>
      </w:pPr>
      <w:r>
        <w:rPr>
          <w:rFonts w:hint="eastAsia" w:ascii="仿宋" w:hAnsi="仿宋" w:eastAsia="仿宋" w:cs="仿宋"/>
          <w:b/>
          <w:sz w:val="24"/>
        </w:rPr>
        <w:t>五、公告期限</w:t>
      </w:r>
    </w:p>
    <w:p w14:paraId="7C036348">
      <w:pPr>
        <w:spacing w:line="360" w:lineRule="auto"/>
        <w:ind w:firstLine="480" w:firstLineChars="200"/>
        <w:rPr>
          <w:rFonts w:ascii="仿宋" w:hAnsi="仿宋" w:eastAsia="仿宋" w:cs="仿宋"/>
          <w:sz w:val="24"/>
        </w:rPr>
      </w:pPr>
      <w:r>
        <w:rPr>
          <w:rFonts w:hint="eastAsia" w:ascii="仿宋" w:hAnsi="仿宋" w:eastAsia="仿宋" w:cs="仿宋"/>
          <w:sz w:val="24"/>
        </w:rPr>
        <w:t>本采购公告的公告期和招标文件的公告期均为发布之日起5个工作日。</w:t>
      </w:r>
    </w:p>
    <w:p w14:paraId="1C731C24">
      <w:pPr>
        <w:spacing w:line="360" w:lineRule="auto"/>
        <w:rPr>
          <w:rFonts w:ascii="仿宋" w:hAnsi="仿宋" w:eastAsia="仿宋" w:cs="仿宋"/>
          <w:b/>
          <w:sz w:val="24"/>
        </w:rPr>
      </w:pPr>
      <w:r>
        <w:rPr>
          <w:rFonts w:hint="eastAsia" w:ascii="仿宋" w:hAnsi="仿宋" w:eastAsia="仿宋" w:cs="仿宋"/>
          <w:b/>
          <w:sz w:val="24"/>
          <w:lang w:val="en-US" w:eastAsia="zh-CN"/>
        </w:rPr>
        <w:t>六</w:t>
      </w:r>
      <w:r>
        <w:rPr>
          <w:rFonts w:hint="eastAsia" w:ascii="仿宋" w:hAnsi="仿宋" w:eastAsia="仿宋" w:cs="仿宋"/>
          <w:b/>
          <w:sz w:val="24"/>
        </w:rPr>
        <w:t>、其他补充事宜</w:t>
      </w:r>
    </w:p>
    <w:p w14:paraId="7830E045">
      <w:pPr>
        <w:spacing w:line="360" w:lineRule="auto"/>
        <w:ind w:firstLine="480" w:firstLineChars="200"/>
        <w:rPr>
          <w:rFonts w:ascii="仿宋" w:hAnsi="仿宋" w:eastAsia="仿宋" w:cs="仿宋"/>
        </w:rPr>
      </w:pPr>
      <w:r>
        <w:rPr>
          <w:rFonts w:hint="eastAsia" w:ascii="仿宋" w:hAnsi="仿宋" w:eastAsia="仿宋" w:cs="仿宋"/>
          <w:sz w:val="24"/>
        </w:rPr>
        <w:t>投标人认为招标文件使自己的权益受到损害的，可以自获取招标文件之日或者采购公告期限届满之日（公告期限届满后获取招标文件的，以公告期限届满之日为准）起7个工作日内，以书面形式向</w:t>
      </w:r>
      <w:r>
        <w:rPr>
          <w:rFonts w:hint="eastAsia" w:ascii="仿宋" w:hAnsi="仿宋" w:eastAsia="仿宋" w:cs="仿宋"/>
          <w:sz w:val="24"/>
          <w:lang w:eastAsia="zh-CN"/>
        </w:rPr>
        <w:t>采购人</w:t>
      </w:r>
      <w:r>
        <w:rPr>
          <w:rFonts w:hint="eastAsia" w:ascii="仿宋" w:hAnsi="仿宋" w:eastAsia="仿宋" w:cs="仿宋"/>
          <w:sz w:val="24"/>
        </w:rPr>
        <w:t>和采购代理机构提出质疑。质疑投标人对</w:t>
      </w:r>
      <w:r>
        <w:rPr>
          <w:rFonts w:hint="eastAsia" w:ascii="仿宋" w:hAnsi="仿宋" w:eastAsia="仿宋" w:cs="仿宋"/>
          <w:sz w:val="24"/>
          <w:lang w:eastAsia="zh-CN"/>
        </w:rPr>
        <w:t>采购人</w:t>
      </w:r>
      <w:r>
        <w:rPr>
          <w:rFonts w:hint="eastAsia" w:ascii="仿宋" w:hAnsi="仿宋" w:eastAsia="仿宋" w:cs="仿宋"/>
          <w:sz w:val="24"/>
        </w:rPr>
        <w:t>、采购代理机构的答复不满意或者</w:t>
      </w:r>
      <w:r>
        <w:rPr>
          <w:rFonts w:hint="eastAsia" w:ascii="仿宋" w:hAnsi="仿宋" w:eastAsia="仿宋" w:cs="仿宋"/>
          <w:sz w:val="24"/>
          <w:lang w:eastAsia="zh-CN"/>
        </w:rPr>
        <w:t>采购人</w:t>
      </w:r>
      <w:r>
        <w:rPr>
          <w:rFonts w:hint="eastAsia" w:ascii="仿宋" w:hAnsi="仿宋" w:eastAsia="仿宋" w:cs="仿宋"/>
          <w:sz w:val="24"/>
        </w:rPr>
        <w:t>、采购代理机构未在规定的时间内作出答复的，可以在答复期满后十五个工作日内向</w:t>
      </w:r>
      <w:r>
        <w:rPr>
          <w:rFonts w:hint="eastAsia" w:ascii="仿宋" w:hAnsi="仿宋" w:eastAsia="仿宋" w:cs="仿宋"/>
          <w:sz w:val="24"/>
          <w:lang w:eastAsia="zh-CN"/>
        </w:rPr>
        <w:t>采购人</w:t>
      </w:r>
      <w:r>
        <w:rPr>
          <w:rFonts w:hint="eastAsia" w:ascii="仿宋" w:hAnsi="仿宋" w:eastAsia="仿宋" w:cs="仿宋"/>
          <w:sz w:val="24"/>
        </w:rPr>
        <w:t>监督管理部门投诉。质疑函范本、投诉书范本请到浙江政府采购网下载专区下载。</w:t>
      </w:r>
    </w:p>
    <w:p w14:paraId="69803A8B">
      <w:pPr>
        <w:spacing w:line="360" w:lineRule="auto"/>
        <w:rPr>
          <w:rFonts w:ascii="仿宋" w:hAnsi="仿宋" w:eastAsia="仿宋" w:cs="仿宋"/>
          <w:b/>
          <w:sz w:val="24"/>
        </w:rPr>
      </w:pPr>
      <w:r>
        <w:rPr>
          <w:rFonts w:hint="eastAsia" w:ascii="仿宋" w:hAnsi="仿宋" w:eastAsia="仿宋" w:cs="仿宋"/>
          <w:b/>
          <w:sz w:val="24"/>
        </w:rPr>
        <w:t>八、对本次采购提出询问、质疑，请按以下方式联系</w:t>
      </w:r>
    </w:p>
    <w:p w14:paraId="65171ABB">
      <w:pPr>
        <w:widowControl/>
        <w:snapToGrid w:val="0"/>
        <w:spacing w:line="360" w:lineRule="auto"/>
        <w:ind w:firstLine="482" w:firstLineChars="200"/>
        <w:jc w:val="left"/>
        <w:textAlignment w:val="baseline"/>
        <w:rPr>
          <w:rStyle w:val="963"/>
          <w:rFonts w:ascii="仿宋" w:hAnsi="仿宋" w:eastAsia="仿宋" w:cs="仿宋"/>
          <w:b/>
          <w:bCs/>
          <w:sz w:val="24"/>
        </w:rPr>
      </w:pPr>
      <w:r>
        <w:rPr>
          <w:rStyle w:val="963"/>
          <w:rFonts w:hint="eastAsia" w:ascii="仿宋" w:hAnsi="仿宋" w:eastAsia="仿宋" w:cs="仿宋"/>
          <w:b/>
          <w:bCs/>
          <w:sz w:val="24"/>
        </w:rPr>
        <w:t>1.采购人信息</w:t>
      </w:r>
    </w:p>
    <w:p w14:paraId="36ED3042">
      <w:pPr>
        <w:widowControl/>
        <w:snapToGrid w:val="0"/>
        <w:spacing w:line="360" w:lineRule="auto"/>
        <w:ind w:left="420" w:leftChars="200"/>
        <w:jc w:val="left"/>
        <w:textAlignment w:val="baseline"/>
        <w:rPr>
          <w:rStyle w:val="963"/>
          <w:rFonts w:ascii="仿宋" w:hAnsi="仿宋" w:eastAsia="仿宋" w:cs="仿宋"/>
          <w:sz w:val="24"/>
        </w:rPr>
      </w:pPr>
      <w:r>
        <w:rPr>
          <w:rStyle w:val="963"/>
          <w:rFonts w:hint="eastAsia" w:ascii="仿宋" w:hAnsi="仿宋" w:eastAsia="仿宋" w:cs="仿宋"/>
          <w:sz w:val="24"/>
        </w:rPr>
        <w:t>采购人名称：中国计量大学</w:t>
      </w:r>
    </w:p>
    <w:p w14:paraId="2AC02F2B">
      <w:pPr>
        <w:widowControl/>
        <w:snapToGrid w:val="0"/>
        <w:spacing w:line="360" w:lineRule="auto"/>
        <w:ind w:left="420" w:leftChars="200"/>
        <w:jc w:val="left"/>
        <w:textAlignment w:val="baseline"/>
        <w:rPr>
          <w:rStyle w:val="963"/>
          <w:rFonts w:ascii="仿宋" w:hAnsi="仿宋" w:eastAsia="仿宋" w:cs="仿宋"/>
          <w:sz w:val="24"/>
          <w:highlight w:val="none"/>
        </w:rPr>
      </w:pPr>
      <w:r>
        <w:rPr>
          <w:rStyle w:val="963"/>
          <w:rFonts w:hint="eastAsia" w:ascii="仿宋" w:hAnsi="仿宋" w:eastAsia="仿宋" w:cs="仿宋"/>
          <w:sz w:val="24"/>
          <w:highlight w:val="none"/>
        </w:rPr>
        <w:t>地址：浙江省杭州市钱塘区学源街258号</w:t>
      </w:r>
    </w:p>
    <w:p w14:paraId="35A61BBA">
      <w:pPr>
        <w:widowControl/>
        <w:snapToGrid w:val="0"/>
        <w:spacing w:line="360" w:lineRule="auto"/>
        <w:ind w:left="420" w:leftChars="200"/>
        <w:jc w:val="left"/>
        <w:textAlignment w:val="baseline"/>
        <w:rPr>
          <w:rStyle w:val="963"/>
          <w:rFonts w:ascii="仿宋" w:hAnsi="仿宋" w:eastAsia="仿宋" w:cs="仿宋"/>
          <w:sz w:val="24"/>
          <w:highlight w:val="none"/>
        </w:rPr>
      </w:pPr>
      <w:r>
        <w:rPr>
          <w:rStyle w:val="963"/>
          <w:rFonts w:hint="eastAsia" w:ascii="仿宋" w:hAnsi="仿宋" w:eastAsia="仿宋" w:cs="仿宋"/>
          <w:sz w:val="24"/>
          <w:highlight w:val="none"/>
        </w:rPr>
        <w:t>项目联系人（询问）：</w:t>
      </w:r>
      <w:r>
        <w:rPr>
          <w:rStyle w:val="963"/>
          <w:rFonts w:hint="eastAsia" w:ascii="仿宋" w:hAnsi="仿宋" w:eastAsia="仿宋" w:cs="仿宋"/>
          <w:sz w:val="24"/>
          <w:highlight w:val="none"/>
          <w:lang w:val="en-US"/>
        </w:rPr>
        <w:t>孔</w:t>
      </w:r>
      <w:r>
        <w:rPr>
          <w:rStyle w:val="963"/>
          <w:rFonts w:hint="eastAsia" w:ascii="仿宋" w:hAnsi="仿宋" w:eastAsia="仿宋" w:cs="仿宋"/>
          <w:sz w:val="24"/>
          <w:highlight w:val="none"/>
        </w:rPr>
        <w:t>老师</w:t>
      </w:r>
    </w:p>
    <w:p w14:paraId="7B603CB7">
      <w:pPr>
        <w:widowControl/>
        <w:snapToGrid w:val="0"/>
        <w:spacing w:line="360" w:lineRule="auto"/>
        <w:ind w:left="420" w:leftChars="200"/>
        <w:jc w:val="left"/>
        <w:textAlignment w:val="baseline"/>
        <w:rPr>
          <w:rStyle w:val="963"/>
          <w:rFonts w:hint="default" w:ascii="仿宋" w:hAnsi="仿宋" w:eastAsia="仿宋" w:cs="仿宋"/>
          <w:sz w:val="24"/>
          <w:highlight w:val="none"/>
          <w:lang w:val="en-US"/>
        </w:rPr>
      </w:pPr>
      <w:r>
        <w:rPr>
          <w:rStyle w:val="963"/>
          <w:rFonts w:hint="eastAsia" w:ascii="仿宋" w:hAnsi="仿宋" w:eastAsia="仿宋" w:cs="仿宋"/>
          <w:sz w:val="24"/>
          <w:highlight w:val="none"/>
        </w:rPr>
        <w:t>项目联系方式（询问）：</w:t>
      </w:r>
      <w:r>
        <w:rPr>
          <w:rFonts w:hint="eastAsia" w:ascii="仿宋" w:hAnsi="仿宋" w:eastAsia="仿宋" w:cs="仿宋"/>
          <w:sz w:val="24"/>
          <w:lang w:val="en-US" w:eastAsia="zh-CN"/>
        </w:rPr>
        <w:t>0571-86914590</w:t>
      </w:r>
    </w:p>
    <w:p w14:paraId="55C47595">
      <w:pPr>
        <w:widowControl/>
        <w:snapToGrid w:val="0"/>
        <w:spacing w:line="360" w:lineRule="auto"/>
        <w:ind w:left="420" w:leftChars="200"/>
        <w:jc w:val="left"/>
        <w:textAlignment w:val="baseline"/>
        <w:rPr>
          <w:rStyle w:val="963"/>
          <w:rFonts w:hint="eastAsia" w:ascii="仿宋" w:hAnsi="仿宋" w:eastAsia="仿宋" w:cs="仿宋"/>
          <w:sz w:val="24"/>
        </w:rPr>
      </w:pPr>
      <w:r>
        <w:rPr>
          <w:rStyle w:val="963"/>
          <w:rFonts w:hint="eastAsia" w:ascii="仿宋" w:hAnsi="仿宋" w:eastAsia="仿宋" w:cs="仿宋"/>
          <w:sz w:val="24"/>
        </w:rPr>
        <w:t>质疑联系人：崔老师</w:t>
      </w:r>
    </w:p>
    <w:p w14:paraId="56ADB11A">
      <w:pPr>
        <w:widowControl/>
        <w:snapToGrid w:val="0"/>
        <w:spacing w:line="360" w:lineRule="auto"/>
        <w:ind w:left="420" w:leftChars="200"/>
        <w:jc w:val="left"/>
        <w:textAlignment w:val="baseline"/>
        <w:rPr>
          <w:rStyle w:val="963"/>
          <w:rFonts w:ascii="仿宋" w:hAnsi="仿宋" w:eastAsia="仿宋" w:cs="仿宋"/>
          <w:sz w:val="24"/>
        </w:rPr>
      </w:pPr>
      <w:r>
        <w:rPr>
          <w:rStyle w:val="963"/>
          <w:rFonts w:hint="eastAsia" w:ascii="仿宋" w:hAnsi="仿宋" w:eastAsia="仿宋" w:cs="仿宋"/>
          <w:sz w:val="24"/>
        </w:rPr>
        <w:t>质疑联系方式：0571-86836055</w:t>
      </w:r>
    </w:p>
    <w:p w14:paraId="6528FD63">
      <w:pPr>
        <w:widowControl/>
        <w:snapToGrid w:val="0"/>
        <w:spacing w:line="360" w:lineRule="auto"/>
        <w:ind w:left="420" w:leftChars="200"/>
        <w:jc w:val="left"/>
        <w:textAlignment w:val="baseline"/>
        <w:rPr>
          <w:rStyle w:val="963"/>
          <w:rFonts w:ascii="仿宋" w:hAnsi="仿宋" w:eastAsia="仿宋" w:cs="仿宋"/>
          <w:b/>
          <w:bCs/>
          <w:color w:val="000000"/>
          <w:sz w:val="24"/>
        </w:rPr>
      </w:pPr>
      <w:r>
        <w:rPr>
          <w:rStyle w:val="963"/>
          <w:rFonts w:hint="eastAsia" w:ascii="仿宋" w:hAnsi="仿宋" w:eastAsia="仿宋" w:cs="仿宋"/>
          <w:b/>
          <w:bCs/>
          <w:color w:val="000000"/>
          <w:sz w:val="24"/>
        </w:rPr>
        <w:t>2.采购代理机构信息</w:t>
      </w:r>
    </w:p>
    <w:p w14:paraId="54D83701">
      <w:pPr>
        <w:widowControl/>
        <w:snapToGrid w:val="0"/>
        <w:spacing w:line="360" w:lineRule="auto"/>
        <w:ind w:left="420" w:leftChars="200"/>
        <w:jc w:val="left"/>
        <w:textAlignment w:val="baseline"/>
        <w:rPr>
          <w:rStyle w:val="963"/>
          <w:rFonts w:ascii="仿宋" w:hAnsi="仿宋" w:eastAsia="仿宋" w:cs="仿宋"/>
          <w:color w:val="000000"/>
          <w:sz w:val="24"/>
        </w:rPr>
      </w:pPr>
      <w:r>
        <w:rPr>
          <w:rStyle w:val="963"/>
          <w:rFonts w:hint="eastAsia" w:ascii="仿宋" w:hAnsi="仿宋" w:eastAsia="仿宋" w:cs="仿宋"/>
          <w:color w:val="000000"/>
          <w:sz w:val="24"/>
        </w:rPr>
        <w:t>采购代理机构名称：浙江国际招投标有限公司</w:t>
      </w:r>
    </w:p>
    <w:p w14:paraId="4204D17D">
      <w:pPr>
        <w:widowControl/>
        <w:snapToGrid w:val="0"/>
        <w:spacing w:line="360" w:lineRule="auto"/>
        <w:ind w:left="420" w:leftChars="200"/>
        <w:jc w:val="left"/>
        <w:textAlignment w:val="baseline"/>
        <w:rPr>
          <w:rStyle w:val="963"/>
          <w:rFonts w:ascii="仿宋" w:hAnsi="仿宋" w:eastAsia="仿宋" w:cs="仿宋"/>
          <w:color w:val="000000"/>
          <w:sz w:val="24"/>
        </w:rPr>
      </w:pPr>
      <w:r>
        <w:rPr>
          <w:rStyle w:val="963"/>
          <w:rFonts w:hint="eastAsia" w:ascii="仿宋" w:hAnsi="仿宋" w:eastAsia="仿宋" w:cs="仿宋"/>
          <w:color w:val="000000"/>
          <w:sz w:val="24"/>
        </w:rPr>
        <w:t>地址：浙江省杭州市西湖区文三路90号东部软件园1号楼3楼</w:t>
      </w:r>
    </w:p>
    <w:p w14:paraId="473F9087">
      <w:pPr>
        <w:widowControl/>
        <w:snapToGrid w:val="0"/>
        <w:spacing w:line="360" w:lineRule="auto"/>
        <w:ind w:left="420" w:leftChars="200"/>
        <w:jc w:val="left"/>
        <w:textAlignment w:val="baseline"/>
        <w:rPr>
          <w:rStyle w:val="963"/>
          <w:rFonts w:ascii="仿宋" w:hAnsi="仿宋" w:eastAsia="仿宋" w:cs="仿宋"/>
          <w:color w:val="000000"/>
          <w:sz w:val="24"/>
        </w:rPr>
      </w:pPr>
      <w:r>
        <w:rPr>
          <w:rStyle w:val="963"/>
          <w:rFonts w:hint="eastAsia" w:ascii="仿宋" w:hAnsi="仿宋" w:eastAsia="仿宋" w:cs="仿宋"/>
          <w:color w:val="000000"/>
          <w:sz w:val="24"/>
        </w:rPr>
        <w:t>执行岗联系人：阮锦洋</w:t>
      </w:r>
    </w:p>
    <w:p w14:paraId="4C9156AF">
      <w:pPr>
        <w:widowControl/>
        <w:snapToGrid w:val="0"/>
        <w:spacing w:line="360" w:lineRule="auto"/>
        <w:ind w:left="420" w:leftChars="200"/>
        <w:jc w:val="left"/>
        <w:textAlignment w:val="baseline"/>
        <w:rPr>
          <w:rStyle w:val="963"/>
          <w:rFonts w:ascii="仿宋" w:hAnsi="仿宋" w:eastAsia="仿宋" w:cs="仿宋"/>
          <w:color w:val="000000"/>
          <w:sz w:val="24"/>
        </w:rPr>
      </w:pPr>
      <w:r>
        <w:rPr>
          <w:rStyle w:val="963"/>
          <w:rFonts w:hint="eastAsia" w:ascii="仿宋" w:hAnsi="仿宋" w:eastAsia="仿宋" w:cs="仿宋"/>
          <w:color w:val="000000"/>
          <w:sz w:val="24"/>
        </w:rPr>
        <w:t>联系电话：0571-81061823</w:t>
      </w:r>
    </w:p>
    <w:p w14:paraId="7A98C999">
      <w:pPr>
        <w:widowControl/>
        <w:snapToGrid w:val="0"/>
        <w:spacing w:line="360" w:lineRule="auto"/>
        <w:ind w:left="420" w:leftChars="200"/>
        <w:jc w:val="left"/>
        <w:textAlignment w:val="baseline"/>
        <w:rPr>
          <w:rStyle w:val="963"/>
          <w:rFonts w:ascii="仿宋" w:hAnsi="仿宋" w:eastAsia="仿宋" w:cs="仿宋"/>
          <w:color w:val="000000"/>
          <w:sz w:val="24"/>
        </w:rPr>
      </w:pPr>
      <w:r>
        <w:rPr>
          <w:rStyle w:val="963"/>
          <w:rFonts w:hint="eastAsia" w:ascii="仿宋" w:hAnsi="仿宋" w:eastAsia="仿宋" w:cs="仿宋"/>
          <w:color w:val="000000"/>
          <w:sz w:val="24"/>
        </w:rPr>
        <w:t>邮箱：laoyaomm@126.com</w:t>
      </w:r>
    </w:p>
    <w:p w14:paraId="2B87064B">
      <w:pPr>
        <w:widowControl/>
        <w:snapToGrid w:val="0"/>
        <w:spacing w:line="360" w:lineRule="auto"/>
        <w:ind w:left="420" w:leftChars="200"/>
        <w:jc w:val="left"/>
        <w:textAlignment w:val="baseline"/>
        <w:rPr>
          <w:rStyle w:val="963"/>
          <w:rFonts w:ascii="仿宋" w:hAnsi="仿宋" w:eastAsia="仿宋" w:cs="仿宋"/>
          <w:color w:val="000000"/>
          <w:sz w:val="24"/>
        </w:rPr>
      </w:pPr>
      <w:r>
        <w:rPr>
          <w:rStyle w:val="963"/>
          <w:rFonts w:hint="eastAsia" w:ascii="仿宋" w:hAnsi="仿宋" w:eastAsia="仿宋" w:cs="仿宋"/>
          <w:color w:val="000000"/>
          <w:sz w:val="24"/>
        </w:rPr>
        <w:t>质疑受理联系人：赵娟</w:t>
      </w:r>
    </w:p>
    <w:p w14:paraId="6EFA6C41">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rPr>
      </w:pPr>
      <w:r>
        <w:rPr>
          <w:rStyle w:val="963"/>
          <w:rFonts w:hint="eastAsia" w:ascii="仿宋" w:hAnsi="仿宋" w:eastAsia="仿宋" w:cs="仿宋"/>
          <w:color w:val="000000"/>
          <w:sz w:val="24"/>
          <w:highlight w:val="none"/>
        </w:rPr>
        <w:t>联系电话：0571-81061819</w:t>
      </w:r>
    </w:p>
    <w:p w14:paraId="1556F3AA">
      <w:pPr>
        <w:widowControl/>
        <w:snapToGrid w:val="0"/>
        <w:spacing w:line="360" w:lineRule="auto"/>
        <w:ind w:left="420" w:leftChars="200"/>
        <w:jc w:val="left"/>
        <w:textAlignment w:val="baseline"/>
        <w:rPr>
          <w:rStyle w:val="963"/>
          <w:rFonts w:hint="eastAsia" w:ascii="仿宋" w:hAnsi="仿宋" w:eastAsia="仿宋" w:cs="仿宋"/>
          <w:b/>
          <w:bCs/>
          <w:color w:val="000000"/>
          <w:sz w:val="24"/>
          <w:highlight w:val="none"/>
          <w:lang w:val="en-US" w:eastAsia="zh-CN"/>
        </w:rPr>
      </w:pPr>
      <w:r>
        <w:rPr>
          <w:rStyle w:val="963"/>
          <w:rFonts w:hint="eastAsia" w:ascii="仿宋" w:hAnsi="仿宋" w:eastAsia="仿宋" w:cs="仿宋"/>
          <w:b/>
          <w:bCs/>
          <w:color w:val="000000"/>
          <w:sz w:val="24"/>
          <w:highlight w:val="none"/>
          <w:lang w:val="en-US" w:eastAsia="zh-CN"/>
        </w:rPr>
        <w:t>3.采购监督管理部门</w:t>
      </w:r>
    </w:p>
    <w:p w14:paraId="50BBFF4E">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名称：中国计量大学纪检监察室</w:t>
      </w:r>
    </w:p>
    <w:p w14:paraId="6BCBF33B">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地址：杭州市下沙高教园区学源街258号</w:t>
      </w:r>
    </w:p>
    <w:p w14:paraId="4F8D6ECA">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传真：/</w:t>
      </w:r>
    </w:p>
    <w:p w14:paraId="45A81CAE">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联系人：涂老师</w:t>
      </w:r>
    </w:p>
    <w:p w14:paraId="58D3E4A4">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监督投诉电话：0571-86836044</w:t>
      </w:r>
    </w:p>
    <w:p w14:paraId="5849EFE7">
      <w:pPr>
        <w:widowControl/>
        <w:snapToGrid w:val="0"/>
        <w:spacing w:line="360" w:lineRule="auto"/>
        <w:ind w:firstLine="480" w:firstLine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12EB1500">
      <w:pPr>
        <w:widowControl/>
        <w:snapToGrid w:val="0"/>
        <w:spacing w:line="360" w:lineRule="auto"/>
        <w:ind w:left="420" w:leftChars="200"/>
        <w:jc w:val="left"/>
        <w:textAlignment w:val="baseline"/>
        <w:rPr>
          <w:rStyle w:val="963"/>
          <w:rFonts w:hint="eastAsia" w:ascii="仿宋" w:hAnsi="仿宋" w:eastAsia="仿宋" w:cs="仿宋"/>
          <w:color w:val="000000"/>
          <w:sz w:val="24"/>
          <w:highlight w:val="none"/>
          <w:lang w:val="en-US" w:eastAsia="zh-CN"/>
        </w:rPr>
      </w:pPr>
      <w:r>
        <w:rPr>
          <w:rStyle w:val="963"/>
          <w:rFonts w:hint="eastAsia" w:ascii="仿宋" w:hAnsi="仿宋" w:eastAsia="仿宋" w:cs="仿宋"/>
          <w:color w:val="000000"/>
          <w:sz w:val="24"/>
          <w:highlight w:val="none"/>
          <w:lang w:val="en-US" w:eastAsia="zh-CN"/>
        </w:rPr>
        <w:t>CA问题联系电话（人工）：汇信CA400-888-4636；天谷CA400-087-8198。</w:t>
      </w:r>
    </w:p>
    <w:p w14:paraId="50FFF2FE">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BAE53CF">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07"/>
        <w:gridCol w:w="6131"/>
      </w:tblGrid>
      <w:tr w14:paraId="35A2A5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Pr>
          <w:p w14:paraId="6F77E7A0">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07" w:type="dxa"/>
            <w:vAlign w:val="center"/>
          </w:tcPr>
          <w:p w14:paraId="53EC798C">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31" w:type="dxa"/>
            <w:vAlign w:val="center"/>
          </w:tcPr>
          <w:p w14:paraId="4C721203">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41EB2B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41" w:hRule="atLeast"/>
        </w:trPr>
        <w:tc>
          <w:tcPr>
            <w:tcW w:w="629" w:type="dxa"/>
            <w:vAlign w:val="center"/>
          </w:tcPr>
          <w:p w14:paraId="030C282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07" w:type="dxa"/>
            <w:vAlign w:val="center"/>
          </w:tcPr>
          <w:p w14:paraId="2291EA4D">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31" w:type="dxa"/>
            <w:vAlign w:val="center"/>
          </w:tcPr>
          <w:p w14:paraId="590A23E0">
            <w:pPr>
              <w:spacing w:line="360" w:lineRule="auto"/>
              <w:rPr>
                <w:rFonts w:ascii="仿宋" w:hAnsi="仿宋" w:eastAsia="仿宋" w:cs="仿宋"/>
              </w:rPr>
            </w:pPr>
            <w:r>
              <w:rPr>
                <w:rFonts w:hint="eastAsia" w:ascii="仿宋" w:hAnsi="仿宋" w:eastAsia="仿宋" w:cs="仿宋"/>
                <w:sz w:val="24"/>
                <w:highlight w:val="none"/>
              </w:rPr>
              <w:t>货物类，核心产品为：</w:t>
            </w:r>
            <w:r>
              <w:rPr>
                <w:rFonts w:hint="eastAsia" w:ascii="仿宋" w:hAnsi="仿宋" w:eastAsia="仿宋" w:cs="仿宋"/>
                <w:sz w:val="24"/>
                <w:highlight w:val="none"/>
                <w:u w:val="single"/>
                <w:lang w:val="en-US" w:eastAsia="zh-CN"/>
              </w:rPr>
              <w:t>无刷通用翼</w:t>
            </w:r>
            <w:r>
              <w:rPr>
                <w:rFonts w:hint="eastAsia" w:ascii="仿宋" w:hAnsi="仿宋" w:eastAsia="仿宋" w:cs="仿宋"/>
                <w:sz w:val="24"/>
                <w:u w:val="single"/>
              </w:rPr>
              <w:t>闸中间道</w:t>
            </w:r>
            <w:r>
              <w:rPr>
                <w:rFonts w:hint="eastAsia" w:ascii="仿宋" w:hAnsi="仿宋" w:eastAsia="仿宋" w:cs="仿宋"/>
                <w:sz w:val="24"/>
                <w:highlight w:val="none"/>
                <w:u w:val="none"/>
              </w:rPr>
              <w:t>。</w:t>
            </w:r>
          </w:p>
        </w:tc>
      </w:tr>
      <w:tr w14:paraId="6CAAD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041" w:hRule="atLeast"/>
        </w:trPr>
        <w:tc>
          <w:tcPr>
            <w:tcW w:w="629" w:type="dxa"/>
            <w:vAlign w:val="center"/>
          </w:tcPr>
          <w:p w14:paraId="767FE364">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807" w:type="dxa"/>
            <w:vAlign w:val="center"/>
          </w:tcPr>
          <w:p w14:paraId="54BF332F">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131" w:type="dxa"/>
            <w:vAlign w:val="center"/>
          </w:tcPr>
          <w:p w14:paraId="33B4B8DA">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1</w:t>
            </w:r>
            <w:r>
              <w:rPr>
                <w:rFonts w:hint="eastAsia" w:ascii="仿宋" w:hAnsi="仿宋" w:eastAsia="仿宋" w:cs="仿宋"/>
                <w:sz w:val="24"/>
              </w:rPr>
              <w:t>：公寓道闸系统管理平台，属于</w:t>
            </w:r>
            <w:r>
              <w:rPr>
                <w:rFonts w:hint="eastAsia" w:ascii="仿宋" w:hAnsi="仿宋" w:eastAsia="仿宋" w:cs="仿宋"/>
                <w:sz w:val="24"/>
                <w:u w:val="single"/>
              </w:rPr>
              <w:t>软件和信息技术服务业</w:t>
            </w:r>
            <w:r>
              <w:rPr>
                <w:rFonts w:hint="eastAsia" w:ascii="仿宋" w:hAnsi="仿宋" w:eastAsia="仿宋" w:cs="仿宋"/>
                <w:sz w:val="24"/>
                <w:u w:val="single"/>
                <w:lang w:val="en-US" w:eastAsia="zh-CN"/>
              </w:rPr>
              <w:t>行业</w:t>
            </w:r>
            <w:r>
              <w:rPr>
                <w:rFonts w:hint="eastAsia" w:ascii="仿宋" w:hAnsi="仿宋" w:eastAsia="仿宋" w:cs="仿宋"/>
                <w:sz w:val="24"/>
              </w:rPr>
              <w:t>。</w:t>
            </w:r>
          </w:p>
          <w:p w14:paraId="4D7B795A">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2</w:t>
            </w:r>
            <w:r>
              <w:rPr>
                <w:rFonts w:hint="eastAsia" w:ascii="仿宋" w:hAnsi="仿宋" w:eastAsia="仿宋" w:cs="仿宋"/>
                <w:sz w:val="24"/>
              </w:rPr>
              <w:t>：无刷通用翼闸左边道，属于</w:t>
            </w:r>
            <w:r>
              <w:rPr>
                <w:rFonts w:hint="eastAsia" w:ascii="仿宋" w:hAnsi="仿宋" w:eastAsia="仿宋" w:cs="仿宋"/>
                <w:sz w:val="24"/>
                <w:u w:val="single"/>
                <w:lang w:val="en-US" w:eastAsia="zh-CN"/>
              </w:rPr>
              <w:t>工业行业</w:t>
            </w:r>
            <w:r>
              <w:rPr>
                <w:rFonts w:hint="eastAsia" w:ascii="仿宋" w:hAnsi="仿宋" w:eastAsia="仿宋" w:cs="仿宋"/>
                <w:sz w:val="24"/>
              </w:rPr>
              <w:t>。</w:t>
            </w:r>
          </w:p>
          <w:p w14:paraId="45877C23">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3</w:t>
            </w:r>
            <w:r>
              <w:rPr>
                <w:rFonts w:hint="eastAsia" w:ascii="仿宋" w:hAnsi="仿宋" w:eastAsia="仿宋" w:cs="仿宋"/>
                <w:sz w:val="24"/>
              </w:rPr>
              <w:t>：无刷通用翼闸中间道，属于</w:t>
            </w:r>
            <w:r>
              <w:rPr>
                <w:rFonts w:hint="eastAsia" w:ascii="仿宋" w:hAnsi="仿宋" w:eastAsia="仿宋" w:cs="仿宋"/>
                <w:sz w:val="24"/>
                <w:u w:val="single"/>
                <w:lang w:val="en-US" w:eastAsia="zh-CN"/>
              </w:rPr>
              <w:t>工业行业</w:t>
            </w:r>
            <w:r>
              <w:rPr>
                <w:rFonts w:hint="eastAsia" w:ascii="仿宋" w:hAnsi="仿宋" w:eastAsia="仿宋" w:cs="仿宋"/>
                <w:sz w:val="24"/>
              </w:rPr>
              <w:t>。</w:t>
            </w:r>
          </w:p>
          <w:p w14:paraId="3006F38D">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无刷通用翼闸右边道</w:t>
            </w:r>
            <w:r>
              <w:rPr>
                <w:rFonts w:hint="eastAsia" w:ascii="仿宋" w:hAnsi="仿宋" w:eastAsia="仿宋" w:cs="仿宋"/>
                <w:sz w:val="24"/>
              </w:rPr>
              <w:t>，属于</w:t>
            </w:r>
            <w:r>
              <w:rPr>
                <w:rFonts w:hint="eastAsia" w:ascii="仿宋" w:hAnsi="仿宋" w:eastAsia="仿宋" w:cs="仿宋"/>
                <w:sz w:val="24"/>
                <w:u w:val="single"/>
                <w:lang w:val="en-US" w:eastAsia="zh-CN"/>
              </w:rPr>
              <w:t>工业行业</w:t>
            </w:r>
            <w:r>
              <w:rPr>
                <w:rFonts w:hint="eastAsia" w:ascii="仿宋" w:hAnsi="仿宋" w:eastAsia="仿宋" w:cs="仿宋"/>
                <w:sz w:val="24"/>
              </w:rPr>
              <w:t>。</w:t>
            </w:r>
          </w:p>
          <w:p w14:paraId="01DA6197">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5</w:t>
            </w:r>
            <w:r>
              <w:rPr>
                <w:rFonts w:hint="eastAsia" w:ascii="仿宋" w:hAnsi="仿宋" w:eastAsia="仿宋" w:cs="仿宋"/>
                <w:sz w:val="24"/>
              </w:rPr>
              <w:t>：通道人脸组件，属于</w:t>
            </w:r>
            <w:r>
              <w:rPr>
                <w:rFonts w:hint="eastAsia" w:ascii="仿宋" w:hAnsi="仿宋" w:eastAsia="仿宋" w:cs="仿宋"/>
                <w:sz w:val="24"/>
                <w:u w:val="single"/>
                <w:lang w:val="en-US" w:eastAsia="zh-CN"/>
              </w:rPr>
              <w:t>工业行业</w:t>
            </w:r>
            <w:r>
              <w:rPr>
                <w:rFonts w:hint="eastAsia" w:ascii="仿宋" w:hAnsi="仿宋" w:eastAsia="仿宋" w:cs="仿宋"/>
                <w:sz w:val="24"/>
              </w:rPr>
              <w:t>。</w:t>
            </w:r>
          </w:p>
          <w:p w14:paraId="3E4D4C45">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b w:val="0"/>
                <w:bCs w:val="0"/>
                <w:color w:val="000000"/>
                <w:kern w:val="0"/>
                <w:sz w:val="24"/>
                <w:szCs w:val="24"/>
                <w:lang w:val="en-US" w:eastAsia="zh-CN"/>
              </w:rPr>
              <w:t>摄像机</w:t>
            </w:r>
            <w:r>
              <w:rPr>
                <w:rFonts w:hint="eastAsia" w:ascii="仿宋" w:hAnsi="仿宋" w:eastAsia="仿宋" w:cs="仿宋"/>
                <w:sz w:val="24"/>
              </w:rPr>
              <w:t>，属于</w:t>
            </w:r>
            <w:r>
              <w:rPr>
                <w:rFonts w:hint="eastAsia" w:ascii="仿宋" w:hAnsi="仿宋" w:eastAsia="仿宋" w:cs="仿宋"/>
                <w:sz w:val="24"/>
                <w:u w:val="single"/>
                <w:lang w:val="en-US" w:eastAsia="zh-CN"/>
              </w:rPr>
              <w:t>工业行业</w:t>
            </w:r>
            <w:r>
              <w:rPr>
                <w:rFonts w:hint="eastAsia" w:ascii="仿宋" w:hAnsi="仿宋" w:eastAsia="仿宋" w:cs="仿宋"/>
                <w:sz w:val="24"/>
              </w:rPr>
              <w:t>。</w:t>
            </w:r>
          </w:p>
          <w:p w14:paraId="4C1410EC">
            <w:pPr>
              <w:spacing w:line="360" w:lineRule="auto"/>
              <w:rPr>
                <w:rFonts w:hint="eastAsia"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b w:val="0"/>
                <w:bCs w:val="0"/>
                <w:color w:val="000000"/>
                <w:kern w:val="0"/>
                <w:sz w:val="24"/>
                <w:szCs w:val="24"/>
                <w:lang w:val="en-US" w:eastAsia="zh-CN"/>
              </w:rPr>
              <w:t>硬盘录像机</w:t>
            </w:r>
            <w:r>
              <w:rPr>
                <w:rFonts w:hint="eastAsia" w:ascii="仿宋" w:hAnsi="仿宋" w:eastAsia="仿宋" w:cs="仿宋"/>
                <w:sz w:val="24"/>
              </w:rPr>
              <w:t>，属于</w:t>
            </w:r>
            <w:r>
              <w:rPr>
                <w:rFonts w:hint="eastAsia" w:ascii="仿宋" w:hAnsi="仿宋" w:eastAsia="仿宋" w:cs="仿宋"/>
                <w:sz w:val="24"/>
                <w:u w:val="single"/>
              </w:rPr>
              <w:t>工业</w:t>
            </w:r>
            <w:r>
              <w:rPr>
                <w:rFonts w:hint="eastAsia" w:ascii="仿宋" w:hAnsi="仿宋" w:eastAsia="仿宋" w:cs="仿宋"/>
                <w:sz w:val="24"/>
                <w:u w:val="single"/>
                <w:lang w:val="en-US" w:eastAsia="zh-CN"/>
              </w:rPr>
              <w:t>行业</w:t>
            </w:r>
            <w:r>
              <w:rPr>
                <w:rFonts w:hint="eastAsia" w:ascii="仿宋" w:hAnsi="仿宋" w:eastAsia="仿宋" w:cs="仿宋"/>
                <w:sz w:val="24"/>
              </w:rPr>
              <w:t>。</w:t>
            </w:r>
          </w:p>
          <w:p w14:paraId="777AB681"/>
          <w:p w14:paraId="2E1992E1">
            <w:pPr>
              <w:spacing w:line="360" w:lineRule="auto"/>
              <w:rPr>
                <w:rFonts w:hint="eastAsia" w:ascii="仿宋" w:hAnsi="仿宋" w:eastAsia="仿宋" w:cs="仿宋"/>
                <w:sz w:val="24"/>
              </w:rPr>
            </w:pPr>
            <w:r>
              <w:rPr>
                <w:rFonts w:hint="eastAsia" w:ascii="仿宋" w:hAnsi="仿宋" w:eastAsia="仿宋" w:cs="仿宋"/>
                <w:sz w:val="24"/>
              </w:rPr>
              <w:t>根据《关于印发中小企业划型标准规定的通知》（工信部联企业〔2011〕300）第四条第（二）项规定：</w:t>
            </w:r>
          </w:p>
          <w:p w14:paraId="560CA63A">
            <w:pPr>
              <w:spacing w:line="360" w:lineRule="auto"/>
              <w:rPr>
                <w:rFonts w:hint="eastAsia" w:ascii="仿宋" w:hAnsi="仿宋" w:eastAsia="仿宋" w:cs="仿宋"/>
                <w:sz w:val="24"/>
                <w:lang w:val="en-US"/>
              </w:rPr>
            </w:pPr>
            <w:r>
              <w:rPr>
                <w:rFonts w:hint="eastAsia" w:ascii="仿宋" w:hAnsi="仿宋" w:eastAsia="仿宋" w:cs="仿宋"/>
                <w:sz w:val="24"/>
                <w:u w:val="single"/>
              </w:rPr>
              <w:t>软件和信息技术服务业</w:t>
            </w:r>
            <w:r>
              <w:rPr>
                <w:rFonts w:hint="eastAsia" w:ascii="仿宋" w:hAnsi="仿宋" w:eastAsia="仿宋" w:cs="仿宋"/>
                <w:sz w:val="24"/>
                <w:u w:val="single"/>
                <w:lang w:val="en-US"/>
              </w:rPr>
              <w:t>行业</w:t>
            </w:r>
            <w:r>
              <w:rPr>
                <w:rFonts w:hint="eastAsia" w:ascii="仿宋" w:hAnsi="仿宋" w:eastAsia="仿宋" w:cs="仿宋"/>
                <w:sz w:val="24"/>
                <w:lang w:val="en-US"/>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8E0813">
            <w:pPr>
              <w:spacing w:line="360" w:lineRule="auto"/>
              <w:rPr>
                <w:rFonts w:hint="eastAsia" w:ascii="仿宋" w:hAnsi="仿宋" w:eastAsia="仿宋" w:cs="仿宋"/>
                <w:sz w:val="24"/>
              </w:rPr>
            </w:pPr>
            <w:r>
              <w:rPr>
                <w:rFonts w:hint="eastAsia" w:ascii="仿宋" w:hAnsi="仿宋" w:eastAsia="仿宋" w:cs="仿宋"/>
                <w:sz w:val="24"/>
                <w:u w:val="single"/>
                <w:lang w:val="en-US"/>
              </w:rPr>
              <w:t>工业行业</w:t>
            </w:r>
            <w:r>
              <w:rPr>
                <w:rFonts w:hint="eastAsia" w:ascii="仿宋" w:hAnsi="仿宋" w:eastAsia="仿宋" w:cs="仿宋"/>
                <w:sz w:val="24"/>
                <w:lang w:val="en-US"/>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FBC7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30" w:hRule="atLeast"/>
        </w:trPr>
        <w:tc>
          <w:tcPr>
            <w:tcW w:w="629" w:type="dxa"/>
            <w:vAlign w:val="center"/>
          </w:tcPr>
          <w:p w14:paraId="4851E9B9">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07" w:type="dxa"/>
            <w:vAlign w:val="center"/>
          </w:tcPr>
          <w:p w14:paraId="104A731C">
            <w:pPr>
              <w:snapToGrid w:val="0"/>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分包</w:t>
            </w:r>
          </w:p>
        </w:tc>
        <w:tc>
          <w:tcPr>
            <w:tcW w:w="6131" w:type="dxa"/>
            <w:vAlign w:val="center"/>
          </w:tcPr>
          <w:p w14:paraId="3D849BE6">
            <w:pPr>
              <w:spacing w:line="360" w:lineRule="auto"/>
              <w:ind w:left="240" w:hanging="240" w:hangingChars="100"/>
              <w:rPr>
                <w:rFonts w:hint="eastAsia" w:ascii="仿宋" w:hAnsi="仿宋" w:eastAsia="仿宋" w:cs="仿宋"/>
                <w:sz w:val="24"/>
                <w:highlight w:val="none"/>
                <w:lang w:eastAsia="zh-CN"/>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lang w:val="en-US" w:eastAsia="zh-CN"/>
              </w:rPr>
              <w:t xml:space="preserve"> 培训 </w:t>
            </w:r>
            <w:r>
              <w:rPr>
                <w:rFonts w:hint="eastAsia" w:ascii="仿宋" w:hAnsi="仿宋" w:eastAsia="仿宋" w:cs="仿宋"/>
                <w:sz w:val="24"/>
                <w:highlight w:val="none"/>
              </w:rPr>
              <w:t>工作分包。投标人根据招标文件的规定和采购项目的实际情况，拟在中标后将中标项目的非主体、非关键性工作分包的，应当在投标文件中载明分包承担主体，分包承担主体应当具备相应资质条件且不得再次分包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highlight w:val="none"/>
                <w:lang w:eastAsia="zh-CN"/>
              </w:rPr>
              <w:t>。</w:t>
            </w:r>
          </w:p>
          <w:p w14:paraId="5327883A">
            <w:pPr>
              <w:spacing w:line="360" w:lineRule="auto"/>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5C8E59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72" w:hRule="atLeast"/>
        </w:trPr>
        <w:tc>
          <w:tcPr>
            <w:tcW w:w="629" w:type="dxa"/>
            <w:vMerge w:val="restart"/>
            <w:vAlign w:val="center"/>
          </w:tcPr>
          <w:p w14:paraId="6DB8486A">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807" w:type="dxa"/>
            <w:vMerge w:val="restart"/>
            <w:vAlign w:val="center"/>
          </w:tcPr>
          <w:p w14:paraId="4E5B59C1">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31" w:type="dxa"/>
            <w:vAlign w:val="center"/>
          </w:tcPr>
          <w:p w14:paraId="157D0A4C">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114759E0">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3A914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584" w:hRule="atLeast"/>
        </w:trPr>
        <w:tc>
          <w:tcPr>
            <w:tcW w:w="629" w:type="dxa"/>
            <w:vMerge w:val="continue"/>
          </w:tcPr>
          <w:p w14:paraId="368689D8">
            <w:pPr>
              <w:snapToGrid w:val="0"/>
              <w:spacing w:line="360" w:lineRule="auto"/>
              <w:jc w:val="center"/>
              <w:rPr>
                <w:rFonts w:ascii="仿宋" w:hAnsi="仿宋" w:eastAsia="仿宋" w:cs="仿宋"/>
                <w:sz w:val="24"/>
              </w:rPr>
            </w:pPr>
          </w:p>
        </w:tc>
        <w:tc>
          <w:tcPr>
            <w:tcW w:w="1807" w:type="dxa"/>
            <w:vMerge w:val="continue"/>
            <w:vAlign w:val="center"/>
          </w:tcPr>
          <w:p w14:paraId="7DCC88B3">
            <w:pPr>
              <w:snapToGrid w:val="0"/>
              <w:spacing w:line="360" w:lineRule="auto"/>
              <w:jc w:val="center"/>
              <w:rPr>
                <w:rFonts w:ascii="仿宋" w:hAnsi="仿宋" w:eastAsia="仿宋" w:cs="仿宋"/>
                <w:b/>
                <w:sz w:val="24"/>
              </w:rPr>
            </w:pPr>
          </w:p>
        </w:tc>
        <w:tc>
          <w:tcPr>
            <w:tcW w:w="6131" w:type="dxa"/>
            <w:vAlign w:val="center"/>
          </w:tcPr>
          <w:p w14:paraId="311F3904">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28BC8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866" w:hRule="atLeast"/>
        </w:trPr>
        <w:tc>
          <w:tcPr>
            <w:tcW w:w="629" w:type="dxa"/>
            <w:vAlign w:val="center"/>
          </w:tcPr>
          <w:p w14:paraId="7B7443B2">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807" w:type="dxa"/>
            <w:vAlign w:val="center"/>
          </w:tcPr>
          <w:p w14:paraId="38601678">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31" w:type="dxa"/>
            <w:vAlign w:val="center"/>
          </w:tcPr>
          <w:p w14:paraId="4387BEC9">
            <w:pPr>
              <w:pStyle w:val="84"/>
              <w:rPr>
                <w:rFonts w:ascii="仿宋" w:hAnsi="仿宋" w:eastAsia="仿宋" w:cs="仿宋"/>
                <w:color w:val="auto"/>
              </w:rPr>
            </w:pPr>
            <w:r>
              <w:rPr>
                <w:rFonts w:hint="eastAsia" w:ascii="仿宋" w:hAnsi="仿宋" w:eastAsia="仿宋" w:cs="仿宋"/>
                <w:color w:val="auto"/>
              </w:rPr>
              <w:t>不组织</w:t>
            </w:r>
          </w:p>
        </w:tc>
      </w:tr>
      <w:tr w14:paraId="598019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7" w:hRule="atLeast"/>
        </w:trPr>
        <w:tc>
          <w:tcPr>
            <w:tcW w:w="629" w:type="dxa"/>
            <w:vAlign w:val="center"/>
          </w:tcPr>
          <w:p w14:paraId="25A51189">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07" w:type="dxa"/>
            <w:vAlign w:val="center"/>
          </w:tcPr>
          <w:p w14:paraId="3B94F1D1">
            <w:pPr>
              <w:snapToGrid w:val="0"/>
              <w:spacing w:line="360" w:lineRule="auto"/>
              <w:jc w:val="center"/>
              <w:rPr>
                <w:rFonts w:ascii="仿宋" w:hAnsi="仿宋" w:eastAsia="仿宋" w:cs="仿宋"/>
                <w:b/>
                <w:sz w:val="24"/>
              </w:rPr>
            </w:pPr>
            <w:r>
              <w:rPr>
                <w:rFonts w:hint="eastAsia" w:ascii="仿宋" w:hAnsi="仿宋" w:eastAsia="仿宋" w:cs="仿宋"/>
                <w:b/>
                <w:sz w:val="24"/>
              </w:rPr>
              <w:t>招标文件的澄清与修改</w:t>
            </w:r>
          </w:p>
        </w:tc>
        <w:tc>
          <w:tcPr>
            <w:tcW w:w="6131" w:type="dxa"/>
            <w:vAlign w:val="center"/>
          </w:tcPr>
          <w:p w14:paraId="7601DE16">
            <w:pPr>
              <w:spacing w:line="360" w:lineRule="auto"/>
              <w:rPr>
                <w:rFonts w:ascii="仿宋" w:hAnsi="仿宋" w:eastAsia="仿宋" w:cs="仿宋"/>
                <w:sz w:val="24"/>
              </w:rPr>
            </w:pPr>
            <w:r>
              <w:rPr>
                <w:rFonts w:hint="eastAsia" w:ascii="仿宋" w:hAnsi="仿宋" w:eastAsia="仿宋" w:cs="仿宋"/>
                <w:sz w:val="24"/>
                <w:lang w:eastAsia="zh-CN"/>
              </w:rPr>
              <w:t>采购人</w:t>
            </w:r>
            <w:r>
              <w:rPr>
                <w:rFonts w:hint="eastAsia" w:ascii="仿宋" w:hAnsi="仿宋" w:eastAsia="仿宋" w:cs="仿宋"/>
                <w:sz w:val="24"/>
              </w:rPr>
              <w:t>或采购代理机构可以对已发出的招标文件进行必要的澄清或者修改。澄清或者修改的内容可能影响投标文件编制的，将在响应截止时间至少15日前，以发布澄清（更正）公告形式通知所有获取招标文件的潜在投标人；不足15日的，顺延提交投标文件的截止时间。</w:t>
            </w:r>
          </w:p>
        </w:tc>
      </w:tr>
      <w:tr w14:paraId="6D21D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05" w:hRule="atLeast"/>
        </w:trPr>
        <w:tc>
          <w:tcPr>
            <w:tcW w:w="629" w:type="dxa"/>
            <w:vAlign w:val="center"/>
          </w:tcPr>
          <w:p w14:paraId="2AC11795">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07" w:type="dxa"/>
            <w:vAlign w:val="center"/>
          </w:tcPr>
          <w:p w14:paraId="194F86BD">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31" w:type="dxa"/>
            <w:vAlign w:val="center"/>
          </w:tcPr>
          <w:p w14:paraId="45AC0269">
            <w:pPr>
              <w:spacing w:line="360" w:lineRule="auto"/>
              <w:rPr>
                <w:rFonts w:ascii="仿宋" w:hAnsi="仿宋" w:eastAsia="仿宋" w:cs="仿宋"/>
                <w:b/>
                <w:sz w:val="24"/>
              </w:rPr>
            </w:pPr>
            <w:r>
              <w:rPr>
                <w:rFonts w:hint="eastAsia" w:ascii="仿宋" w:hAnsi="仿宋" w:eastAsia="仿宋" w:cs="仿宋"/>
                <w:sz w:val="24"/>
              </w:rPr>
              <w:t>不要求提供。</w:t>
            </w:r>
          </w:p>
        </w:tc>
      </w:tr>
      <w:tr w14:paraId="39CA18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39" w:hRule="atLeast"/>
        </w:trPr>
        <w:tc>
          <w:tcPr>
            <w:tcW w:w="629" w:type="dxa"/>
            <w:vAlign w:val="center"/>
          </w:tcPr>
          <w:p w14:paraId="60D702A2">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07" w:type="dxa"/>
            <w:vAlign w:val="center"/>
          </w:tcPr>
          <w:p w14:paraId="2659541B">
            <w:pPr>
              <w:snapToGrid w:val="0"/>
              <w:spacing w:line="360" w:lineRule="auto"/>
              <w:jc w:val="center"/>
              <w:rPr>
                <w:rFonts w:ascii="仿宋" w:hAnsi="仿宋" w:eastAsia="仿宋" w:cs="仿宋"/>
                <w:b/>
                <w:sz w:val="24"/>
              </w:rPr>
            </w:pPr>
            <w:r>
              <w:rPr>
                <w:rFonts w:hint="eastAsia" w:ascii="仿宋" w:hAnsi="仿宋" w:eastAsia="仿宋" w:cs="仿宋"/>
                <w:b/>
                <w:sz w:val="24"/>
              </w:rPr>
              <w:t>方案讲解演示</w:t>
            </w:r>
          </w:p>
        </w:tc>
        <w:tc>
          <w:tcPr>
            <w:tcW w:w="6131" w:type="dxa"/>
            <w:vAlign w:val="center"/>
          </w:tcPr>
          <w:p w14:paraId="68CBD9D6">
            <w:pPr>
              <w:snapToGrid w:val="0"/>
              <w:spacing w:line="360" w:lineRule="auto"/>
              <w:rPr>
                <w:rFonts w:ascii="仿宋" w:hAnsi="仿宋" w:eastAsia="仿宋" w:cs="仿宋"/>
                <w:b/>
                <w:kern w:val="0"/>
                <w:sz w:val="24"/>
                <w:lang w:val="zh-CN"/>
              </w:rPr>
            </w:pPr>
            <w:r>
              <w:rPr>
                <w:rFonts w:hint="eastAsia" w:ascii="仿宋" w:hAnsi="仿宋" w:eastAsia="仿宋" w:cs="仿宋"/>
                <w:sz w:val="24"/>
              </w:rPr>
              <w:t>组织</w:t>
            </w:r>
            <w:r>
              <w:rPr>
                <w:rFonts w:hint="eastAsia" w:ascii="仿宋" w:hAnsi="仿宋" w:eastAsia="仿宋" w:cs="仿宋"/>
                <w:sz w:val="24"/>
                <w:lang w:eastAsia="zh-CN"/>
              </w:rPr>
              <w:t>，详见第三部分采购需求——八、演示要求。</w:t>
            </w:r>
          </w:p>
        </w:tc>
      </w:tr>
      <w:tr w14:paraId="2A9AC7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629" w:type="dxa"/>
            <w:vAlign w:val="center"/>
          </w:tcPr>
          <w:p w14:paraId="683BF6F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807" w:type="dxa"/>
            <w:vAlign w:val="center"/>
          </w:tcPr>
          <w:p w14:paraId="19E17DFF">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31" w:type="dxa"/>
            <w:vAlign w:val="center"/>
          </w:tcPr>
          <w:p w14:paraId="3B63613F">
            <w:pPr>
              <w:spacing w:line="360" w:lineRule="auto"/>
              <w:jc w:val="left"/>
              <w:rPr>
                <w:rFonts w:ascii="仿宋" w:hAnsi="仿宋" w:eastAsia="仿宋" w:cs="仿宋"/>
              </w:rPr>
            </w:pPr>
            <w:r>
              <w:rPr>
                <w:rFonts w:hint="eastAsia" w:ascii="仿宋" w:hAnsi="仿宋" w:eastAsia="仿宋" w:cs="仿宋"/>
                <w:kern w:val="0"/>
                <w:sz w:val="24"/>
              </w:rPr>
              <w:t>本项目不允许采购进口产品。</w:t>
            </w:r>
          </w:p>
        </w:tc>
      </w:tr>
      <w:tr w14:paraId="3EB07D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270" w:hRule="atLeast"/>
        </w:trPr>
        <w:tc>
          <w:tcPr>
            <w:tcW w:w="629" w:type="dxa"/>
            <w:vAlign w:val="center"/>
          </w:tcPr>
          <w:p w14:paraId="4655E17C">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807" w:type="dxa"/>
            <w:vAlign w:val="center"/>
          </w:tcPr>
          <w:p w14:paraId="2F0C364A">
            <w:pPr>
              <w:snapToGrid w:val="0"/>
              <w:spacing w:line="400" w:lineRule="exact"/>
              <w:jc w:val="center"/>
              <w:rPr>
                <w:rFonts w:ascii="仿宋" w:hAnsi="仿宋" w:eastAsia="仿宋" w:cs="仿宋"/>
                <w:b/>
                <w:sz w:val="24"/>
              </w:rPr>
            </w:pPr>
            <w:r>
              <w:rPr>
                <w:rFonts w:hint="eastAsia" w:ascii="仿宋" w:hAnsi="仿宋" w:eastAsia="仿宋" w:cs="仿宋"/>
                <w:b/>
                <w:sz w:val="24"/>
              </w:rPr>
              <w:t>投标文件份数</w:t>
            </w:r>
          </w:p>
        </w:tc>
        <w:tc>
          <w:tcPr>
            <w:tcW w:w="6131" w:type="dxa"/>
            <w:vAlign w:val="center"/>
          </w:tcPr>
          <w:p w14:paraId="7D56AD7E">
            <w:pPr>
              <w:snapToGrid w:val="0"/>
              <w:spacing w:line="400" w:lineRule="exact"/>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电子加密投标文件：政府采购云平台在线上传一份；</w:t>
            </w:r>
          </w:p>
          <w:p w14:paraId="466FF5EE">
            <w:pPr>
              <w:snapToGrid w:val="0"/>
              <w:spacing w:line="400" w:lineRule="exact"/>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备份投标文件：密封包装后EMS或顺丰邮寄形式递交一份（邮寄地址：杭州市文三路90号东部软件园1号楼3楼319室，浙江国际招投标有限公司（阮锦洋）收，电话：0571-81061823</w:t>
            </w:r>
            <w:r>
              <w:rPr>
                <w:rFonts w:hint="eastAsia" w:ascii="仿宋" w:hAnsi="仿宋" w:eastAsia="仿宋" w:cs="仿宋"/>
                <w:kern w:val="0"/>
                <w:sz w:val="24"/>
                <w:lang w:eastAsia="zh-CN"/>
              </w:rPr>
              <w:t>，</w:t>
            </w:r>
            <w:r>
              <w:rPr>
                <w:rFonts w:hint="eastAsia" w:ascii="仿宋" w:hAnsi="仿宋" w:eastAsia="仿宋" w:cs="仿宋"/>
                <w:kern w:val="0"/>
                <w:sz w:val="24"/>
              </w:rPr>
              <w:t>寄出后将（快递单号、项目名称、公司名称、联系方式等相关信息）发至：</w:t>
            </w:r>
            <w:r>
              <w:rPr>
                <w:rFonts w:hint="eastAsia" w:ascii="仿宋" w:hAnsi="仿宋" w:eastAsia="仿宋" w:cs="仿宋"/>
                <w:kern w:val="0"/>
                <w:sz w:val="24"/>
                <w:lang w:val="en-US" w:eastAsia="zh-CN"/>
              </w:rPr>
              <w:t>laoyaomm@126.com</w:t>
            </w:r>
            <w:r>
              <w:rPr>
                <w:rFonts w:hint="eastAsia" w:ascii="仿宋" w:hAnsi="仿宋" w:eastAsia="仿宋" w:cs="仿宋"/>
                <w:kern w:val="0"/>
                <w:sz w:val="24"/>
              </w:rPr>
              <w:t>，以便查收）。</w:t>
            </w:r>
          </w:p>
          <w:p w14:paraId="19187AA1">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特别说明：双休日和法定节假日不收件，投标人自行承担邮寄风险。</w:t>
            </w:r>
          </w:p>
          <w:p w14:paraId="3EEE3A7F">
            <w:pPr>
              <w:snapToGrid w:val="0"/>
              <w:spacing w:line="400" w:lineRule="exact"/>
              <w:rPr>
                <w:rFonts w:hint="eastAsia" w:ascii="仿宋" w:hAnsi="仿宋" w:eastAsia="仿宋" w:cs="仿宋"/>
                <w:kern w:val="0"/>
                <w:sz w:val="24"/>
              </w:rPr>
            </w:pPr>
            <w:r>
              <w:rPr>
                <w:rFonts w:hint="eastAsia" w:ascii="仿宋" w:hAnsi="仿宋" w:eastAsia="仿宋" w:cs="仿宋"/>
                <w:kern w:val="0"/>
                <w:sz w:val="24"/>
                <w:lang w:val="en-US" w:eastAsia="zh-CN"/>
              </w:rPr>
              <w:t>3.中标人需在中标后提供三套纸质投标文件，每套均加盖红章。</w:t>
            </w:r>
          </w:p>
        </w:tc>
      </w:tr>
      <w:tr w14:paraId="194663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00" w:hRule="atLeast"/>
        </w:trPr>
        <w:tc>
          <w:tcPr>
            <w:tcW w:w="629" w:type="dxa"/>
            <w:vAlign w:val="center"/>
          </w:tcPr>
          <w:p w14:paraId="605B584F">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807" w:type="dxa"/>
            <w:vAlign w:val="center"/>
          </w:tcPr>
          <w:p w14:paraId="06879395">
            <w:pPr>
              <w:snapToGrid w:val="0"/>
              <w:spacing w:line="400" w:lineRule="exact"/>
              <w:jc w:val="center"/>
              <w:rPr>
                <w:rFonts w:hint="eastAsia" w:ascii="仿宋" w:hAnsi="仿宋" w:eastAsia="仿宋" w:cs="仿宋"/>
                <w:b/>
                <w:sz w:val="24"/>
              </w:rPr>
            </w:pPr>
            <w:r>
              <w:rPr>
                <w:rFonts w:hint="eastAsia" w:ascii="仿宋" w:hAnsi="仿宋" w:eastAsia="仿宋" w:cs="仿宋"/>
                <w:b/>
                <w:sz w:val="24"/>
              </w:rPr>
              <w:t>投标报价</w:t>
            </w:r>
          </w:p>
        </w:tc>
        <w:tc>
          <w:tcPr>
            <w:tcW w:w="6131" w:type="dxa"/>
            <w:vAlign w:val="center"/>
          </w:tcPr>
          <w:p w14:paraId="1A30ADF9">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1.报价应按招标文件要求的格式编制、填写报价内容（可自行增行），未按招标文件要求编制、填写的投标文件可能被拒绝；</w:t>
            </w:r>
          </w:p>
          <w:p w14:paraId="1F1A11A8">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2.以人民币报价；</w:t>
            </w:r>
          </w:p>
          <w:p w14:paraId="4934AB70">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3.投标报价是履行合同的最终价格，有关本项目实施所涉及的一切费用均计入报价；</w:t>
            </w:r>
          </w:p>
          <w:p w14:paraId="2188E245">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4.投标文件只允许有一个报价，有选择的报价将不予接受。</w:t>
            </w:r>
          </w:p>
          <w:p w14:paraId="7EE1E765">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▲5.采购人将以合同形式有偿取得货物或服务，不接受投标人给予的赠品、回扣或者与采购无关的其他商品、服务。</w:t>
            </w:r>
          </w:p>
        </w:tc>
      </w:tr>
      <w:tr w14:paraId="745CCA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00" w:hRule="atLeast"/>
        </w:trPr>
        <w:tc>
          <w:tcPr>
            <w:tcW w:w="629" w:type="dxa"/>
            <w:vAlign w:val="center"/>
          </w:tcPr>
          <w:p w14:paraId="67F37910">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807" w:type="dxa"/>
            <w:vAlign w:val="center"/>
          </w:tcPr>
          <w:p w14:paraId="074AE815">
            <w:pPr>
              <w:snapToGrid w:val="0"/>
              <w:spacing w:line="400" w:lineRule="exact"/>
              <w:jc w:val="center"/>
              <w:rPr>
                <w:rFonts w:ascii="仿宋" w:hAnsi="仿宋" w:eastAsia="仿宋" w:cs="仿宋"/>
                <w:b/>
                <w:sz w:val="24"/>
              </w:rPr>
            </w:pPr>
            <w:r>
              <w:rPr>
                <w:rFonts w:hint="eastAsia" w:ascii="仿宋" w:hAnsi="仿宋" w:eastAsia="仿宋" w:cs="仿宋"/>
                <w:b/>
                <w:sz w:val="24"/>
              </w:rPr>
              <w:t>投标有效期</w:t>
            </w:r>
          </w:p>
        </w:tc>
        <w:tc>
          <w:tcPr>
            <w:tcW w:w="6131" w:type="dxa"/>
            <w:vAlign w:val="center"/>
          </w:tcPr>
          <w:p w14:paraId="66228552">
            <w:pPr>
              <w:snapToGrid w:val="0"/>
              <w:spacing w:line="400" w:lineRule="exact"/>
              <w:rPr>
                <w:rFonts w:ascii="仿宋" w:hAnsi="仿宋" w:eastAsia="仿宋" w:cs="仿宋"/>
                <w:kern w:val="0"/>
                <w:sz w:val="24"/>
              </w:rPr>
            </w:pPr>
            <w:r>
              <w:rPr>
                <w:rFonts w:hint="eastAsia" w:ascii="仿宋" w:hAnsi="仿宋" w:eastAsia="仿宋" w:cs="仿宋"/>
                <w:kern w:val="0"/>
                <w:sz w:val="24"/>
              </w:rPr>
              <w:t>从提交投标文件的截止之日起90天。</w:t>
            </w:r>
          </w:p>
        </w:tc>
      </w:tr>
      <w:tr w14:paraId="10CAF0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00" w:hRule="atLeast"/>
        </w:trPr>
        <w:tc>
          <w:tcPr>
            <w:tcW w:w="629" w:type="dxa"/>
            <w:vAlign w:val="center"/>
          </w:tcPr>
          <w:p w14:paraId="1719FDB7">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07" w:type="dxa"/>
            <w:vAlign w:val="center"/>
          </w:tcPr>
          <w:p w14:paraId="1D7DD804">
            <w:pPr>
              <w:snapToGrid w:val="0"/>
              <w:spacing w:line="400" w:lineRule="exact"/>
              <w:jc w:val="center"/>
              <w:rPr>
                <w:rFonts w:hint="eastAsia" w:ascii="仿宋" w:hAnsi="仿宋" w:eastAsia="仿宋" w:cs="仿宋"/>
                <w:b/>
                <w:sz w:val="24"/>
              </w:rPr>
            </w:pPr>
            <w:r>
              <w:rPr>
                <w:rFonts w:hint="eastAsia" w:ascii="仿宋" w:hAnsi="仿宋" w:eastAsia="仿宋" w:cs="仿宋"/>
                <w:b/>
                <w:sz w:val="24"/>
              </w:rPr>
              <w:t>评标方法和评标标准</w:t>
            </w:r>
          </w:p>
        </w:tc>
        <w:tc>
          <w:tcPr>
            <w:tcW w:w="6131" w:type="dxa"/>
            <w:vAlign w:val="center"/>
          </w:tcPr>
          <w:p w14:paraId="76C3AD5B">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详见“第四</w:t>
            </w:r>
            <w:r>
              <w:rPr>
                <w:rFonts w:hint="eastAsia" w:ascii="仿宋" w:hAnsi="仿宋" w:eastAsia="仿宋" w:cs="仿宋"/>
                <w:kern w:val="0"/>
                <w:sz w:val="24"/>
                <w:lang w:val="en-US" w:eastAsia="zh-CN"/>
              </w:rPr>
              <w:t xml:space="preserve">部分 </w:t>
            </w:r>
            <w:r>
              <w:rPr>
                <w:rFonts w:hint="eastAsia" w:ascii="仿宋" w:hAnsi="仿宋" w:eastAsia="仿宋" w:cs="仿宋"/>
                <w:kern w:val="0"/>
                <w:sz w:val="24"/>
              </w:rPr>
              <w:t>评标方法</w:t>
            </w:r>
            <w:r>
              <w:rPr>
                <w:rFonts w:hint="eastAsia" w:ascii="仿宋" w:hAnsi="仿宋" w:eastAsia="仿宋" w:cs="仿宋"/>
                <w:kern w:val="0"/>
                <w:sz w:val="24"/>
                <w:lang w:eastAsia="zh-CN"/>
              </w:rPr>
              <w:t>”</w:t>
            </w:r>
            <w:r>
              <w:rPr>
                <w:rFonts w:hint="eastAsia" w:ascii="仿宋" w:hAnsi="仿宋" w:eastAsia="仿宋" w:cs="仿宋"/>
                <w:kern w:val="0"/>
                <w:sz w:val="24"/>
              </w:rPr>
              <w:t>。</w:t>
            </w:r>
          </w:p>
        </w:tc>
      </w:tr>
      <w:tr w14:paraId="329F11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00" w:hRule="atLeast"/>
        </w:trPr>
        <w:tc>
          <w:tcPr>
            <w:tcW w:w="629" w:type="dxa"/>
            <w:vAlign w:val="center"/>
          </w:tcPr>
          <w:p w14:paraId="41731B08">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07" w:type="dxa"/>
            <w:vAlign w:val="center"/>
          </w:tcPr>
          <w:p w14:paraId="61545E10">
            <w:pPr>
              <w:snapToGrid w:val="0"/>
              <w:spacing w:line="400" w:lineRule="exact"/>
              <w:jc w:val="center"/>
              <w:rPr>
                <w:rFonts w:hint="eastAsia" w:ascii="仿宋" w:hAnsi="仿宋" w:eastAsia="仿宋" w:cs="仿宋"/>
                <w:b/>
                <w:sz w:val="24"/>
              </w:rPr>
            </w:pPr>
            <w:r>
              <w:rPr>
                <w:rFonts w:hint="eastAsia" w:ascii="仿宋" w:hAnsi="仿宋" w:eastAsia="仿宋" w:cs="仿宋"/>
                <w:b/>
                <w:sz w:val="24"/>
              </w:rPr>
              <w:t>评标结果公示</w:t>
            </w:r>
          </w:p>
        </w:tc>
        <w:tc>
          <w:tcPr>
            <w:tcW w:w="6131" w:type="dxa"/>
            <w:vAlign w:val="center"/>
          </w:tcPr>
          <w:p w14:paraId="54390845">
            <w:pPr>
              <w:snapToGrid w:val="0"/>
              <w:spacing w:line="400" w:lineRule="exact"/>
              <w:jc w:val="left"/>
              <w:rPr>
                <w:rFonts w:hint="eastAsia" w:ascii="仿宋" w:hAnsi="仿宋" w:eastAsia="仿宋" w:cs="仿宋"/>
                <w:kern w:val="0"/>
                <w:sz w:val="24"/>
              </w:rPr>
            </w:pPr>
            <w:r>
              <w:rPr>
                <w:rFonts w:hint="eastAsia" w:ascii="仿宋" w:hAnsi="仿宋" w:eastAsia="仿宋" w:cs="仿宋"/>
                <w:kern w:val="0"/>
                <w:sz w:val="24"/>
              </w:rPr>
              <w:t>评标结果公示媒体：浙江政府采购网（http://zfcg.czt.zj.gov.cn）。</w:t>
            </w:r>
          </w:p>
        </w:tc>
      </w:tr>
      <w:tr w14:paraId="7C653A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1100" w:hRule="atLeast"/>
        </w:trPr>
        <w:tc>
          <w:tcPr>
            <w:tcW w:w="629" w:type="dxa"/>
            <w:vAlign w:val="center"/>
          </w:tcPr>
          <w:p w14:paraId="0D98BE3C">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07" w:type="dxa"/>
            <w:vAlign w:val="center"/>
          </w:tcPr>
          <w:p w14:paraId="3FBB3194">
            <w:pPr>
              <w:snapToGrid w:val="0"/>
              <w:spacing w:line="400" w:lineRule="exact"/>
              <w:jc w:val="center"/>
              <w:rPr>
                <w:rFonts w:hint="eastAsia" w:ascii="仿宋" w:hAnsi="仿宋" w:eastAsia="仿宋" w:cs="仿宋"/>
                <w:b/>
                <w:sz w:val="24"/>
              </w:rPr>
            </w:pPr>
            <w:r>
              <w:rPr>
                <w:rFonts w:hint="eastAsia" w:ascii="仿宋" w:hAnsi="仿宋" w:eastAsia="仿宋" w:cs="仿宋"/>
                <w:b/>
                <w:sz w:val="24"/>
              </w:rPr>
              <w:t>签订合同</w:t>
            </w:r>
          </w:p>
        </w:tc>
        <w:tc>
          <w:tcPr>
            <w:tcW w:w="6131" w:type="dxa"/>
            <w:vAlign w:val="center"/>
          </w:tcPr>
          <w:p w14:paraId="431B2E87">
            <w:pPr>
              <w:snapToGrid w:val="0"/>
              <w:spacing w:line="400" w:lineRule="exact"/>
              <w:rPr>
                <w:rFonts w:hint="eastAsia" w:ascii="仿宋" w:hAnsi="仿宋" w:eastAsia="仿宋" w:cs="仿宋"/>
                <w:kern w:val="0"/>
                <w:sz w:val="24"/>
              </w:rPr>
            </w:pPr>
            <w:r>
              <w:rPr>
                <w:rFonts w:hint="eastAsia" w:ascii="仿宋" w:hAnsi="仿宋" w:eastAsia="仿宋" w:cs="仿宋"/>
                <w:kern w:val="0"/>
                <w:sz w:val="24"/>
              </w:rPr>
              <w:t>中标通知书发出之日起30日内。</w:t>
            </w:r>
          </w:p>
        </w:tc>
      </w:tr>
      <w:tr w14:paraId="4FBA9C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829" w:hRule="atLeast"/>
        </w:trPr>
        <w:tc>
          <w:tcPr>
            <w:tcW w:w="629" w:type="dxa"/>
            <w:vAlign w:val="center"/>
          </w:tcPr>
          <w:p w14:paraId="0C6E6648">
            <w:pPr>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1807" w:type="dxa"/>
            <w:vAlign w:val="center"/>
          </w:tcPr>
          <w:p w14:paraId="4116EC3B">
            <w:pPr>
              <w:snapToGrid w:val="0"/>
              <w:spacing w:line="400" w:lineRule="exact"/>
              <w:jc w:val="center"/>
              <w:rPr>
                <w:rFonts w:ascii="仿宋" w:hAnsi="仿宋" w:eastAsia="仿宋" w:cs="仿宋"/>
                <w:b/>
                <w:sz w:val="24"/>
              </w:rPr>
            </w:pPr>
            <w:r>
              <w:rPr>
                <w:rFonts w:hint="eastAsia" w:ascii="仿宋" w:hAnsi="仿宋" w:eastAsia="仿宋" w:cs="仿宋"/>
                <w:b/>
                <w:sz w:val="24"/>
              </w:rPr>
              <w:t>中标候选人数量</w:t>
            </w:r>
          </w:p>
        </w:tc>
        <w:tc>
          <w:tcPr>
            <w:tcW w:w="6131" w:type="dxa"/>
            <w:vAlign w:val="center"/>
          </w:tcPr>
          <w:p w14:paraId="558134CC">
            <w:pPr>
              <w:snapToGrid w:val="0"/>
              <w:spacing w:line="400" w:lineRule="exact"/>
              <w:rPr>
                <w:rFonts w:ascii="仿宋" w:hAnsi="仿宋" w:eastAsia="仿宋" w:cs="仿宋"/>
                <w:snapToGrid w:val="0"/>
                <w:kern w:val="0"/>
                <w:sz w:val="24"/>
              </w:rPr>
            </w:pPr>
            <w:r>
              <w:rPr>
                <w:rFonts w:hint="eastAsia" w:ascii="仿宋" w:hAnsi="仿宋" w:eastAsia="仿宋" w:cs="仿宋"/>
                <w:snapToGrid w:val="0"/>
                <w:kern w:val="0"/>
                <w:sz w:val="24"/>
                <w:lang w:val="en-US" w:eastAsia="zh-CN"/>
              </w:rPr>
              <w:t>1</w:t>
            </w:r>
            <w:r>
              <w:rPr>
                <w:rFonts w:hint="eastAsia" w:ascii="仿宋" w:hAnsi="仿宋" w:eastAsia="仿宋" w:cs="仿宋"/>
                <w:snapToGrid w:val="0"/>
                <w:kern w:val="0"/>
                <w:sz w:val="24"/>
              </w:rPr>
              <w:t>名</w:t>
            </w:r>
          </w:p>
        </w:tc>
      </w:tr>
      <w:tr w14:paraId="2B893A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702" w:hRule="atLeast"/>
        </w:trPr>
        <w:tc>
          <w:tcPr>
            <w:tcW w:w="629" w:type="dxa"/>
            <w:vAlign w:val="center"/>
          </w:tcPr>
          <w:p w14:paraId="74CD3B88">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807" w:type="dxa"/>
            <w:shd w:val="clear" w:color="auto" w:fill="auto"/>
            <w:vAlign w:val="center"/>
          </w:tcPr>
          <w:p w14:paraId="3EACC044">
            <w:pPr>
              <w:snapToGrid w:val="0"/>
              <w:jc w:val="center"/>
              <w:rPr>
                <w:rFonts w:ascii="仿宋" w:hAnsi="仿宋" w:eastAsia="仿宋" w:cs="仿宋"/>
                <w:b/>
                <w:bCs/>
                <w:sz w:val="24"/>
              </w:rPr>
            </w:pPr>
            <w:r>
              <w:rPr>
                <w:rFonts w:hint="eastAsia" w:ascii="仿宋" w:hAnsi="仿宋" w:eastAsia="仿宋" w:cs="仿宋"/>
                <w:b/>
                <w:bCs/>
                <w:sz w:val="24"/>
              </w:rPr>
              <w:t>采购代理服务费</w:t>
            </w:r>
          </w:p>
        </w:tc>
        <w:tc>
          <w:tcPr>
            <w:tcW w:w="6131" w:type="dxa"/>
            <w:shd w:val="clear" w:color="auto" w:fill="auto"/>
            <w:vAlign w:val="center"/>
          </w:tcPr>
          <w:p w14:paraId="65E8DA9C">
            <w:pPr>
              <w:spacing w:line="288"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本项目的采购代理费由中标人支付。计费标准：</w:t>
            </w:r>
          </w:p>
          <w:p w14:paraId="5BE6ECE2">
            <w:pPr>
              <w:spacing w:line="32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1、中标服务费以中标（成交）金额为计费基准，按《计价格［2002］1980号》及《发改办价格［2003］857号》规定的</w:t>
            </w:r>
            <w:r>
              <w:rPr>
                <w:rFonts w:hint="eastAsia" w:ascii="仿宋" w:hAnsi="仿宋" w:eastAsia="仿宋" w:cs="仿宋"/>
                <w:snapToGrid w:val="0"/>
                <w:kern w:val="0"/>
                <w:sz w:val="24"/>
                <w:szCs w:val="24"/>
                <w:lang w:eastAsia="zh-CN"/>
              </w:rPr>
              <w:t>服务</w:t>
            </w:r>
            <w:r>
              <w:rPr>
                <w:rFonts w:hint="eastAsia" w:ascii="仿宋" w:hAnsi="仿宋" w:eastAsia="仿宋" w:cs="仿宋"/>
                <w:snapToGrid w:val="0"/>
                <w:kern w:val="0"/>
                <w:sz w:val="24"/>
                <w:szCs w:val="24"/>
              </w:rPr>
              <w:t>类收费标准的70%计取，低于3000元时按3000元计取。即：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4EE3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9D5E2D3">
                  <w:pPr>
                    <w:spacing w:line="32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中标金额</w:t>
                  </w:r>
                </w:p>
              </w:tc>
              <w:tc>
                <w:tcPr>
                  <w:tcW w:w="1980" w:type="dxa"/>
                </w:tcPr>
                <w:p w14:paraId="6E7DFEF5">
                  <w:pPr>
                    <w:spacing w:line="32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折扣后费率</w:t>
                  </w:r>
                </w:p>
              </w:tc>
            </w:tr>
            <w:tr w14:paraId="6771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D9DA1D3">
                  <w:pPr>
                    <w:spacing w:line="32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≤100万元</w:t>
                  </w:r>
                </w:p>
              </w:tc>
              <w:tc>
                <w:tcPr>
                  <w:tcW w:w="1980" w:type="dxa"/>
                </w:tcPr>
                <w:p w14:paraId="0BC54210">
                  <w:pPr>
                    <w:spacing w:line="32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1.05%</w:t>
                  </w:r>
                </w:p>
              </w:tc>
            </w:tr>
            <w:tr w14:paraId="7432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1544ACCF">
                  <w:pPr>
                    <w:spacing w:line="32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100万元-500万元</w:t>
                  </w:r>
                </w:p>
              </w:tc>
              <w:tc>
                <w:tcPr>
                  <w:tcW w:w="1980" w:type="dxa"/>
                </w:tcPr>
                <w:p w14:paraId="79463A5B">
                  <w:pPr>
                    <w:spacing w:line="320" w:lineRule="exact"/>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0.</w:t>
                  </w:r>
                  <w:r>
                    <w:rPr>
                      <w:rFonts w:hint="eastAsia" w:ascii="仿宋" w:hAnsi="仿宋" w:eastAsia="仿宋" w:cs="仿宋"/>
                      <w:snapToGrid w:val="0"/>
                      <w:kern w:val="0"/>
                      <w:sz w:val="24"/>
                      <w:szCs w:val="24"/>
                      <w:lang w:val="en-US" w:eastAsia="zh-CN"/>
                    </w:rPr>
                    <w:t>56</w:t>
                  </w:r>
                  <w:r>
                    <w:rPr>
                      <w:rFonts w:hint="eastAsia" w:ascii="仿宋" w:hAnsi="仿宋" w:eastAsia="仿宋" w:cs="仿宋"/>
                      <w:snapToGrid w:val="0"/>
                      <w:kern w:val="0"/>
                      <w:sz w:val="24"/>
                      <w:szCs w:val="24"/>
                    </w:rPr>
                    <w:t>%</w:t>
                  </w:r>
                </w:p>
              </w:tc>
            </w:tr>
          </w:tbl>
          <w:p w14:paraId="4C964A34">
            <w:pPr>
              <w:spacing w:line="32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依据上述费率，采取差额累进方式计取代理费。</w:t>
            </w:r>
          </w:p>
          <w:p w14:paraId="5EC0CE8A">
            <w:pPr>
              <w:spacing w:line="288"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2、结算方式及时间为：中标结果公告发出后5个工作日内，中标人将中标服务费缴纳至如下账号：</w:t>
            </w:r>
          </w:p>
          <w:p w14:paraId="79AC3DAD">
            <w:pPr>
              <w:spacing w:line="288"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（1）收 款 人：浙江国际招投标有限公司</w:t>
            </w:r>
          </w:p>
          <w:p w14:paraId="6D93D081">
            <w:pPr>
              <w:spacing w:line="288"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（2）开户银行：中国工商银行杭州武林支行</w:t>
            </w:r>
          </w:p>
          <w:p w14:paraId="478B455B">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szCs w:val="24"/>
              </w:rPr>
              <w:t>（3）账    号：1202 0212 0990 6782 015</w:t>
            </w:r>
          </w:p>
        </w:tc>
      </w:tr>
      <w:tr w14:paraId="623521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702" w:hRule="atLeast"/>
        </w:trPr>
        <w:tc>
          <w:tcPr>
            <w:tcW w:w="629" w:type="dxa"/>
            <w:vAlign w:val="center"/>
          </w:tcPr>
          <w:p w14:paraId="26A71406">
            <w:pPr>
              <w:snapToGrid w:val="0"/>
              <w:spacing w:line="360" w:lineRule="auto"/>
              <w:jc w:val="center"/>
              <w:rPr>
                <w:rFonts w:hint="default" w:ascii="仿宋" w:hAnsi="仿宋" w:eastAsia="仿宋" w:cs="仿宋"/>
                <w:sz w:val="24"/>
                <w:lang w:val="en-US" w:eastAsia="zh-CN"/>
              </w:rPr>
            </w:pPr>
            <w:bookmarkStart w:id="11" w:name="第三部分"/>
            <w:bookmarkStart w:id="12" w:name="_Toc164416483"/>
            <w:r>
              <w:rPr>
                <w:rFonts w:hint="eastAsia" w:ascii="仿宋" w:hAnsi="仿宋" w:eastAsia="仿宋" w:cs="仿宋"/>
                <w:sz w:val="24"/>
                <w:lang w:val="en-US" w:eastAsia="zh-CN"/>
              </w:rPr>
              <w:t>18</w:t>
            </w:r>
          </w:p>
        </w:tc>
        <w:tc>
          <w:tcPr>
            <w:tcW w:w="1807" w:type="dxa"/>
            <w:shd w:val="clear" w:color="auto" w:fill="auto"/>
            <w:vAlign w:val="center"/>
          </w:tcPr>
          <w:p w14:paraId="46CD6BC5">
            <w:pPr>
              <w:snapToGrid w:val="0"/>
              <w:jc w:val="center"/>
              <w:rPr>
                <w:rFonts w:ascii="仿宋" w:hAnsi="仿宋" w:eastAsia="仿宋" w:cs="仿宋"/>
                <w:b/>
                <w:bCs/>
                <w:sz w:val="24"/>
              </w:rPr>
            </w:pPr>
            <w:r>
              <w:rPr>
                <w:rFonts w:hint="eastAsia" w:ascii="仿宋" w:hAnsi="仿宋" w:eastAsia="仿宋" w:cs="仿宋"/>
                <w:b/>
                <w:bCs/>
                <w:sz w:val="24"/>
              </w:rPr>
              <w:t>其他</w:t>
            </w:r>
          </w:p>
        </w:tc>
        <w:tc>
          <w:tcPr>
            <w:tcW w:w="6131" w:type="dxa"/>
            <w:shd w:val="clear" w:color="auto" w:fill="auto"/>
            <w:vAlign w:val="center"/>
          </w:tcPr>
          <w:p w14:paraId="4A179FDD">
            <w:pPr>
              <w:snapToGrid w:val="0"/>
              <w:spacing w:line="320" w:lineRule="exact"/>
              <w:rPr>
                <w:rFonts w:ascii="仿宋" w:hAnsi="仿宋" w:eastAsia="仿宋" w:cs="仿宋"/>
                <w:snapToGrid w:val="0"/>
                <w:kern w:val="0"/>
                <w:sz w:val="24"/>
              </w:rPr>
            </w:pPr>
            <w:r>
              <w:rPr>
                <w:rFonts w:hint="eastAsia" w:ascii="仿宋" w:hAnsi="仿宋" w:eastAsia="仿宋" w:cs="仿宋"/>
                <w:sz w:val="24"/>
              </w:rPr>
              <w:t>中标人放弃中标格导致重新招标的，应当承担支付代理费和专家评审费等费用在内的赔偿责任。</w:t>
            </w:r>
          </w:p>
        </w:tc>
      </w:tr>
      <w:bookmarkEnd w:id="10"/>
    </w:tbl>
    <w:p w14:paraId="20F84249">
      <w:pPr>
        <w:adjustRightInd/>
        <w:rPr>
          <w:rFonts w:ascii="仿宋" w:hAnsi="仿宋" w:eastAsia="仿宋" w:cs="仿宋"/>
        </w:rPr>
      </w:pPr>
      <w:r>
        <w:rPr>
          <w:rFonts w:hint="eastAsia" w:ascii="仿宋" w:hAnsi="仿宋" w:eastAsia="仿宋" w:cs="仿宋"/>
        </w:rPr>
        <w:br w:type="page"/>
      </w:r>
    </w:p>
    <w:p w14:paraId="3D7FD048">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3E03242C">
      <w:pPr>
        <w:snapToGrid w:val="0"/>
        <w:spacing w:line="440" w:lineRule="exact"/>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C29537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EC1CF4F">
      <w:pPr>
        <w:adjustRightInd/>
        <w:snapToGrid w:val="0"/>
        <w:spacing w:line="440" w:lineRule="exact"/>
        <w:outlineLvl w:val="0"/>
        <w:rPr>
          <w:rFonts w:ascii="仿宋" w:hAnsi="仿宋" w:eastAsia="仿宋" w:cs="仿宋"/>
          <w:b/>
          <w:sz w:val="24"/>
        </w:rPr>
      </w:pPr>
      <w:r>
        <w:rPr>
          <w:rFonts w:hint="eastAsia" w:ascii="仿宋" w:hAnsi="仿宋" w:eastAsia="仿宋" w:cs="仿宋"/>
          <w:b/>
          <w:sz w:val="24"/>
        </w:rPr>
        <w:t xml:space="preserve">   2.定义</w:t>
      </w:r>
    </w:p>
    <w:p w14:paraId="5A3C720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2.1 “</w:t>
      </w:r>
      <w:r>
        <w:rPr>
          <w:rFonts w:hint="eastAsia" w:ascii="仿宋" w:hAnsi="仿宋" w:eastAsia="仿宋" w:cs="仿宋"/>
          <w:sz w:val="24"/>
          <w:lang w:eastAsia="zh-CN"/>
        </w:rPr>
        <w:t>采购人</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采购人</w:t>
      </w:r>
      <w:r>
        <w:rPr>
          <w:rFonts w:hint="eastAsia" w:ascii="仿宋" w:hAnsi="仿宋" w:eastAsia="仿宋" w:cs="仿宋"/>
          <w:sz w:val="24"/>
        </w:rPr>
        <w:t>。</w:t>
      </w:r>
    </w:p>
    <w:p w14:paraId="650E875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6B2DD1E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2.3 “投标人”系指响应招标、参加投标竞争的法人、其他组织或者自然人。</w:t>
      </w:r>
    </w:p>
    <w:p w14:paraId="629BE8E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452B63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2.5 “▲”系指实质性要求条款，“</w:t>
      </w:r>
      <w:r>
        <w:rPr>
          <w:rFonts w:hint="eastAsia" w:ascii="宋体" w:hAnsi="宋体" w:cs="宋体"/>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14:paraId="4B496409">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3.投标费用</w:t>
      </w:r>
    </w:p>
    <w:p w14:paraId="63F1283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投标人应自行承担参加本次投标活动所产生的全部费用，</w:t>
      </w:r>
      <w:r>
        <w:rPr>
          <w:rFonts w:hint="eastAsia" w:ascii="仿宋" w:hAnsi="仿宋" w:eastAsia="仿宋" w:cs="仿宋"/>
          <w:sz w:val="24"/>
          <w:lang w:eastAsia="zh-CN"/>
        </w:rPr>
        <w:t>采购人</w:t>
      </w:r>
      <w:r>
        <w:rPr>
          <w:rFonts w:hint="eastAsia" w:ascii="仿宋" w:hAnsi="仿宋" w:eastAsia="仿宋" w:cs="仿宋"/>
          <w:sz w:val="24"/>
        </w:rPr>
        <w:t>不给予任何形式的补偿。</w:t>
      </w:r>
    </w:p>
    <w:p w14:paraId="1E481F49">
      <w:pPr>
        <w:snapToGrid w:val="0"/>
        <w:spacing w:line="44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4</w:t>
      </w:r>
      <w:r>
        <w:rPr>
          <w:rFonts w:hint="eastAsia" w:ascii="仿宋" w:hAnsi="仿宋" w:eastAsia="仿宋" w:cs="仿宋"/>
          <w:b/>
          <w:bCs w:val="0"/>
          <w:color w:val="auto"/>
          <w:sz w:val="24"/>
          <w:highlight w:val="none"/>
        </w:rPr>
        <w:t>.采购政策</w:t>
      </w:r>
    </w:p>
    <w:p w14:paraId="0CD0E1B6">
      <w:pPr>
        <w:snapToGrid w:val="0"/>
        <w:spacing w:line="440" w:lineRule="exact"/>
        <w:ind w:firstLine="480" w:firstLineChars="200"/>
        <w:rPr>
          <w:rFonts w:hint="eastAsia" w:ascii="仿宋" w:hAnsi="仿宋" w:eastAsia="仿宋" w:cs="仿宋"/>
          <w:b w:val="0"/>
          <w:bCs/>
          <w:sz w:val="24"/>
        </w:rPr>
      </w:pP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1</w:t>
      </w:r>
      <w:r>
        <w:rPr>
          <w:rFonts w:hint="eastAsia" w:ascii="仿宋" w:hAnsi="仿宋" w:eastAsia="仿宋" w:cs="仿宋"/>
          <w:b w:val="0"/>
          <w:bCs/>
          <w:sz w:val="24"/>
          <w:highlight w:val="none"/>
        </w:rPr>
        <w:t>为助力打</w:t>
      </w:r>
      <w:r>
        <w:rPr>
          <w:rFonts w:hint="eastAsia" w:ascii="仿宋" w:hAnsi="仿宋" w:eastAsia="仿宋" w:cs="仿宋"/>
          <w:b w:val="0"/>
          <w:bCs/>
          <w:sz w:val="24"/>
        </w:rPr>
        <w:t>好污染防治攻坚战，推广使用绿色包装，涉及商品包装和快递包装的，供应商提供产品及相关快递服务的具体包装要求要参考《商品包装政府采购需求标准（试行）》、《快递包装政府采购需求标准（试行）》。</w:t>
      </w:r>
    </w:p>
    <w:p w14:paraId="3F13229D">
      <w:pPr>
        <w:snapToGrid w:val="0"/>
        <w:spacing w:line="440" w:lineRule="exact"/>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.2鼓励供应商开展绿色设计、选择绿色材料、打造绿色制造工艺、开展绿色运输、做好废弃产品回收处理，实现产品全周期的绿色环保。</w:t>
      </w:r>
    </w:p>
    <w:p w14:paraId="1A0AE518">
      <w:pPr>
        <w:snapToGrid w:val="0"/>
        <w:spacing w:line="440" w:lineRule="exact"/>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r>
        <w:rPr>
          <w:rFonts w:hint="eastAsia" w:ascii="仿宋" w:hAnsi="仿宋" w:eastAsia="仿宋" w:cs="仿宋"/>
          <w:b w:val="0"/>
          <w:bCs/>
          <w:sz w:val="24"/>
        </w:rPr>
        <w:t>.</w:t>
      </w:r>
      <w:r>
        <w:rPr>
          <w:rFonts w:hint="eastAsia" w:ascii="仿宋" w:hAnsi="仿宋" w:eastAsia="仿宋" w:cs="仿宋"/>
          <w:b w:val="0"/>
          <w:bCs/>
          <w:sz w:val="24"/>
          <w:lang w:val="en-US" w:eastAsia="zh-CN"/>
        </w:rPr>
        <w:t>3</w:t>
      </w:r>
      <w:r>
        <w:rPr>
          <w:rFonts w:hint="eastAsia" w:ascii="仿宋" w:hAnsi="仿宋" w:eastAsia="仿宋" w:cs="仿宋"/>
          <w:b w:val="0"/>
          <w:bCs/>
          <w:sz w:val="24"/>
        </w:rPr>
        <w:t>平等对待内外资企业和符合条件的破产重整企业</w:t>
      </w:r>
      <w:r>
        <w:rPr>
          <w:rFonts w:hint="eastAsia" w:ascii="仿宋" w:hAnsi="仿宋" w:eastAsia="仿宋" w:cs="仿宋"/>
          <w:b w:val="0"/>
          <w:bCs/>
          <w:sz w:val="24"/>
          <w:lang w:eastAsia="zh-CN"/>
        </w:rPr>
        <w:t>。</w:t>
      </w:r>
    </w:p>
    <w:p w14:paraId="25F834EF">
      <w:pPr>
        <w:snapToGrid w:val="0"/>
        <w:spacing w:line="4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lang w:val="en-US" w:eastAsia="zh-CN"/>
        </w:rPr>
        <w:t>4.4</w:t>
      </w:r>
      <w:r>
        <w:rPr>
          <w:rFonts w:hint="eastAsia" w:ascii="仿宋" w:hAnsi="仿宋" w:eastAsia="仿宋" w:cs="仿宋"/>
          <w:b w:val="0"/>
          <w:bCs/>
          <w:sz w:val="24"/>
        </w:rPr>
        <w:t>平等对待内外资企业和符合条件的破产重整企业，切实保障企业公平竞争，平等维护企业的合法利益</w:t>
      </w:r>
      <w:r>
        <w:rPr>
          <w:rFonts w:hint="eastAsia" w:ascii="仿宋" w:hAnsi="仿宋" w:eastAsia="仿宋" w:cs="仿宋"/>
          <w:b w:val="0"/>
          <w:bCs/>
          <w:sz w:val="24"/>
          <w:lang w:eastAsia="zh-CN"/>
        </w:rPr>
        <w:t>。</w:t>
      </w:r>
    </w:p>
    <w:p w14:paraId="5FD483C3">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询问、质疑、投诉</w:t>
      </w:r>
    </w:p>
    <w:p w14:paraId="403C36E9">
      <w:pPr>
        <w:autoSpaceDE w:val="0"/>
        <w:autoSpaceDN w:val="0"/>
        <w:snapToGrid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.1投标人询问</w:t>
      </w:r>
    </w:p>
    <w:p w14:paraId="48E88DEB">
      <w:pPr>
        <w:autoSpaceDE w:val="0"/>
        <w:autoSpaceDN w:val="0"/>
        <w:snapToGrid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投标人对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E994E15">
      <w:pPr>
        <w:autoSpaceDE w:val="0"/>
        <w:autoSpaceDN w:val="0"/>
        <w:snapToGrid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.2投标人质疑</w:t>
      </w:r>
    </w:p>
    <w:p w14:paraId="43359EB9">
      <w:pPr>
        <w:pStyle w:val="34"/>
        <w:snapToGrid w:val="0"/>
        <w:spacing w:line="440" w:lineRule="exact"/>
        <w:ind w:firstLine="480" w:firstLineChars="200"/>
        <w:rPr>
          <w:rFonts w:ascii="仿宋" w:hAnsi="仿宋" w:eastAsia="仿宋" w:cs="仿宋"/>
          <w:sz w:val="24"/>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.2</w:t>
      </w:r>
      <w:r>
        <w:rPr>
          <w:rFonts w:hint="eastAsia" w:ascii="仿宋" w:hAnsi="仿宋" w:eastAsia="仿宋" w:cs="仿宋"/>
          <w:sz w:val="24"/>
        </w:rPr>
        <w:t>.1提出质疑的投标人应当是参与所质疑项目采购活动的投标人。潜在投标人已依法获取其可质疑的招标文件的，可以对该文件提出质疑。</w:t>
      </w:r>
    </w:p>
    <w:p w14:paraId="090ABFD6">
      <w:pPr>
        <w:pStyle w:val="34"/>
        <w:snapToGrid w:val="0"/>
        <w:spacing w:line="440" w:lineRule="exact"/>
        <w:ind w:firstLine="480" w:firstLineChars="200"/>
        <w:rPr>
          <w:rFonts w:ascii="仿宋" w:hAnsi="仿宋" w:eastAsia="仿宋" w:cs="仿宋"/>
          <w:sz w:val="24"/>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.2</w:t>
      </w:r>
      <w:r>
        <w:rPr>
          <w:rFonts w:hint="eastAsia" w:ascii="仿宋" w:hAnsi="仿宋" w:eastAsia="仿宋" w:cs="仿宋"/>
          <w:sz w:val="24"/>
        </w:rPr>
        <w:t>.2投标人认为招标文件、采购过程和中标结果使自己的权益受到损害的，可以在知道或者应知其权益受到损害之日起七个工作日内，以书面形式向</w:t>
      </w:r>
      <w:r>
        <w:rPr>
          <w:rFonts w:hint="eastAsia" w:ascii="仿宋" w:hAnsi="仿宋" w:eastAsia="仿宋" w:cs="仿宋"/>
          <w:sz w:val="24"/>
          <w:lang w:eastAsia="zh-CN"/>
        </w:rPr>
        <w:t>采购人</w:t>
      </w:r>
      <w:r>
        <w:rPr>
          <w:rFonts w:hint="eastAsia" w:ascii="仿宋" w:hAnsi="仿宋" w:eastAsia="仿宋" w:cs="仿宋"/>
          <w:sz w:val="24"/>
        </w:rPr>
        <w:t>或者采购代理机构提出质疑，否则，</w:t>
      </w:r>
      <w:r>
        <w:rPr>
          <w:rFonts w:hint="eastAsia" w:ascii="仿宋" w:hAnsi="仿宋" w:eastAsia="仿宋" w:cs="仿宋"/>
          <w:sz w:val="24"/>
          <w:lang w:eastAsia="zh-CN"/>
        </w:rPr>
        <w:t>采购人</w:t>
      </w:r>
      <w:r>
        <w:rPr>
          <w:rFonts w:hint="eastAsia" w:ascii="仿宋" w:hAnsi="仿宋" w:eastAsia="仿宋" w:cs="仿宋"/>
          <w:sz w:val="24"/>
        </w:rPr>
        <w:t>或者采购代理机构不予受理：</w:t>
      </w:r>
    </w:p>
    <w:p w14:paraId="5E217E9F">
      <w:pPr>
        <w:pStyle w:val="15"/>
        <w:spacing w:line="440" w:lineRule="exact"/>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en-US" w:eastAsia="zh-CN"/>
        </w:rPr>
        <w:t>5</w:t>
      </w:r>
      <w:r>
        <w:rPr>
          <w:rFonts w:hint="eastAsia" w:ascii="仿宋" w:hAnsi="仿宋" w:eastAsia="仿宋" w:cs="仿宋"/>
          <w:snapToGrid/>
          <w:color w:val="auto"/>
          <w:kern w:val="2"/>
          <w:sz w:val="24"/>
        </w:rPr>
        <w:t>.2.2.1对招标文件提出质疑的，质疑期限为投标人获得招标文件之日或者招标文件公告期限届满之日起计算。</w:t>
      </w:r>
    </w:p>
    <w:p w14:paraId="4A72D9B3">
      <w:pPr>
        <w:pStyle w:val="34"/>
        <w:snapToGrid w:val="0"/>
        <w:spacing w:line="440" w:lineRule="exact"/>
        <w:ind w:firstLine="480" w:firstLineChars="200"/>
        <w:rPr>
          <w:rFonts w:ascii="仿宋" w:hAnsi="仿宋" w:eastAsia="仿宋" w:cs="仿宋"/>
          <w:b/>
          <w:bCs/>
          <w:sz w:val="24"/>
        </w:rPr>
      </w:pPr>
      <w:r>
        <w:rPr>
          <w:rFonts w:hint="eastAsia" w:ascii="仿宋" w:hAnsi="仿宋" w:eastAsia="仿宋" w:cs="仿宋"/>
          <w:sz w:val="24"/>
          <w:lang w:val="en-US" w:eastAsia="zh-CN"/>
        </w:rPr>
        <w:t>5</w:t>
      </w:r>
      <w:r>
        <w:rPr>
          <w:rFonts w:hint="eastAsia" w:ascii="仿宋" w:hAnsi="仿宋" w:eastAsia="仿宋" w:cs="仿宋"/>
          <w:sz w:val="24"/>
        </w:rPr>
        <w:t>.2.2.2对采购过程提出质疑的，质疑期限为各采购程序环节结束之日起计算。对</w:t>
      </w:r>
      <w:r>
        <w:rPr>
          <w:rFonts w:hint="eastAsia" w:ascii="仿宋" w:hAnsi="仿宋" w:eastAsia="仿宋" w:cs="仿宋"/>
          <w:b/>
          <w:bCs/>
          <w:sz w:val="24"/>
        </w:rPr>
        <w:t>同一采购程序环节的质疑，投标人须一次性提出。</w:t>
      </w:r>
    </w:p>
    <w:p w14:paraId="36826B5C">
      <w:pPr>
        <w:pStyle w:val="34"/>
        <w:snapToGrid w:val="0"/>
        <w:spacing w:line="440" w:lineRule="exact"/>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.2.2.3对采购结果提出质疑的，质疑期限自采购结果公告期限届满之日起计算。</w:t>
      </w:r>
    </w:p>
    <w:p w14:paraId="5F584B2A">
      <w:pPr>
        <w:pStyle w:val="34"/>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.2.3</w:t>
      </w:r>
      <w:r>
        <w:rPr>
          <w:rFonts w:hint="eastAsia" w:ascii="仿宋" w:hAnsi="仿宋" w:eastAsia="仿宋" w:cs="仿宋"/>
          <w:sz w:val="24"/>
        </w:rPr>
        <w:t>投标人提出质疑应当提交质疑函和必要的证明材料。质疑函应当包括下列内容：</w:t>
      </w:r>
    </w:p>
    <w:p w14:paraId="17F2A2BF">
      <w:pPr>
        <w:pStyle w:val="34"/>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lang w:val="en-US" w:eastAsia="zh-CN"/>
        </w:rPr>
        <w:t>5</w:t>
      </w:r>
      <w:r>
        <w:rPr>
          <w:rFonts w:hint="eastAsia" w:ascii="仿宋" w:hAnsi="仿宋" w:eastAsia="仿宋" w:cs="仿宋"/>
          <w:kern w:val="0"/>
          <w:sz w:val="24"/>
          <w:lang w:val="zh-CN"/>
        </w:rPr>
        <w:t>.2.3.1投标人的姓名或者名称、地址、邮编、联系人及联系电话；</w:t>
      </w:r>
    </w:p>
    <w:p w14:paraId="2BEF6581">
      <w:pPr>
        <w:pStyle w:val="34"/>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lang w:val="en-US" w:eastAsia="zh-CN"/>
        </w:rPr>
        <w:t>5</w:t>
      </w:r>
      <w:r>
        <w:rPr>
          <w:rFonts w:hint="eastAsia" w:ascii="仿宋" w:hAnsi="仿宋" w:eastAsia="仿宋" w:cs="仿宋"/>
          <w:kern w:val="0"/>
          <w:sz w:val="24"/>
          <w:lang w:val="zh-CN"/>
        </w:rPr>
        <w:t>.2.3.2质疑项目的名称、编号；</w:t>
      </w:r>
    </w:p>
    <w:p w14:paraId="50C3DEA3">
      <w:pPr>
        <w:pStyle w:val="34"/>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lang w:val="en-US" w:eastAsia="zh-CN"/>
        </w:rPr>
        <w:t>5</w:t>
      </w:r>
      <w:r>
        <w:rPr>
          <w:rFonts w:hint="eastAsia" w:ascii="仿宋" w:hAnsi="仿宋" w:eastAsia="仿宋" w:cs="仿宋"/>
          <w:kern w:val="0"/>
          <w:sz w:val="24"/>
          <w:lang w:val="zh-CN"/>
        </w:rPr>
        <w:t>.2.3.3具体、明确的质疑事项和与质疑事项相关的请求；</w:t>
      </w:r>
    </w:p>
    <w:p w14:paraId="5535DD79">
      <w:pPr>
        <w:pStyle w:val="34"/>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lang w:val="en-US" w:eastAsia="zh-CN"/>
        </w:rPr>
        <w:t>5</w:t>
      </w:r>
      <w:r>
        <w:rPr>
          <w:rFonts w:hint="eastAsia" w:ascii="仿宋" w:hAnsi="仿宋" w:eastAsia="仿宋" w:cs="仿宋"/>
          <w:kern w:val="0"/>
          <w:sz w:val="24"/>
          <w:lang w:val="zh-CN"/>
        </w:rPr>
        <w:t>.2.3.4事实依据；</w:t>
      </w:r>
    </w:p>
    <w:p w14:paraId="08B590D3">
      <w:pPr>
        <w:pStyle w:val="34"/>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lang w:val="en-US" w:eastAsia="zh-CN"/>
        </w:rPr>
        <w:t>5</w:t>
      </w:r>
      <w:r>
        <w:rPr>
          <w:rFonts w:hint="eastAsia" w:ascii="仿宋" w:hAnsi="仿宋" w:eastAsia="仿宋" w:cs="仿宋"/>
          <w:kern w:val="0"/>
          <w:sz w:val="24"/>
          <w:lang w:val="zh-CN"/>
        </w:rPr>
        <w:t>.2.3.5必要的法律依据；</w:t>
      </w:r>
    </w:p>
    <w:p w14:paraId="25064CE9">
      <w:pPr>
        <w:pStyle w:val="34"/>
        <w:snapToGrid w:val="0"/>
        <w:spacing w:line="440" w:lineRule="exact"/>
        <w:ind w:firstLine="960" w:firstLineChars="400"/>
        <w:rPr>
          <w:rFonts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.2.3.6提出质疑的日期。</w:t>
      </w:r>
    </w:p>
    <w:p w14:paraId="0C6EAE16">
      <w:pPr>
        <w:pStyle w:val="890"/>
        <w:snapToGrid w:val="0"/>
        <w:spacing w:before="0" w:beforeAutospacing="0" w:after="0" w:afterAutospacing="0" w:line="440" w:lineRule="exact"/>
        <w:ind w:firstLine="400"/>
        <w:contextualSpacing/>
        <w:rPr>
          <w:rFonts w:ascii="仿宋" w:hAnsi="仿宋" w:eastAsia="仿宋" w:cs="仿宋"/>
        </w:rPr>
      </w:pPr>
      <w:r>
        <w:rPr>
          <w:rFonts w:hint="eastAsia" w:ascii="仿宋" w:hAnsi="仿宋" w:eastAsia="仿宋" w:cs="仿宋"/>
        </w:rPr>
        <w:t>投标人提交的质疑函需一式三份。投标人为自然人的，应当由本人签字；投标人为法人或者其他组织的，应当由法定代表人、主要负责人，或者其授权代表签字或者盖章，并加盖公章。</w:t>
      </w:r>
    </w:p>
    <w:p w14:paraId="1665F109">
      <w:pPr>
        <w:pStyle w:val="890"/>
        <w:snapToGrid w:val="0"/>
        <w:spacing w:before="0" w:beforeAutospacing="0" w:after="0" w:afterAutospacing="0" w:line="440" w:lineRule="exact"/>
        <w:ind w:firstLine="400"/>
        <w:contextualSpacing/>
        <w:rPr>
          <w:rFonts w:ascii="仿宋" w:hAnsi="仿宋" w:eastAsia="仿宋" w:cs="仿宋"/>
        </w:rPr>
      </w:pPr>
      <w:r>
        <w:rPr>
          <w:rFonts w:hint="eastAsia" w:ascii="仿宋" w:hAnsi="仿宋" w:eastAsia="仿宋" w:cs="仿宋"/>
        </w:rPr>
        <w:t>质疑函范本及制作说明详见附件1。</w:t>
      </w:r>
    </w:p>
    <w:p w14:paraId="4FCC6448">
      <w:pPr>
        <w:pStyle w:val="890"/>
        <w:snapToGrid w:val="0"/>
        <w:spacing w:before="0" w:beforeAutospacing="0" w:after="0" w:afterAutospacing="0" w:line="440" w:lineRule="exact"/>
        <w:ind w:firstLine="480" w:firstLineChars="200"/>
        <w:contextualSpacing/>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lang w:val="zh-CN"/>
        </w:rPr>
        <w:t>.2</w:t>
      </w:r>
      <w:r>
        <w:rPr>
          <w:rFonts w:hint="eastAsia" w:ascii="仿宋" w:hAnsi="仿宋" w:eastAsia="仿宋" w:cs="仿宋"/>
        </w:rPr>
        <w:t>.4</w:t>
      </w:r>
      <w:r>
        <w:rPr>
          <w:rFonts w:hint="eastAsia" w:ascii="仿宋" w:hAnsi="仿宋" w:eastAsia="仿宋" w:cs="仿宋"/>
          <w:lang w:eastAsia="zh-CN"/>
        </w:rPr>
        <w:t>采购人</w:t>
      </w:r>
      <w:r>
        <w:rPr>
          <w:rFonts w:hint="eastAsia" w:ascii="仿宋" w:hAnsi="仿宋" w:eastAsia="仿宋" w:cs="仿宋"/>
        </w:rPr>
        <w:t>或者采购代理机构应当在收到投标人的书面质疑后七个工作日内作出答复，并以书面形式通知质疑投标人和其他与质疑处理结果有利害关系的当事人，但答复的内容不得涉及商业秘密。</w:t>
      </w:r>
    </w:p>
    <w:p w14:paraId="7B3B6AB8">
      <w:pPr>
        <w:pStyle w:val="890"/>
        <w:snapToGrid w:val="0"/>
        <w:spacing w:before="0" w:beforeAutospacing="0" w:after="0" w:afterAutospacing="0" w:line="440" w:lineRule="exact"/>
        <w:ind w:firstLine="480" w:firstLineChars="200"/>
        <w:contextualSpacing/>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lang w:val="zh-CN"/>
        </w:rPr>
        <w:t>.2</w:t>
      </w:r>
      <w:r>
        <w:rPr>
          <w:rFonts w:hint="eastAsia" w:ascii="仿宋" w:hAnsi="仿宋" w:eastAsia="仿宋" w:cs="仿宋"/>
        </w:rPr>
        <w:t>.5询问或者质疑事项可能影响采购结果的，</w:t>
      </w:r>
      <w:r>
        <w:rPr>
          <w:rFonts w:hint="eastAsia" w:ascii="仿宋" w:hAnsi="仿宋" w:eastAsia="仿宋" w:cs="仿宋"/>
          <w:lang w:eastAsia="zh-CN"/>
        </w:rPr>
        <w:t>采购人</w:t>
      </w:r>
      <w:r>
        <w:rPr>
          <w:rFonts w:hint="eastAsia" w:ascii="仿宋" w:hAnsi="仿宋" w:eastAsia="仿宋" w:cs="仿宋"/>
        </w:rPr>
        <w:t>应当暂停签订合同，已经签订合同的，应当中止履行合同。</w:t>
      </w:r>
    </w:p>
    <w:p w14:paraId="75F01ADD">
      <w:pPr>
        <w:pStyle w:val="890"/>
        <w:snapToGrid w:val="0"/>
        <w:spacing w:before="0" w:beforeAutospacing="0" w:after="0" w:afterAutospacing="0" w:line="440" w:lineRule="exact"/>
        <w:ind w:firstLine="480" w:firstLineChars="200"/>
        <w:contextualSpacing/>
        <w:rPr>
          <w:rFonts w:ascii="仿宋" w:hAnsi="仿宋" w:eastAsia="仿宋" w:cs="仿宋"/>
          <w:lang w:val="zh-CN"/>
        </w:rPr>
      </w:pPr>
      <w:r>
        <w:rPr>
          <w:rFonts w:hint="eastAsia" w:ascii="仿宋" w:hAnsi="仿宋" w:eastAsia="仿宋" w:cs="仿宋"/>
          <w:lang w:val="en-US" w:eastAsia="zh-CN"/>
        </w:rPr>
        <w:t>5</w:t>
      </w:r>
      <w:r>
        <w:rPr>
          <w:rFonts w:hint="eastAsia" w:ascii="仿宋" w:hAnsi="仿宋" w:eastAsia="仿宋" w:cs="仿宋"/>
          <w:lang w:val="zh-CN"/>
        </w:rPr>
        <w:t>.3投标人投诉</w:t>
      </w:r>
    </w:p>
    <w:p w14:paraId="703B5455">
      <w:pPr>
        <w:pStyle w:val="890"/>
        <w:snapToGrid w:val="0"/>
        <w:spacing w:before="0" w:beforeAutospacing="0" w:after="0" w:afterAutospacing="0" w:line="440" w:lineRule="exact"/>
        <w:ind w:firstLine="480" w:firstLineChars="200"/>
        <w:contextualSpacing/>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.3.1质疑投标人对</w:t>
      </w:r>
      <w:r>
        <w:rPr>
          <w:rFonts w:hint="eastAsia" w:ascii="仿宋" w:hAnsi="仿宋" w:eastAsia="仿宋" w:cs="仿宋"/>
          <w:lang w:eastAsia="zh-CN"/>
        </w:rPr>
        <w:t>采购人</w:t>
      </w:r>
      <w:r>
        <w:rPr>
          <w:rFonts w:hint="eastAsia" w:ascii="仿宋" w:hAnsi="仿宋" w:eastAsia="仿宋" w:cs="仿宋"/>
        </w:rPr>
        <w:t>、采购代理机构的答复不满意或者</w:t>
      </w:r>
      <w:r>
        <w:rPr>
          <w:rFonts w:hint="eastAsia" w:ascii="仿宋" w:hAnsi="仿宋" w:eastAsia="仿宋" w:cs="仿宋"/>
          <w:lang w:eastAsia="zh-CN"/>
        </w:rPr>
        <w:t>采购人</w:t>
      </w:r>
      <w:r>
        <w:rPr>
          <w:rFonts w:hint="eastAsia" w:ascii="仿宋" w:hAnsi="仿宋" w:eastAsia="仿宋" w:cs="仿宋"/>
        </w:rPr>
        <w:t>、采购代理机构未在规定的时间内作出答复的，可以在答复期满后十五个工作日内向</w:t>
      </w:r>
      <w:r>
        <w:rPr>
          <w:rFonts w:hint="eastAsia" w:ascii="仿宋" w:hAnsi="仿宋" w:eastAsia="仿宋" w:cs="仿宋"/>
          <w:lang w:eastAsia="zh-CN"/>
        </w:rPr>
        <w:t>采购人</w:t>
      </w:r>
      <w:r>
        <w:rPr>
          <w:rFonts w:hint="eastAsia" w:ascii="仿宋" w:hAnsi="仿宋" w:eastAsia="仿宋" w:cs="仿宋"/>
        </w:rPr>
        <w:t>的采购监督管理部门提出投诉。</w:t>
      </w:r>
    </w:p>
    <w:p w14:paraId="695EA136">
      <w:pPr>
        <w:pStyle w:val="890"/>
        <w:snapToGrid w:val="0"/>
        <w:spacing w:before="0" w:beforeAutospacing="0" w:after="0" w:afterAutospacing="0" w:line="440" w:lineRule="exact"/>
        <w:ind w:firstLine="480" w:firstLineChars="200"/>
        <w:contextualSpacing/>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.3.</w:t>
      </w:r>
      <w:r>
        <w:rPr>
          <w:rFonts w:hint="eastAsia" w:ascii="仿宋" w:hAnsi="仿宋" w:eastAsia="仿宋" w:cs="仿宋"/>
          <w:lang w:val="zh-CN"/>
        </w:rPr>
        <w:t>2</w:t>
      </w:r>
      <w:r>
        <w:rPr>
          <w:rFonts w:hint="eastAsia" w:ascii="仿宋" w:hAnsi="仿宋" w:eastAsia="仿宋" w:cs="仿宋"/>
        </w:rPr>
        <w:t>投标人投诉的事项不得超出已质疑事项的范围，基于质疑答复内容提出的投诉事项除外。</w:t>
      </w:r>
    </w:p>
    <w:p w14:paraId="3504EE63">
      <w:pPr>
        <w:pStyle w:val="890"/>
        <w:snapToGrid w:val="0"/>
        <w:spacing w:before="0" w:beforeAutospacing="0" w:after="0" w:afterAutospacing="0" w:line="440" w:lineRule="exact"/>
        <w:ind w:firstLine="480" w:firstLineChars="200"/>
        <w:contextualSpacing/>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.3.3投标人投诉应当有明确的请求和必要的证明材料。</w:t>
      </w:r>
    </w:p>
    <w:p w14:paraId="778F5944">
      <w:pPr>
        <w:pStyle w:val="890"/>
        <w:snapToGrid w:val="0"/>
        <w:spacing w:before="0" w:beforeAutospacing="0" w:after="0" w:afterAutospacing="0" w:line="440" w:lineRule="exact"/>
        <w:ind w:firstLine="480" w:firstLineChars="200"/>
        <w:contextualSpacing/>
        <w:rPr>
          <w:rFonts w:ascii="仿宋" w:hAnsi="仿宋" w:eastAsia="仿宋" w:cs="仿宋"/>
        </w:rPr>
      </w:pPr>
      <w:r>
        <w:rPr>
          <w:rFonts w:hint="eastAsia" w:ascii="仿宋" w:hAnsi="仿宋" w:eastAsia="仿宋" w:cs="仿宋"/>
        </w:rPr>
        <w:t>投诉书范本及制作说明详见附件2。</w:t>
      </w:r>
    </w:p>
    <w:p w14:paraId="73FB54C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二、招标文件的构成、澄清、修改</w:t>
      </w:r>
    </w:p>
    <w:p w14:paraId="0AFA7FE9">
      <w:pPr>
        <w:pStyle w:val="34"/>
        <w:snapToGrid w:val="0"/>
        <w:spacing w:line="440" w:lineRule="exact"/>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．招标文件的构成</w:t>
      </w:r>
    </w:p>
    <w:p w14:paraId="59B8823A">
      <w:pPr>
        <w:pStyle w:val="34"/>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招标文件包括下列文件及附件：</w:t>
      </w:r>
    </w:p>
    <w:p w14:paraId="4242353B">
      <w:pPr>
        <w:pStyle w:val="34"/>
        <w:tabs>
          <w:tab w:val="left" w:pos="840"/>
        </w:tabs>
        <w:snapToGrid w:val="0"/>
        <w:spacing w:line="440" w:lineRule="exact"/>
        <w:ind w:firstLine="960" w:firstLineChars="4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.1.1招标公告；</w:t>
      </w:r>
    </w:p>
    <w:p w14:paraId="33CCBEB5">
      <w:pPr>
        <w:pStyle w:val="34"/>
        <w:tabs>
          <w:tab w:val="left" w:pos="840"/>
        </w:tabs>
        <w:snapToGrid w:val="0"/>
        <w:spacing w:line="440" w:lineRule="exact"/>
        <w:ind w:firstLine="960" w:firstLineChars="4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.1.2投标人须知；</w:t>
      </w:r>
    </w:p>
    <w:p w14:paraId="7E833418">
      <w:pPr>
        <w:pStyle w:val="34"/>
        <w:tabs>
          <w:tab w:val="left" w:pos="840"/>
        </w:tabs>
        <w:snapToGrid w:val="0"/>
        <w:spacing w:line="440" w:lineRule="exact"/>
        <w:ind w:firstLine="960" w:firstLineChars="4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.1.3采购需求；</w:t>
      </w:r>
    </w:p>
    <w:p w14:paraId="2D2B5CA9">
      <w:pPr>
        <w:pStyle w:val="34"/>
        <w:tabs>
          <w:tab w:val="left" w:pos="840"/>
        </w:tabs>
        <w:snapToGrid w:val="0"/>
        <w:spacing w:line="440" w:lineRule="exact"/>
        <w:ind w:firstLine="960" w:firstLineChars="4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.1.4评标办法；</w:t>
      </w:r>
    </w:p>
    <w:p w14:paraId="6947AC20">
      <w:pPr>
        <w:pStyle w:val="34"/>
        <w:tabs>
          <w:tab w:val="left" w:pos="840"/>
        </w:tabs>
        <w:snapToGrid w:val="0"/>
        <w:spacing w:line="440" w:lineRule="exact"/>
        <w:ind w:firstLine="960" w:firstLineChars="4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.1.5拟签订的合同文本；</w:t>
      </w:r>
    </w:p>
    <w:p w14:paraId="2D3ECEA6">
      <w:pPr>
        <w:pStyle w:val="34"/>
        <w:tabs>
          <w:tab w:val="left" w:pos="840"/>
        </w:tabs>
        <w:snapToGrid w:val="0"/>
        <w:spacing w:line="440" w:lineRule="exact"/>
        <w:ind w:firstLine="960" w:firstLineChars="400"/>
        <w:rPr>
          <w:rFonts w:ascii="仿宋" w:hAnsi="仿宋" w:eastAsia="仿宋" w:cs="仿宋"/>
          <w:sz w:val="24"/>
          <w:szCs w:val="24"/>
        </w:rPr>
      </w:pPr>
      <w:r>
        <w:rPr>
          <w:rFonts w:hint="eastAsia" w:ascii="仿宋" w:hAnsi="仿宋" w:eastAsia="仿宋" w:cs="仿宋"/>
          <w:sz w:val="24"/>
          <w:lang w:val="en-US" w:eastAsia="zh-CN"/>
        </w:rPr>
        <w:t>6</w:t>
      </w:r>
      <w:r>
        <w:rPr>
          <w:rFonts w:hint="eastAsia" w:ascii="仿宋" w:hAnsi="仿宋" w:eastAsia="仿宋" w:cs="仿宋"/>
          <w:sz w:val="24"/>
        </w:rPr>
        <w:t>.1.6</w:t>
      </w:r>
      <w:r>
        <w:rPr>
          <w:rFonts w:hint="eastAsia" w:ascii="仿宋" w:hAnsi="仿宋" w:eastAsia="仿宋" w:cs="仿宋"/>
          <w:sz w:val="24"/>
          <w:szCs w:val="24"/>
        </w:rPr>
        <w:t>应提交的有关格式范例。</w:t>
      </w:r>
    </w:p>
    <w:p w14:paraId="720020B1">
      <w:pPr>
        <w:snapToGrid w:val="0"/>
        <w:spacing w:line="440" w:lineRule="exact"/>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48F535B5">
      <w:pPr>
        <w:pStyle w:val="34"/>
        <w:snapToGrid w:val="0"/>
        <w:spacing w:line="440" w:lineRule="exact"/>
        <w:rPr>
          <w:rFonts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 招标文件的澄清、修改</w:t>
      </w:r>
    </w:p>
    <w:p w14:paraId="4573A120">
      <w:pPr>
        <w:pStyle w:val="169"/>
        <w:snapToGrid w:val="0"/>
        <w:spacing w:before="0" w:line="440" w:lineRule="exact"/>
        <w:ind w:firstLine="480"/>
        <w:rPr>
          <w:rFonts w:ascii="仿宋" w:hAnsi="仿宋" w:eastAsia="仿宋" w:cs="仿宋"/>
        </w:rPr>
      </w:pPr>
      <w:r>
        <w:rPr>
          <w:rFonts w:hint="eastAsia" w:ascii="仿宋" w:hAnsi="仿宋" w:eastAsia="仿宋" w:cs="仿宋"/>
          <w:lang w:val="en-US" w:eastAsia="zh-CN"/>
        </w:rPr>
        <w:t>7</w:t>
      </w:r>
      <w:r>
        <w:rPr>
          <w:rFonts w:hint="eastAsia" w:ascii="仿宋" w:hAnsi="仿宋" w:eastAsia="仿宋" w:cs="仿宋"/>
        </w:rPr>
        <w:t>.1已获取招标文件的潜在投标人，若有问题需要澄清，应于投标截止时间前，以书面形式向采购代理机构提出。</w:t>
      </w:r>
    </w:p>
    <w:p w14:paraId="03E922D1">
      <w:pPr>
        <w:pStyle w:val="169"/>
        <w:snapToGrid w:val="0"/>
        <w:spacing w:before="0" w:line="440" w:lineRule="exact"/>
        <w:ind w:firstLine="480"/>
        <w:rPr>
          <w:rFonts w:ascii="仿宋" w:hAnsi="仿宋" w:eastAsia="仿宋" w:cs="仿宋"/>
          <w:sz w:val="18"/>
          <w:szCs w:val="18"/>
        </w:rPr>
      </w:pPr>
      <w:r>
        <w:rPr>
          <w:rFonts w:hint="eastAsia" w:ascii="仿宋" w:hAnsi="仿宋" w:eastAsia="仿宋" w:cs="仿宋"/>
          <w:lang w:val="en-US" w:eastAsia="zh-CN"/>
        </w:rPr>
        <w:t>7</w:t>
      </w:r>
      <w:r>
        <w:rPr>
          <w:rFonts w:hint="eastAsia" w:ascii="仿宋" w:hAnsi="仿宋" w:eastAsia="仿宋" w:cs="仿宋"/>
        </w:rPr>
        <w:t>.2 采购代理机构对招标文件进行澄清或修改的，将同时通知已获取招标文件的潜在投标人。依法应当公告的，将按规定公告，同时视情况延长投标截止时间和开标时间。该澄清或者修改的内容为招标文件的组成部分。</w:t>
      </w:r>
    </w:p>
    <w:p w14:paraId="260938E0">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4949250F">
      <w:pPr>
        <w:pStyle w:val="34"/>
        <w:snapToGrid w:val="0"/>
        <w:spacing w:line="440" w:lineRule="exact"/>
        <w:rPr>
          <w:rFonts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 招标文件的获取</w:t>
      </w:r>
    </w:p>
    <w:p w14:paraId="760E083F">
      <w:pPr>
        <w:snapToGrid w:val="0"/>
        <w:spacing w:line="440" w:lineRule="exact"/>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B94CD5E">
      <w:pPr>
        <w:pStyle w:val="34"/>
        <w:snapToGrid w:val="0"/>
        <w:spacing w:line="440" w:lineRule="exact"/>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.开标前答疑会或现场考察</w:t>
      </w:r>
    </w:p>
    <w:p w14:paraId="7E794E83">
      <w:pPr>
        <w:pStyle w:val="34"/>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组织潜在投标人现场考察或者召开开标前答疑会的，潜在投标人按第二部分投标人须知前附表的规定参加现场考察或者开标前答疑会。</w:t>
      </w:r>
    </w:p>
    <w:p w14:paraId="0E573006">
      <w:pPr>
        <w:pStyle w:val="34"/>
        <w:snapToGrid w:val="0"/>
        <w:spacing w:line="440" w:lineRule="exact"/>
        <w:rPr>
          <w:rFonts w:ascii="仿宋" w:hAnsi="仿宋" w:eastAsia="仿宋" w:cs="仿宋"/>
          <w:b/>
          <w:szCs w:val="24"/>
        </w:rPr>
      </w:pPr>
      <w:r>
        <w:rPr>
          <w:rFonts w:hint="eastAsia" w:ascii="仿宋" w:hAnsi="仿宋" w:eastAsia="仿宋" w:cs="仿宋"/>
          <w:b/>
          <w:kern w:val="28"/>
          <w:sz w:val="24"/>
          <w:szCs w:val="24"/>
          <w:lang w:val="en-US" w:eastAsia="zh-CN"/>
        </w:rPr>
        <w:t>10</w:t>
      </w:r>
      <w:r>
        <w:rPr>
          <w:rFonts w:hint="eastAsia" w:ascii="仿宋" w:hAnsi="仿宋" w:eastAsia="仿宋" w:cs="仿宋"/>
          <w:b/>
          <w:kern w:val="28"/>
          <w:sz w:val="24"/>
          <w:szCs w:val="24"/>
        </w:rPr>
        <w:t>.投标保证金</w:t>
      </w:r>
    </w:p>
    <w:p w14:paraId="3BF1495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本项目不收取投标保证金。</w:t>
      </w:r>
    </w:p>
    <w:p w14:paraId="0C7FB4CB">
      <w:pPr>
        <w:pStyle w:val="34"/>
        <w:snapToGrid w:val="0"/>
        <w:spacing w:line="440" w:lineRule="exact"/>
        <w:rPr>
          <w:rFonts w:ascii="仿宋" w:hAnsi="仿宋" w:eastAsia="仿宋" w:cs="仿宋"/>
          <w:b/>
          <w:sz w:val="24"/>
          <w:szCs w:val="24"/>
        </w:rPr>
      </w:pPr>
      <w:r>
        <w:rPr>
          <w:rFonts w:hint="eastAsia" w:ascii="仿宋" w:hAnsi="仿宋" w:eastAsia="仿宋" w:cs="仿宋"/>
          <w:b/>
          <w:sz w:val="24"/>
          <w:szCs w:val="24"/>
          <w:lang w:val="en-US" w:eastAsia="zh-CN"/>
        </w:rPr>
        <w:t>11</w:t>
      </w:r>
      <w:r>
        <w:rPr>
          <w:rFonts w:hint="eastAsia" w:ascii="仿宋" w:hAnsi="仿宋" w:eastAsia="仿宋" w:cs="仿宋"/>
          <w:b/>
          <w:sz w:val="24"/>
          <w:szCs w:val="24"/>
        </w:rPr>
        <w:t>. 投标文件的语言</w:t>
      </w:r>
    </w:p>
    <w:p w14:paraId="10C177B2">
      <w:pPr>
        <w:autoSpaceDE w:val="0"/>
        <w:autoSpaceDN w:val="0"/>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1832C2E">
      <w:pPr>
        <w:pStyle w:val="34"/>
        <w:snapToGrid w:val="0"/>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 投标文件的组成</w:t>
      </w:r>
    </w:p>
    <w:p w14:paraId="23FFF26F">
      <w:pPr>
        <w:snapToGrid w:val="0"/>
        <w:spacing w:line="440" w:lineRule="exact"/>
        <w:ind w:firstLine="480" w:firstLineChars="200"/>
        <w:rPr>
          <w:rFonts w:hint="eastAsia" w:ascii="仿宋" w:hAnsi="仿宋" w:eastAsia="仿宋" w:cs="仿宋"/>
          <w:b w:val="0"/>
          <w:bCs/>
          <w:sz w:val="24"/>
        </w:rPr>
      </w:pPr>
      <w:r>
        <w:rPr>
          <w:rFonts w:hint="eastAsia" w:ascii="仿宋" w:hAnsi="仿宋" w:eastAsia="仿宋" w:cs="仿宋"/>
          <w:b w:val="0"/>
          <w:bCs/>
          <w:sz w:val="24"/>
        </w:rPr>
        <w:t>投标文件（电子加密投标文件）由资格文件、商务和技术文件、报价文件三部分组成（格式详见招标文件第六</w:t>
      </w:r>
      <w:r>
        <w:rPr>
          <w:rFonts w:hint="eastAsia" w:ascii="仿宋" w:hAnsi="仿宋" w:eastAsia="仿宋" w:cs="仿宋"/>
          <w:b w:val="0"/>
          <w:bCs/>
          <w:sz w:val="24"/>
          <w:lang w:val="en-US" w:eastAsia="zh-CN"/>
        </w:rPr>
        <w:t>部分</w:t>
      </w:r>
      <w:r>
        <w:rPr>
          <w:rFonts w:hint="eastAsia" w:ascii="仿宋" w:hAnsi="仿宋" w:eastAsia="仿宋" w:cs="仿宋"/>
          <w:b w:val="0"/>
          <w:bCs/>
          <w:sz w:val="24"/>
        </w:rPr>
        <w:t>）。投标人应将投标文件各部分分别上传至政府采购云平台指定位置。</w:t>
      </w:r>
    </w:p>
    <w:p w14:paraId="3B246E71">
      <w:pPr>
        <w:snapToGrid w:val="0"/>
        <w:spacing w:line="440" w:lineRule="exact"/>
        <w:ind w:firstLine="480" w:firstLineChars="200"/>
        <w:rPr>
          <w:rFonts w:hint="eastAsia" w:ascii="仿宋" w:hAnsi="仿宋" w:eastAsia="仿宋" w:cs="仿宋"/>
          <w:b w:val="0"/>
          <w:bCs/>
          <w:sz w:val="24"/>
        </w:rPr>
      </w:pPr>
      <w:r>
        <w:rPr>
          <w:rFonts w:hint="eastAsia" w:ascii="仿宋" w:hAnsi="仿宋" w:eastAsia="仿宋" w:cs="仿宋"/>
          <w:b w:val="0"/>
          <w:bCs/>
          <w:sz w:val="24"/>
        </w:rPr>
        <w:t>投标文件组成：详见“第六</w:t>
      </w:r>
      <w:r>
        <w:rPr>
          <w:rFonts w:hint="eastAsia" w:ascii="仿宋" w:hAnsi="仿宋" w:eastAsia="仿宋" w:cs="仿宋"/>
          <w:b w:val="0"/>
          <w:bCs/>
          <w:sz w:val="24"/>
          <w:lang w:val="en-US" w:eastAsia="zh-CN"/>
        </w:rPr>
        <w:t>部分</w:t>
      </w:r>
      <w:r>
        <w:rPr>
          <w:rFonts w:hint="eastAsia" w:ascii="仿宋" w:hAnsi="仿宋" w:eastAsia="仿宋" w:cs="仿宋"/>
          <w:b w:val="0"/>
          <w:bCs/>
          <w:sz w:val="24"/>
        </w:rPr>
        <w:t xml:space="preserve">  投标文件格式”目录</w:t>
      </w:r>
    </w:p>
    <w:p w14:paraId="2D022294">
      <w:pPr>
        <w:snapToGrid w:val="0"/>
        <w:spacing w:line="440" w:lineRule="exact"/>
        <w:ind w:firstLine="480" w:firstLineChars="200"/>
        <w:rPr>
          <w:rFonts w:ascii="仿宋" w:hAnsi="仿宋" w:eastAsia="仿宋" w:cs="仿宋"/>
          <w:b w:val="0"/>
          <w:bCs/>
          <w:sz w:val="24"/>
          <w:szCs w:val="21"/>
        </w:rPr>
      </w:pPr>
      <w:r>
        <w:rPr>
          <w:rFonts w:hint="eastAsia" w:ascii="仿宋" w:hAnsi="仿宋" w:eastAsia="仿宋" w:cs="仿宋"/>
          <w:b w:val="0"/>
          <w:bCs/>
          <w:sz w:val="24"/>
        </w:rPr>
        <w:t>如供应商提供的产品技术支持材料与采购需求偏离表响应不一致，以产品技术支持材料为准。</w:t>
      </w:r>
    </w:p>
    <w:p w14:paraId="6676D7EA">
      <w:pPr>
        <w:snapToGrid w:val="0"/>
        <w:spacing w:line="440" w:lineRule="exact"/>
        <w:rPr>
          <w:rFonts w:ascii="仿宋" w:hAnsi="仿宋" w:eastAsia="仿宋" w:cs="仿宋"/>
          <w:b/>
          <w:sz w:val="24"/>
        </w:rPr>
      </w:pPr>
      <w:r>
        <w:rPr>
          <w:rFonts w:hint="eastAsia" w:ascii="仿宋" w:hAnsi="仿宋" w:eastAsia="仿宋" w:cs="仿宋"/>
          <w:b/>
          <w:sz w:val="24"/>
          <w:lang w:val="en-US" w:eastAsia="zh-CN"/>
        </w:rPr>
        <w:t>13</w:t>
      </w:r>
      <w:r>
        <w:rPr>
          <w:rFonts w:hint="eastAsia" w:ascii="仿宋" w:hAnsi="仿宋" w:eastAsia="仿宋" w:cs="仿宋"/>
          <w:b/>
          <w:sz w:val="24"/>
          <w:lang w:val="zh-CN"/>
        </w:rPr>
        <w:t>. 投标文件的签署和份数</w:t>
      </w:r>
    </w:p>
    <w:p w14:paraId="5BF1064D">
      <w:pPr>
        <w:pStyle w:val="15"/>
        <w:spacing w:line="440" w:lineRule="exact"/>
        <w:rPr>
          <w:rFonts w:hint="eastAsia" w:ascii="仿宋" w:hAnsi="仿宋" w:eastAsia="仿宋" w:cs="仿宋"/>
          <w:kern w:val="0"/>
          <w:sz w:val="24"/>
        </w:rPr>
      </w:pPr>
      <w:r>
        <w:rPr>
          <w:rFonts w:hint="eastAsia" w:ascii="仿宋" w:hAnsi="仿宋" w:eastAsia="仿宋" w:cs="仿宋"/>
          <w:kern w:val="0"/>
          <w:sz w:val="24"/>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kern w:val="0"/>
          <w:sz w:val="24"/>
          <w:lang w:val="en-US" w:eastAsia="zh-CN"/>
        </w:rPr>
        <w:t>如</w:t>
      </w:r>
      <w:r>
        <w:rPr>
          <w:rFonts w:hint="eastAsia" w:ascii="仿宋" w:hAnsi="仿宋" w:eastAsia="仿宋" w:cs="仿宋"/>
          <w:kern w:val="0"/>
          <w:sz w:val="24"/>
        </w:rPr>
        <w:t>因投标人原因</w:t>
      </w:r>
      <w:r>
        <w:rPr>
          <w:rFonts w:hint="eastAsia" w:ascii="仿宋" w:hAnsi="仿宋" w:eastAsia="仿宋" w:cs="仿宋"/>
          <w:kern w:val="0"/>
          <w:sz w:val="24"/>
          <w:lang w:val="en-US" w:eastAsia="zh-CN"/>
        </w:rPr>
        <w:t>在</w:t>
      </w:r>
      <w:r>
        <w:rPr>
          <w:rFonts w:hint="eastAsia" w:ascii="仿宋" w:hAnsi="仿宋" w:eastAsia="仿宋" w:cs="仿宋"/>
          <w:kern w:val="0"/>
          <w:sz w:val="24"/>
        </w:rPr>
        <w:t>资格文件、商务技术文件提前泄露投标报价，是投标人的责任。</w:t>
      </w:r>
    </w:p>
    <w:p w14:paraId="2217D6C4">
      <w:pPr>
        <w:pStyle w:val="15"/>
        <w:spacing w:line="440" w:lineRule="exact"/>
        <w:rPr>
          <w:rFonts w:hint="eastAsia" w:ascii="仿宋" w:hAnsi="仿宋" w:eastAsia="仿宋" w:cs="仿宋"/>
          <w:kern w:val="0"/>
          <w:sz w:val="24"/>
        </w:rPr>
      </w:pPr>
      <w:r>
        <w:rPr>
          <w:rFonts w:hint="eastAsia" w:ascii="仿宋" w:hAnsi="仿宋" w:eastAsia="仿宋" w:cs="仿宋"/>
          <w:kern w:val="0"/>
          <w:sz w:val="24"/>
        </w:rPr>
        <w:t>2.投标文件须由投标人在规定位置加盖公章，投标人应写全称。</w:t>
      </w:r>
    </w:p>
    <w:p w14:paraId="00B7F499">
      <w:pPr>
        <w:pStyle w:val="15"/>
        <w:spacing w:line="440" w:lineRule="exact"/>
        <w:rPr>
          <w:rFonts w:hint="eastAsia" w:ascii="仿宋" w:hAnsi="仿宋" w:eastAsia="仿宋" w:cs="仿宋"/>
          <w:kern w:val="0"/>
          <w:sz w:val="24"/>
        </w:rPr>
      </w:pPr>
      <w:r>
        <w:rPr>
          <w:rFonts w:hint="eastAsia" w:ascii="仿宋" w:hAnsi="仿宋" w:eastAsia="仿宋" w:cs="仿宋"/>
          <w:kern w:val="0"/>
          <w:sz w:val="24"/>
        </w:rPr>
        <w:t>3.投标文件不得涂改，若有修改错漏处，须由投标人加盖公章，或者由投标人代表签名。投标文件因字迹潦草或表达不清所引起的后果由投标人负责。</w:t>
      </w:r>
    </w:p>
    <w:p w14:paraId="0D398FA5">
      <w:pPr>
        <w:pStyle w:val="15"/>
        <w:spacing w:line="440" w:lineRule="exact"/>
        <w:rPr>
          <w:rFonts w:hint="eastAsia" w:ascii="仿宋" w:hAnsi="仿宋" w:eastAsia="仿宋" w:cs="仿宋"/>
          <w:kern w:val="0"/>
          <w:sz w:val="24"/>
        </w:rPr>
      </w:pPr>
      <w:r>
        <w:rPr>
          <w:rFonts w:hint="eastAsia" w:ascii="仿宋" w:hAnsi="仿宋" w:eastAsia="仿宋" w:cs="仿宋"/>
          <w:kern w:val="0"/>
          <w:sz w:val="24"/>
        </w:rPr>
        <w:t>4.投标文件份数：</w:t>
      </w:r>
    </w:p>
    <w:p w14:paraId="0CD82C1F">
      <w:pPr>
        <w:pStyle w:val="15"/>
        <w:spacing w:line="440" w:lineRule="exact"/>
        <w:rPr>
          <w:rFonts w:hint="eastAsia" w:ascii="仿宋" w:hAnsi="仿宋" w:eastAsia="仿宋" w:cs="仿宋"/>
          <w:kern w:val="0"/>
          <w:sz w:val="24"/>
        </w:rPr>
      </w:pPr>
      <w:r>
        <w:rPr>
          <w:rFonts w:hint="eastAsia" w:ascii="仿宋" w:hAnsi="仿宋" w:eastAsia="仿宋" w:cs="仿宋"/>
          <w:kern w:val="0"/>
          <w:sz w:val="24"/>
        </w:rPr>
        <w:t>电子加密投标文件：政府采购云平台在线上传一份；</w:t>
      </w:r>
    </w:p>
    <w:p w14:paraId="2EB33733">
      <w:pPr>
        <w:pStyle w:val="15"/>
        <w:spacing w:line="440" w:lineRule="exact"/>
        <w:rPr>
          <w:rFonts w:hint="eastAsia" w:ascii="仿宋" w:hAnsi="仿宋" w:eastAsia="仿宋" w:cs="仿宋"/>
          <w:kern w:val="0"/>
          <w:sz w:val="24"/>
        </w:rPr>
      </w:pPr>
      <w:r>
        <w:rPr>
          <w:rFonts w:hint="eastAsia" w:ascii="仿宋" w:hAnsi="仿宋" w:eastAsia="仿宋" w:cs="仿宋"/>
          <w:kern w:val="0"/>
          <w:sz w:val="24"/>
        </w:rPr>
        <w:t>备份投标文件：密封包装后EMS或顺丰邮寄形式递交一份（邮寄地址：杭州市文三路90号东部软件园1号楼3楼319室，浙江国际招投标有限公司（阮锦洋）收，电话：0571-81061823，寄出后将（快递单号、项目名称、公司名称、联系方式等相关信息）发至：laoyaomm@126.com，以便查收）。</w:t>
      </w:r>
    </w:p>
    <w:p w14:paraId="46D70610">
      <w:pPr>
        <w:pStyle w:val="15"/>
        <w:spacing w:line="440" w:lineRule="exact"/>
        <w:rPr>
          <w:rFonts w:hint="eastAsia" w:ascii="仿宋" w:hAnsi="仿宋" w:eastAsia="仿宋" w:cs="仿宋"/>
          <w:kern w:val="0"/>
          <w:sz w:val="24"/>
        </w:rPr>
      </w:pPr>
      <w:r>
        <w:rPr>
          <w:rFonts w:hint="eastAsia" w:ascii="仿宋" w:hAnsi="仿宋" w:eastAsia="仿宋" w:cs="仿宋"/>
          <w:kern w:val="0"/>
          <w:sz w:val="24"/>
        </w:rPr>
        <w:t>特别说明：双休日和法定节假日不收件，投标人自行承担邮寄风险。</w:t>
      </w:r>
    </w:p>
    <w:p w14:paraId="1B471747">
      <w:pPr>
        <w:pStyle w:val="15"/>
        <w:spacing w:line="440" w:lineRule="exact"/>
        <w:rPr>
          <w:rFonts w:hint="default" w:ascii="仿宋" w:hAnsi="仿宋" w:eastAsia="仿宋" w:cs="仿宋"/>
          <w:b/>
          <w:bCs/>
          <w:kern w:val="0"/>
          <w:sz w:val="24"/>
          <w:u w:val="single"/>
          <w:lang w:val="en-US" w:eastAsia="zh-CN"/>
        </w:rPr>
      </w:pPr>
      <w:r>
        <w:rPr>
          <w:rFonts w:hint="eastAsia" w:ascii="仿宋" w:hAnsi="仿宋" w:eastAsia="仿宋" w:cs="仿宋"/>
          <w:b/>
          <w:bCs/>
          <w:kern w:val="0"/>
          <w:sz w:val="24"/>
          <w:u w:val="single"/>
          <w:lang w:val="en-US" w:eastAsia="zh-CN"/>
        </w:rPr>
        <w:t>中标人需在中标后提供三套纸质投标文件，每套均加盖红章。</w:t>
      </w:r>
    </w:p>
    <w:p w14:paraId="46E13A55">
      <w:pPr>
        <w:snapToGrid w:val="0"/>
        <w:spacing w:line="440" w:lineRule="exact"/>
        <w:rPr>
          <w:rFonts w:ascii="仿宋" w:hAnsi="仿宋" w:eastAsia="仿宋" w:cs="仿宋"/>
          <w:b/>
          <w:sz w:val="24"/>
        </w:rPr>
      </w:pPr>
      <w:r>
        <w:rPr>
          <w:rFonts w:hint="eastAsia" w:ascii="仿宋" w:hAnsi="仿宋" w:eastAsia="仿宋" w:cs="仿宋"/>
          <w:b/>
          <w:sz w:val="24"/>
          <w:lang w:val="en-US" w:eastAsia="zh-CN"/>
        </w:rPr>
        <w:t>14</w:t>
      </w:r>
      <w:r>
        <w:rPr>
          <w:rFonts w:hint="eastAsia" w:ascii="仿宋" w:hAnsi="仿宋" w:eastAsia="仿宋" w:cs="仿宋"/>
          <w:b/>
          <w:sz w:val="24"/>
        </w:rPr>
        <w:t>.投标文件的上传、递交、修改和撤回</w:t>
      </w:r>
    </w:p>
    <w:p w14:paraId="691C365A">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1.投标文件的上传、递交：</w:t>
      </w:r>
    </w:p>
    <w:p w14:paraId="509D5A70">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（1）电子加密投标文件的上传：</w:t>
      </w:r>
    </w:p>
    <w:p w14:paraId="5AD3EE28">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▲a.投标人应在投标截止时间前将电子加密投标文件成功上传至政府采购云平台，否则投标无效；</w:t>
      </w:r>
    </w:p>
    <w:p w14:paraId="1148CA57">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b.电子加密投标文件成功上传后，投标人可自行打印投标文件接收回执。</w:t>
      </w:r>
    </w:p>
    <w:p w14:paraId="6C8D2A31">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（2）备份投标文件的密封包装、递交：</w:t>
      </w:r>
    </w:p>
    <w:p w14:paraId="69D2E8ED">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a.投标人在政府采购云平台完成电子加密投标文件的上传后，可以EMS或顺丰邮寄形式在投标截止时间前递交以介质（U盘）存储的数据电文形式的备份投标文件；</w:t>
      </w:r>
    </w:p>
    <w:p w14:paraId="131A832C">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b.备份投标文件应当密封包装并在包装上标注投标项目名称、标项、投标人名称并加盖公章（非电子签章），投标人逾期送达或者未密封包装的备份投标文件采购代理机构将予以拒收；</w:t>
      </w:r>
    </w:p>
    <w:p w14:paraId="5E57C924">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▲c.通过政府采购云平台成功上传的电子加密投标文件已按时解密的，备份投标文件自动失效。</w:t>
      </w:r>
    </w:p>
    <w:p w14:paraId="2D8A1FDD">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▲d.投标人仅递交备份投标文件而未将电子加密投标文件成功上传至政府采购云平台的，投标无效。</w:t>
      </w:r>
    </w:p>
    <w:p w14:paraId="4F5D8B7F">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0F9249F">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2.投标人因未在线参加开标而导致电子加密投标文件无法按时解密等一切后果由投标人自行承担。</w:t>
      </w:r>
    </w:p>
    <w:p w14:paraId="0678756F">
      <w:pPr>
        <w:pStyle w:val="169"/>
        <w:snapToGrid w:val="0"/>
        <w:spacing w:before="0" w:line="440" w:lineRule="exact"/>
        <w:ind w:firstLine="480"/>
        <w:rPr>
          <w:rFonts w:hint="eastAsia" w:ascii="仿宋" w:hAnsi="仿宋" w:eastAsia="仿宋" w:cs="仿宋"/>
          <w:szCs w:val="24"/>
        </w:rPr>
      </w:pPr>
      <w:r>
        <w:rPr>
          <w:rFonts w:hint="eastAsia" w:ascii="仿宋" w:hAnsi="仿宋" w:eastAsia="仿宋" w:cs="仿宋"/>
          <w:szCs w:val="24"/>
        </w:rPr>
        <w:t>3.投标人应按照招标文件和政府采购云平台的要求，根据投标文件的组成规定的内容及顺序通过政采云电子交易客户端（政采云投标客户端）编制加密投标文件。</w:t>
      </w:r>
    </w:p>
    <w:p w14:paraId="74D27D7D">
      <w:pPr>
        <w:pStyle w:val="169"/>
        <w:snapToGrid w:val="0"/>
        <w:spacing w:before="0" w:line="440" w:lineRule="exact"/>
        <w:ind w:firstLine="480"/>
        <w:rPr>
          <w:rFonts w:ascii="仿宋" w:hAnsi="仿宋" w:eastAsia="仿宋" w:cs="仿宋"/>
          <w:b/>
          <w:bCs/>
        </w:rPr>
      </w:pPr>
      <w:r>
        <w:rPr>
          <w:rFonts w:hint="eastAsia" w:ascii="仿宋" w:hAnsi="仿宋" w:eastAsia="仿宋" w:cs="仿宋"/>
          <w:b/>
          <w:bCs/>
          <w:szCs w:val="24"/>
        </w:rPr>
        <w:t>备注：投标人可通过浙江省“电子交易/不见面开评标”学习专题提前进行专题学习，熟悉操作，避免影响采购活动（https://edu.zcygov.cn/luban/e-biding）。</w:t>
      </w:r>
    </w:p>
    <w:p w14:paraId="323C47F8">
      <w:pPr>
        <w:pStyle w:val="169"/>
        <w:snapToGrid w:val="0"/>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15</w:t>
      </w:r>
      <w:r>
        <w:rPr>
          <w:rFonts w:hint="eastAsia" w:ascii="仿宋" w:hAnsi="仿宋" w:eastAsia="仿宋" w:cs="仿宋"/>
          <w:b/>
          <w:szCs w:val="24"/>
        </w:rPr>
        <w:t>. 投标文件的语言及计量</w:t>
      </w:r>
    </w:p>
    <w:p w14:paraId="2C9F6EB6">
      <w:pPr>
        <w:pStyle w:val="169"/>
        <w:snapToGrid w:val="0"/>
        <w:spacing w:before="0" w:line="440" w:lineRule="exact"/>
        <w:ind w:firstLine="480"/>
        <w:rPr>
          <w:rFonts w:ascii="仿宋" w:hAnsi="仿宋" w:eastAsia="仿宋" w:cs="仿宋"/>
          <w:szCs w:val="24"/>
        </w:rPr>
      </w:pPr>
      <w:r>
        <w:rPr>
          <w:rFonts w:hint="eastAsia" w:ascii="仿宋" w:hAnsi="仿宋" w:eastAsia="仿宋" w:cs="仿宋"/>
          <w:szCs w:val="24"/>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F190357">
      <w:pPr>
        <w:pStyle w:val="169"/>
        <w:snapToGrid w:val="0"/>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16</w:t>
      </w:r>
      <w:r>
        <w:rPr>
          <w:rFonts w:hint="eastAsia" w:ascii="仿宋" w:hAnsi="仿宋" w:eastAsia="仿宋" w:cs="仿宋"/>
          <w:b/>
          <w:szCs w:val="24"/>
        </w:rPr>
        <w:t>.投标报价</w:t>
      </w:r>
    </w:p>
    <w:p w14:paraId="7648007D">
      <w:pPr>
        <w:pStyle w:val="24"/>
        <w:snapToGrid w:val="0"/>
        <w:spacing w:line="440" w:lineRule="exact"/>
        <w:ind w:firstLine="360" w:firstLineChars="150"/>
        <w:rPr>
          <w:rFonts w:hint="eastAsia" w:ascii="仿宋" w:hAnsi="仿宋" w:eastAsia="仿宋" w:cs="仿宋"/>
          <w:szCs w:val="21"/>
        </w:rPr>
      </w:pPr>
      <w:r>
        <w:rPr>
          <w:rFonts w:hint="eastAsia" w:ascii="仿宋" w:hAnsi="仿宋" w:eastAsia="仿宋" w:cs="仿宋"/>
          <w:szCs w:val="21"/>
        </w:rPr>
        <w:t>1.报价应按招标文件要求的格式编制、填写报价内容（可自行增行），未按招标文件要求编制、填写的投标文件可能被拒绝；</w:t>
      </w:r>
    </w:p>
    <w:p w14:paraId="40E57AE3">
      <w:pPr>
        <w:pStyle w:val="24"/>
        <w:snapToGrid w:val="0"/>
        <w:spacing w:line="440" w:lineRule="exact"/>
        <w:ind w:firstLine="360" w:firstLineChars="150"/>
        <w:rPr>
          <w:rFonts w:hint="eastAsia" w:ascii="仿宋" w:hAnsi="仿宋" w:eastAsia="仿宋" w:cs="仿宋"/>
          <w:szCs w:val="21"/>
        </w:rPr>
      </w:pPr>
      <w:r>
        <w:rPr>
          <w:rFonts w:hint="eastAsia" w:ascii="仿宋" w:hAnsi="仿宋" w:eastAsia="仿宋" w:cs="仿宋"/>
          <w:szCs w:val="21"/>
        </w:rPr>
        <w:t>2.以人民币报价；</w:t>
      </w:r>
    </w:p>
    <w:p w14:paraId="1898A7D4">
      <w:pPr>
        <w:pStyle w:val="24"/>
        <w:snapToGrid w:val="0"/>
        <w:spacing w:line="440" w:lineRule="exact"/>
        <w:ind w:firstLine="360" w:firstLineChars="150"/>
        <w:rPr>
          <w:rFonts w:hint="eastAsia" w:ascii="仿宋" w:hAnsi="仿宋" w:eastAsia="仿宋" w:cs="仿宋"/>
          <w:szCs w:val="21"/>
        </w:rPr>
      </w:pPr>
      <w:r>
        <w:rPr>
          <w:rFonts w:hint="eastAsia" w:ascii="仿宋" w:hAnsi="仿宋" w:eastAsia="仿宋" w:cs="仿宋"/>
          <w:szCs w:val="21"/>
        </w:rPr>
        <w:t>3.投标报价是履行合同的最终价格，有关本项目实施所涉及的一切费用均计入报价；</w:t>
      </w:r>
    </w:p>
    <w:p w14:paraId="4B93B602">
      <w:pPr>
        <w:pStyle w:val="24"/>
        <w:snapToGrid w:val="0"/>
        <w:spacing w:line="440" w:lineRule="exact"/>
        <w:ind w:firstLine="360" w:firstLineChars="150"/>
        <w:rPr>
          <w:rFonts w:hint="eastAsia" w:ascii="仿宋" w:hAnsi="仿宋" w:eastAsia="仿宋" w:cs="仿宋"/>
          <w:szCs w:val="21"/>
        </w:rPr>
      </w:pPr>
      <w:r>
        <w:rPr>
          <w:rFonts w:hint="eastAsia" w:ascii="仿宋" w:hAnsi="仿宋" w:eastAsia="仿宋" w:cs="仿宋"/>
          <w:szCs w:val="21"/>
        </w:rPr>
        <w:t>4.投标文件只允许有一个报价，有选择的报价将不予接受。</w:t>
      </w:r>
    </w:p>
    <w:p w14:paraId="5E2993CE">
      <w:pPr>
        <w:pStyle w:val="24"/>
        <w:snapToGrid w:val="0"/>
        <w:spacing w:line="440" w:lineRule="exact"/>
        <w:ind w:firstLine="360" w:firstLineChars="150"/>
        <w:rPr>
          <w:rFonts w:ascii="仿宋" w:hAnsi="仿宋" w:eastAsia="仿宋" w:cs="仿宋"/>
          <w:szCs w:val="21"/>
        </w:rPr>
      </w:pPr>
      <w:r>
        <w:rPr>
          <w:rFonts w:hint="eastAsia" w:ascii="仿宋" w:hAnsi="仿宋" w:eastAsia="仿宋" w:cs="仿宋"/>
          <w:szCs w:val="21"/>
        </w:rPr>
        <w:t>▲5.采购人将以合同形式有偿取得货物或服务，不接受投标人给予的赠品、回扣或者与采购无关的其他商品、服务。</w:t>
      </w:r>
    </w:p>
    <w:p w14:paraId="1355513C">
      <w:pPr>
        <w:pStyle w:val="169"/>
        <w:snapToGrid w:val="0"/>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17</w:t>
      </w:r>
      <w:r>
        <w:rPr>
          <w:rFonts w:hint="eastAsia" w:ascii="仿宋" w:hAnsi="仿宋" w:eastAsia="仿宋" w:cs="仿宋"/>
          <w:b/>
          <w:szCs w:val="24"/>
        </w:rPr>
        <w:t>.投标有效期</w:t>
      </w:r>
    </w:p>
    <w:p w14:paraId="12EA1932">
      <w:pPr>
        <w:pStyle w:val="169"/>
        <w:snapToGrid w:val="0"/>
        <w:spacing w:before="0" w:line="440" w:lineRule="exact"/>
        <w:ind w:firstLine="480"/>
        <w:rPr>
          <w:rFonts w:ascii="仿宋" w:hAnsi="仿宋" w:eastAsia="仿宋" w:cs="仿宋"/>
          <w:b/>
          <w:sz w:val="32"/>
        </w:rPr>
      </w:pPr>
      <w:r>
        <w:rPr>
          <w:rFonts w:hint="eastAsia" w:ascii="仿宋" w:hAnsi="仿宋" w:eastAsia="仿宋" w:cs="仿宋"/>
        </w:rPr>
        <w:t>▲从提交投标文件的截止之日起90天，在原投标有效期满之前，如果出现特殊情况，采购人或采购代理机构以书面形式通知投标人延长投标有效期。</w:t>
      </w:r>
    </w:p>
    <w:p w14:paraId="6DFC2941">
      <w:pPr>
        <w:pStyle w:val="169"/>
        <w:spacing w:before="0"/>
        <w:ind w:firstLine="1928" w:firstLineChars="600"/>
        <w:outlineLvl w:val="0"/>
        <w:rPr>
          <w:rFonts w:ascii="仿宋" w:hAnsi="仿宋" w:eastAsia="仿宋" w:cs="仿宋"/>
          <w:b/>
          <w:sz w:val="32"/>
        </w:rPr>
      </w:pPr>
      <w:r>
        <w:rPr>
          <w:rFonts w:hint="eastAsia" w:ascii="仿宋" w:hAnsi="仿宋" w:eastAsia="仿宋" w:cs="仿宋"/>
          <w:b/>
          <w:sz w:val="32"/>
        </w:rPr>
        <w:t>四、开标、资格审查与信用信息查询</w:t>
      </w:r>
    </w:p>
    <w:p w14:paraId="39B34DCB">
      <w:pPr>
        <w:pStyle w:val="559"/>
        <w:snapToGrid w:val="0"/>
        <w:spacing w:before="0" w:line="440" w:lineRule="exact"/>
        <w:ind w:left="0" w:firstLine="0"/>
        <w:contextualSpacing/>
        <w:rPr>
          <w:rFonts w:ascii="仿宋" w:hAnsi="仿宋" w:eastAsia="仿宋" w:cs="仿宋"/>
          <w:sz w:val="24"/>
        </w:rPr>
      </w:pPr>
      <w:r>
        <w:rPr>
          <w:rFonts w:hint="eastAsia" w:ascii="仿宋" w:hAnsi="仿宋" w:eastAsia="仿宋" w:cs="仿宋"/>
          <w:b/>
          <w:sz w:val="24"/>
          <w:szCs w:val="24"/>
          <w:lang w:val="en-US" w:eastAsia="zh-CN"/>
        </w:rPr>
        <w:t>18</w:t>
      </w:r>
      <w:r>
        <w:rPr>
          <w:rFonts w:hint="eastAsia" w:ascii="仿宋" w:hAnsi="仿宋" w:eastAsia="仿宋" w:cs="仿宋"/>
          <w:b/>
          <w:sz w:val="24"/>
          <w:szCs w:val="24"/>
        </w:rPr>
        <w:t>.开标</w:t>
      </w:r>
    </w:p>
    <w:p w14:paraId="53643935">
      <w:pPr>
        <w:pStyle w:val="559"/>
        <w:snapToGrid w:val="0"/>
        <w:spacing w:before="0" w:line="440" w:lineRule="exact"/>
        <w:ind w:left="0" w:firstLine="480" w:firstLineChars="200"/>
        <w:contextualSpacing/>
        <w:rPr>
          <w:rFonts w:hint="eastAsia" w:ascii="仿宋" w:hAnsi="仿宋" w:eastAsia="仿宋" w:cs="仿宋"/>
          <w:sz w:val="24"/>
        </w:rPr>
      </w:pPr>
      <w:r>
        <w:rPr>
          <w:rFonts w:hint="eastAsia" w:ascii="仿宋" w:hAnsi="仿宋" w:eastAsia="仿宋" w:cs="仿宋"/>
          <w:sz w:val="24"/>
        </w:rPr>
        <w:t>采购代理机构按照招标文件规定的时间通过电子交易平台组织开标，所有投标人均应当准时在线参加。投标人不足3家的，不得开标。</w:t>
      </w:r>
    </w:p>
    <w:p w14:paraId="130D5FF1">
      <w:pPr>
        <w:pStyle w:val="559"/>
        <w:snapToGrid w:val="0"/>
        <w:spacing w:before="0" w:line="440" w:lineRule="exact"/>
        <w:ind w:left="0" w:firstLine="480" w:firstLineChars="200"/>
        <w:contextualSpacing/>
        <w:rPr>
          <w:rFonts w:hint="eastAsia" w:ascii="仿宋" w:hAnsi="仿宋" w:eastAsia="仿宋" w:cs="仿宋"/>
          <w:sz w:val="24"/>
        </w:rPr>
      </w:pPr>
      <w:r>
        <w:rPr>
          <w:rFonts w:hint="eastAsia" w:ascii="仿宋" w:hAnsi="仿宋" w:eastAsia="仿宋" w:cs="仿宋"/>
          <w:sz w:val="24"/>
        </w:rPr>
        <w:t>开标时，电子交易平台按开标时间自动提取所有投标文件。采购人或代理机构依托电子交易平台发起开始解密指令，投标人按照平台提示和招标文件的规定在半小时内完成在线解密。</w:t>
      </w:r>
    </w:p>
    <w:p w14:paraId="550E8739">
      <w:pPr>
        <w:pStyle w:val="559"/>
        <w:snapToGrid w:val="0"/>
        <w:spacing w:before="0" w:line="440" w:lineRule="exact"/>
        <w:ind w:left="0" w:firstLine="482" w:firstLineChars="200"/>
        <w:contextualSpacing/>
        <w:rPr>
          <w:rFonts w:ascii="仿宋" w:hAnsi="仿宋" w:eastAsia="仿宋" w:cs="仿宋"/>
          <w:b/>
          <w:bCs/>
          <w:sz w:val="24"/>
        </w:rPr>
      </w:pPr>
      <w:r>
        <w:rPr>
          <w:rFonts w:hint="eastAsia" w:ascii="仿宋" w:hAnsi="仿宋" w:eastAsia="仿宋" w:cs="仿宋"/>
          <w:b/>
          <w:bCs/>
          <w:sz w:val="24"/>
        </w:rPr>
        <w:t>投标文件未按时解密，投标人提供了备份投标文件的，以备份投标文件作为依据，否则视为投标文件撤回。投标文件已按时解密的，备份投标文件自动失效。</w:t>
      </w:r>
    </w:p>
    <w:p w14:paraId="13DF7699">
      <w:pPr>
        <w:pStyle w:val="559"/>
        <w:snapToGrid w:val="0"/>
        <w:spacing w:before="0" w:line="440" w:lineRule="exact"/>
        <w:ind w:left="0" w:firstLine="0"/>
        <w:contextualSpacing/>
        <w:rPr>
          <w:rFonts w:ascii="仿宋" w:hAnsi="仿宋" w:eastAsia="仿宋" w:cs="仿宋"/>
          <w:b/>
          <w:sz w:val="24"/>
          <w:szCs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.资格审查</w:t>
      </w:r>
    </w:p>
    <w:p w14:paraId="6F0AE1C3">
      <w:pPr>
        <w:pStyle w:val="169"/>
        <w:snapToGrid w:val="0"/>
        <w:spacing w:before="0" w:line="440" w:lineRule="exact"/>
        <w:ind w:firstLine="480"/>
        <w:rPr>
          <w:rFonts w:hint="eastAsia" w:ascii="仿宋" w:hAnsi="仿宋" w:eastAsia="仿宋" w:cs="仿宋"/>
        </w:rPr>
      </w:pPr>
      <w:r>
        <w:rPr>
          <w:rFonts w:hint="eastAsia" w:ascii="仿宋" w:hAnsi="仿宋" w:eastAsia="仿宋" w:cs="仿宋"/>
        </w:rPr>
        <w:t>开标后，采购人或采购代理机构依据法律法规和招标文件的规定，对投标人的资格条件进行审查。</w:t>
      </w:r>
    </w:p>
    <w:p w14:paraId="50B24A02">
      <w:pPr>
        <w:pStyle w:val="169"/>
        <w:snapToGrid w:val="0"/>
        <w:spacing w:before="0" w:line="440" w:lineRule="exact"/>
        <w:ind w:firstLine="480"/>
        <w:rPr>
          <w:rFonts w:hint="eastAsia" w:ascii="仿宋" w:hAnsi="仿宋" w:eastAsia="仿宋" w:cs="仿宋"/>
        </w:rPr>
      </w:pPr>
      <w:r>
        <w:rPr>
          <w:rFonts w:hint="eastAsia" w:ascii="仿宋" w:hAnsi="仿宋" w:eastAsia="仿宋" w:cs="仿宋"/>
        </w:rPr>
        <w:t>对未通过资格审查的投标人，采购人或采购代理机构告知其未通过的原因。</w:t>
      </w:r>
    </w:p>
    <w:p w14:paraId="49E4CEA5">
      <w:pPr>
        <w:pStyle w:val="169"/>
        <w:snapToGrid w:val="0"/>
        <w:spacing w:before="0" w:line="440" w:lineRule="exact"/>
        <w:ind w:firstLine="480"/>
        <w:rPr>
          <w:rFonts w:ascii="仿宋" w:hAnsi="仿宋" w:eastAsia="仿宋" w:cs="仿宋"/>
        </w:rPr>
      </w:pPr>
      <w:r>
        <w:rPr>
          <w:rFonts w:hint="eastAsia" w:ascii="仿宋" w:hAnsi="仿宋" w:eastAsia="仿宋" w:cs="仿宋"/>
        </w:rPr>
        <w:t>通过资格审查的投标人不足3家的，不再评标。</w:t>
      </w:r>
    </w:p>
    <w:p w14:paraId="66DD0D8D">
      <w:pPr>
        <w:pStyle w:val="169"/>
        <w:snapToGrid w:val="0"/>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20</w:t>
      </w:r>
      <w:r>
        <w:rPr>
          <w:rFonts w:hint="eastAsia" w:ascii="仿宋" w:hAnsi="仿宋" w:eastAsia="仿宋" w:cs="仿宋"/>
          <w:b/>
          <w:szCs w:val="24"/>
        </w:rPr>
        <w:t>.信用信息查询</w:t>
      </w:r>
    </w:p>
    <w:p w14:paraId="7EF997D3">
      <w:pPr>
        <w:pStyle w:val="169"/>
        <w:snapToGrid w:val="0"/>
        <w:spacing w:before="0" w:line="44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根据要求，采购代理机构会对投标人信用记录进行查询并甄别。信用信息查询的截止时点：投标截止时间；</w:t>
      </w:r>
    </w:p>
    <w:p w14:paraId="5EC52DA5">
      <w:pPr>
        <w:pStyle w:val="169"/>
        <w:snapToGrid w:val="0"/>
        <w:spacing w:before="0" w:line="440" w:lineRule="exact"/>
        <w:ind w:firstLine="495" w:firstLineChars="0"/>
        <w:rPr>
          <w:rFonts w:hint="eastAsia" w:ascii="仿宋" w:hAnsi="仿宋" w:eastAsia="仿宋" w:cs="仿宋"/>
          <w:kern w:val="0"/>
          <w:szCs w:val="24"/>
        </w:rPr>
      </w:pPr>
      <w:r>
        <w:rPr>
          <w:rFonts w:hint="eastAsia" w:ascii="仿宋" w:hAnsi="仿宋" w:eastAsia="仿宋" w:cs="仿宋"/>
          <w:kern w:val="0"/>
          <w:szCs w:val="24"/>
          <w:lang w:val="en-US" w:eastAsia="zh-CN"/>
        </w:rPr>
        <w:t>20.1</w:t>
      </w:r>
      <w:r>
        <w:rPr>
          <w:rFonts w:hint="eastAsia" w:ascii="仿宋" w:hAnsi="仿宋" w:eastAsia="仿宋" w:cs="仿宋"/>
          <w:kern w:val="0"/>
          <w:szCs w:val="24"/>
        </w:rPr>
        <w:t>查询渠道：“信用中国”（www.creditchina.gov.cn）、“中国政府采购网”（www.ccgp.gov.cn）；</w:t>
      </w:r>
    </w:p>
    <w:p w14:paraId="02F7DAEB">
      <w:pPr>
        <w:pStyle w:val="169"/>
        <w:snapToGrid w:val="0"/>
        <w:spacing w:before="0" w:line="440" w:lineRule="exact"/>
        <w:ind w:firstLine="495" w:firstLineChars="0"/>
        <w:rPr>
          <w:rFonts w:hint="eastAsia" w:ascii="仿宋" w:hAnsi="仿宋" w:eastAsia="仿宋" w:cs="仿宋"/>
          <w:kern w:val="0"/>
          <w:szCs w:val="24"/>
        </w:rPr>
      </w:pPr>
      <w:r>
        <w:rPr>
          <w:rFonts w:hint="eastAsia" w:ascii="仿宋" w:hAnsi="仿宋" w:eastAsia="仿宋" w:cs="仿宋"/>
          <w:kern w:val="0"/>
          <w:szCs w:val="24"/>
          <w:lang w:val="en-US" w:eastAsia="zh-CN"/>
        </w:rPr>
        <w:t>20.2</w:t>
      </w:r>
      <w:r>
        <w:rPr>
          <w:rFonts w:hint="eastAsia" w:ascii="仿宋" w:hAnsi="仿宋" w:eastAsia="仿宋" w:cs="仿宋"/>
          <w:kern w:val="0"/>
          <w:szCs w:val="24"/>
        </w:rPr>
        <w:t>信用信息查询记录和证据留存具体方式：采购代理机构经办人和监督人员将查询网页打印、签名与其他采购文件一并保存；</w:t>
      </w:r>
    </w:p>
    <w:p w14:paraId="43AB3C24">
      <w:pPr>
        <w:pStyle w:val="169"/>
        <w:snapToGrid w:val="0"/>
        <w:spacing w:before="0" w:line="440" w:lineRule="exact"/>
        <w:ind w:firstLine="495" w:firstLineChars="0"/>
        <w:rPr>
          <w:rFonts w:hint="eastAsia" w:ascii="仿宋" w:hAnsi="仿宋" w:eastAsia="仿宋" w:cs="仿宋"/>
          <w:kern w:val="0"/>
          <w:szCs w:val="24"/>
        </w:rPr>
      </w:pPr>
      <w:r>
        <w:rPr>
          <w:rFonts w:hint="eastAsia" w:ascii="仿宋" w:hAnsi="仿宋" w:eastAsia="仿宋" w:cs="仿宋"/>
          <w:kern w:val="0"/>
          <w:szCs w:val="24"/>
          <w:lang w:val="en-US" w:eastAsia="zh-CN"/>
        </w:rPr>
        <w:t>20.3</w:t>
      </w:r>
      <w:r>
        <w:rPr>
          <w:rFonts w:hint="eastAsia" w:ascii="仿宋" w:hAnsi="仿宋" w:eastAsia="仿宋" w:cs="仿宋"/>
          <w:kern w:val="0"/>
          <w:szCs w:val="24"/>
        </w:rPr>
        <w:t>信用信息的使用规则：投标人被列入失信被执行人、重大税收违法案件当事人名单、政府采购严重违法失信行为记录名单的，拒绝其参与采购活动。</w:t>
      </w:r>
    </w:p>
    <w:p w14:paraId="7AF5DB06">
      <w:pPr>
        <w:pStyle w:val="169"/>
        <w:snapToGrid w:val="0"/>
        <w:spacing w:before="0" w:line="440" w:lineRule="exact"/>
        <w:ind w:firstLine="495" w:firstLineChars="0"/>
        <w:rPr>
          <w:rFonts w:hint="eastAsia" w:ascii="仿宋" w:hAnsi="仿宋" w:eastAsia="仿宋" w:cs="仿宋"/>
          <w:b/>
          <w:bCs/>
          <w:kern w:val="0"/>
          <w:szCs w:val="24"/>
        </w:rPr>
      </w:pPr>
      <w:r>
        <w:rPr>
          <w:rFonts w:hint="eastAsia" w:ascii="仿宋" w:hAnsi="仿宋" w:eastAsia="仿宋" w:cs="仿宋"/>
          <w:b/>
          <w:bCs/>
          <w:kern w:val="0"/>
          <w:szCs w:val="24"/>
        </w:rPr>
        <w:t>特别说明：如遇政府采购云平台电子化开标或评审程序调整的，按调整后程序执行。</w:t>
      </w:r>
    </w:p>
    <w:p w14:paraId="2B4DDD1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48ADE39C">
      <w:pPr>
        <w:snapToGrid w:val="0"/>
        <w:spacing w:line="440" w:lineRule="exact"/>
        <w:rPr>
          <w:rFonts w:ascii="仿宋" w:hAnsi="仿宋" w:eastAsia="仿宋" w:cs="仿宋"/>
          <w:b/>
          <w:sz w:val="24"/>
        </w:rPr>
      </w:pPr>
      <w:bookmarkStart w:id="13" w:name="_Toc91899903"/>
      <w:r>
        <w:rPr>
          <w:rFonts w:hint="eastAsia" w:ascii="仿宋" w:hAnsi="仿宋" w:eastAsia="仿宋" w:cs="仿宋"/>
          <w:b/>
          <w:sz w:val="24"/>
          <w:lang w:val="en-US" w:eastAsia="zh-CN"/>
        </w:rPr>
        <w:t>21</w:t>
      </w:r>
      <w:r>
        <w:rPr>
          <w:rFonts w:hint="eastAsia" w:ascii="仿宋" w:hAnsi="仿宋" w:eastAsia="仿宋" w:cs="仿宋"/>
          <w:b/>
          <w:sz w:val="24"/>
        </w:rPr>
        <w:t>.</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725168E">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5A44565C">
      <w:pPr>
        <w:pStyle w:val="24"/>
        <w:snapToGrid w:val="0"/>
        <w:spacing w:line="440" w:lineRule="exact"/>
        <w:ind w:left="479" w:hanging="479" w:hangingChars="199"/>
        <w:rPr>
          <w:rFonts w:ascii="仿宋" w:hAnsi="仿宋" w:eastAsia="仿宋" w:cs="仿宋"/>
          <w:b/>
        </w:rPr>
      </w:pPr>
      <w:r>
        <w:rPr>
          <w:rFonts w:hint="eastAsia" w:ascii="仿宋" w:hAnsi="仿宋" w:eastAsia="仿宋" w:cs="仿宋"/>
          <w:b/>
          <w:lang w:val="en-US" w:eastAsia="zh-CN"/>
        </w:rPr>
        <w:t>22</w:t>
      </w:r>
      <w:r>
        <w:rPr>
          <w:rFonts w:hint="eastAsia" w:ascii="仿宋" w:hAnsi="仿宋" w:eastAsia="仿宋" w:cs="仿宋"/>
          <w:b/>
        </w:rPr>
        <w:t>. 确定中标人</w:t>
      </w:r>
    </w:p>
    <w:p w14:paraId="4E124FD0">
      <w:pPr>
        <w:pStyle w:val="169"/>
        <w:snapToGrid w:val="0"/>
        <w:spacing w:before="0" w:line="440" w:lineRule="exact"/>
        <w:ind w:firstLine="480"/>
        <w:rPr>
          <w:rFonts w:ascii="仿宋" w:hAnsi="仿宋" w:eastAsia="仿宋" w:cs="仿宋"/>
          <w:bCs/>
          <w:szCs w:val="24"/>
        </w:rPr>
      </w:pPr>
      <w:r>
        <w:rPr>
          <w:rFonts w:hint="eastAsia" w:ascii="仿宋" w:hAnsi="仿宋" w:eastAsia="仿宋" w:cs="仿宋"/>
          <w:bCs/>
          <w:szCs w:val="24"/>
          <w:lang w:val="en-US" w:eastAsia="zh-CN"/>
        </w:rPr>
        <w:t>22</w:t>
      </w:r>
      <w:r>
        <w:rPr>
          <w:rFonts w:hint="eastAsia" w:ascii="仿宋" w:hAnsi="仿宋" w:eastAsia="仿宋" w:cs="仿宋"/>
          <w:bCs/>
          <w:szCs w:val="24"/>
        </w:rPr>
        <w:t xml:space="preserve">.1 </w:t>
      </w:r>
      <w:r>
        <w:rPr>
          <w:rFonts w:hint="eastAsia" w:ascii="仿宋" w:hAnsi="仿宋" w:eastAsia="仿宋" w:cs="仿宋"/>
          <w:bCs/>
          <w:szCs w:val="24"/>
          <w:lang w:eastAsia="zh-CN"/>
        </w:rPr>
        <w:t>采购人</w:t>
      </w:r>
      <w:r>
        <w:rPr>
          <w:rFonts w:hint="eastAsia" w:ascii="仿宋" w:hAnsi="仿宋" w:eastAsia="仿宋" w:cs="仿宋"/>
          <w:bCs/>
          <w:szCs w:val="24"/>
        </w:rPr>
        <w:t>按照评标报告中推荐的中标候选人顺序确定中标人。</w:t>
      </w:r>
    </w:p>
    <w:p w14:paraId="5E2EC085">
      <w:pPr>
        <w:pStyle w:val="169"/>
        <w:snapToGrid w:val="0"/>
        <w:spacing w:before="0" w:line="440" w:lineRule="exact"/>
        <w:ind w:firstLine="480"/>
        <w:rPr>
          <w:rFonts w:ascii="仿宋" w:hAnsi="仿宋" w:eastAsia="仿宋" w:cs="仿宋"/>
          <w:bCs/>
          <w:szCs w:val="24"/>
        </w:rPr>
      </w:pPr>
      <w:r>
        <w:rPr>
          <w:rFonts w:hint="eastAsia" w:ascii="仿宋" w:hAnsi="仿宋" w:eastAsia="仿宋" w:cs="仿宋"/>
          <w:bCs/>
          <w:szCs w:val="24"/>
        </w:rPr>
        <w:t>2</w:t>
      </w:r>
      <w:r>
        <w:rPr>
          <w:rFonts w:hint="eastAsia" w:ascii="仿宋" w:hAnsi="仿宋" w:eastAsia="仿宋" w:cs="仿宋"/>
          <w:bCs/>
          <w:szCs w:val="24"/>
          <w:lang w:val="en-US" w:eastAsia="zh-CN"/>
        </w:rPr>
        <w:t>2</w:t>
      </w:r>
      <w:r>
        <w:rPr>
          <w:rFonts w:hint="eastAsia" w:ascii="仿宋" w:hAnsi="仿宋" w:eastAsia="仿宋" w:cs="仿宋"/>
          <w:bCs/>
          <w:szCs w:val="24"/>
        </w:rPr>
        <w:t>.2 中标人确定后，中标结果将在发布采购公告的同一媒体上公告。</w:t>
      </w:r>
    </w:p>
    <w:p w14:paraId="15F5EE25">
      <w:pPr>
        <w:pStyle w:val="169"/>
        <w:snapToGrid w:val="0"/>
        <w:spacing w:before="0" w:line="440" w:lineRule="exact"/>
        <w:ind w:firstLine="480"/>
        <w:rPr>
          <w:rFonts w:ascii="仿宋" w:hAnsi="仿宋" w:eastAsia="仿宋" w:cs="仿宋"/>
          <w:b/>
          <w:szCs w:val="24"/>
        </w:rPr>
      </w:pPr>
      <w:r>
        <w:rPr>
          <w:rFonts w:hint="eastAsia" w:ascii="仿宋" w:hAnsi="仿宋" w:eastAsia="仿宋" w:cs="仿宋"/>
          <w:bCs/>
          <w:szCs w:val="24"/>
        </w:rPr>
        <w:t>2</w:t>
      </w:r>
      <w:r>
        <w:rPr>
          <w:rFonts w:hint="eastAsia" w:ascii="仿宋" w:hAnsi="仿宋" w:eastAsia="仿宋" w:cs="仿宋"/>
          <w:bCs/>
          <w:szCs w:val="24"/>
          <w:lang w:val="en-US" w:eastAsia="zh-CN"/>
        </w:rPr>
        <w:t>2</w:t>
      </w:r>
      <w:r>
        <w:rPr>
          <w:rFonts w:hint="eastAsia" w:ascii="仿宋" w:hAnsi="仿宋" w:eastAsia="仿宋" w:cs="仿宋"/>
          <w:bCs/>
          <w:szCs w:val="24"/>
        </w:rPr>
        <w:t>.3 投标人对中标公告有异议的，可以以书面形式向</w:t>
      </w:r>
      <w:r>
        <w:rPr>
          <w:rFonts w:hint="eastAsia" w:ascii="仿宋" w:hAnsi="仿宋" w:eastAsia="仿宋" w:cs="仿宋"/>
          <w:bCs/>
          <w:szCs w:val="24"/>
          <w:lang w:eastAsia="zh-CN"/>
        </w:rPr>
        <w:t>采购人</w:t>
      </w:r>
      <w:r>
        <w:rPr>
          <w:rFonts w:hint="eastAsia" w:ascii="仿宋" w:hAnsi="仿宋" w:eastAsia="仿宋" w:cs="仿宋"/>
          <w:bCs/>
          <w:szCs w:val="24"/>
        </w:rPr>
        <w:t>提出质疑，但需对质疑内容的真实性承担责任。对质疑答复不满的，可以在答复期满后十五个工作日内向</w:t>
      </w:r>
      <w:r>
        <w:rPr>
          <w:rFonts w:hint="eastAsia" w:ascii="仿宋" w:hAnsi="仿宋" w:eastAsia="仿宋" w:cs="仿宋"/>
          <w:bCs/>
          <w:szCs w:val="24"/>
          <w:lang w:eastAsia="zh-CN"/>
        </w:rPr>
        <w:t>采购人</w:t>
      </w:r>
      <w:r>
        <w:rPr>
          <w:rFonts w:hint="eastAsia" w:ascii="仿宋" w:hAnsi="仿宋" w:eastAsia="仿宋" w:cs="仿宋"/>
          <w:bCs/>
          <w:szCs w:val="24"/>
        </w:rPr>
        <w:t>纪检部门投诉。</w:t>
      </w:r>
    </w:p>
    <w:p w14:paraId="25FC057E">
      <w:pPr>
        <w:pStyle w:val="169"/>
        <w:snapToGrid w:val="0"/>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23</w:t>
      </w:r>
      <w:r>
        <w:rPr>
          <w:rFonts w:hint="eastAsia" w:ascii="仿宋" w:hAnsi="仿宋" w:eastAsia="仿宋" w:cs="仿宋"/>
          <w:b/>
          <w:szCs w:val="24"/>
        </w:rPr>
        <w:t>.中标通知与中标结果公告</w:t>
      </w:r>
    </w:p>
    <w:p w14:paraId="0EBF4A5E">
      <w:pPr>
        <w:widowControl/>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23</w:t>
      </w:r>
      <w:r>
        <w:rPr>
          <w:rFonts w:hint="eastAsia" w:ascii="仿宋" w:hAnsi="仿宋" w:eastAsia="仿宋" w:cs="仿宋"/>
          <w:sz w:val="24"/>
        </w:rPr>
        <w:t>.1采购代理机构自评标结束之日起2个工作日内将评标报告送交采购人。采购人收到评标报告之日起5个工作日内在评标报告推荐的中标候选人中按顺序确定中标人，也可以书面授权评标委员会直接确定中标人。中标候选人并列的，由采购人确定中标人。</w:t>
      </w:r>
    </w:p>
    <w:p w14:paraId="67A3A33D">
      <w:pPr>
        <w:widowControl/>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23</w:t>
      </w:r>
      <w:r>
        <w:rPr>
          <w:rFonts w:hint="eastAsia" w:ascii="仿宋" w:hAnsi="仿宋" w:eastAsia="仿宋" w:cs="仿宋"/>
          <w:sz w:val="24"/>
        </w:rPr>
        <w:t>.2采购代理机构自中标人确定之日起2个工作日内，公告中标结果，并发出中标通知书。</w:t>
      </w:r>
    </w:p>
    <w:p w14:paraId="1CE79717">
      <w:pPr>
        <w:pStyle w:val="25"/>
        <w:ind w:left="0" w:leftChars="0" w:firstLine="480" w:firstLineChars="200"/>
        <w:rPr>
          <w:rFonts w:hint="default" w:eastAsia="仿宋"/>
          <w:lang w:val="en-US" w:eastAsia="zh-CN"/>
        </w:rPr>
      </w:pPr>
      <w:r>
        <w:rPr>
          <w:rFonts w:hint="eastAsia" w:ascii="仿宋" w:hAnsi="仿宋" w:eastAsia="仿宋" w:cs="仿宋"/>
          <w:sz w:val="24"/>
          <w:lang w:val="en-US" w:eastAsia="zh-CN"/>
        </w:rPr>
        <w:t>23.3中标结果公示媒体：浙江政府采购网（http://zfcg.czt.zj.gov.cn）。</w:t>
      </w:r>
    </w:p>
    <w:p w14:paraId="4926DE6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七、合同授予</w:t>
      </w:r>
    </w:p>
    <w:p w14:paraId="34D5E3E8">
      <w:pPr>
        <w:pStyle w:val="24"/>
        <w:snapToGrid w:val="0"/>
        <w:spacing w:line="440" w:lineRule="exact"/>
        <w:ind w:left="479" w:hanging="479" w:hangingChars="199"/>
        <w:rPr>
          <w:rFonts w:ascii="仿宋" w:hAnsi="仿宋" w:eastAsia="仿宋" w:cs="仿宋"/>
          <w:b/>
        </w:rPr>
      </w:pPr>
      <w:r>
        <w:rPr>
          <w:rFonts w:hint="eastAsia" w:ascii="仿宋" w:hAnsi="仿宋" w:eastAsia="仿宋" w:cs="仿宋"/>
          <w:b/>
          <w:lang w:val="en-US" w:eastAsia="zh-CN"/>
        </w:rPr>
        <w:t>24</w:t>
      </w:r>
      <w:r>
        <w:rPr>
          <w:rFonts w:hint="eastAsia" w:ascii="仿宋" w:hAnsi="仿宋" w:eastAsia="仿宋" w:cs="仿宋"/>
          <w:b/>
        </w:rPr>
        <w:t>.</w:t>
      </w:r>
      <w:r>
        <w:rPr>
          <w:rFonts w:hint="eastAsia" w:ascii="仿宋" w:hAnsi="仿宋" w:eastAsia="仿宋" w:cs="仿宋"/>
        </w:rPr>
        <w:t>合同主要条款详见第五部分拟签订的合同文本。</w:t>
      </w:r>
    </w:p>
    <w:p w14:paraId="58762754">
      <w:pPr>
        <w:pStyle w:val="24"/>
        <w:snapToGrid w:val="0"/>
        <w:spacing w:line="440" w:lineRule="exact"/>
        <w:ind w:left="479" w:hanging="479" w:hangingChars="199"/>
        <w:rPr>
          <w:rFonts w:ascii="仿宋" w:hAnsi="仿宋" w:eastAsia="仿宋" w:cs="仿宋"/>
          <w:b/>
        </w:rPr>
      </w:pPr>
      <w:r>
        <w:rPr>
          <w:rFonts w:hint="eastAsia" w:ascii="仿宋" w:hAnsi="仿宋" w:eastAsia="仿宋" w:cs="仿宋"/>
          <w:b/>
          <w:lang w:val="en-US" w:eastAsia="zh-CN"/>
        </w:rPr>
        <w:t>25</w:t>
      </w:r>
      <w:r>
        <w:rPr>
          <w:rFonts w:hint="eastAsia" w:ascii="仿宋" w:hAnsi="仿宋" w:eastAsia="仿宋" w:cs="仿宋"/>
          <w:b/>
        </w:rPr>
        <w:t>.合同的签订</w:t>
      </w:r>
    </w:p>
    <w:p w14:paraId="276B9AD7">
      <w:pPr>
        <w:widowControl/>
        <w:snapToGrid w:val="0"/>
        <w:spacing w:line="440" w:lineRule="exact"/>
        <w:ind w:firstLine="480"/>
        <w:jc w:val="left"/>
        <w:rPr>
          <w:rFonts w:ascii="仿宋" w:hAnsi="仿宋" w:eastAsia="仿宋" w:cs="仿宋"/>
          <w:kern w:val="0"/>
          <w:sz w:val="24"/>
        </w:rPr>
      </w:pPr>
      <w:r>
        <w:rPr>
          <w:rFonts w:hint="eastAsia" w:ascii="仿宋" w:hAnsi="仿宋" w:eastAsia="仿宋" w:cs="仿宋"/>
          <w:sz w:val="24"/>
        </w:rPr>
        <w:t>24.1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仿宋" w:hAnsi="仿宋" w:eastAsia="仿宋" w:cs="仿宋"/>
          <w:kern w:val="0"/>
          <w:sz w:val="24"/>
        </w:rPr>
        <w:t>。</w:t>
      </w:r>
    </w:p>
    <w:p w14:paraId="4C45C776">
      <w:pPr>
        <w:pStyle w:val="169"/>
        <w:snapToGrid w:val="0"/>
        <w:spacing w:before="0" w:line="440" w:lineRule="exact"/>
        <w:ind w:firstLine="480"/>
        <w:rPr>
          <w:rFonts w:ascii="仿宋" w:hAnsi="仿宋" w:eastAsia="仿宋" w:cs="仿宋"/>
        </w:rPr>
      </w:pPr>
      <w:r>
        <w:rPr>
          <w:rFonts w:hint="eastAsia" w:ascii="仿宋" w:hAnsi="仿宋" w:eastAsia="仿宋" w:cs="仿宋"/>
        </w:rPr>
        <w:t>24.2中标后无正当理由拒不与采购人签订采购合同，将被取消中标资格。</w:t>
      </w:r>
    </w:p>
    <w:p w14:paraId="25BFA807">
      <w:pPr>
        <w:pStyle w:val="24"/>
        <w:snapToGrid w:val="0"/>
        <w:spacing w:line="440" w:lineRule="exact"/>
        <w:ind w:left="479" w:hanging="479" w:hangingChars="199"/>
        <w:rPr>
          <w:rFonts w:hint="eastAsia" w:ascii="仿宋" w:hAnsi="仿宋" w:eastAsia="仿宋" w:cs="仿宋"/>
          <w:b/>
          <w:lang w:eastAsia="zh-CN"/>
        </w:rPr>
      </w:pPr>
      <w:r>
        <w:rPr>
          <w:rFonts w:hint="eastAsia" w:ascii="仿宋" w:hAnsi="仿宋" w:eastAsia="仿宋" w:cs="仿宋"/>
          <w:b/>
          <w:lang w:val="en-US" w:eastAsia="zh-CN"/>
        </w:rPr>
        <w:t>26</w:t>
      </w:r>
      <w:r>
        <w:rPr>
          <w:rFonts w:hint="eastAsia" w:ascii="仿宋" w:hAnsi="仿宋" w:eastAsia="仿宋" w:cs="仿宋"/>
          <w:b/>
        </w:rPr>
        <w:t>.履约保证金</w:t>
      </w:r>
      <w:r>
        <w:rPr>
          <w:rFonts w:hint="eastAsia" w:ascii="仿宋" w:hAnsi="仿宋" w:eastAsia="仿宋" w:cs="仿宋"/>
          <w:b/>
          <w:lang w:eastAsia="zh-CN"/>
        </w:rPr>
        <w:t>（本项目不适用）</w:t>
      </w:r>
    </w:p>
    <w:p w14:paraId="228FCCDD">
      <w:pPr>
        <w:tabs>
          <w:tab w:val="left" w:pos="0"/>
        </w:tabs>
        <w:snapToGrid w:val="0"/>
        <w:spacing w:line="440" w:lineRule="exact"/>
        <w:ind w:firstLine="482"/>
        <w:rPr>
          <w:rFonts w:ascii="仿宋" w:hAnsi="仿宋" w:eastAsia="仿宋" w:cs="仿宋"/>
          <w:sz w:val="24"/>
          <w:szCs w:val="20"/>
        </w:rPr>
      </w:pPr>
      <w:r>
        <w:rPr>
          <w:rFonts w:hint="eastAsia" w:ascii="仿宋" w:hAnsi="仿宋" w:eastAsia="仿宋" w:cs="仿宋"/>
          <w:kern w:val="0"/>
          <w:sz w:val="24"/>
        </w:rPr>
        <w:t>拟签订的合同文本要求中标人提交履约保证金的，投标人应当以支票、汇票、本票或者金融机构、担保机构出具的保函等非现金形式提交</w:t>
      </w:r>
      <w:r>
        <w:rPr>
          <w:rFonts w:hint="eastAsia" w:ascii="仿宋" w:hAnsi="仿宋" w:eastAsia="仿宋" w:cs="仿宋"/>
          <w:sz w:val="24"/>
        </w:rPr>
        <w:t>。</w:t>
      </w:r>
    </w:p>
    <w:bookmarkEnd w:id="13"/>
    <w:p w14:paraId="193C10D6">
      <w:pPr>
        <w:tabs>
          <w:tab w:val="left" w:pos="0"/>
        </w:tabs>
        <w:spacing w:line="360" w:lineRule="auto"/>
        <w:rPr>
          <w:rFonts w:ascii="仿宋" w:hAnsi="仿宋" w:eastAsia="仿宋" w:cs="仿宋"/>
          <w:kern w:val="0"/>
          <w:sz w:val="24"/>
        </w:rPr>
      </w:pPr>
      <w:bookmarkStart w:id="14" w:name="_Hlt74729768"/>
      <w:bookmarkEnd w:id="14"/>
      <w:bookmarkStart w:id="15" w:name="_Hlt68073093"/>
      <w:bookmarkEnd w:id="15"/>
      <w:bookmarkStart w:id="16" w:name="_Hlt75236011"/>
      <w:bookmarkEnd w:id="16"/>
      <w:bookmarkStart w:id="17" w:name="_Hlt74730295"/>
      <w:bookmarkEnd w:id="17"/>
      <w:bookmarkStart w:id="18" w:name="_Hlt68072990"/>
      <w:bookmarkEnd w:id="18"/>
      <w:bookmarkStart w:id="19" w:name="_Hlt75236101"/>
      <w:bookmarkEnd w:id="19"/>
      <w:bookmarkStart w:id="20" w:name="_Hlt68403820"/>
      <w:bookmarkEnd w:id="20"/>
      <w:bookmarkStart w:id="21" w:name="_Hlt74707468"/>
      <w:bookmarkEnd w:id="21"/>
      <w:bookmarkStart w:id="22" w:name="_Hlt75236290"/>
      <w:bookmarkEnd w:id="22"/>
      <w:bookmarkStart w:id="23" w:name="_Hlt68072998"/>
      <w:bookmarkEnd w:id="23"/>
      <w:bookmarkStart w:id="24" w:name="_Hlt68057669"/>
      <w:bookmarkEnd w:id="24"/>
      <w:bookmarkStart w:id="25" w:name="_Hlt74714665"/>
      <w:bookmarkEnd w:id="25"/>
    </w:p>
    <w:p w14:paraId="4DC23E5F">
      <w:pPr>
        <w:numPr>
          <w:ilvl w:val="0"/>
          <w:numId w:val="0"/>
        </w:num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lang w:val="en-US" w:eastAsia="zh-CN"/>
        </w:rPr>
        <w:t>八、</w:t>
      </w:r>
      <w:r>
        <w:rPr>
          <w:rFonts w:hint="eastAsia" w:ascii="仿宋" w:hAnsi="仿宋" w:eastAsia="仿宋" w:cs="仿宋"/>
          <w:b/>
          <w:sz w:val="36"/>
          <w:szCs w:val="36"/>
        </w:rPr>
        <w:t>验收</w:t>
      </w:r>
    </w:p>
    <w:p w14:paraId="64B2A0DD">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45682B6">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采购人可以邀请参加本项目的其他投标人或者第三方机构参与验收。参与验收的投标人或者第三方机构的意见作为验收书的参考资料一并存档。</w:t>
      </w:r>
    </w:p>
    <w:p w14:paraId="344547D7">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5BC660B">
      <w:pPr>
        <w:tabs>
          <w:tab w:val="left" w:pos="0"/>
        </w:tabs>
        <w:snapToGrid w:val="0"/>
        <w:spacing w:line="440" w:lineRule="exact"/>
        <w:ind w:firstLine="482"/>
        <w:rPr>
          <w:rFonts w:hint="eastAsia" w:ascii="仿宋" w:hAnsi="仿宋" w:eastAsia="仿宋" w:cs="仿宋"/>
          <w:kern w:val="0"/>
          <w:sz w:val="24"/>
          <w:lang w:eastAsia="zh-CN"/>
        </w:rPr>
      </w:pPr>
      <w:r>
        <w:rPr>
          <w:rFonts w:hint="eastAsia" w:ascii="仿宋" w:hAnsi="仿宋" w:eastAsia="仿宋" w:cs="仿宋"/>
          <w:kern w:val="0"/>
          <w:sz w:val="24"/>
        </w:rPr>
        <w:t>验收合格的项目，采购人将根据采购合同的约定及时向供应商支付采购资金。验收不合格的项目，采购人将依法及时处理。采购合同的履行、违约责任和解决争议的方式等适用《中华人民共和国民法典》</w:t>
      </w:r>
      <w:r>
        <w:rPr>
          <w:rFonts w:hint="eastAsia" w:ascii="仿宋" w:hAnsi="仿宋" w:eastAsia="仿宋" w:cs="仿宋"/>
          <w:kern w:val="0"/>
          <w:sz w:val="24"/>
          <w:lang w:eastAsia="zh-CN"/>
        </w:rPr>
        <w:t>。</w:t>
      </w:r>
    </w:p>
    <w:p w14:paraId="27778A0D">
      <w:pPr>
        <w:numPr>
          <w:ilvl w:val="0"/>
          <w:numId w:val="0"/>
        </w:numPr>
        <w:snapToGrid w:val="0"/>
        <w:spacing w:line="360" w:lineRule="auto"/>
        <w:jc w:val="center"/>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九、可中止电子交易活动的情形</w:t>
      </w:r>
    </w:p>
    <w:p w14:paraId="0E6488A1">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0E15C4">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1.电子交易平台发生故障而无法登录访问的；</w:t>
      </w:r>
    </w:p>
    <w:p w14:paraId="62058686">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2.电子交易平台应用或数据库出现错误，不能进行正常操作的；</w:t>
      </w:r>
    </w:p>
    <w:p w14:paraId="76CA85F2">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3.电子交易平台发现严重安全漏洞，有潜在泄密危险的；</w:t>
      </w:r>
    </w:p>
    <w:p w14:paraId="29AA2D4E">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4.病毒发作导致不能进行正常操作的；</w:t>
      </w:r>
    </w:p>
    <w:p w14:paraId="561D7C69">
      <w:pPr>
        <w:tabs>
          <w:tab w:val="left" w:pos="0"/>
        </w:tabs>
        <w:snapToGrid w:val="0"/>
        <w:spacing w:line="440" w:lineRule="exact"/>
        <w:ind w:firstLine="482"/>
        <w:rPr>
          <w:rFonts w:hint="eastAsia" w:ascii="仿宋" w:hAnsi="仿宋" w:eastAsia="仿宋" w:cs="仿宋"/>
          <w:kern w:val="0"/>
          <w:sz w:val="24"/>
        </w:rPr>
      </w:pPr>
      <w:r>
        <w:rPr>
          <w:rFonts w:hint="eastAsia" w:ascii="仿宋" w:hAnsi="仿宋" w:eastAsia="仿宋" w:cs="仿宋"/>
          <w:kern w:val="0"/>
          <w:sz w:val="24"/>
        </w:rPr>
        <w:t>5.其他无法保证电子交易的公平、公正和安全的情况。</w:t>
      </w:r>
    </w:p>
    <w:p w14:paraId="1E241868">
      <w:pPr>
        <w:tabs>
          <w:tab w:val="left" w:pos="0"/>
        </w:tabs>
        <w:snapToGrid w:val="0"/>
        <w:spacing w:line="440" w:lineRule="exact"/>
        <w:ind w:firstLine="482"/>
        <w:rPr>
          <w:rFonts w:hint="eastAsia" w:ascii="仿宋" w:hAnsi="仿宋" w:eastAsia="仿宋" w:cs="仿宋"/>
          <w:kern w:val="0"/>
          <w:sz w:val="24"/>
          <w:lang w:eastAsia="zh-CN"/>
        </w:rPr>
      </w:pPr>
      <w:r>
        <w:rPr>
          <w:rFonts w:hint="eastAsia" w:ascii="仿宋" w:hAnsi="仿宋" w:eastAsia="仿宋" w:cs="仿宋"/>
          <w:kern w:val="0"/>
          <w:sz w:val="24"/>
        </w:rPr>
        <w:t>出现前款规定情形，不影响采购公平、公正性的，采购代理机构可以待上述情形消除后继续组织电子交易活动；影响或可能影响采购公平、公正性的，应当重新采购</w:t>
      </w:r>
      <w:r>
        <w:rPr>
          <w:rFonts w:hint="eastAsia" w:ascii="仿宋" w:hAnsi="仿宋" w:eastAsia="仿宋" w:cs="仿宋"/>
          <w:kern w:val="0"/>
          <w:sz w:val="24"/>
          <w:lang w:eastAsia="zh-CN"/>
        </w:rPr>
        <w:t>。</w:t>
      </w:r>
    </w:p>
    <w:p w14:paraId="5199D63D">
      <w:pPr>
        <w:pStyle w:val="25"/>
        <w:numPr>
          <w:ilvl w:val="0"/>
          <w:numId w:val="1"/>
        </w:numPr>
        <w:rPr>
          <w:rFonts w:hint="eastAsia"/>
        </w:rPr>
        <w:sectPr>
          <w:headerReference r:id="rId3" w:type="first"/>
          <w:footerReference r:id="rId6" w:type="first"/>
          <w:footerReference r:id="rId4" w:type="default"/>
          <w:footerReference r:id="rId5" w:type="even"/>
          <w:pgSz w:w="11906" w:h="16838"/>
          <w:pgMar w:top="1440" w:right="1417" w:bottom="1440" w:left="1701" w:header="851" w:footer="992" w:gutter="0"/>
          <w:cols w:space="720" w:num="1"/>
          <w:titlePg/>
          <w:docGrid w:linePitch="312" w:charSpace="0"/>
        </w:sectPr>
      </w:pPr>
    </w:p>
    <w:bookmarkEnd w:id="11"/>
    <w:bookmarkEnd w:id="12"/>
    <w:p w14:paraId="02B3D30B">
      <w:pPr>
        <w:numPr>
          <w:ilvl w:val="0"/>
          <w:numId w:val="2"/>
        </w:num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 xml:space="preserve">  采购需求</w:t>
      </w:r>
    </w:p>
    <w:p w14:paraId="67DB1891">
      <w:pPr>
        <w:pStyle w:val="3"/>
        <w:numPr>
          <w:ilvl w:val="0"/>
          <w:numId w:val="0"/>
        </w:numPr>
        <w:tabs>
          <w:tab w:val="left" w:pos="706"/>
          <w:tab w:val="left" w:pos="1110"/>
          <w:tab w:val="clear" w:pos="432"/>
        </w:tabs>
        <w:ind w:leftChars="0"/>
        <w:rPr>
          <w:rFonts w:hint="eastAsia" w:ascii="仿宋" w:eastAsia="仿宋" w:cs="仿宋"/>
          <w:sz w:val="24"/>
          <w:szCs w:val="24"/>
          <w:lang w:val="en-US" w:eastAsia="zh-CN"/>
        </w:rPr>
      </w:pPr>
      <w:bookmarkStart w:id="27" w:name="_Toc447367151"/>
      <w:r>
        <w:rPr>
          <w:rFonts w:hint="eastAsia" w:ascii="仿宋" w:eastAsia="仿宋" w:cs="仿宋"/>
          <w:sz w:val="24"/>
          <w:szCs w:val="24"/>
          <w:lang w:val="en-US" w:eastAsia="zh-CN"/>
        </w:rPr>
        <w:t>一、</w:t>
      </w:r>
      <w:r>
        <w:rPr>
          <w:rFonts w:hint="eastAsia" w:ascii="仿宋" w:eastAsia="仿宋" w:cs="仿宋"/>
          <w:sz w:val="24"/>
          <w:szCs w:val="24"/>
          <w:lang w:val="en-US"/>
        </w:rPr>
        <w:t>项目概况</w:t>
      </w:r>
      <w:bookmarkEnd w:id="27"/>
    </w:p>
    <w:p w14:paraId="5471C4A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更加有效地保障学生的生命财产安全，提高公寓安全管理水平，中国计量大学计划公开招标引进优质的服务商，在东生活区学生公寓内安装道闸系统。借助闸机、人脸识别面板、防跟随摄像机、数据分析平台等先进硬、软件设备，进行各项数据采集。同时联动学校数据中心、身份</w:t>
      </w:r>
      <w:r>
        <w:rPr>
          <w:rFonts w:hint="eastAsia" w:ascii="仿宋" w:hAnsi="仿宋" w:eastAsia="仿宋" w:cs="仿宋"/>
          <w:color w:val="000000" w:themeColor="text1"/>
          <w:sz w:val="24"/>
          <w:lang w:eastAsia="zh-CN"/>
          <w14:textFill>
            <w14:solidFill>
              <w14:schemeClr w14:val="tx1"/>
            </w14:solidFill>
          </w14:textFill>
        </w:rPr>
        <w:t>在</w:t>
      </w:r>
      <w:r>
        <w:rPr>
          <w:rFonts w:hint="eastAsia" w:ascii="仿宋" w:hAnsi="仿宋" w:eastAsia="仿宋" w:cs="仿宋"/>
          <w:color w:val="000000" w:themeColor="text1"/>
          <w:sz w:val="24"/>
          <w14:textFill>
            <w14:solidFill>
              <w14:schemeClr w14:val="tx1"/>
            </w14:solidFill>
          </w14:textFill>
        </w:rPr>
        <w:t>识别平台、请销假管理系统等实现权限自动管理，实时统计入住人员的进出记录，实现人员进出管理、晚归未归管理、假期人员留校管理、访客登记、异常情况监测及信息定时推送等功能，提高公寓管理效率。本次采购内容主要为：东生活区寝室1-9号楼通道闸机、通道人脸组件、摄像机、硬盘录像机，以及定制开发软件功能等，具体内容参数详见清单。</w:t>
      </w:r>
    </w:p>
    <w:p w14:paraId="3E35F3D2">
      <w:pPr>
        <w:spacing w:line="360" w:lineRule="auto"/>
        <w:ind w:firstLine="480" w:firstLineChars="200"/>
        <w:rPr>
          <w:highlight w:val="none"/>
        </w:rPr>
      </w:pPr>
      <w:r>
        <w:rPr>
          <w:rFonts w:hint="eastAsia" w:ascii="仿宋" w:hAnsi="仿宋" w:eastAsia="仿宋" w:cs="仿宋"/>
          <w:color w:val="000000" w:themeColor="text1"/>
          <w:sz w:val="24"/>
          <w:highlight w:val="none"/>
          <w14:textFill>
            <w14:solidFill>
              <w14:schemeClr w14:val="tx1"/>
            </w14:solidFill>
          </w14:textFill>
        </w:rPr>
        <w:t>本招标文件中打▲的条款为关键性指标，不允许负偏离，出现负偏离的将导致投标无效。打★的条款为重要指标，允许偏离，但在技术评分时会重点扣分</w:t>
      </w:r>
      <w:r>
        <w:rPr>
          <w:rFonts w:hint="eastAsia" w:ascii="仿宋" w:hAnsi="仿宋" w:eastAsia="仿宋" w:cs="仿宋"/>
          <w:color w:val="000000" w:themeColor="text1"/>
          <w:sz w:val="24"/>
          <w:highlight w:val="none"/>
          <w:lang w:val="zh-CN"/>
          <w14:textFill>
            <w14:solidFill>
              <w14:schemeClr w14:val="tx1"/>
            </w14:solidFill>
          </w14:textFill>
        </w:rPr>
        <w:t>。</w:t>
      </w:r>
    </w:p>
    <w:p w14:paraId="67D95D4D">
      <w:pPr>
        <w:pStyle w:val="3"/>
        <w:rPr>
          <w:rFonts w:hint="eastAsia" w:ascii="仿宋" w:eastAsia="仿宋" w:cs="仿宋"/>
          <w:sz w:val="24"/>
          <w:szCs w:val="24"/>
          <w:lang w:val="en-US" w:eastAsia="zh-CN"/>
        </w:rPr>
      </w:pPr>
      <w:r>
        <w:rPr>
          <w:rFonts w:hint="eastAsia" w:ascii="仿宋" w:eastAsia="仿宋" w:cs="仿宋"/>
          <w:sz w:val="24"/>
          <w:szCs w:val="24"/>
          <w:lang w:val="en-US" w:eastAsia="zh-CN"/>
        </w:rPr>
        <w:t>二、工期要求</w:t>
      </w:r>
    </w:p>
    <w:p w14:paraId="6CE0F14E">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天内</w:t>
      </w:r>
      <w:r>
        <w:rPr>
          <w:rFonts w:hint="eastAsia" w:ascii="仿宋" w:hAnsi="仿宋" w:eastAsia="仿宋" w:cs="仿宋"/>
          <w:color w:val="000000" w:themeColor="text1"/>
          <w:sz w:val="24"/>
          <w:szCs w:val="24"/>
          <w:highlight w:val="none"/>
          <w:lang w:val="en-US" w:eastAsia="zh-CN"/>
          <w14:textFill>
            <w14:solidFill>
              <w14:schemeClr w14:val="tx1"/>
            </w14:solidFill>
          </w14:textFill>
        </w:rPr>
        <w:t>完成系统部署，</w:t>
      </w:r>
      <w:r>
        <w:rPr>
          <w:rFonts w:hint="eastAsia" w:ascii="仿宋" w:hAnsi="仿宋" w:eastAsia="仿宋" w:cs="仿宋"/>
          <w:color w:val="000000" w:themeColor="text1"/>
          <w:sz w:val="24"/>
          <w:szCs w:val="24"/>
          <w:highlight w:val="none"/>
          <w14:textFill>
            <w14:solidFill>
              <w14:schemeClr w14:val="tx1"/>
            </w14:solidFill>
          </w14:textFill>
        </w:rPr>
        <w:t>将所供商品按时、安全运至指定地点，安装调试</w:t>
      </w:r>
      <w:r>
        <w:rPr>
          <w:rFonts w:hint="eastAsia" w:ascii="仿宋" w:hAnsi="仿宋" w:eastAsia="仿宋" w:cs="仿宋"/>
          <w:color w:val="000000" w:themeColor="text1"/>
          <w:sz w:val="24"/>
          <w:szCs w:val="24"/>
          <w:highlight w:val="none"/>
          <w:lang w:val="en-US" w:eastAsia="zh-CN"/>
          <w14:textFill>
            <w14:solidFill>
              <w14:schemeClr w14:val="tx1"/>
            </w14:solidFill>
          </w14:textFill>
        </w:rPr>
        <w:t>并实现软件系统试运行。60天内完成所有软件调试与系统对接，确保正常使用</w:t>
      </w:r>
      <w:r>
        <w:rPr>
          <w:rFonts w:hint="eastAsia" w:ascii="仿宋" w:hAnsi="仿宋" w:eastAsia="仿宋" w:cs="仿宋"/>
          <w:color w:val="000000" w:themeColor="text1"/>
          <w:sz w:val="24"/>
          <w:szCs w:val="24"/>
          <w:highlight w:val="none"/>
          <w14:textFill>
            <w14:solidFill>
              <w14:schemeClr w14:val="tx1"/>
            </w14:solidFill>
          </w14:textFill>
        </w:rPr>
        <w:t>。</w:t>
      </w:r>
    </w:p>
    <w:p w14:paraId="6DD78B16">
      <w:pPr>
        <w:pStyle w:val="3"/>
        <w:numPr>
          <w:ilvl w:val="0"/>
          <w:numId w:val="0"/>
        </w:numPr>
        <w:ind w:leftChars="0"/>
        <w:rPr>
          <w:rFonts w:hint="eastAsia" w:ascii="仿宋" w:eastAsia="仿宋" w:cs="仿宋"/>
          <w:sz w:val="24"/>
          <w:szCs w:val="24"/>
          <w:lang w:val="en-US"/>
        </w:rPr>
      </w:pPr>
      <w:r>
        <w:rPr>
          <w:rFonts w:hint="eastAsia" w:ascii="仿宋" w:eastAsia="仿宋" w:cs="仿宋"/>
          <w:sz w:val="24"/>
          <w:szCs w:val="24"/>
          <w:lang w:val="en-US" w:eastAsia="zh-CN"/>
        </w:rPr>
        <w:t>三、</w:t>
      </w:r>
      <w:r>
        <w:rPr>
          <w:rFonts w:hint="eastAsia" w:ascii="仿宋" w:eastAsia="仿宋" w:cs="仿宋"/>
          <w:sz w:val="24"/>
          <w:szCs w:val="24"/>
          <w:lang w:val="en-US"/>
        </w:rPr>
        <w:t>采购清单及需求</w:t>
      </w:r>
    </w:p>
    <w:tbl>
      <w:tblPr>
        <w:tblStyle w:val="62"/>
        <w:tblW w:w="4990" w:type="pct"/>
        <w:jc w:val="center"/>
        <w:tblLayout w:type="fixed"/>
        <w:tblCellMar>
          <w:top w:w="0" w:type="dxa"/>
          <w:left w:w="108" w:type="dxa"/>
          <w:bottom w:w="0" w:type="dxa"/>
          <w:right w:w="108" w:type="dxa"/>
        </w:tblCellMar>
      </w:tblPr>
      <w:tblGrid>
        <w:gridCol w:w="826"/>
        <w:gridCol w:w="2664"/>
        <w:gridCol w:w="2633"/>
        <w:gridCol w:w="654"/>
        <w:gridCol w:w="849"/>
        <w:gridCol w:w="1360"/>
      </w:tblGrid>
      <w:tr w14:paraId="03F17A5D">
        <w:tblPrEx>
          <w:tblCellMar>
            <w:top w:w="0" w:type="dxa"/>
            <w:left w:w="108" w:type="dxa"/>
            <w:bottom w:w="0" w:type="dxa"/>
            <w:right w:w="108" w:type="dxa"/>
          </w:tblCellMar>
        </w:tblPrEx>
        <w:trPr>
          <w:trHeight w:val="272"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51BF">
            <w:pPr>
              <w:widowControl/>
              <w:ind w:left="0" w:leftChars="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96CD">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产品名称</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1C12">
            <w:pPr>
              <w:widowControl/>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类型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EFDF">
            <w:pPr>
              <w:widowControl/>
              <w:ind w:left="0" w:leftChars="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9478">
            <w:pPr>
              <w:widowControl/>
              <w:ind w:left="0" w:leftChars="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756" w:type="pct"/>
            <w:tcBorders>
              <w:top w:val="single" w:color="000000" w:sz="4" w:space="0"/>
              <w:left w:val="single" w:color="000000" w:sz="4" w:space="0"/>
              <w:bottom w:val="single" w:color="000000" w:sz="4" w:space="0"/>
              <w:right w:val="single" w:color="000000" w:sz="4" w:space="0"/>
            </w:tcBorders>
            <w:vAlign w:val="center"/>
          </w:tcPr>
          <w:p w14:paraId="271D2420">
            <w:pPr>
              <w:widowControl/>
              <w:ind w:left="0" w:leftChars="0" w:firstLine="0" w:firstLineChars="0"/>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备注</w:t>
            </w:r>
          </w:p>
        </w:tc>
      </w:tr>
      <w:tr w14:paraId="226D0D2A">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EAC7">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CC1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公寓道闸系统管理平台</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CDA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道闸配套软件系统</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3BB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DFD3">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套</w:t>
            </w:r>
          </w:p>
        </w:tc>
        <w:tc>
          <w:tcPr>
            <w:tcW w:w="756" w:type="pct"/>
            <w:tcBorders>
              <w:top w:val="single" w:color="000000" w:sz="4" w:space="0"/>
              <w:left w:val="single" w:color="000000" w:sz="4" w:space="0"/>
              <w:bottom w:val="single" w:color="000000" w:sz="4" w:space="0"/>
              <w:right w:val="single" w:color="000000" w:sz="4" w:space="0"/>
            </w:tcBorders>
            <w:vAlign w:val="center"/>
          </w:tcPr>
          <w:p w14:paraId="2511249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2AD32280">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7621">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076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无刷通用翼闸左边道</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483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道闸通道硬件设备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D5E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505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756" w:type="pct"/>
            <w:tcBorders>
              <w:top w:val="single" w:color="000000" w:sz="4" w:space="0"/>
              <w:left w:val="single" w:color="000000" w:sz="4" w:space="0"/>
              <w:bottom w:val="single" w:color="000000" w:sz="4" w:space="0"/>
              <w:right w:val="single" w:color="000000" w:sz="4" w:space="0"/>
            </w:tcBorders>
            <w:vAlign w:val="center"/>
          </w:tcPr>
          <w:p w14:paraId="2DA7F6CF">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3279B3F3">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799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3B6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无刷通用翼闸中间道</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A42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道闸通道硬件设备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DCF7">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702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756" w:type="pct"/>
            <w:tcBorders>
              <w:top w:val="single" w:color="000000" w:sz="4" w:space="0"/>
              <w:left w:val="single" w:color="000000" w:sz="4" w:space="0"/>
              <w:bottom w:val="single" w:color="000000" w:sz="4" w:space="0"/>
              <w:right w:val="single" w:color="000000" w:sz="4" w:space="0"/>
            </w:tcBorders>
            <w:vAlign w:val="center"/>
          </w:tcPr>
          <w:p w14:paraId="071D6F6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38502A9B">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51B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w:t>
            </w:r>
          </w:p>
        </w:tc>
        <w:tc>
          <w:tcPr>
            <w:tcW w:w="14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CDC2A">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无刷通用翼闸右边道</w:t>
            </w:r>
          </w:p>
        </w:tc>
        <w:tc>
          <w:tcPr>
            <w:tcW w:w="14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9FCE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道闸通道硬件设备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053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48E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756" w:type="pct"/>
            <w:tcBorders>
              <w:top w:val="single" w:color="000000" w:sz="4" w:space="0"/>
              <w:left w:val="single" w:color="000000" w:sz="4" w:space="0"/>
              <w:bottom w:val="single" w:color="000000" w:sz="4" w:space="0"/>
              <w:right w:val="single" w:color="000000" w:sz="4" w:space="0"/>
            </w:tcBorders>
            <w:vAlign w:val="center"/>
          </w:tcPr>
          <w:p w14:paraId="3383976A">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1AC1296B">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1CA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89E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通道人脸组件</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151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人脸识别硬件设备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5B5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789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756" w:type="pct"/>
            <w:tcBorders>
              <w:top w:val="single" w:color="000000" w:sz="4" w:space="0"/>
              <w:left w:val="single" w:color="000000" w:sz="4" w:space="0"/>
              <w:bottom w:val="single" w:color="000000" w:sz="4" w:space="0"/>
              <w:right w:val="single" w:color="000000" w:sz="4" w:space="0"/>
            </w:tcBorders>
            <w:vAlign w:val="center"/>
          </w:tcPr>
          <w:p w14:paraId="284AB82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109C9FC5">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B1E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0FA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摄像机</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AFFA">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实时监控通行情况</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B32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B5FF">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756" w:type="pct"/>
            <w:tcBorders>
              <w:top w:val="single" w:color="000000" w:sz="4" w:space="0"/>
              <w:left w:val="single" w:color="000000" w:sz="4" w:space="0"/>
              <w:bottom w:val="single" w:color="000000" w:sz="4" w:space="0"/>
              <w:right w:val="single" w:color="000000" w:sz="4" w:space="0"/>
            </w:tcBorders>
            <w:vAlign w:val="center"/>
          </w:tcPr>
          <w:p w14:paraId="09FD5FA7">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33EBDF22">
        <w:tblPrEx>
          <w:tblCellMar>
            <w:top w:w="0" w:type="dxa"/>
            <w:left w:w="108" w:type="dxa"/>
            <w:bottom w:w="0" w:type="dxa"/>
            <w:right w:w="108" w:type="dxa"/>
          </w:tblCellMar>
        </w:tblPrEx>
        <w:trPr>
          <w:trHeight w:val="567" w:hRule="atLeast"/>
          <w:jc w:val="cent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AEF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39A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硬盘录像机</w:t>
            </w:r>
          </w:p>
        </w:tc>
        <w:tc>
          <w:tcPr>
            <w:tcW w:w="1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0F3B">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储存监控记录视频</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D4D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75C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套</w:t>
            </w:r>
          </w:p>
        </w:tc>
        <w:tc>
          <w:tcPr>
            <w:tcW w:w="756" w:type="pct"/>
            <w:tcBorders>
              <w:top w:val="single" w:color="000000" w:sz="4" w:space="0"/>
              <w:left w:val="single" w:color="000000" w:sz="4" w:space="0"/>
              <w:bottom w:val="single" w:color="000000" w:sz="4" w:space="0"/>
              <w:right w:val="single" w:color="000000" w:sz="4" w:space="0"/>
            </w:tcBorders>
            <w:vAlign w:val="center"/>
          </w:tcPr>
          <w:p w14:paraId="7EFBAE9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bl>
    <w:p w14:paraId="0BF7B4B7">
      <w:pPr>
        <w:numPr>
          <w:ilvl w:val="0"/>
          <w:numId w:val="0"/>
        </w:numPr>
        <w:ind w:leftChars="0"/>
        <w:rPr>
          <w:lang w:val="en-US"/>
        </w:rPr>
      </w:pPr>
    </w:p>
    <w:p w14:paraId="37AF7839">
      <w:pPr>
        <w:pStyle w:val="3"/>
        <w:numPr>
          <w:ilvl w:val="0"/>
          <w:numId w:val="0"/>
        </w:numPr>
        <w:ind w:leftChars="0"/>
        <w:rPr>
          <w:rFonts w:hint="eastAsia" w:ascii="仿宋" w:eastAsia="仿宋" w:cs="仿宋"/>
          <w:sz w:val="24"/>
          <w:szCs w:val="24"/>
          <w:lang w:val="en-US" w:eastAsia="zh-CN"/>
        </w:rPr>
      </w:pPr>
      <w:bookmarkStart w:id="28" w:name="_Toc29752"/>
      <w:r>
        <w:rPr>
          <w:rFonts w:hint="eastAsia" w:ascii="仿宋" w:eastAsia="仿宋" w:cs="仿宋"/>
          <w:sz w:val="24"/>
          <w:szCs w:val="24"/>
          <w:lang w:val="en-US" w:eastAsia="zh-CN"/>
        </w:rPr>
        <w:t>四、产品功能参数</w:t>
      </w:r>
    </w:p>
    <w:p w14:paraId="55A5ACED">
      <w:pPr>
        <w:numPr>
          <w:ilvl w:val="0"/>
          <w:numId w:val="0"/>
        </w:numPr>
        <w:ind w:firstLine="482" w:firstLineChars="200"/>
        <w:jc w:val="both"/>
        <w:rPr>
          <w:rFonts w:hint="eastAsia" w:ascii="宋体" w:hAnsi="宋体" w:eastAsia="宋体" w:cs="宋体"/>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1.公寓道闸系统管理平台</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75"/>
        <w:gridCol w:w="6576"/>
      </w:tblGrid>
      <w:tr w14:paraId="4ADD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4686CF16">
            <w:pPr>
              <w:pStyle w:val="967"/>
              <w:ind w:left="0" w:leftChars="0" w:firstLine="0" w:firstLineChars="0"/>
              <w:jc w:val="center"/>
              <w:rPr>
                <w:rFonts w:hint="eastAsia" w:ascii="仿宋" w:hAnsi="仿宋" w:eastAsia="仿宋" w:cs="仿宋"/>
                <w:sz w:val="24"/>
                <w:szCs w:val="24"/>
                <w:lang w:bidi="ar-SA"/>
              </w:rPr>
            </w:pPr>
            <w:r>
              <w:rPr>
                <w:rFonts w:hint="eastAsia" w:ascii="仿宋" w:hAnsi="仿宋" w:eastAsia="仿宋" w:cs="仿宋"/>
                <w:sz w:val="24"/>
                <w:szCs w:val="24"/>
              </w:rPr>
              <w:t>序号</w:t>
            </w:r>
          </w:p>
        </w:tc>
        <w:tc>
          <w:tcPr>
            <w:tcW w:w="819" w:type="pct"/>
            <w:tcBorders>
              <w:top w:val="single" w:color="auto" w:sz="4" w:space="0"/>
              <w:left w:val="single" w:color="auto" w:sz="4" w:space="0"/>
              <w:bottom w:val="single" w:color="auto" w:sz="4" w:space="0"/>
              <w:right w:val="single" w:color="auto" w:sz="4" w:space="0"/>
            </w:tcBorders>
            <w:vAlign w:val="center"/>
          </w:tcPr>
          <w:p w14:paraId="14858895">
            <w:pPr>
              <w:pStyle w:val="967"/>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子项目</w:t>
            </w:r>
          </w:p>
        </w:tc>
        <w:tc>
          <w:tcPr>
            <w:tcW w:w="3651" w:type="pct"/>
            <w:tcBorders>
              <w:top w:val="single" w:color="auto" w:sz="4" w:space="0"/>
              <w:left w:val="single" w:color="auto" w:sz="4" w:space="0"/>
              <w:bottom w:val="single" w:color="auto" w:sz="4" w:space="0"/>
              <w:right w:val="single" w:color="auto" w:sz="4" w:space="0"/>
            </w:tcBorders>
            <w:vAlign w:val="center"/>
          </w:tcPr>
          <w:p w14:paraId="08E81F1B">
            <w:pPr>
              <w:pStyle w:val="967"/>
              <w:jc w:val="center"/>
              <w:rPr>
                <w:rFonts w:hint="eastAsia" w:ascii="仿宋" w:hAnsi="仿宋" w:eastAsia="仿宋" w:cs="仿宋"/>
                <w:sz w:val="24"/>
                <w:szCs w:val="24"/>
              </w:rPr>
            </w:pPr>
            <w:r>
              <w:rPr>
                <w:rFonts w:hint="eastAsia" w:ascii="仿宋" w:hAnsi="仿宋" w:eastAsia="仿宋" w:cs="仿宋"/>
                <w:sz w:val="24"/>
                <w:szCs w:val="24"/>
              </w:rPr>
              <w:t>详细参数</w:t>
            </w:r>
          </w:p>
        </w:tc>
      </w:tr>
      <w:tr w14:paraId="3859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5520D917">
            <w:pPr>
              <w:pStyle w:val="967"/>
              <w:ind w:left="0" w:leftChars="0" w:firstLine="0" w:firstLineChars="0"/>
              <w:jc w:val="center"/>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1</w:t>
            </w:r>
          </w:p>
        </w:tc>
        <w:tc>
          <w:tcPr>
            <w:tcW w:w="819" w:type="pct"/>
            <w:tcBorders>
              <w:top w:val="single" w:color="auto" w:sz="4" w:space="0"/>
              <w:left w:val="single" w:color="auto" w:sz="4" w:space="0"/>
              <w:bottom w:val="single" w:color="auto" w:sz="4" w:space="0"/>
              <w:right w:val="single" w:color="auto" w:sz="4" w:space="0"/>
            </w:tcBorders>
            <w:vAlign w:val="center"/>
          </w:tcPr>
          <w:p w14:paraId="22C702E8">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学生在寝管理</w:t>
            </w:r>
          </w:p>
        </w:tc>
        <w:tc>
          <w:tcPr>
            <w:tcW w:w="3651" w:type="pct"/>
            <w:tcBorders>
              <w:top w:val="single" w:color="auto" w:sz="4" w:space="0"/>
              <w:left w:val="single" w:color="auto" w:sz="4" w:space="0"/>
              <w:bottom w:val="single" w:color="auto" w:sz="4" w:space="0"/>
              <w:right w:val="single" w:color="auto" w:sz="4" w:space="0"/>
            </w:tcBorders>
            <w:vAlign w:val="center"/>
          </w:tcPr>
          <w:p w14:paraId="3B0D5152">
            <w:pPr>
              <w:pStyle w:val="792"/>
              <w:numPr>
                <w:ilvl w:val="0"/>
                <w:numId w:val="0"/>
              </w:numPr>
              <w:jc w:val="left"/>
              <w:rPr>
                <w:rFonts w:hint="eastAsia" w:ascii="仿宋" w:hAnsi="仿宋" w:eastAsia="仿宋" w:cs="仿宋"/>
                <w:bCs w:val="0"/>
                <w:color w:val="000000" w:themeColor="text1"/>
                <w:kern w:val="2"/>
                <w:sz w:val="24"/>
                <w:szCs w:val="24"/>
                <w:highlight w:val="none"/>
                <w:lang w:val="en-US" w:eastAsia="zh-CN" w:bidi="en-US"/>
                <w14:textFill>
                  <w14:solidFill>
                    <w14:schemeClr w14:val="tx1"/>
                  </w14:solidFill>
                </w14:textFill>
              </w:rPr>
            </w:pPr>
            <w:r>
              <w:rPr>
                <w:rFonts w:hint="eastAsia" w:ascii="仿宋" w:hAnsi="仿宋" w:eastAsia="仿宋" w:cs="仿宋"/>
                <w:bCs w:val="0"/>
                <w:color w:val="000000" w:themeColor="text1"/>
                <w:kern w:val="2"/>
                <w:sz w:val="24"/>
                <w:szCs w:val="24"/>
                <w:highlight w:val="none"/>
                <w:lang w:val="en-US" w:eastAsia="zh-CN" w:bidi="en-US"/>
                <w14:textFill>
                  <w14:solidFill>
                    <w14:schemeClr w14:val="tx1"/>
                  </w14:solidFill>
                </w14:textFill>
              </w:rPr>
              <w:t>1.支持展示所管辖人员入住楼栋情况统计（该用户组织权限下学生入住宿舍情况），包括楼栋名称、管辖人数、已归寝人数、未归寝人数、晚归人数、请假人数、独居寝室数、异常预警数等情况；实现标记、预警、统计、查询功能，可以按不同颜色区分在寝、不在寝、异常预警等情况；</w:t>
            </w:r>
          </w:p>
          <w:p w14:paraId="11F535A5">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bCs w:val="0"/>
                <w:color w:val="000000" w:themeColor="text1"/>
                <w:kern w:val="2"/>
                <w:sz w:val="24"/>
                <w:szCs w:val="24"/>
                <w:highlight w:val="none"/>
                <w:lang w:val="en-US" w:eastAsia="zh-CN" w:bidi="en-US"/>
                <w14:textFill>
                  <w14:solidFill>
                    <w14:schemeClr w14:val="tx1"/>
                  </w14:solidFill>
                </w14:textFill>
              </w:rPr>
              <w:t>2.支持实时统计和查询学生在寝情况，如：已归寝人数、未归寝人数、晚归人数、独居寝室数、异常预警数等；支持查看学生在寝情况历史数据。</w:t>
            </w:r>
          </w:p>
          <w:p w14:paraId="55DB0497">
            <w:pPr>
              <w:pStyle w:val="80"/>
              <w:numPr>
                <w:ilvl w:val="0"/>
                <w:numId w:val="0"/>
              </w:numPr>
              <w:spacing w:line="360" w:lineRule="auto"/>
              <w:ind w:leftChars="0"/>
              <w:rPr>
                <w:rFonts w:hint="eastAsia" w:ascii="仿宋" w:hAnsi="仿宋" w:eastAsia="仿宋" w:cs="仿宋"/>
                <w:sz w:val="24"/>
                <w:szCs w:val="24"/>
                <w:highlight w:val="none"/>
                <w:lang w:eastAsia="zh-CN"/>
              </w:rPr>
            </w:pPr>
            <w:r>
              <w:rPr>
                <w:rFonts w:hint="eastAsia" w:ascii="仿宋" w:hAnsi="仿宋" w:eastAsia="仿宋" w:cs="仿宋"/>
                <w:highlight w:val="none"/>
                <w:lang w:val="en-US" w:eastAsia="zh-CN"/>
              </w:rPr>
              <w:t>3.</w:t>
            </w:r>
            <w:r>
              <w:rPr>
                <w:rFonts w:hint="eastAsia" w:ascii="仿宋" w:hAnsi="仿宋" w:eastAsia="仿宋" w:cs="仿宋"/>
                <w:highlight w:val="none"/>
              </w:rPr>
              <w:t>支持展示异常数据统计，包括多日未归人数（点击可跳转至多日未归查询界面，展示7日内数据）、多日未出人数（点击可跳转至多日未出查询界面，展示7日内数据）、独居寝室</w:t>
            </w:r>
            <w:r>
              <w:rPr>
                <w:rFonts w:hint="eastAsia" w:ascii="仿宋" w:hAnsi="仿宋" w:eastAsia="仿宋" w:cs="仿宋"/>
                <w:highlight w:val="none"/>
                <w:lang w:val="en-US" w:eastAsia="zh-CN"/>
              </w:rPr>
              <w:t>情况</w:t>
            </w:r>
            <w:r>
              <w:rPr>
                <w:rFonts w:hint="eastAsia" w:ascii="仿宋" w:hAnsi="仿宋" w:eastAsia="仿宋" w:cs="仿宋"/>
                <w:highlight w:val="none"/>
              </w:rPr>
              <w:t>（点击可展示当天数据）。</w:t>
            </w:r>
          </w:p>
          <w:p w14:paraId="5FE97651">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bCs/>
                <w:kern w:val="2"/>
                <w:sz w:val="24"/>
                <w:szCs w:val="24"/>
                <w:highlight w:val="none"/>
                <w:lang w:val="en-US" w:eastAsia="zh-CN" w:bidi="ar-SA"/>
              </w:rPr>
              <w:t>4.支持按照</w:t>
            </w:r>
            <w:r>
              <w:rPr>
                <w:rFonts w:hint="eastAsia" w:ascii="仿宋" w:hAnsi="仿宋" w:eastAsia="仿宋" w:cs="仿宋"/>
                <w:sz w:val="24"/>
                <w:szCs w:val="24"/>
                <w:highlight w:val="none"/>
              </w:rPr>
              <w:t>学院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班级等分类，</w:t>
            </w:r>
            <w:r>
              <w:rPr>
                <w:rFonts w:hint="eastAsia" w:ascii="仿宋" w:hAnsi="仿宋" w:eastAsia="仿宋" w:cs="仿宋"/>
                <w:sz w:val="24"/>
                <w:szCs w:val="24"/>
                <w:highlight w:val="none"/>
              </w:rPr>
              <w:t>实时显示</w:t>
            </w:r>
            <w:r>
              <w:rPr>
                <w:rFonts w:hint="eastAsia" w:ascii="仿宋" w:hAnsi="仿宋" w:eastAsia="仿宋" w:cs="仿宋"/>
                <w:sz w:val="24"/>
                <w:szCs w:val="24"/>
                <w:highlight w:val="none"/>
                <w:lang w:val="en-US" w:eastAsia="zh-CN"/>
              </w:rPr>
              <w:t>当前在寝</w:t>
            </w:r>
            <w:r>
              <w:rPr>
                <w:rFonts w:hint="eastAsia" w:ascii="仿宋" w:hAnsi="仿宋" w:eastAsia="仿宋" w:cs="仿宋"/>
                <w:sz w:val="24"/>
                <w:szCs w:val="24"/>
                <w:highlight w:val="none"/>
              </w:rPr>
              <w:t>人员入住总数、在寝数、不在寝数、</w:t>
            </w:r>
            <w:r>
              <w:rPr>
                <w:rFonts w:hint="eastAsia" w:ascii="仿宋" w:hAnsi="仿宋" w:eastAsia="仿宋" w:cs="仿宋"/>
                <w:sz w:val="24"/>
                <w:szCs w:val="24"/>
                <w:highlight w:val="none"/>
                <w:lang w:val="en-US" w:eastAsia="zh-CN"/>
              </w:rPr>
              <w:t>请假人数、晚归人数、独居寝室数、异常</w:t>
            </w:r>
            <w:r>
              <w:rPr>
                <w:rFonts w:hint="eastAsia" w:ascii="仿宋" w:hAnsi="仿宋" w:eastAsia="仿宋" w:cs="仿宋"/>
                <w:sz w:val="24"/>
                <w:szCs w:val="24"/>
                <w:highlight w:val="none"/>
              </w:rPr>
              <w:t>预警数</w:t>
            </w:r>
            <w:r>
              <w:rPr>
                <w:rFonts w:hint="eastAsia" w:ascii="仿宋" w:hAnsi="仿宋" w:eastAsia="仿宋" w:cs="仿宋"/>
                <w:sz w:val="24"/>
                <w:szCs w:val="24"/>
                <w:highlight w:val="none"/>
                <w:lang w:val="en-US" w:eastAsia="zh-CN"/>
              </w:rPr>
              <w:t>等情况；在考勤模式下，支持按照学院、班级等分类统计未归寝人数，支持学院切换，展示各学院归寝率排名。</w:t>
            </w:r>
          </w:p>
          <w:p w14:paraId="3E63A2A4">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5.系统支持以条形图等方式统计学生在寝情况，支持数据导出；系统支持按楼栋、学院、专业、年级、班级等维度进行学生数据查询。</w:t>
            </w:r>
          </w:p>
          <w:p w14:paraId="2C8E8853">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6.支持按全部、楼栋统计学生总人数、教职工总人数、当天来访总人数、多日未归人数、多日未出人数。</w:t>
            </w:r>
          </w:p>
          <w:p w14:paraId="13742910">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7.支持根据统计数据点击详情，跳转到相应的管理页面。</w:t>
            </w:r>
          </w:p>
          <w:p w14:paraId="540E7ACF">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8.所有考勤信息存储时间不少于一个学期。</w:t>
            </w:r>
          </w:p>
        </w:tc>
      </w:tr>
      <w:tr w14:paraId="62CA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52F55041">
            <w:pPr>
              <w:pStyle w:val="967"/>
              <w:ind w:left="0" w:leftChars="0"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819" w:type="pct"/>
            <w:tcBorders>
              <w:top w:val="single" w:color="auto" w:sz="4" w:space="0"/>
              <w:left w:val="single" w:color="auto" w:sz="4" w:space="0"/>
              <w:bottom w:val="single" w:color="auto" w:sz="4" w:space="0"/>
              <w:right w:val="single" w:color="auto" w:sz="4" w:space="0"/>
            </w:tcBorders>
            <w:vAlign w:val="center"/>
          </w:tcPr>
          <w:p w14:paraId="31B900D1">
            <w:pPr>
              <w:pStyle w:val="967"/>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消息推送</w:t>
            </w:r>
          </w:p>
        </w:tc>
        <w:tc>
          <w:tcPr>
            <w:tcW w:w="3651" w:type="pct"/>
            <w:tcBorders>
              <w:top w:val="single" w:color="auto" w:sz="4" w:space="0"/>
              <w:left w:val="single" w:color="auto" w:sz="4" w:space="0"/>
              <w:bottom w:val="single" w:color="auto" w:sz="4" w:space="0"/>
              <w:right w:val="single" w:color="auto" w:sz="4" w:space="0"/>
            </w:tcBorders>
          </w:tcPr>
          <w:p w14:paraId="214E3D60">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1.系统支持钉钉、微信、邮件、短信等方式（具体由采购人指定），支持主动向学生、辅导员、班主任、公寓管理员等人员发送消息提醒（具体需要推送的人员由采购人指定）。</w:t>
            </w:r>
          </w:p>
          <w:p w14:paraId="2B553FBD">
            <w:pPr>
              <w:pStyle w:val="792"/>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2.可设置预警等级和预警规则，根据学生每日考勤情况、长时间未归、未出情况、独居寝室情况等信息进行自动分析生成预警名单，并推送给相应人员。</w:t>
            </w:r>
          </w:p>
          <w:p w14:paraId="095CA2E2">
            <w:pPr>
              <w:pStyle w:val="792"/>
              <w:numPr>
                <w:ilvl w:val="0"/>
                <w:numId w:val="0"/>
              </w:numPr>
              <w:jc w:val="left"/>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3.支持消息查询。</w:t>
            </w:r>
          </w:p>
        </w:tc>
      </w:tr>
      <w:tr w14:paraId="760A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28D287BB">
            <w:pPr>
              <w:pStyle w:val="967"/>
              <w:ind w:left="0" w:leftChars="0"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819" w:type="pct"/>
            <w:tcBorders>
              <w:top w:val="single" w:color="auto" w:sz="4" w:space="0"/>
              <w:left w:val="single" w:color="auto" w:sz="4" w:space="0"/>
              <w:bottom w:val="single" w:color="auto" w:sz="4" w:space="0"/>
              <w:right w:val="single" w:color="auto" w:sz="4" w:space="0"/>
            </w:tcBorders>
            <w:vAlign w:val="center"/>
          </w:tcPr>
          <w:p w14:paraId="542FB38A">
            <w:pPr>
              <w:pStyle w:val="967"/>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独居寝室</w:t>
            </w:r>
            <w:r>
              <w:rPr>
                <w:rFonts w:hint="eastAsia" w:ascii="仿宋" w:hAnsi="仿宋" w:eastAsia="仿宋" w:cs="仿宋"/>
                <w:sz w:val="24"/>
                <w:szCs w:val="24"/>
                <w:highlight w:val="none"/>
              </w:rPr>
              <w:t>管理</w:t>
            </w:r>
          </w:p>
        </w:tc>
        <w:tc>
          <w:tcPr>
            <w:tcW w:w="3651" w:type="pct"/>
            <w:tcBorders>
              <w:top w:val="single" w:color="auto" w:sz="4" w:space="0"/>
              <w:left w:val="single" w:color="auto" w:sz="4" w:space="0"/>
              <w:bottom w:val="single" w:color="auto" w:sz="4" w:space="0"/>
              <w:right w:val="single" w:color="auto" w:sz="4" w:space="0"/>
            </w:tcBorders>
            <w:vAlign w:val="center"/>
          </w:tcPr>
          <w:p w14:paraId="742E8836">
            <w:pPr>
              <w:numPr>
                <w:ilvl w:val="0"/>
                <w:numId w:val="0"/>
              </w:numPr>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支持实时查询</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独居寝室情况和历史记录</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支持随时导出数据，支持</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按楼栋、楼层、学院</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班级等</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不同维度推送</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独居预警信息</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给对应辅导员、</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班主任、公寓管理</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员</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等</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p>
          <w:p w14:paraId="63EBA748">
            <w:pPr>
              <w:numPr>
                <w:ilvl w:val="0"/>
                <w:numId w:val="0"/>
              </w:numPr>
              <w:spacing w:line="360" w:lineRule="auto"/>
              <w:jc w:val="left"/>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针对</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独居</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预警信息可</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系统</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标注状态，</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独居</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预警信息情况支持系统后台查询和导出。</w:t>
            </w:r>
          </w:p>
          <w:p w14:paraId="557F0D81">
            <w:pPr>
              <w:numPr>
                <w:ilvl w:val="0"/>
                <w:numId w:val="0"/>
              </w:numPr>
              <w:spacing w:line="360" w:lineRule="auto"/>
              <w:jc w:val="left"/>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3.支持实时记录按照学生信息、寝室信息和独居天数查询。</w:t>
            </w:r>
          </w:p>
          <w:p w14:paraId="55FBA607">
            <w:pPr>
              <w:numPr>
                <w:ilvl w:val="0"/>
                <w:numId w:val="0"/>
              </w:numPr>
              <w:spacing w:line="360" w:lineRule="auto"/>
              <w:jc w:val="left"/>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4.支持查看独居寝室人员最后一次进出记录详情。</w:t>
            </w:r>
          </w:p>
          <w:p w14:paraId="50883207">
            <w:pPr>
              <w:numPr>
                <w:ilvl w:val="0"/>
                <w:numId w:val="0"/>
              </w:numPr>
              <w:spacing w:line="360" w:lineRule="auto"/>
              <w:jc w:val="left"/>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5.历史记录可按日期、学生信息、独居天数/次数等方式查询。</w:t>
            </w:r>
            <w:r>
              <w:rPr>
                <w:rFonts w:hint="eastAsia" w:ascii="仿宋" w:hAnsi="仿宋" w:eastAsia="仿宋" w:cs="仿宋"/>
                <w:sz w:val="24"/>
                <w:szCs w:val="24"/>
                <w:highlight w:val="none"/>
                <w:shd w:val="clear" w:color="auto" w:fill="FFFFFF"/>
                <w:lang w:val="en-US" w:eastAsia="zh-CN"/>
              </w:rPr>
              <w:br w:type="textWrapping"/>
            </w:r>
            <w:r>
              <w:rPr>
                <w:rFonts w:hint="eastAsia" w:ascii="仿宋" w:hAnsi="仿宋" w:eastAsia="仿宋" w:cs="仿宋"/>
                <w:sz w:val="24"/>
                <w:szCs w:val="24"/>
                <w:highlight w:val="none"/>
                <w:shd w:val="clear" w:color="auto" w:fill="FFFFFF"/>
                <w:lang w:val="en-US" w:eastAsia="zh-CN"/>
              </w:rPr>
              <w:t>6.支持可查看同寝人员进出信息。</w:t>
            </w:r>
          </w:p>
          <w:p w14:paraId="3F503628">
            <w:pPr>
              <w:numPr>
                <w:ilvl w:val="0"/>
                <w:numId w:val="0"/>
              </w:numPr>
              <w:spacing w:line="360" w:lineRule="auto"/>
              <w:jc w:val="left"/>
              <w:rPr>
                <w:rFonts w:hint="eastAsia" w:ascii="仿宋" w:hAnsi="仿宋" w:eastAsia="仿宋" w:cs="仿宋"/>
                <w:sz w:val="24"/>
                <w:szCs w:val="24"/>
                <w:highlight w:val="yellow"/>
                <w:shd w:val="clear" w:color="auto" w:fill="FFFFFF"/>
              </w:rPr>
            </w:pPr>
            <w:r>
              <w:rPr>
                <w:rFonts w:hint="eastAsia" w:ascii="仿宋" w:hAnsi="仿宋" w:eastAsia="仿宋" w:cs="仿宋"/>
                <w:sz w:val="24"/>
                <w:szCs w:val="24"/>
                <w:highlight w:val="none"/>
                <w:shd w:val="clear" w:color="auto" w:fill="FFFFFF"/>
                <w:lang w:val="en-US" w:eastAsia="zh-CN"/>
              </w:rPr>
              <w:t>7.支持通过归寝数据对寝室内夜间时段的独居情况分析，可配置独居寝室判定规则。</w:t>
            </w:r>
          </w:p>
        </w:tc>
      </w:tr>
      <w:tr w14:paraId="733D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26A69E7B">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819" w:type="pct"/>
            <w:tcBorders>
              <w:top w:val="single" w:color="auto" w:sz="4" w:space="0"/>
              <w:left w:val="single" w:color="auto" w:sz="4" w:space="0"/>
              <w:bottom w:val="single" w:color="auto" w:sz="4" w:space="0"/>
              <w:right w:val="single" w:color="auto" w:sz="4" w:space="0"/>
            </w:tcBorders>
            <w:vAlign w:val="center"/>
          </w:tcPr>
          <w:p w14:paraId="63D8C89F">
            <w:pPr>
              <w:pStyle w:val="967"/>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考勤异常预警和管理</w:t>
            </w:r>
          </w:p>
          <w:p w14:paraId="680A12D7">
            <w:pPr>
              <w:pStyle w:val="967"/>
              <w:ind w:left="0" w:leftChars="0" w:firstLine="0" w:firstLineChars="0"/>
              <w:jc w:val="both"/>
              <w:rPr>
                <w:rFonts w:hint="eastAsia" w:ascii="仿宋" w:hAnsi="仿宋" w:eastAsia="仿宋" w:cs="仿宋"/>
                <w:sz w:val="24"/>
                <w:szCs w:val="24"/>
                <w:highlight w:val="none"/>
                <w:lang w:val="en-US" w:eastAsia="zh-CN"/>
              </w:rPr>
            </w:pPr>
          </w:p>
        </w:tc>
        <w:tc>
          <w:tcPr>
            <w:tcW w:w="3651" w:type="pct"/>
            <w:tcBorders>
              <w:top w:val="single" w:color="auto" w:sz="4" w:space="0"/>
              <w:left w:val="single" w:color="auto" w:sz="4" w:space="0"/>
              <w:bottom w:val="single" w:color="auto" w:sz="4" w:space="0"/>
              <w:right w:val="single" w:color="auto" w:sz="4" w:space="0"/>
            </w:tcBorders>
            <w:vAlign w:val="center"/>
          </w:tcPr>
          <w:p w14:paraId="3A89BFD2">
            <w:pPr>
              <w:pStyle w:val="792"/>
              <w:ind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1.支持</w:t>
            </w:r>
            <w:r>
              <w:rPr>
                <w:rFonts w:hint="eastAsia" w:ascii="仿宋" w:hAnsi="仿宋" w:eastAsia="仿宋" w:cs="仿宋"/>
                <w:sz w:val="24"/>
                <w:szCs w:val="24"/>
                <w:highlight w:val="none"/>
              </w:rPr>
              <w:t>根据规则自动计算</w:t>
            </w:r>
            <w:r>
              <w:rPr>
                <w:rFonts w:hint="eastAsia" w:ascii="仿宋" w:hAnsi="仿宋" w:eastAsia="仿宋" w:cs="仿宋"/>
                <w:sz w:val="24"/>
                <w:szCs w:val="24"/>
                <w:highlight w:val="none"/>
                <w:lang w:eastAsia="zh-CN"/>
              </w:rPr>
              <w:t>，</w:t>
            </w:r>
            <w:r>
              <w:rPr>
                <w:rFonts w:hint="eastAsia" w:ascii="仿宋" w:hAnsi="仿宋" w:eastAsia="仿宋" w:cs="仿宋"/>
                <w:b w:val="0"/>
                <w:bCs w:val="0"/>
                <w:sz w:val="24"/>
                <w:szCs w:val="24"/>
                <w:highlight w:val="none"/>
              </w:rPr>
              <w:t>支持按</w:t>
            </w:r>
            <w:r>
              <w:rPr>
                <w:rFonts w:hint="eastAsia" w:ascii="仿宋" w:hAnsi="仿宋" w:eastAsia="仿宋" w:cs="仿宋"/>
                <w:b w:val="0"/>
                <w:bCs w:val="0"/>
                <w:sz w:val="24"/>
                <w:szCs w:val="24"/>
                <w:highlight w:val="none"/>
                <w:lang w:val="en-US" w:eastAsia="zh-CN"/>
              </w:rPr>
              <w:t>学院</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班级、寝室信息、日期、连续天数、学号、学生类型等多种方式处理和</w:t>
            </w:r>
            <w:r>
              <w:rPr>
                <w:rFonts w:hint="eastAsia" w:ascii="仿宋" w:hAnsi="仿宋" w:eastAsia="仿宋" w:cs="仿宋"/>
                <w:b w:val="0"/>
                <w:bCs w:val="0"/>
                <w:sz w:val="24"/>
                <w:szCs w:val="24"/>
                <w:highlight w:val="none"/>
              </w:rPr>
              <w:t>查询考勤异常</w:t>
            </w:r>
            <w:r>
              <w:rPr>
                <w:rFonts w:hint="eastAsia" w:ascii="仿宋" w:hAnsi="仿宋" w:eastAsia="仿宋" w:cs="仿宋"/>
                <w:b w:val="0"/>
                <w:bCs w:val="0"/>
                <w:sz w:val="24"/>
                <w:szCs w:val="24"/>
                <w:highlight w:val="none"/>
                <w:lang w:val="en-US" w:eastAsia="zh-CN"/>
              </w:rPr>
              <w:t>详情。支持长时间</w:t>
            </w:r>
            <w:r>
              <w:rPr>
                <w:rFonts w:hint="eastAsia" w:ascii="仿宋" w:hAnsi="仿宋" w:eastAsia="仿宋" w:cs="仿宋"/>
                <w:sz w:val="24"/>
                <w:szCs w:val="24"/>
                <w:highlight w:val="none"/>
              </w:rPr>
              <w:t>未归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未出等</w:t>
            </w:r>
            <w:r>
              <w:rPr>
                <w:rFonts w:hint="eastAsia" w:ascii="仿宋" w:hAnsi="仿宋" w:eastAsia="仿宋" w:cs="仿宋"/>
                <w:sz w:val="24"/>
                <w:szCs w:val="24"/>
                <w:highlight w:val="none"/>
              </w:rPr>
              <w:t>信息查询</w:t>
            </w:r>
            <w:r>
              <w:rPr>
                <w:rFonts w:hint="eastAsia" w:ascii="仿宋" w:hAnsi="仿宋" w:eastAsia="仿宋" w:cs="仿宋"/>
                <w:sz w:val="24"/>
                <w:szCs w:val="24"/>
                <w:highlight w:val="none"/>
                <w:lang w:val="en-US" w:eastAsia="zh-CN"/>
              </w:rPr>
              <w:t>和导出</w:t>
            </w:r>
            <w:r>
              <w:rPr>
                <w:rFonts w:hint="eastAsia" w:ascii="仿宋" w:hAnsi="仿宋" w:eastAsia="仿宋" w:cs="仿宋"/>
                <w:sz w:val="24"/>
                <w:szCs w:val="24"/>
                <w:highlight w:val="none"/>
              </w:rPr>
              <w:t>，页面展示学生信息、</w:t>
            </w:r>
            <w:r>
              <w:rPr>
                <w:rFonts w:hint="eastAsia" w:ascii="仿宋" w:hAnsi="仿宋" w:eastAsia="仿宋" w:cs="仿宋"/>
                <w:sz w:val="24"/>
                <w:szCs w:val="24"/>
                <w:highlight w:val="none"/>
                <w:lang w:eastAsia="zh-CN"/>
              </w:rPr>
              <w:t>寝室</w:t>
            </w:r>
            <w:r>
              <w:rPr>
                <w:rFonts w:hint="eastAsia" w:ascii="仿宋" w:hAnsi="仿宋" w:eastAsia="仿宋" w:cs="仿宋"/>
                <w:sz w:val="24"/>
                <w:szCs w:val="24"/>
                <w:highlight w:val="none"/>
              </w:rPr>
              <w:t>信息和连续未归</w:t>
            </w:r>
            <w:r>
              <w:rPr>
                <w:rFonts w:hint="eastAsia" w:ascii="仿宋" w:hAnsi="仿宋" w:eastAsia="仿宋" w:cs="仿宋"/>
                <w:sz w:val="24"/>
                <w:szCs w:val="24"/>
                <w:highlight w:val="none"/>
                <w:lang w:val="en-US" w:eastAsia="zh-CN"/>
              </w:rPr>
              <w:t>时间。</w:t>
            </w:r>
          </w:p>
          <w:p w14:paraId="0663CA07">
            <w:pPr>
              <w:pStyle w:val="792"/>
              <w:ind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支持设置（</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超过</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小时、</w:t>
            </w:r>
            <w:r>
              <w:rPr>
                <w:rFonts w:hint="eastAsia" w:ascii="仿宋" w:hAnsi="仿宋" w:eastAsia="仿宋" w:cs="仿宋"/>
                <w:sz w:val="24"/>
                <w:szCs w:val="24"/>
                <w:highlight w:val="none"/>
                <w:lang w:val="en-US" w:eastAsia="zh-CN"/>
              </w:rPr>
              <w:t>48</w:t>
            </w:r>
            <w:r>
              <w:rPr>
                <w:rFonts w:hint="eastAsia" w:ascii="仿宋" w:hAnsi="仿宋" w:eastAsia="仿宋" w:cs="仿宋"/>
                <w:sz w:val="24"/>
                <w:szCs w:val="24"/>
                <w:highlight w:val="none"/>
              </w:rPr>
              <w:t>小时、</w:t>
            </w:r>
            <w:r>
              <w:rPr>
                <w:rFonts w:hint="eastAsia" w:ascii="仿宋" w:hAnsi="仿宋" w:eastAsia="仿宋" w:cs="仿宋"/>
                <w:sz w:val="24"/>
                <w:szCs w:val="24"/>
                <w:highlight w:val="none"/>
                <w:lang w:val="en-US" w:eastAsia="zh-CN"/>
              </w:rPr>
              <w:t>72</w:t>
            </w:r>
            <w:r>
              <w:rPr>
                <w:rFonts w:hint="eastAsia" w:ascii="仿宋" w:hAnsi="仿宋" w:eastAsia="仿宋" w:cs="仿宋"/>
                <w:sz w:val="24"/>
                <w:szCs w:val="24"/>
                <w:highlight w:val="none"/>
              </w:rPr>
              <w:t>小时）等多级预警策略，达到多时段的异常信息预警</w:t>
            </w:r>
            <w:r>
              <w:rPr>
                <w:rFonts w:hint="eastAsia" w:ascii="仿宋" w:hAnsi="仿宋" w:eastAsia="仿宋" w:cs="仿宋"/>
                <w:sz w:val="24"/>
                <w:szCs w:val="24"/>
                <w:highlight w:val="none"/>
                <w:lang w:val="en-US" w:eastAsia="zh-CN"/>
              </w:rPr>
              <w:t>统计和</w:t>
            </w:r>
            <w:r>
              <w:rPr>
                <w:rFonts w:hint="eastAsia" w:ascii="仿宋" w:hAnsi="仿宋" w:eastAsia="仿宋" w:cs="仿宋"/>
                <w:sz w:val="24"/>
                <w:szCs w:val="24"/>
                <w:highlight w:val="none"/>
              </w:rPr>
              <w:t>推送。要求支持多色彩展示运行</w:t>
            </w:r>
            <w:r>
              <w:rPr>
                <w:rFonts w:hint="eastAsia" w:ascii="仿宋" w:hAnsi="仿宋" w:eastAsia="仿宋" w:cs="仿宋"/>
                <w:sz w:val="24"/>
                <w:szCs w:val="24"/>
                <w:highlight w:val="none"/>
                <w:lang w:val="en-US" w:eastAsia="zh-CN"/>
              </w:rPr>
              <w:t>预</w:t>
            </w:r>
            <w:r>
              <w:rPr>
                <w:rFonts w:hint="eastAsia" w:ascii="仿宋" w:hAnsi="仿宋" w:eastAsia="仿宋" w:cs="仿宋"/>
                <w:sz w:val="24"/>
                <w:szCs w:val="24"/>
                <w:highlight w:val="none"/>
              </w:rPr>
              <w:t>警状态，支持</w:t>
            </w:r>
            <w:r>
              <w:rPr>
                <w:rFonts w:hint="eastAsia" w:ascii="仿宋" w:hAnsi="仿宋" w:eastAsia="仿宋" w:cs="仿宋"/>
                <w:sz w:val="24"/>
                <w:szCs w:val="24"/>
                <w:highlight w:val="none"/>
                <w:lang w:val="en-US" w:eastAsia="zh-CN"/>
              </w:rPr>
              <w:t>预</w:t>
            </w:r>
            <w:r>
              <w:rPr>
                <w:rFonts w:hint="eastAsia" w:ascii="仿宋" w:hAnsi="仿宋" w:eastAsia="仿宋" w:cs="仿宋"/>
                <w:sz w:val="24"/>
                <w:szCs w:val="24"/>
                <w:highlight w:val="none"/>
              </w:rPr>
              <w:t>警统计、概览、处理，支持</w:t>
            </w:r>
            <w:r>
              <w:rPr>
                <w:rFonts w:hint="eastAsia" w:ascii="仿宋" w:hAnsi="仿宋" w:eastAsia="仿宋" w:cs="仿宋"/>
                <w:sz w:val="24"/>
                <w:szCs w:val="24"/>
                <w:highlight w:val="none"/>
                <w:lang w:val="en-US" w:eastAsia="zh-CN"/>
              </w:rPr>
              <w:t>预</w:t>
            </w:r>
            <w:r>
              <w:rPr>
                <w:rFonts w:hint="eastAsia" w:ascii="仿宋" w:hAnsi="仿宋" w:eastAsia="仿宋" w:cs="仿宋"/>
                <w:sz w:val="24"/>
                <w:szCs w:val="24"/>
                <w:highlight w:val="none"/>
              </w:rPr>
              <w:t>警记录查看、查询，支持</w:t>
            </w:r>
            <w:r>
              <w:rPr>
                <w:rFonts w:hint="eastAsia" w:ascii="仿宋" w:hAnsi="仿宋" w:eastAsia="仿宋" w:cs="仿宋"/>
                <w:sz w:val="24"/>
                <w:szCs w:val="24"/>
                <w:highlight w:val="none"/>
                <w:lang w:val="en-US" w:eastAsia="zh-CN"/>
              </w:rPr>
              <w:t>预</w:t>
            </w:r>
            <w:r>
              <w:rPr>
                <w:rFonts w:hint="eastAsia" w:ascii="仿宋" w:hAnsi="仿宋" w:eastAsia="仿宋" w:cs="仿宋"/>
                <w:sz w:val="24"/>
                <w:szCs w:val="24"/>
                <w:highlight w:val="none"/>
              </w:rPr>
              <w:t>警单条、批量处理</w:t>
            </w:r>
            <w:r>
              <w:rPr>
                <w:rFonts w:hint="eastAsia" w:ascii="仿宋" w:hAnsi="仿宋" w:eastAsia="仿宋" w:cs="仿宋"/>
                <w:sz w:val="24"/>
                <w:szCs w:val="24"/>
                <w:highlight w:val="none"/>
                <w:lang w:eastAsia="zh-CN"/>
              </w:rPr>
              <w:t>。</w:t>
            </w:r>
          </w:p>
          <w:p w14:paraId="0A155A42">
            <w:pPr>
              <w:pStyle w:val="792"/>
              <w:ind w:leftChars="0" w:firstLine="0" w:firstLineChars="0"/>
              <w:jc w:val="left"/>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3.支持</w:t>
            </w:r>
            <w:r>
              <w:rPr>
                <w:rFonts w:hint="eastAsia" w:ascii="仿宋" w:hAnsi="仿宋" w:eastAsia="仿宋" w:cs="仿宋"/>
                <w:sz w:val="24"/>
                <w:szCs w:val="24"/>
                <w:highlight w:val="none"/>
              </w:rPr>
              <w:t>查看最后一次进出时间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最后一次进出详情和连续多日异常记录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4.支持</w:t>
            </w:r>
            <w:r>
              <w:rPr>
                <w:rFonts w:hint="eastAsia" w:ascii="仿宋" w:hAnsi="仿宋" w:eastAsia="仿宋" w:cs="仿宋"/>
                <w:sz w:val="24"/>
                <w:szCs w:val="24"/>
                <w:highlight w:val="none"/>
              </w:rPr>
              <w:t>查看学生详细信息和照片</w:t>
            </w:r>
            <w:r>
              <w:rPr>
                <w:rFonts w:hint="eastAsia" w:ascii="仿宋" w:hAnsi="仿宋" w:eastAsia="仿宋" w:cs="仿宋"/>
                <w:sz w:val="24"/>
                <w:szCs w:val="24"/>
                <w:highlight w:val="none"/>
                <w:lang w:eastAsia="zh-CN"/>
              </w:rPr>
              <w:t>。</w:t>
            </w:r>
          </w:p>
        </w:tc>
      </w:tr>
      <w:tr w14:paraId="3A4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28200663">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819" w:type="pct"/>
            <w:tcBorders>
              <w:top w:val="single" w:color="auto" w:sz="4" w:space="0"/>
              <w:left w:val="single" w:color="auto" w:sz="4" w:space="0"/>
              <w:bottom w:val="single" w:color="auto" w:sz="4" w:space="0"/>
              <w:right w:val="single" w:color="auto" w:sz="4" w:space="0"/>
            </w:tcBorders>
            <w:vAlign w:val="center"/>
          </w:tcPr>
          <w:p w14:paraId="2F587235">
            <w:pPr>
              <w:pStyle w:val="967"/>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出入异常预警和管理</w:t>
            </w:r>
          </w:p>
          <w:p w14:paraId="3C97F106">
            <w:pPr>
              <w:pStyle w:val="967"/>
              <w:ind w:left="0" w:leftChars="0" w:firstLine="0" w:firstLineChars="0"/>
              <w:jc w:val="both"/>
              <w:rPr>
                <w:rFonts w:hint="eastAsia" w:ascii="仿宋" w:hAnsi="仿宋" w:eastAsia="仿宋" w:cs="仿宋"/>
                <w:sz w:val="24"/>
                <w:szCs w:val="24"/>
                <w:highlight w:val="none"/>
                <w:lang w:val="en-US" w:eastAsia="zh-CN"/>
              </w:rPr>
            </w:pPr>
          </w:p>
        </w:tc>
        <w:tc>
          <w:tcPr>
            <w:tcW w:w="3651" w:type="pct"/>
            <w:tcBorders>
              <w:top w:val="single" w:color="auto" w:sz="4" w:space="0"/>
              <w:left w:val="single" w:color="auto" w:sz="4" w:space="0"/>
              <w:bottom w:val="single" w:color="auto" w:sz="4" w:space="0"/>
              <w:right w:val="single" w:color="auto" w:sz="4" w:space="0"/>
            </w:tcBorders>
            <w:vAlign w:val="center"/>
          </w:tcPr>
          <w:p w14:paraId="315C2D95">
            <w:pPr>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highlight w:val="none"/>
                <w:lang w:val="en-US" w:eastAsia="zh-CN"/>
              </w:rPr>
              <w:t>支持联动摄像机查看学生异常出入数据，如翻越、尾随、逆向闯入、识别未进出等异常情况，同时可查看人员基本信息及监控回放。</w:t>
            </w:r>
          </w:p>
          <w:p w14:paraId="5A181B00">
            <w:pPr>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2.学生尾随进入，系统无对应进出数据，可形成缺勤记录，并可在闭寝时间后推送提醒本人或特定管理人员。</w:t>
            </w:r>
          </w:p>
          <w:p w14:paraId="675215AC">
            <w:pPr>
              <w:numPr>
                <w:ilvl w:val="0"/>
                <w:numId w:val="0"/>
              </w:numPr>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3.支持多种应急开闸方式，包括但不限于：断电自动开闸、遥控器开闸、远程一键开闸等。</w:t>
            </w:r>
          </w:p>
        </w:tc>
      </w:tr>
      <w:tr w14:paraId="52FC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183745DD">
            <w:pPr>
              <w:pStyle w:val="967"/>
              <w:ind w:left="0" w:leftChars="0"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819" w:type="pct"/>
            <w:tcBorders>
              <w:top w:val="single" w:color="auto" w:sz="4" w:space="0"/>
              <w:left w:val="single" w:color="auto" w:sz="4" w:space="0"/>
              <w:bottom w:val="single" w:color="auto" w:sz="4" w:space="0"/>
              <w:right w:val="single" w:color="auto" w:sz="4" w:space="0"/>
            </w:tcBorders>
            <w:vAlign w:val="center"/>
          </w:tcPr>
          <w:p w14:paraId="181D1A84">
            <w:pPr>
              <w:pStyle w:val="967"/>
              <w:ind w:left="0" w:lef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请假管理</w:t>
            </w:r>
          </w:p>
        </w:tc>
        <w:tc>
          <w:tcPr>
            <w:tcW w:w="3651" w:type="pct"/>
            <w:tcBorders>
              <w:top w:val="single" w:color="auto" w:sz="4" w:space="0"/>
              <w:left w:val="single" w:color="auto" w:sz="4" w:space="0"/>
              <w:bottom w:val="single" w:color="auto" w:sz="4" w:space="0"/>
              <w:right w:val="single" w:color="auto" w:sz="4" w:space="0"/>
            </w:tcBorders>
            <w:vAlign w:val="center"/>
          </w:tcPr>
          <w:p w14:paraId="7FE4F9FA">
            <w:pPr>
              <w:spacing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支持批量导入请假数据</w:t>
            </w:r>
            <w:r>
              <w:rPr>
                <w:rFonts w:hint="eastAsia" w:ascii="仿宋" w:hAnsi="仿宋" w:eastAsia="仿宋" w:cs="仿宋"/>
                <w:sz w:val="24"/>
                <w:szCs w:val="24"/>
                <w:lang w:val="en-US" w:eastAsia="zh-CN"/>
              </w:rPr>
              <w:t>和</w:t>
            </w:r>
            <w:r>
              <w:rPr>
                <w:rFonts w:hint="eastAsia" w:ascii="仿宋" w:hAnsi="仿宋" w:eastAsia="仿宋" w:cs="仿宋"/>
                <w:sz w:val="24"/>
                <w:szCs w:val="24"/>
              </w:rPr>
              <w:t>与学校现有的请假系统进行数据对接，并将请假数据用于归寝结果的汇总中；请假数据支持按照请假时段、姓名、学号</w:t>
            </w:r>
            <w:r>
              <w:rPr>
                <w:rFonts w:hint="eastAsia" w:ascii="仿宋" w:hAnsi="仿宋" w:eastAsia="仿宋" w:cs="仿宋"/>
                <w:sz w:val="24"/>
                <w:szCs w:val="24"/>
                <w:lang w:val="en-US" w:eastAsia="zh-CN"/>
              </w:rPr>
              <w:t>等</w:t>
            </w:r>
            <w:r>
              <w:rPr>
                <w:rFonts w:hint="eastAsia" w:ascii="仿宋" w:hAnsi="仿宋" w:eastAsia="仿宋" w:cs="仿宋"/>
                <w:sz w:val="24"/>
                <w:szCs w:val="24"/>
              </w:rPr>
              <w:t>进行查询，可查看请假的详细信息</w:t>
            </w:r>
            <w:r>
              <w:rPr>
                <w:rFonts w:hint="eastAsia" w:ascii="仿宋" w:hAnsi="仿宋" w:eastAsia="仿宋" w:cs="仿宋"/>
                <w:sz w:val="24"/>
                <w:szCs w:val="24"/>
                <w:lang w:eastAsia="zh-CN"/>
              </w:rPr>
              <w:t>。</w:t>
            </w:r>
          </w:p>
          <w:p w14:paraId="0CFCCD1F">
            <w:pPr>
              <w:pStyle w:val="792"/>
              <w:numPr>
                <w:ilvl w:val="0"/>
                <w:numId w:val="0"/>
              </w:numPr>
              <w:spacing w:line="360" w:lineRule="auto"/>
              <w:jc w:val="both"/>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2.请假</w:t>
            </w:r>
            <w:r>
              <w:rPr>
                <w:rFonts w:hint="eastAsia" w:ascii="仿宋" w:hAnsi="仿宋" w:eastAsia="仿宋" w:cs="仿宋"/>
                <w:sz w:val="24"/>
                <w:szCs w:val="24"/>
                <w:highlight w:val="none"/>
              </w:rPr>
              <w:t>审批通过的学生在未归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晚归名单中</w:t>
            </w:r>
            <w:r>
              <w:rPr>
                <w:rFonts w:hint="eastAsia" w:ascii="仿宋" w:hAnsi="仿宋" w:eastAsia="仿宋" w:cs="仿宋"/>
                <w:sz w:val="24"/>
                <w:szCs w:val="24"/>
                <w:highlight w:val="none"/>
              </w:rPr>
              <w:t>排除。</w:t>
            </w:r>
          </w:p>
        </w:tc>
      </w:tr>
      <w:tr w14:paraId="0E59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5A76B5F8">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819" w:type="pct"/>
            <w:tcBorders>
              <w:top w:val="single" w:color="auto" w:sz="4" w:space="0"/>
              <w:left w:val="single" w:color="auto" w:sz="4" w:space="0"/>
              <w:bottom w:val="single" w:color="auto" w:sz="4" w:space="0"/>
              <w:right w:val="single" w:color="auto" w:sz="4" w:space="0"/>
            </w:tcBorders>
            <w:vAlign w:val="center"/>
          </w:tcPr>
          <w:p w14:paraId="19739023">
            <w:pPr>
              <w:pStyle w:val="967"/>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假期住宿管理</w:t>
            </w:r>
          </w:p>
        </w:tc>
        <w:tc>
          <w:tcPr>
            <w:tcW w:w="3651" w:type="pct"/>
            <w:tcBorders>
              <w:top w:val="single" w:color="auto" w:sz="4" w:space="0"/>
              <w:left w:val="single" w:color="auto" w:sz="4" w:space="0"/>
              <w:bottom w:val="single" w:color="auto" w:sz="4" w:space="0"/>
              <w:right w:val="single" w:color="auto" w:sz="4" w:space="0"/>
            </w:tcBorders>
            <w:vAlign w:val="center"/>
          </w:tcPr>
          <w:p w14:paraId="251A62E9">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系统可根据已审批的假期留校信息，自动联动其对应的门禁通行权限生效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根据人员留校时间精准授权通行权限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取消非假期留校人员的通行权限</w:t>
            </w:r>
            <w:r>
              <w:rPr>
                <w:rFonts w:hint="eastAsia" w:ascii="仿宋" w:hAnsi="仿宋" w:eastAsia="仿宋" w:cs="仿宋"/>
                <w:sz w:val="24"/>
                <w:szCs w:val="24"/>
                <w:highlight w:val="none"/>
              </w:rPr>
              <w:t>。假期结束后，可自动撤销假期通行权限，恢复</w:t>
            </w:r>
            <w:r>
              <w:rPr>
                <w:rFonts w:hint="eastAsia" w:ascii="仿宋" w:hAnsi="仿宋" w:eastAsia="仿宋" w:cs="仿宋"/>
                <w:sz w:val="24"/>
                <w:szCs w:val="24"/>
                <w:highlight w:val="none"/>
                <w:lang w:val="en-US" w:eastAsia="zh-CN"/>
              </w:rPr>
              <w:t>所有人员日常</w:t>
            </w:r>
            <w:r>
              <w:rPr>
                <w:rFonts w:hint="eastAsia" w:ascii="仿宋" w:hAnsi="仿宋" w:eastAsia="仿宋" w:cs="仿宋"/>
                <w:sz w:val="24"/>
                <w:szCs w:val="24"/>
                <w:highlight w:val="none"/>
              </w:rPr>
              <w:t>通行权限。</w:t>
            </w:r>
          </w:p>
          <w:p w14:paraId="1319E0D2">
            <w:pPr>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查询管辖范围的楼宇在假期期间的归寝</w:t>
            </w:r>
            <w:r>
              <w:rPr>
                <w:rFonts w:hint="eastAsia" w:ascii="仿宋" w:hAnsi="仿宋" w:eastAsia="仿宋" w:cs="仿宋"/>
                <w:sz w:val="24"/>
                <w:szCs w:val="24"/>
                <w:highlight w:val="none"/>
                <w:lang w:val="en-US" w:eastAsia="zh-CN"/>
              </w:rPr>
              <w:t>情况</w:t>
            </w:r>
            <w:r>
              <w:rPr>
                <w:rFonts w:hint="eastAsia" w:ascii="仿宋" w:hAnsi="仿宋" w:eastAsia="仿宋" w:cs="仿宋"/>
                <w:sz w:val="24"/>
                <w:szCs w:val="24"/>
                <w:highlight w:val="none"/>
              </w:rPr>
              <w:t>，数据包括：日期、楼宇、总人数、实归人数、未归人数、请假人数、未出人数、晚归人数、晚出人数等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并支持数据导出及按要求定时推送相关人员。</w:t>
            </w:r>
          </w:p>
          <w:p w14:paraId="549DDCE8">
            <w:pPr>
              <w:numPr>
                <w:ilvl w:val="0"/>
                <w:numId w:val="0"/>
              </w:numPr>
              <w:spacing w:line="360" w:lineRule="auto"/>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假期独居管理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自动统计分析独居人员</w:t>
            </w:r>
            <w:r>
              <w:rPr>
                <w:rFonts w:hint="eastAsia" w:ascii="仿宋" w:hAnsi="仿宋" w:eastAsia="仿宋" w:cs="仿宋"/>
                <w:sz w:val="24"/>
                <w:szCs w:val="24"/>
                <w:highlight w:val="none"/>
                <w:lang w:val="en-US" w:eastAsia="zh-CN"/>
              </w:rPr>
              <w:t>情况</w:t>
            </w:r>
            <w:r>
              <w:rPr>
                <w:rFonts w:hint="eastAsia" w:ascii="仿宋" w:hAnsi="仿宋" w:eastAsia="仿宋" w:cs="仿宋"/>
                <w:sz w:val="24"/>
                <w:szCs w:val="24"/>
                <w:highlight w:val="none"/>
              </w:rPr>
              <w:t>，及时提醒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推送相关人员</w:t>
            </w:r>
            <w:r>
              <w:rPr>
                <w:rFonts w:hint="eastAsia" w:ascii="仿宋" w:hAnsi="仿宋" w:eastAsia="仿宋" w:cs="仿宋"/>
                <w:sz w:val="24"/>
                <w:szCs w:val="24"/>
                <w:highlight w:val="none"/>
                <w:lang w:eastAsia="zh-CN"/>
              </w:rPr>
              <w:t>。</w:t>
            </w:r>
          </w:p>
        </w:tc>
      </w:tr>
      <w:tr w14:paraId="6327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3A8D1772">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819" w:type="pct"/>
            <w:tcBorders>
              <w:top w:val="single" w:color="auto" w:sz="4" w:space="0"/>
              <w:left w:val="single" w:color="auto" w:sz="4" w:space="0"/>
              <w:bottom w:val="single" w:color="auto" w:sz="4" w:space="0"/>
              <w:right w:val="single" w:color="auto" w:sz="4" w:space="0"/>
            </w:tcBorders>
            <w:vAlign w:val="center"/>
          </w:tcPr>
          <w:p w14:paraId="4236FE93">
            <w:pPr>
              <w:pStyle w:val="967"/>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考勤结果修订</w:t>
            </w:r>
          </w:p>
        </w:tc>
        <w:tc>
          <w:tcPr>
            <w:tcW w:w="3651" w:type="pct"/>
            <w:tcBorders>
              <w:top w:val="single" w:color="auto" w:sz="4" w:space="0"/>
              <w:left w:val="single" w:color="auto" w:sz="4" w:space="0"/>
              <w:bottom w:val="single" w:color="auto" w:sz="4" w:space="0"/>
              <w:right w:val="single" w:color="auto" w:sz="4" w:space="0"/>
            </w:tcBorders>
            <w:vAlign w:val="center"/>
          </w:tcPr>
          <w:p w14:paraId="7D21EAC5">
            <w:pPr>
              <w:spacing w:line="360" w:lineRule="auto"/>
              <w:ind w:left="0" w:leftChars="0" w:firstLine="0" w:firstLineChars="0"/>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1.系统支持可</w:t>
            </w:r>
            <w:r>
              <w:rPr>
                <w:rFonts w:hint="eastAsia" w:ascii="仿宋" w:hAnsi="仿宋" w:eastAsia="仿宋" w:cs="仿宋"/>
                <w:sz w:val="24"/>
                <w:szCs w:val="24"/>
                <w:highlight w:val="none"/>
              </w:rPr>
              <w:t>实时查看管理学生的归寝状态，对于已经核实需更正的异常归寝可修订考勤状态，并填写修订原因，考勤修订记录在系统中可追溯。</w:t>
            </w:r>
          </w:p>
          <w:p w14:paraId="37117715">
            <w:pPr>
              <w:pStyle w:val="792"/>
              <w:numPr>
                <w:ilvl w:val="0"/>
                <w:numId w:val="0"/>
              </w:numPr>
              <w:spacing w:line="360" w:lineRule="auto"/>
              <w:jc w:val="both"/>
              <w:rPr>
                <w:rFonts w:hint="eastAsia" w:ascii="仿宋" w:hAnsi="仿宋" w:eastAsia="仿宋" w:cs="仿宋"/>
                <w:sz w:val="24"/>
                <w:szCs w:val="24"/>
                <w:highlight w:val="none"/>
              </w:rPr>
            </w:pPr>
            <w:r>
              <w:rPr>
                <w:rFonts w:hint="eastAsia" w:ascii="仿宋" w:hAnsi="仿宋" w:eastAsia="仿宋" w:cs="仿宋"/>
                <w:bCs/>
                <w:kern w:val="2"/>
                <w:sz w:val="24"/>
                <w:szCs w:val="24"/>
                <w:highlight w:val="none"/>
                <w:lang w:val="en-US" w:eastAsia="zh-CN" w:bidi="ar-SA"/>
              </w:rPr>
              <w:t>2.系统</w:t>
            </w:r>
            <w:r>
              <w:rPr>
                <w:rFonts w:hint="eastAsia" w:ascii="仿宋" w:hAnsi="仿宋" w:eastAsia="仿宋" w:cs="仿宋"/>
                <w:sz w:val="24"/>
                <w:szCs w:val="24"/>
                <w:highlight w:val="none"/>
              </w:rPr>
              <w:t>支持移动端在线确认处理，在线进行数据修正</w:t>
            </w:r>
            <w:r>
              <w:rPr>
                <w:rFonts w:hint="eastAsia" w:ascii="仿宋" w:hAnsi="仿宋" w:eastAsia="仿宋" w:cs="仿宋"/>
                <w:sz w:val="24"/>
                <w:szCs w:val="24"/>
                <w:highlight w:val="none"/>
                <w:lang w:eastAsia="zh-CN"/>
              </w:rPr>
              <w:t>。</w:t>
            </w:r>
          </w:p>
        </w:tc>
      </w:tr>
      <w:tr w14:paraId="3044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2245FEFC">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819" w:type="pct"/>
            <w:tcBorders>
              <w:top w:val="single" w:color="auto" w:sz="4" w:space="0"/>
              <w:left w:val="single" w:color="auto" w:sz="4" w:space="0"/>
              <w:bottom w:val="single" w:color="auto" w:sz="4" w:space="0"/>
              <w:right w:val="single" w:color="auto" w:sz="4" w:space="0"/>
            </w:tcBorders>
            <w:vAlign w:val="center"/>
          </w:tcPr>
          <w:p w14:paraId="5C7D598C">
            <w:pPr>
              <w:pStyle w:val="967"/>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外来人员管理</w:t>
            </w:r>
          </w:p>
        </w:tc>
        <w:tc>
          <w:tcPr>
            <w:tcW w:w="3651" w:type="pct"/>
            <w:tcBorders>
              <w:top w:val="single" w:color="auto" w:sz="4" w:space="0"/>
              <w:left w:val="single" w:color="auto" w:sz="4" w:space="0"/>
              <w:bottom w:val="single" w:color="auto" w:sz="4" w:space="0"/>
              <w:right w:val="single" w:color="auto" w:sz="4" w:space="0"/>
            </w:tcBorders>
            <w:vAlign w:val="center"/>
          </w:tcPr>
          <w:p w14:paraId="0B5CF366">
            <w:pPr>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r>
              <w:rPr>
                <w:rFonts w:hint="eastAsia" w:ascii="仿宋" w:hAnsi="仿宋" w:eastAsia="仿宋" w:cs="仿宋"/>
                <w:sz w:val="24"/>
                <w:szCs w:val="32"/>
              </w:rPr>
              <w:t>访客信息登记</w:t>
            </w:r>
            <w:r>
              <w:rPr>
                <w:rFonts w:hint="eastAsia" w:ascii="仿宋" w:hAnsi="仿宋" w:eastAsia="仿宋" w:cs="仿宋"/>
                <w:sz w:val="24"/>
                <w:szCs w:val="32"/>
                <w:lang w:eastAsia="zh-CN"/>
              </w:rPr>
              <w:t>。</w:t>
            </w:r>
            <w:r>
              <w:rPr>
                <w:rFonts w:hint="eastAsia" w:ascii="仿宋" w:hAnsi="仿宋" w:eastAsia="仿宋" w:cs="仿宋"/>
                <w:sz w:val="24"/>
                <w:szCs w:val="32"/>
              </w:rPr>
              <w:t>来访人员可扫描二维码后，自助填写本次来访信息，包括：姓名、手机号、被访人、来访原因</w:t>
            </w:r>
            <w:r>
              <w:rPr>
                <w:rFonts w:hint="eastAsia" w:ascii="仿宋" w:hAnsi="仿宋" w:eastAsia="仿宋" w:cs="仿宋"/>
                <w:sz w:val="24"/>
                <w:szCs w:val="32"/>
                <w:lang w:val="en-US" w:eastAsia="zh-CN"/>
              </w:rPr>
              <w:t>等信息</w:t>
            </w:r>
            <w:r>
              <w:rPr>
                <w:rFonts w:hint="eastAsia" w:ascii="仿宋" w:hAnsi="仿宋" w:eastAsia="仿宋" w:cs="仿宋"/>
                <w:sz w:val="24"/>
                <w:szCs w:val="32"/>
              </w:rPr>
              <w:t>，便捷进行访客信息登记，经</w:t>
            </w:r>
            <w:r>
              <w:rPr>
                <w:rFonts w:hint="eastAsia" w:ascii="仿宋" w:hAnsi="仿宋" w:eastAsia="仿宋" w:cs="仿宋"/>
                <w:sz w:val="24"/>
                <w:szCs w:val="32"/>
                <w:lang w:val="en-US" w:eastAsia="zh-CN"/>
              </w:rPr>
              <w:t>公寓</w:t>
            </w:r>
            <w:r>
              <w:rPr>
                <w:rFonts w:hint="eastAsia" w:ascii="仿宋" w:hAnsi="仿宋" w:eastAsia="仿宋" w:cs="仿宋"/>
                <w:sz w:val="24"/>
                <w:szCs w:val="32"/>
              </w:rPr>
              <w:t>管理员确认后，无需下发闸机权限，临时进入</w:t>
            </w:r>
            <w:r>
              <w:rPr>
                <w:rFonts w:hint="eastAsia" w:ascii="仿宋" w:hAnsi="仿宋" w:eastAsia="仿宋" w:cs="仿宋"/>
                <w:sz w:val="24"/>
                <w:szCs w:val="32"/>
                <w:lang w:eastAsia="zh-CN"/>
              </w:rPr>
              <w:t>寝室</w:t>
            </w:r>
            <w:r>
              <w:rPr>
                <w:rFonts w:hint="eastAsia" w:ascii="仿宋" w:hAnsi="仿宋" w:eastAsia="仿宋" w:cs="仿宋"/>
                <w:sz w:val="24"/>
                <w:szCs w:val="32"/>
              </w:rPr>
              <w:t>。</w:t>
            </w:r>
            <w:r>
              <w:rPr>
                <w:rFonts w:hint="eastAsia" w:ascii="仿宋" w:hAnsi="仿宋" w:eastAsia="仿宋" w:cs="仿宋"/>
                <w:sz w:val="24"/>
                <w:szCs w:val="32"/>
                <w:highlight w:val="none"/>
                <w:lang w:val="en-US" w:eastAsia="zh-CN"/>
              </w:rPr>
              <w:t>来访人员离开时需再次扫码登记，人工确认操作成功后再放行。</w:t>
            </w:r>
          </w:p>
          <w:p w14:paraId="1C5F3826">
            <w:pPr>
              <w:spacing w:line="360" w:lineRule="auto"/>
              <w:ind w:left="0" w:leftChars="0" w:firstLine="0" w:firstLineChars="0"/>
              <w:rPr>
                <w:rFonts w:hint="eastAsia" w:ascii="仿宋" w:hAnsi="仿宋" w:eastAsia="仿宋" w:cs="仿宋"/>
                <w:sz w:val="24"/>
                <w:szCs w:val="24"/>
                <w:highlight w:val="yellow"/>
                <w:lang w:val="en-US" w:eastAsia="zh-CN"/>
              </w:rPr>
            </w:pPr>
            <w:r>
              <w:rPr>
                <w:rFonts w:hint="eastAsia" w:ascii="仿宋" w:hAnsi="仿宋" w:eastAsia="仿宋" w:cs="仿宋"/>
                <w:sz w:val="24"/>
                <w:szCs w:val="32"/>
                <w:lang w:val="en-US" w:eastAsia="zh-CN"/>
              </w:rPr>
              <w:t>2.</w:t>
            </w:r>
            <w:r>
              <w:rPr>
                <w:rFonts w:hint="eastAsia" w:ascii="仿宋" w:hAnsi="仿宋" w:eastAsia="仿宋" w:cs="仿宋"/>
                <w:sz w:val="24"/>
                <w:szCs w:val="32"/>
              </w:rPr>
              <w:t>访客信息维护</w:t>
            </w:r>
            <w:r>
              <w:rPr>
                <w:rFonts w:hint="eastAsia" w:ascii="仿宋" w:hAnsi="仿宋" w:eastAsia="仿宋" w:cs="仿宋"/>
                <w:sz w:val="24"/>
                <w:szCs w:val="32"/>
                <w:lang w:eastAsia="zh-CN"/>
              </w:rPr>
              <w:t>。</w:t>
            </w:r>
            <w:r>
              <w:rPr>
                <w:rFonts w:hint="eastAsia" w:ascii="仿宋" w:hAnsi="仿宋" w:eastAsia="仿宋" w:cs="仿宋"/>
                <w:sz w:val="24"/>
                <w:szCs w:val="32"/>
              </w:rPr>
              <w:t>可查询、新增、编辑、删除</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导出</w:t>
            </w:r>
            <w:r>
              <w:rPr>
                <w:rFonts w:hint="eastAsia" w:ascii="仿宋" w:hAnsi="仿宋" w:eastAsia="仿宋" w:cs="仿宋"/>
                <w:sz w:val="24"/>
                <w:szCs w:val="32"/>
              </w:rPr>
              <w:t>访客人员登记信息，可以根据</w:t>
            </w:r>
            <w:r>
              <w:rPr>
                <w:rFonts w:hint="eastAsia" w:ascii="仿宋" w:hAnsi="仿宋" w:eastAsia="仿宋" w:cs="仿宋"/>
                <w:sz w:val="24"/>
                <w:szCs w:val="32"/>
                <w:lang w:eastAsia="zh-CN"/>
              </w:rPr>
              <w:t>寝室</w:t>
            </w:r>
            <w:r>
              <w:rPr>
                <w:rFonts w:hint="eastAsia" w:ascii="仿宋" w:hAnsi="仿宋" w:eastAsia="仿宋" w:cs="仿宋"/>
                <w:sz w:val="24"/>
                <w:szCs w:val="32"/>
              </w:rPr>
              <w:t>楼栋、来访人员姓名、被访人员姓名、签到时间段</w:t>
            </w:r>
            <w:r>
              <w:rPr>
                <w:rFonts w:hint="eastAsia" w:ascii="仿宋" w:hAnsi="仿宋" w:eastAsia="仿宋" w:cs="仿宋"/>
                <w:sz w:val="24"/>
                <w:szCs w:val="32"/>
                <w:lang w:val="en-US" w:eastAsia="zh-CN"/>
              </w:rPr>
              <w:t>等</w:t>
            </w:r>
            <w:r>
              <w:rPr>
                <w:rFonts w:hint="eastAsia" w:ascii="仿宋" w:hAnsi="仿宋" w:eastAsia="仿宋" w:cs="仿宋"/>
                <w:sz w:val="24"/>
                <w:szCs w:val="32"/>
              </w:rPr>
              <w:t>进行查询</w:t>
            </w:r>
            <w:r>
              <w:rPr>
                <w:rFonts w:hint="eastAsia" w:ascii="仿宋" w:hAnsi="仿宋" w:eastAsia="仿宋" w:cs="仿宋"/>
                <w:sz w:val="24"/>
                <w:szCs w:val="32"/>
                <w:lang w:eastAsia="zh-CN"/>
              </w:rPr>
              <w:t>。</w:t>
            </w:r>
          </w:p>
        </w:tc>
      </w:tr>
      <w:tr w14:paraId="0659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67D416A0">
            <w:pPr>
              <w:pStyle w:val="967"/>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819" w:type="pct"/>
            <w:tcBorders>
              <w:top w:val="single" w:color="auto" w:sz="4" w:space="0"/>
              <w:left w:val="single" w:color="auto" w:sz="4" w:space="0"/>
              <w:bottom w:val="single" w:color="auto" w:sz="4" w:space="0"/>
              <w:right w:val="single" w:color="auto" w:sz="4" w:space="0"/>
            </w:tcBorders>
            <w:vAlign w:val="center"/>
          </w:tcPr>
          <w:p w14:paraId="64FBCFDC">
            <w:pPr>
              <w:pStyle w:val="967"/>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w:t>
            </w:r>
            <w:r>
              <w:rPr>
                <w:rFonts w:hint="eastAsia" w:ascii="仿宋" w:hAnsi="仿宋" w:eastAsia="仿宋" w:cs="仿宋"/>
                <w:sz w:val="24"/>
                <w:szCs w:val="24"/>
                <w:highlight w:val="none"/>
              </w:rPr>
              <w:t>对接</w:t>
            </w:r>
          </w:p>
        </w:tc>
        <w:tc>
          <w:tcPr>
            <w:tcW w:w="3651" w:type="pct"/>
            <w:tcBorders>
              <w:top w:val="single" w:color="auto" w:sz="4" w:space="0"/>
              <w:left w:val="single" w:color="auto" w:sz="4" w:space="0"/>
              <w:bottom w:val="single" w:color="auto" w:sz="4" w:space="0"/>
              <w:right w:val="single" w:color="auto" w:sz="4" w:space="0"/>
            </w:tcBorders>
            <w:vAlign w:val="center"/>
          </w:tcPr>
          <w:p w14:paraId="07341C3B">
            <w:pPr>
              <w:pStyle w:val="792"/>
              <w:numPr>
                <w:ilvl w:val="0"/>
                <w:numId w:val="0"/>
              </w:numPr>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1.支持与学校数据中心对接，同步组织机构、人员信息等数据。</w:t>
            </w:r>
          </w:p>
          <w:p w14:paraId="17A62251">
            <w:pPr>
              <w:pStyle w:val="792"/>
              <w:numPr>
                <w:ilvl w:val="0"/>
                <w:numId w:val="0"/>
              </w:numPr>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2.支持与学校现有公寓管理系统进行对接，同步人员住宿等数据，实现闸机权限联动下发等功能。</w:t>
            </w:r>
          </w:p>
          <w:p w14:paraId="73F5DBAC">
            <w:pPr>
              <w:pStyle w:val="792"/>
              <w:numPr>
                <w:ilvl w:val="0"/>
                <w:numId w:val="0"/>
              </w:numPr>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3.支持与学校现有人脸平台对接，同步人脸库信息。</w:t>
            </w:r>
          </w:p>
          <w:p w14:paraId="1547E0B2">
            <w:pPr>
              <w:pStyle w:val="792"/>
              <w:numPr>
                <w:ilvl w:val="0"/>
                <w:numId w:val="0"/>
              </w:numPr>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4.支持与学校请销假系统对接，支持同步学生请假数据。</w:t>
            </w:r>
          </w:p>
          <w:p w14:paraId="25A598E9">
            <w:pPr>
              <w:pStyle w:val="792"/>
              <w:numPr>
                <w:ilvl w:val="0"/>
                <w:numId w:val="0"/>
              </w:numPr>
              <w:spacing w:line="360" w:lineRule="auto"/>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注：系统对接过程中系统开发方不收取额外费用。</w:t>
            </w:r>
          </w:p>
        </w:tc>
      </w:tr>
      <w:tr w14:paraId="7C18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14:paraId="2FDC2521">
            <w:pPr>
              <w:pStyle w:val="967"/>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819" w:type="pct"/>
            <w:tcBorders>
              <w:top w:val="single" w:color="auto" w:sz="4" w:space="0"/>
              <w:left w:val="single" w:color="auto" w:sz="4" w:space="0"/>
              <w:bottom w:val="single" w:color="auto" w:sz="4" w:space="0"/>
              <w:right w:val="single" w:color="auto" w:sz="4" w:space="0"/>
            </w:tcBorders>
            <w:vAlign w:val="center"/>
          </w:tcPr>
          <w:p w14:paraId="7F868E19">
            <w:pPr>
              <w:pStyle w:val="967"/>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接口开放</w:t>
            </w:r>
          </w:p>
        </w:tc>
        <w:tc>
          <w:tcPr>
            <w:tcW w:w="3651" w:type="pct"/>
            <w:tcBorders>
              <w:top w:val="single" w:color="auto" w:sz="4" w:space="0"/>
              <w:left w:val="single" w:color="auto" w:sz="4" w:space="0"/>
              <w:bottom w:val="single" w:color="auto" w:sz="4" w:space="0"/>
              <w:right w:val="single" w:color="auto" w:sz="4" w:space="0"/>
            </w:tcBorders>
            <w:vAlign w:val="center"/>
          </w:tcPr>
          <w:p w14:paraId="6D66F70D">
            <w:pPr>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★1.平台支持在API市场中查看API基础信息、接口状态、输入返回参数等，同时支持API状态的切换（在线、下线、隐藏）。（提供软件截图证明）</w:t>
            </w:r>
          </w:p>
          <w:p w14:paraId="093D8D62">
            <w:pPr>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合作方管理：支持根据合作方名称、AppKey模糊查询，点击合作方名称可显示合作方详细信息，并支持将合作方所有信息（名称、描述、参数信息）导出为一个文件。支持合作方接口授权，IP地址段、MAC段调用限制。（提供软件截图证明）</w:t>
            </w:r>
          </w:p>
          <w:p w14:paraId="6BE1898A">
            <w:pPr>
              <w:spacing w:line="360" w:lineRule="auto"/>
              <w:ind w:left="0" w:leftChars="0" w:firstLine="0" w:firstLineChars="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★3.支持API接口的调用时间、调用次数策略。（提供软件截图证明）</w:t>
            </w:r>
          </w:p>
          <w:p w14:paraId="5604C534">
            <w:pPr>
              <w:spacing w:line="360" w:lineRule="auto"/>
              <w:ind w:left="0" w:leftChars="0" w:firstLine="0" w:firstLineChars="0"/>
              <w:rPr>
                <w:rFonts w:hint="eastAsia" w:ascii="仿宋" w:hAnsi="仿宋" w:eastAsia="仿宋" w:cs="仿宋"/>
                <w:color w:val="000000" w:themeColor="text1"/>
                <w:sz w:val="24"/>
                <w:szCs w:val="32"/>
                <w:highlight w:val="none"/>
                <w:lang w:val="en-US" w:eastAsia="zh-CN"/>
                <w14:textFill>
                  <w14:solidFill>
                    <w14:schemeClr w14:val="tx1"/>
                  </w14:solidFill>
                </w14:textFill>
              </w:rPr>
            </w:pPr>
            <w:r>
              <w:rPr>
                <w:rFonts w:hint="eastAsia" w:ascii="仿宋" w:hAnsi="仿宋" w:eastAsia="仿宋" w:cs="仿宋"/>
                <w:sz w:val="24"/>
                <w:szCs w:val="32"/>
                <w:lang w:val="en-US" w:eastAsia="zh-CN"/>
              </w:rPr>
              <w:t xml:space="preserve">注：此次中标人需保留接口，并在后续对接过程中，无条件配合采购人，相关费用包含在此次投标价中，后续不再收取任何费用。 </w:t>
            </w:r>
          </w:p>
        </w:tc>
      </w:tr>
    </w:tbl>
    <w:p w14:paraId="77FE5FFC">
      <w:pPr>
        <w:numPr>
          <w:ilvl w:val="0"/>
          <w:numId w:val="0"/>
        </w:numPr>
        <w:ind w:firstLine="482" w:firstLineChars="200"/>
        <w:jc w:val="both"/>
        <w:rPr>
          <w:rFonts w:hint="eastAsia" w:ascii="仿宋" w:hAnsi="仿宋" w:eastAsia="仿宋" w:cs="仿宋"/>
          <w:b/>
          <w:bCs/>
          <w:color w:val="000000"/>
          <w:kern w:val="0"/>
          <w:sz w:val="24"/>
          <w:szCs w:val="24"/>
          <w:lang w:val="en-US" w:eastAsia="zh-CN"/>
        </w:rPr>
      </w:pPr>
    </w:p>
    <w:p w14:paraId="1BF0D22F">
      <w:pPr>
        <w:numPr>
          <w:ilvl w:val="0"/>
          <w:numId w:val="0"/>
        </w:numPr>
        <w:ind w:firstLine="482" w:firstLineChars="200"/>
        <w:jc w:val="both"/>
        <w:rPr>
          <w:rFonts w:hint="eastAsia" w:ascii="仿宋" w:hAnsi="仿宋" w:eastAsia="仿宋" w:cs="仿宋"/>
          <w:b/>
          <w:bCs/>
          <w:color w:val="000000"/>
          <w:kern w:val="0"/>
          <w:sz w:val="24"/>
          <w:szCs w:val="24"/>
          <w:lang w:val="en-US" w:eastAsia="zh-CN"/>
        </w:rPr>
      </w:pPr>
    </w:p>
    <w:p w14:paraId="6A4F6456">
      <w:pPr>
        <w:numPr>
          <w:ilvl w:val="0"/>
          <w:numId w:val="0"/>
        </w:numPr>
        <w:ind w:firstLine="482" w:firstLineChars="200"/>
        <w:jc w:val="both"/>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2.硬件设备参数</w:t>
      </w:r>
    </w:p>
    <w:tbl>
      <w:tblPr>
        <w:tblStyle w:val="62"/>
        <w:tblW w:w="5002" w:type="pct"/>
        <w:tblInd w:w="0" w:type="dxa"/>
        <w:tblLayout w:type="fixed"/>
        <w:tblCellMar>
          <w:top w:w="0" w:type="dxa"/>
          <w:left w:w="108" w:type="dxa"/>
          <w:bottom w:w="0" w:type="dxa"/>
          <w:right w:w="108" w:type="dxa"/>
        </w:tblCellMar>
      </w:tblPr>
      <w:tblGrid>
        <w:gridCol w:w="950"/>
        <w:gridCol w:w="1471"/>
        <w:gridCol w:w="6587"/>
      </w:tblGrid>
      <w:tr w14:paraId="2CE97BFC">
        <w:tblPrEx>
          <w:tblCellMar>
            <w:top w:w="0" w:type="dxa"/>
            <w:left w:w="108" w:type="dxa"/>
            <w:bottom w:w="0" w:type="dxa"/>
            <w:right w:w="108" w:type="dxa"/>
          </w:tblCellMar>
        </w:tblPrEx>
        <w:trPr>
          <w:trHeight w:val="790" w:hRule="atLeast"/>
        </w:trPr>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40035EF">
            <w:pPr>
              <w:spacing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序号</w:t>
            </w:r>
          </w:p>
        </w:tc>
        <w:tc>
          <w:tcPr>
            <w:tcW w:w="816" w:type="pct"/>
            <w:tcBorders>
              <w:top w:val="single" w:color="auto" w:sz="4" w:space="0"/>
              <w:left w:val="nil"/>
              <w:bottom w:val="single" w:color="auto" w:sz="4" w:space="0"/>
              <w:right w:val="single" w:color="auto" w:sz="4" w:space="0"/>
            </w:tcBorders>
            <w:shd w:val="clear" w:color="auto" w:fill="auto"/>
            <w:vAlign w:val="center"/>
          </w:tcPr>
          <w:p w14:paraId="33B37828">
            <w:pPr>
              <w:spacing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产品名称</w:t>
            </w:r>
          </w:p>
        </w:tc>
        <w:tc>
          <w:tcPr>
            <w:tcW w:w="3656" w:type="pct"/>
            <w:tcBorders>
              <w:top w:val="single" w:color="auto" w:sz="4" w:space="0"/>
              <w:left w:val="nil"/>
              <w:bottom w:val="single" w:color="auto" w:sz="4" w:space="0"/>
              <w:right w:val="single" w:color="auto" w:sz="4" w:space="0"/>
            </w:tcBorders>
            <w:shd w:val="clear" w:color="auto" w:fill="auto"/>
            <w:vAlign w:val="center"/>
          </w:tcPr>
          <w:p w14:paraId="565B4CB4">
            <w:pPr>
              <w:numPr>
                <w:ilvl w:val="0"/>
                <w:numId w:val="0"/>
              </w:numPr>
              <w:spacing w:line="24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技术规格</w:t>
            </w:r>
          </w:p>
        </w:tc>
      </w:tr>
      <w:tr w14:paraId="410B86E2">
        <w:tblPrEx>
          <w:tblCellMar>
            <w:top w:w="0" w:type="dxa"/>
            <w:left w:w="108" w:type="dxa"/>
            <w:bottom w:w="0" w:type="dxa"/>
            <w:right w:w="108" w:type="dxa"/>
          </w:tblCellMar>
        </w:tblPrEx>
        <w:trPr>
          <w:trHeight w:val="1641" w:hRule="atLeast"/>
        </w:trPr>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D8622D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16" w:type="pct"/>
            <w:tcBorders>
              <w:top w:val="single" w:color="auto" w:sz="4" w:space="0"/>
              <w:left w:val="nil"/>
              <w:bottom w:val="single" w:color="auto" w:sz="4" w:space="0"/>
              <w:right w:val="single" w:color="auto" w:sz="4" w:space="0"/>
            </w:tcBorders>
            <w:shd w:val="clear" w:color="auto" w:fill="auto"/>
            <w:vAlign w:val="center"/>
          </w:tcPr>
          <w:p w14:paraId="30903ED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无刷通用翼闸</w:t>
            </w:r>
            <w:r>
              <w:rPr>
                <w:rFonts w:hint="eastAsia" w:ascii="仿宋" w:hAnsi="仿宋" w:eastAsia="仿宋" w:cs="仿宋"/>
                <w:kern w:val="0"/>
                <w:sz w:val="24"/>
                <w:szCs w:val="24"/>
                <w:lang w:val="en-US" w:eastAsia="zh-CN"/>
              </w:rPr>
              <w:t>通道（左边道、中间道、右边道）</w:t>
            </w:r>
          </w:p>
        </w:tc>
        <w:tc>
          <w:tcPr>
            <w:tcW w:w="3656" w:type="pct"/>
            <w:tcBorders>
              <w:top w:val="single" w:color="auto" w:sz="4" w:space="0"/>
              <w:left w:val="nil"/>
              <w:bottom w:val="single" w:color="auto" w:sz="4" w:space="0"/>
              <w:right w:val="single" w:color="auto" w:sz="4" w:space="0"/>
            </w:tcBorders>
            <w:shd w:val="clear" w:color="auto" w:fill="auto"/>
            <w:vAlign w:val="center"/>
          </w:tcPr>
          <w:p w14:paraId="2C5D1F7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1.电机类型：直流无刷电机</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2.箱体材质：SUS304拉丝不锈钢，侧门板≥1.2mm，其余框体≥1.5mm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3.门翼材质：亚克力(门翼厚度≥12mm)</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highlight w:val="none"/>
              </w:rPr>
              <w:t>4.通道宽度：</w:t>
            </w:r>
            <w:r>
              <w:rPr>
                <w:rFonts w:hint="eastAsia" w:ascii="仿宋" w:hAnsi="仿宋" w:eastAsia="仿宋" w:cs="仿宋"/>
                <w:kern w:val="0"/>
                <w:sz w:val="24"/>
                <w:szCs w:val="24"/>
                <w:highlight w:val="none"/>
                <w:lang w:val="en-US" w:eastAsia="zh-CN"/>
              </w:rPr>
              <w:t>不小于55</w:t>
            </w:r>
            <w:r>
              <w:rPr>
                <w:rFonts w:hint="eastAsia" w:ascii="仿宋" w:hAnsi="仿宋" w:eastAsia="仿宋" w:cs="仿宋"/>
                <w:kern w:val="0"/>
                <w:sz w:val="24"/>
                <w:szCs w:val="24"/>
                <w:highlight w:val="none"/>
              </w:rPr>
              <w:t>0mm</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5.红外对数：</w:t>
            </w:r>
            <w:r>
              <w:rPr>
                <w:rFonts w:hint="eastAsia" w:ascii="仿宋" w:hAnsi="仿宋" w:eastAsia="仿宋" w:cs="仿宋"/>
                <w:kern w:val="0"/>
                <w:sz w:val="24"/>
                <w:szCs w:val="24"/>
                <w:highlight w:val="none"/>
                <w:lang w:val="en-US" w:eastAsia="zh-CN"/>
              </w:rPr>
              <w:t>不少于</w:t>
            </w:r>
            <w:r>
              <w:rPr>
                <w:rFonts w:hint="eastAsia" w:ascii="仿宋" w:hAnsi="仿宋" w:eastAsia="仿宋" w:cs="仿宋"/>
                <w:kern w:val="0"/>
                <w:sz w:val="24"/>
                <w:szCs w:val="24"/>
                <w:highlight w:val="none"/>
              </w:rPr>
              <w:t>12对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6.使用环境：室内外</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7.设备容量：支持</w:t>
            </w:r>
            <w:r>
              <w:rPr>
                <w:rFonts w:hint="eastAsia" w:ascii="仿宋" w:hAnsi="仿宋" w:eastAsia="仿宋" w:cs="仿宋"/>
                <w:kern w:val="0"/>
                <w:sz w:val="24"/>
                <w:szCs w:val="24"/>
                <w:lang w:val="en-US" w:eastAsia="zh-CN"/>
              </w:rPr>
              <w:t>不少于</w:t>
            </w:r>
            <w:r>
              <w:rPr>
                <w:rFonts w:hint="eastAsia" w:ascii="仿宋" w:hAnsi="仿宋" w:eastAsia="仿宋" w:cs="仿宋"/>
                <w:kern w:val="0"/>
                <w:sz w:val="24"/>
                <w:szCs w:val="24"/>
              </w:rPr>
              <w:t>18万条事件记录</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highlight w:val="none"/>
              </w:rPr>
              <w:t>8.产品尺寸：</w:t>
            </w:r>
            <w:r>
              <w:rPr>
                <w:rFonts w:hint="eastAsia" w:ascii="仿宋" w:hAnsi="仿宋" w:eastAsia="仿宋" w:cs="仿宋"/>
                <w:kern w:val="0"/>
                <w:sz w:val="24"/>
                <w:szCs w:val="24"/>
                <w:lang w:val="en-US" w:eastAsia="zh-CN"/>
              </w:rPr>
              <w:t>不小于</w:t>
            </w:r>
            <w:r>
              <w:rPr>
                <w:rFonts w:hint="eastAsia" w:ascii="仿宋" w:hAnsi="仿宋" w:eastAsia="仿宋" w:cs="仿宋"/>
                <w:kern w:val="0"/>
                <w:sz w:val="24"/>
                <w:szCs w:val="24"/>
              </w:rPr>
              <w:t>1400mm*120mm*</w:t>
            </w:r>
            <w:r>
              <w:rPr>
                <w:rFonts w:hint="eastAsia" w:ascii="仿宋" w:hAnsi="仿宋" w:eastAsia="仿宋" w:cs="仿宋"/>
                <w:color w:val="000000" w:themeColor="text1"/>
                <w:kern w:val="0"/>
                <w:sz w:val="24"/>
                <w:szCs w:val="24"/>
                <w:lang w:val="en-US" w:eastAsia="zh-CN"/>
                <w14:textFill>
                  <w14:solidFill>
                    <w14:schemeClr w14:val="tx1"/>
                  </w14:solidFill>
                </w14:textFill>
              </w:rPr>
              <w:t>980</w:t>
            </w:r>
            <w:r>
              <w:rPr>
                <w:rFonts w:hint="eastAsia" w:ascii="仿宋" w:hAnsi="仿宋" w:eastAsia="仿宋" w:cs="仿宋"/>
                <w:kern w:val="0"/>
                <w:sz w:val="24"/>
                <w:szCs w:val="24"/>
              </w:rPr>
              <w:t>mm</w:t>
            </w:r>
            <w:r>
              <w:rPr>
                <w:rFonts w:hint="eastAsia" w:ascii="仿宋" w:hAnsi="仿宋" w:eastAsia="仿宋" w:cs="仿宋"/>
                <w:kern w:val="0"/>
                <w:sz w:val="24"/>
                <w:szCs w:val="24"/>
                <w:lang w:eastAsia="zh-CN"/>
              </w:rPr>
              <w:t>。</w:t>
            </w:r>
            <w:r>
              <w:rPr>
                <w:rFonts w:hint="eastAsia" w:ascii="仿宋" w:hAnsi="仿宋" w:eastAsia="仿宋" w:cs="仿宋"/>
                <w:kern w:val="0"/>
                <w:sz w:val="24"/>
                <w:szCs w:val="24"/>
                <w:highlight w:val="yellow"/>
              </w:rPr>
              <w:br w:type="textWrapping"/>
            </w:r>
            <w:r>
              <w:rPr>
                <w:rFonts w:hint="eastAsia" w:ascii="仿宋" w:hAnsi="仿宋" w:eastAsia="仿宋" w:cs="仿宋"/>
                <w:kern w:val="0"/>
                <w:sz w:val="24"/>
                <w:szCs w:val="24"/>
              </w:rPr>
              <w:t>9.通行速度：</w:t>
            </w:r>
            <w:r>
              <w:rPr>
                <w:rFonts w:hint="eastAsia" w:ascii="仿宋" w:hAnsi="仿宋" w:eastAsia="仿宋" w:cs="仿宋"/>
                <w:kern w:val="0"/>
                <w:sz w:val="24"/>
                <w:szCs w:val="24"/>
                <w:lang w:val="en-US" w:eastAsia="zh-CN"/>
              </w:rPr>
              <w:t>约</w:t>
            </w:r>
            <w:r>
              <w:rPr>
                <w:rFonts w:hint="eastAsia" w:ascii="仿宋" w:hAnsi="仿宋" w:eastAsia="仿宋" w:cs="仿宋"/>
                <w:kern w:val="0"/>
                <w:sz w:val="24"/>
                <w:szCs w:val="24"/>
              </w:rPr>
              <w:t>20-60人每分钟</w:t>
            </w:r>
            <w:r>
              <w:rPr>
                <w:rFonts w:hint="eastAsia" w:ascii="仿宋" w:hAnsi="仿宋" w:eastAsia="仿宋" w:cs="仿宋"/>
                <w:kern w:val="0"/>
                <w:sz w:val="24"/>
                <w:szCs w:val="24"/>
                <w:lang w:eastAsia="zh-CN"/>
              </w:rPr>
              <w:t>。</w:t>
            </w:r>
          </w:p>
          <w:p w14:paraId="585A5097">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电压功率：AC 100~240V/50~60HZ/ 单通道（一组通道）</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.工作温度：-20℃~70℃</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.工作湿度：10% 至95%（不凝聚成水滴）</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hint="eastAsia" w:ascii="仿宋" w:hAnsi="仿宋" w:eastAsia="仿宋" w:cs="仿宋"/>
                <w:kern w:val="0"/>
                <w:sz w:val="24"/>
                <w:szCs w:val="24"/>
                <w:highlight w:val="none"/>
              </w:rPr>
              <w:t>支持通行模式管控，设置某时段通道为常开或常闭或感应通行或授权认证通行；同时应支持按时间分时段管控门禁权限</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yellow"/>
              </w:rPr>
              <w:br w:type="textWrapping"/>
            </w:r>
            <w:r>
              <w:rPr>
                <w:rFonts w:hint="eastAsia" w:ascii="仿宋" w:hAnsi="仿宋" w:eastAsia="仿宋" w:cs="仿宋"/>
                <w:kern w:val="0"/>
                <w:sz w:val="20"/>
                <w:szCs w:val="20"/>
                <w:highlight w:val="none"/>
                <w:lang w:bidi="ar"/>
              </w:rPr>
              <w:t>★</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highlight w:val="none"/>
              </w:rPr>
              <w:t>闸机通道功能应满足单通道反潜回、多通道跨主机反潜回的功能，当检测到任意一种反潜回报警时，</w:t>
            </w:r>
            <w:r>
              <w:rPr>
                <w:rFonts w:hint="eastAsia" w:ascii="仿宋" w:hAnsi="仿宋" w:eastAsia="仿宋" w:cs="仿宋"/>
                <w:kern w:val="0"/>
                <w:sz w:val="24"/>
                <w:szCs w:val="24"/>
                <w:highlight w:val="none"/>
                <w:lang w:val="en-US" w:eastAsia="zh-CN"/>
              </w:rPr>
              <w:t>除了</w:t>
            </w:r>
            <w:r>
              <w:rPr>
                <w:rFonts w:hint="eastAsia" w:ascii="仿宋" w:hAnsi="仿宋" w:eastAsia="仿宋" w:cs="仿宋"/>
                <w:kern w:val="0"/>
                <w:sz w:val="24"/>
                <w:szCs w:val="24"/>
                <w:highlight w:val="none"/>
              </w:rPr>
              <w:t>联动语音播报、指示灯等报警提示外，需同时上传对应的报警事件，有效防止非授权人员跟随进入。（</w:t>
            </w:r>
            <w:r>
              <w:rPr>
                <w:rFonts w:hint="eastAsia" w:ascii="仿宋" w:hAnsi="仿宋" w:eastAsia="仿宋" w:cs="仿宋"/>
                <w:kern w:val="0"/>
                <w:sz w:val="24"/>
                <w:szCs w:val="24"/>
                <w:highlight w:val="none"/>
                <w:lang w:val="en-US" w:eastAsia="zh-CN"/>
              </w:rPr>
              <w:t>需提供第三方具有CMA资质的检测机构出具的报告</w:t>
            </w:r>
            <w:r>
              <w:rPr>
                <w:rFonts w:hint="eastAsia" w:ascii="仿宋" w:hAnsi="仿宋" w:eastAsia="仿宋" w:cs="仿宋"/>
                <w:kern w:val="0"/>
                <w:sz w:val="24"/>
                <w:szCs w:val="24"/>
                <w:highlight w:val="none"/>
              </w:rPr>
              <w:t>）</w:t>
            </w:r>
          </w:p>
          <w:p w14:paraId="1EC700F1">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rPr>
              <w:t>.闸机通道应具备允许通行、禁止通行检查功能，没有经管理人员授权的人员闯入时能够警示</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w:t>
            </w:r>
            <w:r>
              <w:rPr>
                <w:rFonts w:hint="eastAsia" w:ascii="仿宋" w:hAnsi="仿宋" w:eastAsia="仿宋" w:cs="仿宋"/>
                <w:kern w:val="0"/>
                <w:sz w:val="24"/>
                <w:szCs w:val="24"/>
                <w:highlight w:val="none"/>
              </w:rPr>
              <w:t>闸机通道应支持翻越报警的功能，当检测到有人翻越时，</w:t>
            </w:r>
            <w:r>
              <w:rPr>
                <w:rFonts w:hint="eastAsia" w:ascii="仿宋" w:hAnsi="仿宋" w:eastAsia="仿宋" w:cs="仿宋"/>
                <w:kern w:val="0"/>
                <w:sz w:val="24"/>
                <w:szCs w:val="24"/>
                <w:highlight w:val="none"/>
                <w:lang w:val="en-US" w:eastAsia="zh-CN"/>
              </w:rPr>
              <w:t>除了</w:t>
            </w:r>
            <w:r>
              <w:rPr>
                <w:rFonts w:hint="eastAsia" w:ascii="仿宋" w:hAnsi="仿宋" w:eastAsia="仿宋" w:cs="仿宋"/>
                <w:kern w:val="0"/>
                <w:sz w:val="24"/>
                <w:szCs w:val="24"/>
                <w:highlight w:val="none"/>
              </w:rPr>
              <w:t>联动语音播报、指示灯等警示，同时可上传报警事件</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.闸机通道应支持滞留报警、反向闯入报警、通行超时报警、误闯报警等功能，</w:t>
            </w:r>
            <w:r>
              <w:rPr>
                <w:rFonts w:hint="eastAsia" w:ascii="仿宋" w:hAnsi="仿宋" w:eastAsia="仿宋" w:cs="仿宋"/>
                <w:kern w:val="0"/>
                <w:sz w:val="24"/>
                <w:szCs w:val="24"/>
                <w:lang w:val="en-US" w:eastAsia="zh-CN"/>
              </w:rPr>
              <w:t>除了</w:t>
            </w:r>
            <w:r>
              <w:rPr>
                <w:rFonts w:hint="eastAsia" w:ascii="仿宋" w:hAnsi="仿宋" w:eastAsia="仿宋" w:cs="仿宋"/>
                <w:kern w:val="0"/>
                <w:sz w:val="24"/>
                <w:szCs w:val="24"/>
              </w:rPr>
              <w:t>联动</w:t>
            </w:r>
            <w:r>
              <w:rPr>
                <w:rFonts w:hint="eastAsia" w:ascii="仿宋" w:hAnsi="仿宋" w:eastAsia="仿宋" w:cs="仿宋"/>
                <w:kern w:val="0"/>
                <w:sz w:val="24"/>
                <w:szCs w:val="24"/>
                <w:highlight w:val="none"/>
              </w:rPr>
              <w:t>语音播报</w:t>
            </w:r>
            <w:r>
              <w:rPr>
                <w:rFonts w:hint="eastAsia" w:ascii="仿宋" w:hAnsi="仿宋" w:eastAsia="仿宋" w:cs="仿宋"/>
                <w:kern w:val="0"/>
                <w:sz w:val="24"/>
                <w:szCs w:val="24"/>
              </w:rPr>
              <w:t>、指示灯等警示外，需同时上传对应的报警事件</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.闸机通道应支持防尾随功能，在通道中同时通行人数超过允许通行的人数时，</w:t>
            </w:r>
            <w:r>
              <w:rPr>
                <w:rFonts w:hint="eastAsia" w:ascii="仿宋" w:hAnsi="仿宋" w:eastAsia="仿宋" w:cs="仿宋"/>
                <w:kern w:val="0"/>
                <w:sz w:val="24"/>
                <w:szCs w:val="24"/>
                <w:lang w:val="en-US" w:eastAsia="zh-CN"/>
              </w:rPr>
              <w:t>除了</w:t>
            </w:r>
            <w:r>
              <w:rPr>
                <w:rFonts w:hint="eastAsia" w:ascii="仿宋" w:hAnsi="仿宋" w:eastAsia="仿宋" w:cs="仿宋"/>
                <w:kern w:val="0"/>
                <w:sz w:val="24"/>
                <w:szCs w:val="24"/>
              </w:rPr>
              <w:t>联动语音播报、指示灯、IO信号联动输出等报警提示外，需同时上传对应的报警事件</w:t>
            </w:r>
            <w:r>
              <w:rPr>
                <w:rFonts w:hint="eastAsia" w:ascii="仿宋" w:hAnsi="仿宋" w:eastAsia="仿宋" w:cs="仿宋"/>
                <w:kern w:val="0"/>
                <w:sz w:val="24"/>
                <w:szCs w:val="24"/>
                <w:lang w:eastAsia="zh-CN"/>
              </w:rPr>
              <w:t>。</w:t>
            </w:r>
          </w:p>
          <w:p w14:paraId="46BAE8BA">
            <w:pPr>
              <w:keepNext w:val="0"/>
              <w:keepLines w:val="0"/>
              <w:pageBreakBefore w:val="0"/>
              <w:widowControl/>
              <w:numPr>
                <w:ilvl w:val="-1"/>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eastAsia="zh-CN"/>
              </w:rPr>
            </w:pPr>
            <w:r>
              <w:rPr>
                <w:rFonts w:hint="eastAsia" w:ascii="仿宋" w:hAnsi="仿宋" w:eastAsia="仿宋" w:cs="仿宋"/>
                <w:kern w:val="2"/>
                <w:sz w:val="24"/>
                <w:szCs w:val="21"/>
                <w:lang w:val="en-US" w:eastAsia="zh-CN" w:bidi="ar-SA"/>
              </w:rPr>
              <w:t>19.</w:t>
            </w:r>
            <w:r>
              <w:rPr>
                <w:rFonts w:hint="eastAsia" w:ascii="仿宋" w:hAnsi="仿宋" w:eastAsia="仿宋" w:cs="仿宋"/>
                <w:kern w:val="0"/>
                <w:sz w:val="24"/>
                <w:szCs w:val="24"/>
              </w:rPr>
              <w:t>闸机通道应具备应急放行的功能，支持断电自动开门功能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设备</w:t>
            </w:r>
            <w:r>
              <w:rPr>
                <w:rFonts w:hint="eastAsia" w:ascii="仿宋" w:hAnsi="仿宋" w:eastAsia="仿宋" w:cs="仿宋"/>
                <w:kern w:val="0"/>
                <w:sz w:val="24"/>
                <w:szCs w:val="24"/>
              </w:rPr>
              <w:t>具有消防联动接口，</w:t>
            </w:r>
            <w:r>
              <w:rPr>
                <w:rFonts w:hint="eastAsia" w:ascii="仿宋" w:hAnsi="仿宋" w:eastAsia="仿宋" w:cs="仿宋"/>
                <w:kern w:val="0"/>
                <w:sz w:val="24"/>
                <w:szCs w:val="24"/>
                <w:lang w:val="en-US" w:eastAsia="zh-CN"/>
              </w:rPr>
              <w:t>可支持</w:t>
            </w:r>
            <w:r>
              <w:rPr>
                <w:rFonts w:hint="eastAsia" w:ascii="仿宋" w:hAnsi="仿宋" w:eastAsia="仿宋" w:cs="仿宋"/>
                <w:kern w:val="0"/>
                <w:sz w:val="24"/>
                <w:szCs w:val="24"/>
              </w:rPr>
              <w:t>当消防信号触发时，门翼自动打开，快速引导人员疏散</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0"/>
                <w:szCs w:val="20"/>
                <w:highlight w:val="none"/>
                <w:lang w:bidi="ar"/>
              </w:rPr>
              <w:t>★</w:t>
            </w: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.闸机通道应具备支持防夹功能，在门翼动作过程中遇到阻力时门翼应自动停止动作</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支持</w:t>
            </w:r>
            <w:r>
              <w:rPr>
                <w:rFonts w:hint="eastAsia" w:ascii="仿宋" w:hAnsi="仿宋" w:eastAsia="仿宋" w:cs="仿宋"/>
                <w:kern w:val="0"/>
                <w:sz w:val="24"/>
                <w:szCs w:val="24"/>
                <w:highlight w:val="none"/>
              </w:rPr>
              <w:t>联动语音播报、指示灯等警示外，需同时上传对应的报警事件。（</w:t>
            </w:r>
            <w:r>
              <w:rPr>
                <w:rFonts w:hint="eastAsia" w:ascii="仿宋" w:hAnsi="仿宋" w:eastAsia="仿宋" w:cs="仿宋"/>
                <w:kern w:val="0"/>
                <w:sz w:val="24"/>
                <w:szCs w:val="24"/>
                <w:highlight w:val="none"/>
                <w:lang w:val="en-US" w:eastAsia="zh-CN"/>
              </w:rPr>
              <w:t>需提供第三方具有CMA资质的检测机构出具的报告</w:t>
            </w:r>
            <w:r>
              <w:rPr>
                <w:rFonts w:hint="eastAsia" w:ascii="仿宋" w:hAnsi="仿宋" w:eastAsia="仿宋" w:cs="仿宋"/>
                <w:kern w:val="0"/>
                <w:sz w:val="24"/>
                <w:szCs w:val="24"/>
                <w:highlight w:val="none"/>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.自动复位：设备具有自动复位功能，开门后在规定的时间内未通行，系统将自动取消用户的本次通行的权限，可设定通行时间</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rPr>
              <w:t>.红外屏蔽：若通道内红外对射有损坏，可通过屏蔽已损坏的红外对射，让通道暂时恢复使用</w:t>
            </w:r>
            <w:r>
              <w:rPr>
                <w:rFonts w:hint="eastAsia" w:ascii="仿宋" w:hAnsi="仿宋" w:eastAsia="仿宋" w:cs="仿宋"/>
                <w:kern w:val="0"/>
                <w:sz w:val="24"/>
                <w:szCs w:val="24"/>
                <w:lang w:eastAsia="zh-CN"/>
              </w:rPr>
              <w:t>。</w:t>
            </w:r>
          </w:p>
          <w:p w14:paraId="09EED563">
            <w:pPr>
              <w:keepNext w:val="0"/>
              <w:keepLines w:val="0"/>
              <w:pageBreakBefore w:val="0"/>
              <w:widowControl/>
              <w:numPr>
                <w:ilvl w:val="-1"/>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eastAsia="zh-CN"/>
              </w:rPr>
            </w:pPr>
            <w:r>
              <w:rPr>
                <w:rFonts w:hint="eastAsia" w:ascii="仿宋" w:hAnsi="仿宋" w:eastAsia="仿宋" w:cs="仿宋"/>
                <w:color w:val="auto"/>
                <w:kern w:val="0"/>
                <w:sz w:val="24"/>
                <w:szCs w:val="24"/>
                <w:lang w:val="en-US" w:eastAsia="zh-CN"/>
              </w:rPr>
              <w:t>23.闸机通道应根据各楼的空间布局，配备相应的不锈钢围栏应急通道。</w:t>
            </w:r>
          </w:p>
        </w:tc>
      </w:tr>
      <w:tr w14:paraId="4F9E0FA4">
        <w:tblPrEx>
          <w:tblCellMar>
            <w:top w:w="0" w:type="dxa"/>
            <w:left w:w="108" w:type="dxa"/>
            <w:bottom w:w="0" w:type="dxa"/>
            <w:right w:w="108" w:type="dxa"/>
          </w:tblCellMar>
        </w:tblPrEx>
        <w:trPr>
          <w:trHeight w:val="1641" w:hRule="atLeast"/>
        </w:trPr>
        <w:tc>
          <w:tcPr>
            <w:tcW w:w="527" w:type="pct"/>
            <w:tcBorders>
              <w:top w:val="nil"/>
              <w:left w:val="single" w:color="auto" w:sz="4" w:space="0"/>
              <w:bottom w:val="single" w:color="auto" w:sz="4" w:space="0"/>
              <w:right w:val="single" w:color="auto" w:sz="4" w:space="0"/>
            </w:tcBorders>
            <w:shd w:val="clear" w:color="auto" w:fill="auto"/>
            <w:vAlign w:val="center"/>
          </w:tcPr>
          <w:p w14:paraId="375C948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816" w:type="pct"/>
            <w:tcBorders>
              <w:top w:val="nil"/>
              <w:left w:val="nil"/>
              <w:bottom w:val="single" w:color="auto" w:sz="4" w:space="0"/>
              <w:right w:val="single" w:color="auto" w:sz="4" w:space="0"/>
            </w:tcBorders>
            <w:shd w:val="clear" w:color="auto" w:fill="auto"/>
            <w:vAlign w:val="center"/>
          </w:tcPr>
          <w:p w14:paraId="7771E1E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通道人脸组件</w:t>
            </w:r>
          </w:p>
        </w:tc>
        <w:tc>
          <w:tcPr>
            <w:tcW w:w="3656" w:type="pct"/>
            <w:tcBorders>
              <w:top w:val="nil"/>
              <w:left w:val="nil"/>
              <w:bottom w:val="single" w:color="auto" w:sz="4" w:space="0"/>
              <w:right w:val="single" w:color="auto" w:sz="4" w:space="0"/>
            </w:tcBorders>
            <w:shd w:val="clear" w:color="auto" w:fill="auto"/>
            <w:vAlign w:val="center"/>
          </w:tcPr>
          <w:p w14:paraId="3F0D69F5">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屏幕参数：</w:t>
            </w:r>
            <w:r>
              <w:rPr>
                <w:rFonts w:hint="eastAsia" w:ascii="仿宋" w:hAnsi="仿宋" w:eastAsia="仿宋" w:cs="仿宋"/>
                <w:kern w:val="0"/>
                <w:sz w:val="24"/>
                <w:szCs w:val="24"/>
                <w:highlight w:val="none"/>
                <w:lang w:val="en-US" w:eastAsia="zh-CN"/>
              </w:rPr>
              <w:t>屏幕尺寸不少于8</w:t>
            </w:r>
            <w:r>
              <w:rPr>
                <w:rFonts w:hint="eastAsia" w:ascii="仿宋" w:hAnsi="仿宋" w:eastAsia="仿宋" w:cs="仿宋"/>
                <w:kern w:val="0"/>
                <w:sz w:val="24"/>
                <w:szCs w:val="24"/>
                <w:highlight w:val="none"/>
              </w:rPr>
              <w:t>英寸触</w:t>
            </w:r>
            <w:r>
              <w:rPr>
                <w:rFonts w:hint="eastAsia" w:ascii="仿宋" w:hAnsi="仿宋" w:eastAsia="仿宋" w:cs="仿宋"/>
                <w:kern w:val="0"/>
                <w:sz w:val="24"/>
                <w:szCs w:val="24"/>
                <w:highlight w:val="none"/>
                <w:lang w:val="en-US" w:eastAsia="zh-CN"/>
              </w:rPr>
              <w:t>控</w:t>
            </w:r>
            <w:r>
              <w:rPr>
                <w:rFonts w:hint="eastAsia" w:ascii="仿宋" w:hAnsi="仿宋" w:eastAsia="仿宋" w:cs="仿宋"/>
                <w:kern w:val="0"/>
                <w:sz w:val="24"/>
                <w:szCs w:val="24"/>
                <w:highlight w:val="none"/>
              </w:rPr>
              <w:t>屏，屏幕分辨率不小于</w:t>
            </w:r>
            <w:r>
              <w:rPr>
                <w:rFonts w:hint="eastAsia" w:ascii="仿宋" w:hAnsi="仿宋" w:eastAsia="仿宋" w:cs="仿宋"/>
                <w:kern w:val="0"/>
                <w:sz w:val="24"/>
                <w:szCs w:val="24"/>
                <w:highlight w:val="none"/>
                <w:lang w:val="en-US" w:eastAsia="zh-CN"/>
              </w:rPr>
              <w:t>800*1280。</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摄像头：≥200万像素双目摄像头</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认证方式：支持人脸、二维码</w:t>
            </w:r>
            <w:r>
              <w:rPr>
                <w:rFonts w:hint="eastAsia" w:ascii="仿宋" w:hAnsi="仿宋" w:eastAsia="仿宋" w:cs="仿宋"/>
                <w:kern w:val="0"/>
                <w:sz w:val="24"/>
                <w:szCs w:val="24"/>
                <w:highlight w:val="none"/>
                <w:lang w:val="en-US" w:eastAsia="zh-CN"/>
              </w:rPr>
              <w:t>等</w:t>
            </w:r>
            <w:r>
              <w:rPr>
                <w:rFonts w:hint="eastAsia" w:ascii="仿宋" w:hAnsi="仿宋" w:eastAsia="仿宋" w:cs="仿宋"/>
                <w:kern w:val="0"/>
                <w:sz w:val="24"/>
                <w:szCs w:val="24"/>
                <w:highlight w:val="none"/>
              </w:rPr>
              <w:t>认证方式</w:t>
            </w:r>
            <w:r>
              <w:rPr>
                <w:rFonts w:hint="eastAsia" w:ascii="仿宋" w:hAnsi="仿宋" w:eastAsia="仿宋" w:cs="仿宋"/>
                <w:kern w:val="0"/>
                <w:sz w:val="24"/>
                <w:szCs w:val="24"/>
                <w:highlight w:val="none"/>
                <w:lang w:eastAsia="zh-CN"/>
              </w:rPr>
              <w:t>，支持照片、视频防假；人脸验证速度≤0.2s，人脸验证准确率≥99%。</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存储容量：本地支持</w:t>
            </w:r>
            <w:r>
              <w:rPr>
                <w:rFonts w:hint="eastAsia" w:ascii="仿宋" w:hAnsi="仿宋" w:eastAsia="仿宋" w:cs="仿宋"/>
                <w:kern w:val="0"/>
                <w:sz w:val="24"/>
                <w:szCs w:val="24"/>
                <w:highlight w:val="none"/>
                <w:lang w:val="en-US" w:eastAsia="zh-CN"/>
              </w:rPr>
              <w:t>不少于</w:t>
            </w:r>
            <w:r>
              <w:rPr>
                <w:rFonts w:hint="eastAsia" w:ascii="仿宋" w:hAnsi="仿宋" w:eastAsia="仿宋" w:cs="仿宋"/>
                <w:kern w:val="0"/>
                <w:sz w:val="24"/>
                <w:szCs w:val="24"/>
                <w:highlight w:val="none"/>
              </w:rPr>
              <w:t>10万人脸库、</w:t>
            </w:r>
            <w:r>
              <w:rPr>
                <w:rFonts w:hint="eastAsia" w:ascii="仿宋" w:hAnsi="仿宋" w:eastAsia="仿宋" w:cs="仿宋"/>
                <w:kern w:val="0"/>
                <w:sz w:val="24"/>
                <w:szCs w:val="24"/>
                <w:highlight w:val="none"/>
                <w:lang w:val="en-US" w:eastAsia="zh-CN"/>
              </w:rPr>
              <w:t>不少于</w:t>
            </w:r>
            <w:r>
              <w:rPr>
                <w:rFonts w:hint="eastAsia" w:ascii="仿宋" w:hAnsi="仿宋" w:eastAsia="仿宋" w:cs="仿宋"/>
                <w:kern w:val="0"/>
                <w:sz w:val="24"/>
                <w:szCs w:val="24"/>
                <w:highlight w:val="none"/>
              </w:rPr>
              <w:t>50万张卡，</w:t>
            </w:r>
            <w:r>
              <w:rPr>
                <w:rFonts w:hint="eastAsia" w:ascii="仿宋" w:hAnsi="仿宋" w:eastAsia="仿宋" w:cs="仿宋"/>
                <w:kern w:val="0"/>
                <w:sz w:val="24"/>
                <w:szCs w:val="24"/>
                <w:highlight w:val="none"/>
                <w:lang w:val="en-US" w:eastAsia="zh-CN"/>
              </w:rPr>
              <w:t>不少于</w:t>
            </w:r>
            <w:r>
              <w:rPr>
                <w:rFonts w:hint="eastAsia" w:ascii="仿宋" w:hAnsi="仿宋" w:eastAsia="仿宋" w:cs="仿宋"/>
                <w:kern w:val="0"/>
                <w:sz w:val="24"/>
                <w:szCs w:val="24"/>
                <w:highlight w:val="none"/>
              </w:rPr>
              <w:t>50万条事件记录</w:t>
            </w:r>
            <w:r>
              <w:rPr>
                <w:rFonts w:hint="eastAsia" w:ascii="仿宋" w:hAnsi="仿宋" w:eastAsia="仿宋" w:cs="仿宋"/>
                <w:kern w:val="0"/>
                <w:sz w:val="24"/>
                <w:szCs w:val="24"/>
                <w:highlight w:val="none"/>
                <w:lang w:eastAsia="zh-CN"/>
              </w:rPr>
              <w:t>。</w:t>
            </w:r>
          </w:p>
          <w:p w14:paraId="5A914B26">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硬件接口：设备具有丰富的硬件接口，应不少于以下硬件接口及能力：LAN*1、RS485*1、Wiegand * 1(支持双向)、USB接口*1、报警输入*2、电锁*1、门磁*1、报警输出*1、SD卡槽*1、3.5mm音频输出接口*1</w:t>
            </w:r>
            <w:r>
              <w:rPr>
                <w:rFonts w:hint="eastAsia" w:ascii="仿宋" w:hAnsi="仿宋" w:eastAsia="仿宋" w:cs="仿宋"/>
                <w:kern w:val="0"/>
                <w:sz w:val="24"/>
                <w:szCs w:val="24"/>
                <w:highlight w:val="none"/>
                <w:lang w:eastAsia="zh-CN"/>
              </w:rPr>
              <w:t>。</w:t>
            </w:r>
          </w:p>
          <w:p w14:paraId="11E67179">
            <w:pPr>
              <w:spacing w:line="360" w:lineRule="auto"/>
              <w:ind w:left="0" w:leftChars="0" w:firstLine="0" w:firstLineChars="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通信方式：有线网络</w:t>
            </w:r>
            <w:r>
              <w:rPr>
                <w:rFonts w:hint="eastAsia" w:ascii="仿宋" w:hAnsi="仿宋" w:eastAsia="仿宋" w:cs="仿宋"/>
                <w:kern w:val="0"/>
                <w:sz w:val="24"/>
                <w:szCs w:val="24"/>
                <w:highlight w:val="none"/>
                <w:lang w:val="en-US" w:eastAsia="zh-CN"/>
              </w:rPr>
              <w:t>或</w:t>
            </w:r>
            <w:r>
              <w:rPr>
                <w:rFonts w:hint="eastAsia" w:ascii="仿宋" w:hAnsi="仿宋" w:eastAsia="仿宋" w:cs="仿宋"/>
                <w:kern w:val="0"/>
                <w:sz w:val="24"/>
                <w:szCs w:val="24"/>
                <w:highlight w:val="none"/>
              </w:rPr>
              <w:t>WiFi</w:t>
            </w:r>
            <w:r>
              <w:rPr>
                <w:rFonts w:hint="eastAsia" w:ascii="仿宋" w:hAnsi="仿宋" w:eastAsia="仿宋" w:cs="仿宋"/>
                <w:kern w:val="0"/>
                <w:sz w:val="24"/>
                <w:szCs w:val="24"/>
                <w:highlight w:val="none"/>
                <w:lang w:val="en-US" w:eastAsia="zh-CN"/>
              </w:rPr>
              <w:t>或4G。</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val="en-US" w:eastAsia="zh-CN"/>
              </w:rPr>
              <w:t>7.防水防尘等级</w:t>
            </w:r>
            <w:r>
              <w:rPr>
                <w:rFonts w:hint="eastAsia" w:ascii="仿宋" w:hAnsi="仿宋" w:eastAsia="仿宋" w:cs="仿宋"/>
                <w:kern w:val="0"/>
                <w:sz w:val="24"/>
                <w:szCs w:val="24"/>
                <w:highlight w:val="none"/>
              </w:rPr>
              <w:t>：≥IP65</w:t>
            </w:r>
            <w:r>
              <w:rPr>
                <w:rFonts w:hint="eastAsia" w:ascii="仿宋" w:hAnsi="仿宋" w:eastAsia="仿宋" w:cs="仿宋"/>
                <w:kern w:val="0"/>
                <w:sz w:val="24"/>
                <w:szCs w:val="24"/>
                <w:highlight w:val="none"/>
                <w:lang w:eastAsia="zh-CN"/>
              </w:rPr>
              <w:t>。</w:t>
            </w:r>
          </w:p>
          <w:p w14:paraId="398CF462">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安装方式：配合人员通道安装</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工作电压： DC 12V/</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A</w:t>
            </w:r>
            <w:r>
              <w:rPr>
                <w:rFonts w:hint="eastAsia" w:ascii="仿宋" w:hAnsi="仿宋" w:eastAsia="仿宋" w:cs="仿宋"/>
                <w:kern w:val="0"/>
                <w:sz w:val="24"/>
                <w:szCs w:val="24"/>
                <w:highlight w:val="none"/>
                <w:lang w:eastAsia="zh-CN"/>
              </w:rPr>
              <w:t>。</w:t>
            </w:r>
          </w:p>
          <w:p w14:paraId="63CFD933">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kern w:val="0"/>
                <w:sz w:val="24"/>
                <w:szCs w:val="24"/>
                <w:highlight w:val="none"/>
                <w:lang w:val="en-US" w:eastAsia="zh-CN"/>
              </w:rPr>
              <w:t>10.设备应支持本地加密存储比对结果、身份信息及抓拍人脸照片；设备应支持实时加密上传比对结果、身份信息及抓拍人脸照片等至管理中心；设备应支持断网续传离线加密记录功能；用户数据及比对记录采用加密处理。</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需提供第三方具有CMA资质的检测机构出具的报告</w:t>
            </w:r>
            <w:r>
              <w:rPr>
                <w:rFonts w:hint="eastAsia" w:ascii="仿宋" w:hAnsi="仿宋" w:eastAsia="仿宋" w:cs="仿宋"/>
                <w:kern w:val="0"/>
                <w:sz w:val="24"/>
                <w:szCs w:val="24"/>
                <w:highlight w:val="none"/>
              </w:rPr>
              <w:t>）</w:t>
            </w:r>
          </w:p>
          <w:p w14:paraId="241A3107">
            <w:pPr>
              <w:spacing w:line="360" w:lineRule="auto"/>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对所要求的功能而言，需要的所有软件均应保存到固态存储器中；具有文字界面系统管理软件，文字必须为简体中文；当电源不正常、掉电或更换电池时，系统的密钥（钥匙）信息及各记录信息不得丢失</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需提供第三方具有CMA资质的检测机构出具的报告</w:t>
            </w:r>
            <w:r>
              <w:rPr>
                <w:rFonts w:hint="eastAsia" w:ascii="仿宋" w:hAnsi="仿宋" w:eastAsia="仿宋" w:cs="仿宋"/>
                <w:kern w:val="0"/>
                <w:sz w:val="24"/>
                <w:szCs w:val="24"/>
                <w:highlight w:val="none"/>
              </w:rPr>
              <w:t>）</w:t>
            </w:r>
          </w:p>
          <w:p w14:paraId="302AD310">
            <w:pPr>
              <w:spacing w:line="360" w:lineRule="auto"/>
              <w:ind w:left="0" w:leftChars="0" w:firstLine="0" w:firstLineChars="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★12.通过信通院《人脸识别安全专项评测》认证，活体检测安全防护能力等级：杰出；（需提供检测认证）</w:t>
            </w:r>
          </w:p>
          <w:p w14:paraId="2E69C15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★13.满足最新的《GB/T 41987-2022 公共安全 人脸识别应用防假体呈现攻击测试方法》标准认证；</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需提供第三方具有CMA资质的检测机构出具的报告</w:t>
            </w:r>
            <w:r>
              <w:rPr>
                <w:rFonts w:hint="eastAsia" w:ascii="仿宋" w:hAnsi="仿宋" w:eastAsia="仿宋" w:cs="仿宋"/>
                <w:kern w:val="0"/>
                <w:sz w:val="24"/>
                <w:szCs w:val="24"/>
                <w:highlight w:val="none"/>
              </w:rPr>
              <w:t>）</w:t>
            </w:r>
          </w:p>
        </w:tc>
      </w:tr>
      <w:tr w14:paraId="6E9ABEED">
        <w:tblPrEx>
          <w:tblCellMar>
            <w:top w:w="0" w:type="dxa"/>
            <w:left w:w="108" w:type="dxa"/>
            <w:bottom w:w="0" w:type="dxa"/>
            <w:right w:w="108" w:type="dxa"/>
          </w:tblCellMar>
        </w:tblPrEx>
        <w:trPr>
          <w:trHeight w:val="1587" w:hRule="atLeast"/>
        </w:trPr>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05D92B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816" w:type="pct"/>
            <w:tcBorders>
              <w:top w:val="single" w:color="auto" w:sz="4" w:space="0"/>
              <w:left w:val="nil"/>
              <w:bottom w:val="single" w:color="auto" w:sz="4" w:space="0"/>
              <w:right w:val="single" w:color="auto" w:sz="4" w:space="0"/>
            </w:tcBorders>
            <w:shd w:val="clear" w:color="auto" w:fill="auto"/>
            <w:vAlign w:val="center"/>
          </w:tcPr>
          <w:p w14:paraId="51AABA9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摄像机</w:t>
            </w:r>
          </w:p>
        </w:tc>
        <w:tc>
          <w:tcPr>
            <w:tcW w:w="3656" w:type="pct"/>
            <w:tcBorders>
              <w:top w:val="single" w:color="auto" w:sz="4" w:space="0"/>
              <w:left w:val="nil"/>
              <w:bottom w:val="single" w:color="auto" w:sz="4" w:space="0"/>
              <w:right w:val="single" w:color="auto" w:sz="4" w:space="0"/>
            </w:tcBorders>
            <w:shd w:val="clear" w:color="auto" w:fill="auto"/>
            <w:vAlign w:val="center"/>
          </w:tcPr>
          <w:p w14:paraId="4CE063B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1.像素400万以上。</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最高分辨率可达2560×1440 @25 fps</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供电方式：DC</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V。</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防护：</w:t>
            </w:r>
            <w:r>
              <w:rPr>
                <w:rFonts w:hint="eastAsia" w:ascii="仿宋" w:hAnsi="仿宋" w:eastAsia="仿宋" w:cs="仿宋"/>
                <w:kern w:val="0"/>
                <w:sz w:val="24"/>
                <w:szCs w:val="24"/>
                <w:lang w:val="en-US" w:eastAsia="zh-CN"/>
              </w:rPr>
              <w:t>不小于</w:t>
            </w:r>
            <w:r>
              <w:rPr>
                <w:rFonts w:hint="eastAsia" w:ascii="仿宋" w:hAnsi="仿宋" w:eastAsia="仿宋" w:cs="仿宋"/>
                <w:kern w:val="0"/>
                <w:sz w:val="24"/>
                <w:szCs w:val="24"/>
              </w:rPr>
              <w:t xml:space="preserve">IP66 </w:t>
            </w:r>
            <w:r>
              <w:rPr>
                <w:rFonts w:hint="eastAsia" w:ascii="仿宋" w:hAnsi="仿宋" w:eastAsia="仿宋" w:cs="仿宋"/>
                <w:kern w:val="0"/>
                <w:sz w:val="24"/>
                <w:szCs w:val="24"/>
                <w:lang w:eastAsia="zh-CN"/>
              </w:rPr>
              <w:t>。</w:t>
            </w:r>
          </w:p>
          <w:p w14:paraId="6FA4420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通信：TCP</w:t>
            </w:r>
            <w:r>
              <w:rPr>
                <w:rFonts w:hint="eastAsia" w:ascii="仿宋" w:hAnsi="仿宋" w:eastAsia="仿宋" w:cs="仿宋"/>
                <w:kern w:val="0"/>
                <w:sz w:val="24"/>
                <w:szCs w:val="24"/>
                <w:lang w:eastAsia="zh-CN"/>
              </w:rPr>
              <w:t>。</w:t>
            </w:r>
          </w:p>
          <w:p w14:paraId="40773D4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6.内置麦克风不少于1个。</w:t>
            </w:r>
          </w:p>
          <w:p w14:paraId="19C3240D">
            <w:pPr>
              <w:widowControl/>
              <w:numPr>
                <w:ilvl w:val="0"/>
                <w:numId w:val="0"/>
              </w:numPr>
              <w:adjustRightInd/>
              <w:rPr>
                <w:rFonts w:hint="eastAsia"/>
                <w:lang w:val="en-US" w:eastAsia="zh-CN"/>
              </w:rPr>
            </w:pPr>
            <w:r>
              <w:rPr>
                <w:rFonts w:hint="eastAsia" w:ascii="仿宋" w:hAnsi="仿宋" w:eastAsia="仿宋" w:cs="仿宋"/>
                <w:kern w:val="0"/>
                <w:sz w:val="24"/>
                <w:szCs w:val="24"/>
                <w:lang w:val="en-US" w:eastAsia="zh-CN"/>
              </w:rPr>
              <w:t>7.支持强光、夜间弱光等特殊环境下正常拍摄、记录。</w:t>
            </w:r>
          </w:p>
        </w:tc>
      </w:tr>
      <w:tr w14:paraId="499369AC">
        <w:tblPrEx>
          <w:tblCellMar>
            <w:top w:w="0" w:type="dxa"/>
            <w:left w:w="108" w:type="dxa"/>
            <w:bottom w:w="0" w:type="dxa"/>
            <w:right w:w="108" w:type="dxa"/>
          </w:tblCellMar>
        </w:tblPrEx>
        <w:trPr>
          <w:trHeight w:val="930" w:hRule="atLeast"/>
        </w:trPr>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1EC0C41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816" w:type="pct"/>
            <w:tcBorders>
              <w:top w:val="single" w:color="auto" w:sz="4" w:space="0"/>
              <w:left w:val="nil"/>
              <w:bottom w:val="single" w:color="auto" w:sz="4" w:space="0"/>
              <w:right w:val="single" w:color="auto" w:sz="4" w:space="0"/>
            </w:tcBorders>
            <w:shd w:val="clear" w:color="auto" w:fill="FFFFFF"/>
            <w:vAlign w:val="center"/>
          </w:tcPr>
          <w:p w14:paraId="23BD666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kern w:val="0"/>
                <w:sz w:val="24"/>
                <w:szCs w:val="24"/>
                <w:lang w:val="en-US" w:eastAsia="zh-CN"/>
              </w:rPr>
              <w:t>硬盘录像机</w:t>
            </w:r>
          </w:p>
        </w:tc>
        <w:tc>
          <w:tcPr>
            <w:tcW w:w="3656" w:type="pct"/>
            <w:tcBorders>
              <w:top w:val="single" w:color="auto" w:sz="4" w:space="0"/>
              <w:left w:val="nil"/>
              <w:bottom w:val="single" w:color="auto" w:sz="4" w:space="0"/>
              <w:right w:val="single" w:color="auto" w:sz="4" w:space="0"/>
            </w:tcBorders>
            <w:shd w:val="clear" w:color="auto" w:fill="auto"/>
            <w:vAlign w:val="center"/>
          </w:tcPr>
          <w:p w14:paraId="0CD7779E">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2U标准机架式IP存储，嵌入式处理器，嵌入式软硬件设计；支持32路高清，320M带宽网络视频接入，160M网络带宽输出；支持关键视频添加标签和加锁保护、断网续传等功能；2个千兆以太网口，充分满足网络预览、回放以及备份应用，硬盘数据量根据视频留存时间</w:t>
            </w:r>
            <w:r>
              <w:rPr>
                <w:rFonts w:hint="eastAsia" w:ascii="仿宋" w:hAnsi="仿宋" w:eastAsia="仿宋" w:cs="仿宋"/>
                <w:kern w:val="0"/>
                <w:sz w:val="24"/>
                <w:szCs w:val="24"/>
                <w:lang w:eastAsia="zh-CN"/>
              </w:rPr>
              <w:t>。</w:t>
            </w:r>
          </w:p>
          <w:p w14:paraId="1FE9F62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存储硬盘</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所有内容储存时间不少于1年(具体硬盘容量根据储存要求提供)</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满足数据严苛的7*24小时运行可靠性、安全性的需求</w:t>
            </w:r>
            <w:r>
              <w:rPr>
                <w:rFonts w:hint="eastAsia" w:ascii="仿宋" w:hAnsi="仿宋" w:eastAsia="仿宋" w:cs="仿宋"/>
                <w:kern w:val="0"/>
                <w:sz w:val="24"/>
                <w:szCs w:val="24"/>
                <w:lang w:eastAsia="zh-CN"/>
              </w:rPr>
              <w:t>。</w:t>
            </w:r>
          </w:p>
          <w:p w14:paraId="6E158FAD">
            <w:pPr>
              <w:pStyle w:val="26"/>
              <w:numPr>
                <w:ilvl w:val="-1"/>
                <w:numId w:val="0"/>
              </w:numPr>
              <w:ind w:firstLine="0"/>
              <w:rPr>
                <w:rFonts w:hint="eastAsia"/>
                <w:lang w:val="en-US" w:eastAsia="zh-CN"/>
              </w:rPr>
            </w:pPr>
            <w:r>
              <w:rPr>
                <w:rFonts w:hint="eastAsia" w:ascii="仿宋" w:hAnsi="仿宋" w:eastAsia="仿宋" w:cs="仿宋"/>
                <w:kern w:val="0"/>
                <w:sz w:val="24"/>
              </w:rPr>
              <w:t>★3</w:t>
            </w:r>
            <w:r>
              <w:rPr>
                <w:rFonts w:hint="eastAsia" w:ascii="仿宋" w:hAnsi="仿宋" w:eastAsia="仿宋" w:cs="仿宋"/>
                <w:kern w:val="0"/>
                <w:sz w:val="24"/>
                <w:lang w:eastAsia="zh-CN"/>
              </w:rPr>
              <w:t>.</w:t>
            </w:r>
            <w:r>
              <w:rPr>
                <w:rFonts w:hint="eastAsia" w:ascii="仿宋" w:hAnsi="仿宋" w:eastAsia="仿宋" w:cs="仿宋"/>
                <w:kern w:val="0"/>
                <w:sz w:val="24"/>
              </w:rPr>
              <w:t>设备支持以文搜图功能，可通过文字语义描述，快速检索目标对象或内容；并可基于以文搜图快速检索的结果，对目标进行图搜的二次精准检索定位（需提供第三方具有CMA资质的检测机构出具的报告）。</w:t>
            </w:r>
          </w:p>
        </w:tc>
      </w:tr>
    </w:tbl>
    <w:p w14:paraId="63DE5EA9">
      <w:pPr>
        <w:pStyle w:val="3"/>
        <w:pageBreakBefore w:val="0"/>
        <w:widowControl w:val="0"/>
        <w:kinsoku/>
        <w:wordWrap/>
        <w:overflowPunct/>
        <w:topLinePunct w:val="0"/>
        <w:autoSpaceDE/>
        <w:autoSpaceDN/>
        <w:bidi w:val="0"/>
        <w:spacing w:line="360" w:lineRule="auto"/>
        <w:textAlignment w:val="auto"/>
        <w:rPr>
          <w:rFonts w:hint="eastAsia" w:ascii="仿宋" w:eastAsia="仿宋" w:cs="仿宋"/>
          <w:sz w:val="24"/>
          <w:szCs w:val="24"/>
          <w:lang w:val="en-US" w:eastAsia="zh-CN"/>
        </w:rPr>
      </w:pPr>
      <w:r>
        <w:rPr>
          <w:rFonts w:hint="eastAsia" w:ascii="仿宋" w:eastAsia="仿宋" w:cs="仿宋"/>
          <w:sz w:val="24"/>
          <w:szCs w:val="24"/>
          <w:lang w:val="en-US" w:eastAsia="zh-CN"/>
        </w:rPr>
        <w:t>五、中国计量大学软件开发运行环境规范</w:t>
      </w:r>
    </w:p>
    <w:p w14:paraId="2A2AB5F5">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总体要求</w:t>
      </w:r>
    </w:p>
    <w:p w14:paraId="7A75DE10">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系统设计和开发应当遵循中国计量大学数据中心的建设理念和建设标准，符合《中国计量大学数据源考核管理办法》，并且能够与学校的统一公共数据平台、统一身份认证、校务网进行全面对接与集成。新建业务系统必须符合学校网络信息安全需要，即满足《中国计量大学网站管理办法》、《中国计量大学网络信息技术安全管理办法》的要求。软件系统在运行过程中如发现操作系统、数据库、web服务等存在漏洞，必须及时更新补丁，修复漏洞。</w:t>
      </w:r>
    </w:p>
    <w:p w14:paraId="772A0DE3">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操作系统要求</w:t>
      </w:r>
    </w:p>
    <w:p w14:paraId="594B561B">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windows操作系统支持以下版本：</w:t>
      </w:r>
    </w:p>
    <w:p w14:paraId="451E254E">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Windows Server 2012 R2以上版本。</w:t>
      </w:r>
    </w:p>
    <w:p w14:paraId="7F4EE9C4">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linux操作系统支持以下版本：</w:t>
      </w:r>
    </w:p>
    <w:p w14:paraId="26B29607">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CentOS 7.x(7.4-7.9)；</w:t>
      </w:r>
    </w:p>
    <w:p w14:paraId="0ABA9FF2">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RedHat 6.5以上版本；</w:t>
      </w:r>
    </w:p>
    <w:p w14:paraId="784051C8">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Debian11.2 以上版本；</w:t>
      </w:r>
    </w:p>
    <w:p w14:paraId="7A219C58">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Ubuntu20.04以上版本。</w:t>
      </w:r>
    </w:p>
    <w:p w14:paraId="68303353">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数据库要求</w:t>
      </w:r>
    </w:p>
    <w:p w14:paraId="46FE51DF">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Mysql要求5.7或8.0以上版本；SQLServer 要求2012以上版本；Oracle 要求12c以上版本；PostgreSQL 12以上版本。</w:t>
      </w:r>
    </w:p>
    <w:p w14:paraId="76632A53">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Redis 5.0以上版本、Mongodb4.0版本以上，非关系型数据库，必须设置账号密码,并保证一定的密码强度。</w:t>
      </w:r>
    </w:p>
    <w:p w14:paraId="2985B037">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其他关系型或非关系型数据库需使用无漏洞版本，建议使用最新版本。</w:t>
      </w:r>
    </w:p>
    <w:p w14:paraId="15657F87">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Web服务要求</w:t>
      </w:r>
    </w:p>
    <w:p w14:paraId="38BDC086">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nginx 要求1.20.0以上版本。</w:t>
      </w:r>
    </w:p>
    <w:p w14:paraId="77BBFA26">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Tomcat 要求tomcat9版本以上，其他Web应用服务需使用无漏洞的版本，建议使用最新版本。</w:t>
      </w:r>
    </w:p>
    <w:p w14:paraId="5FA96BD3">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web应用服务必须使用https协议，并且确保ssl证书有效，证书由学校信息技术中心统一提供。</w:t>
      </w:r>
    </w:p>
    <w:p w14:paraId="50B00761">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兼容性要求</w:t>
      </w:r>
    </w:p>
    <w:p w14:paraId="64B27F77">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用户端完全兼容各类主流浏览器，至少包括Edge、Chrome、Firefox、Safari等当前主流浏览器。</w:t>
      </w:r>
    </w:p>
    <w:p w14:paraId="5F772E8E">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移动端要求</w:t>
      </w:r>
    </w:p>
    <w:p w14:paraId="555666B0">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面向师生的功能必须支持HTML5（H5）页面移动端自适应，支持Android、IOS智能终端，能够匹配市面上主流的手机机型，对应的H5页面支持集成（或自由配置）到钉钉和企业微信。</w:t>
      </w:r>
    </w:p>
    <w:p w14:paraId="77F4E8A0">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开发代码要求</w:t>
      </w:r>
    </w:p>
    <w:p w14:paraId="58D44D38">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软件运行所需的第三方支持包、动态链接库、组件、中间件平台等，必须为正版，具有正式使用授权。</w:t>
      </w:r>
    </w:p>
    <w:p w14:paraId="0C297C13">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数据中心接入要求</w:t>
      </w:r>
    </w:p>
    <w:p w14:paraId="64E85F9D">
      <w:pPr>
        <w:pStyle w:val="38"/>
        <w:tabs>
          <w:tab w:val="left" w:pos="1365"/>
        </w:tabs>
        <w:rPr>
          <w:rFonts w:hint="eastAsia" w:ascii="仿宋" w:hAnsi="仿宋" w:eastAsia="仿宋" w:cs="仿宋"/>
          <w:color w:val="auto"/>
          <w:sz w:val="24"/>
          <w:szCs w:val="24"/>
        </w:rPr>
      </w:pPr>
      <w:r>
        <w:rPr>
          <w:rFonts w:hint="eastAsia" w:ascii="仿宋" w:hAnsi="仿宋" w:eastAsia="仿宋" w:cs="仿宋"/>
          <w:color w:val="auto"/>
          <w:sz w:val="24"/>
          <w:szCs w:val="24"/>
        </w:rPr>
        <w:t>如软件涉及数据应用，必须向信息技术中心提供数据库相应的数据字典，并配合将必要的数据接入学校数据中心。</w:t>
      </w:r>
    </w:p>
    <w:p w14:paraId="18B0400C">
      <w:pPr>
        <w:pStyle w:val="38"/>
        <w:tabs>
          <w:tab w:val="left" w:pos="1365"/>
        </w:tabs>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网络信息安全要求</w:t>
      </w:r>
    </w:p>
    <w:p w14:paraId="26B3AB3C">
      <w:pPr>
        <w:pStyle w:val="38"/>
        <w:tabs>
          <w:tab w:val="left" w:pos="1365"/>
        </w:tabs>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（1）系统部署的服务器须开启防火墙并只开启必要的端口。</w:t>
      </w:r>
    </w:p>
    <w:p w14:paraId="1E08FBBB">
      <w:pPr>
        <w:pStyle w:val="38"/>
        <w:tabs>
          <w:tab w:val="left" w:pos="1365"/>
        </w:tabs>
        <w:ind w:left="0" w:leftChars="0" w:firstLine="480" w:firstLineChars="200"/>
        <w:rPr>
          <w:rFonts w:hint="eastAsia" w:ascii="Times New Roman" w:eastAsia="仿宋" w:cs="Times New Roman"/>
          <w:color w:val="auto"/>
          <w:sz w:val="24"/>
          <w:szCs w:val="24"/>
          <w:lang w:val="en-US" w:eastAsia="zh-CN"/>
        </w:rPr>
      </w:pPr>
      <w:r>
        <w:rPr>
          <w:rFonts w:hint="eastAsia" w:ascii="仿宋" w:hAnsi="仿宋" w:eastAsia="仿宋" w:cs="仿宋"/>
          <w:color w:val="auto"/>
          <w:sz w:val="24"/>
          <w:szCs w:val="24"/>
        </w:rPr>
        <w:t>（2）系统必须有账号密码的安全登记评估机制和定期更新机制，确保密码强度，禁止使用弱密码</w:t>
      </w:r>
      <w:r>
        <w:rPr>
          <w:rFonts w:hint="eastAsia" w:ascii="仿宋" w:hAnsi="仿宋" w:eastAsia="仿宋" w:cs="仿宋"/>
          <w:color w:val="auto"/>
          <w:sz w:val="24"/>
          <w:szCs w:val="24"/>
          <w:lang w:eastAsia="zh-CN"/>
        </w:rPr>
        <w:t>。</w:t>
      </w:r>
    </w:p>
    <w:p w14:paraId="3F91EB11">
      <w:pPr>
        <w:pStyle w:val="3"/>
        <w:pageBreakBefore w:val="0"/>
        <w:widowControl w:val="0"/>
        <w:kinsoku/>
        <w:wordWrap/>
        <w:overflowPunct/>
        <w:topLinePunct w:val="0"/>
        <w:autoSpaceDE/>
        <w:autoSpaceDN/>
        <w:bidi w:val="0"/>
        <w:spacing w:line="360" w:lineRule="auto"/>
        <w:textAlignment w:val="auto"/>
        <w:rPr>
          <w:rFonts w:ascii="仿宋" w:eastAsia="仿宋" w:cs="仿宋"/>
          <w:sz w:val="24"/>
          <w:szCs w:val="24"/>
        </w:rPr>
      </w:pPr>
      <w:r>
        <w:rPr>
          <w:rFonts w:hint="eastAsia" w:ascii="仿宋" w:eastAsia="仿宋" w:cs="仿宋"/>
          <w:sz w:val="24"/>
          <w:szCs w:val="24"/>
          <w:lang w:val="en-US" w:eastAsia="zh-CN"/>
        </w:rPr>
        <w:t>六</w:t>
      </w:r>
      <w:r>
        <w:rPr>
          <w:rFonts w:hint="eastAsia" w:ascii="仿宋" w:eastAsia="仿宋" w:cs="仿宋"/>
          <w:sz w:val="24"/>
          <w:szCs w:val="24"/>
        </w:rPr>
        <w:t>、</w:t>
      </w:r>
      <w:r>
        <w:rPr>
          <w:rFonts w:hint="eastAsia" w:ascii="仿宋" w:eastAsia="仿宋" w:cs="仿宋"/>
          <w:sz w:val="24"/>
          <w:szCs w:val="24"/>
          <w:lang w:val="en-US"/>
        </w:rPr>
        <w:t>要求质量标准</w:t>
      </w:r>
    </w:p>
    <w:p w14:paraId="6F2E8B5A">
      <w:pPr>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符合合同及招标文件要求。如有未特别注明需执行的国家相关标准、行业标准、地方标准或者其他标准、规范，则统一执行最新标准、规范。</w:t>
      </w:r>
    </w:p>
    <w:p w14:paraId="29551472">
      <w:pPr>
        <w:pStyle w:val="3"/>
        <w:pageBreakBefore w:val="0"/>
        <w:widowControl w:val="0"/>
        <w:kinsoku/>
        <w:wordWrap/>
        <w:overflowPunct/>
        <w:topLinePunct w:val="0"/>
        <w:autoSpaceDE/>
        <w:autoSpaceDN/>
        <w:bidi w:val="0"/>
        <w:spacing w:line="360" w:lineRule="auto"/>
        <w:textAlignment w:val="auto"/>
        <w:rPr>
          <w:rFonts w:ascii="仿宋" w:eastAsia="仿宋" w:cs="仿宋"/>
          <w:sz w:val="24"/>
          <w:szCs w:val="24"/>
        </w:rPr>
      </w:pPr>
      <w:r>
        <w:rPr>
          <w:rFonts w:hint="eastAsia" w:ascii="仿宋" w:eastAsia="仿宋" w:cs="仿宋"/>
          <w:sz w:val="24"/>
          <w:szCs w:val="24"/>
          <w:lang w:val="en-US" w:eastAsia="zh-CN"/>
        </w:rPr>
        <w:t>七</w:t>
      </w:r>
      <w:r>
        <w:rPr>
          <w:rFonts w:hint="eastAsia" w:ascii="仿宋" w:eastAsia="仿宋" w:cs="仿宋"/>
          <w:sz w:val="24"/>
          <w:szCs w:val="24"/>
          <w:lang w:val="en-US"/>
        </w:rPr>
        <w:t>、商务</w:t>
      </w:r>
      <w:r>
        <w:rPr>
          <w:rFonts w:hint="eastAsia" w:ascii="仿宋" w:eastAsia="仿宋" w:cs="仿宋"/>
          <w:sz w:val="24"/>
          <w:szCs w:val="24"/>
        </w:rPr>
        <w:t>要求</w:t>
      </w:r>
      <w:bookmarkEnd w:id="28"/>
    </w:p>
    <w:p w14:paraId="10FCBAA0">
      <w:pPr>
        <w:spacing w:line="360" w:lineRule="auto"/>
        <w:ind w:firstLine="482" w:firstLineChars="200"/>
        <w:rPr>
          <w:rFonts w:ascii="仿宋" w:hAnsi="仿宋" w:eastAsia="仿宋" w:cs="仿宋"/>
          <w:b w:val="0"/>
          <w:bCs w:val="0"/>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服务地点：</w:t>
      </w:r>
      <w:r>
        <w:rPr>
          <w:rFonts w:hint="eastAsia" w:ascii="仿宋" w:hAnsi="仿宋" w:eastAsia="仿宋" w:cs="仿宋"/>
          <w:b w:val="0"/>
          <w:bCs w:val="0"/>
          <w:sz w:val="24"/>
          <w:highlight w:val="none"/>
          <w:lang w:eastAsia="zh-CN"/>
        </w:rPr>
        <w:t>中国计量大学，</w:t>
      </w:r>
      <w:r>
        <w:rPr>
          <w:rFonts w:hint="eastAsia" w:ascii="仿宋" w:hAnsi="仿宋" w:eastAsia="仿宋" w:cs="仿宋"/>
          <w:b w:val="0"/>
          <w:bCs w:val="0"/>
          <w:sz w:val="24"/>
          <w:highlight w:val="none"/>
        </w:rPr>
        <w:t>采购人指定地点。</w:t>
      </w:r>
    </w:p>
    <w:p w14:paraId="08914B8D">
      <w:pPr>
        <w:spacing w:line="360" w:lineRule="auto"/>
        <w:ind w:firstLine="482" w:firstLineChars="200"/>
        <w:rPr>
          <w:rFonts w:ascii="仿宋" w:hAnsi="仿宋" w:eastAsia="仿宋" w:cs="仿宋"/>
          <w:color w:val="FF0000"/>
          <w:sz w:val="24"/>
          <w:highlight w:val="none"/>
        </w:rPr>
      </w:pPr>
      <w:bookmarkStart w:id="29" w:name="_Toc13033"/>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.付款方式</w:t>
      </w:r>
    </w:p>
    <w:p w14:paraId="2B8B76D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详见合同条款。</w:t>
      </w:r>
    </w:p>
    <w:p w14:paraId="3F259F6D">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.履约保证金</w:t>
      </w:r>
    </w:p>
    <w:p w14:paraId="30013DFC">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本项目不收取履约保证金。</w:t>
      </w:r>
    </w:p>
    <w:p w14:paraId="1E964629">
      <w:pPr>
        <w:spacing w:line="360" w:lineRule="auto"/>
        <w:ind w:firstLine="482" w:firstLineChars="200"/>
        <w:rPr>
          <w:rFonts w:hint="default"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4.质保服务：</w:t>
      </w:r>
      <w:r>
        <w:rPr>
          <w:rFonts w:hint="eastAsia" w:ascii="仿宋" w:hAnsi="仿宋" w:eastAsia="仿宋" w:cs="仿宋"/>
          <w:b w:val="0"/>
          <w:bCs w:val="0"/>
          <w:sz w:val="24"/>
          <w:highlight w:val="none"/>
          <w:lang w:val="en-US" w:eastAsia="zh-CN"/>
        </w:rPr>
        <w:t>系统（软件）提供不少于</w:t>
      </w:r>
      <w:r>
        <w:rPr>
          <w:rFonts w:hint="eastAsia" w:ascii="仿宋" w:hAnsi="仿宋" w:eastAsia="仿宋" w:cs="仿宋"/>
          <w:b w:val="0"/>
          <w:bCs w:val="0"/>
          <w:sz w:val="24"/>
          <w:highlight w:val="none"/>
          <w:u w:val="single"/>
          <w:lang w:val="en-US" w:eastAsia="zh-CN"/>
        </w:rPr>
        <w:t xml:space="preserve"> 5 </w:t>
      </w:r>
      <w:r>
        <w:rPr>
          <w:rFonts w:hint="eastAsia" w:ascii="仿宋" w:hAnsi="仿宋" w:eastAsia="仿宋" w:cs="仿宋"/>
          <w:b w:val="0"/>
          <w:bCs w:val="0"/>
          <w:sz w:val="24"/>
          <w:highlight w:val="none"/>
          <w:lang w:val="en-US" w:eastAsia="zh-CN"/>
        </w:rPr>
        <w:t>年的免费维护期，</w:t>
      </w:r>
      <w:r>
        <w:rPr>
          <w:rFonts w:hint="eastAsia" w:ascii="仿宋" w:hAnsi="仿宋" w:eastAsia="仿宋" w:cs="仿宋"/>
          <w:sz w:val="24"/>
          <w:highlight w:val="none"/>
          <w:lang w:val="en-US" w:eastAsia="zh-CN"/>
        </w:rPr>
        <w:t>提供的货物自验收合格之日起不少于</w:t>
      </w:r>
      <w:r>
        <w:rPr>
          <w:rFonts w:hint="eastAsia" w:ascii="仿宋" w:hAnsi="仿宋" w:eastAsia="仿宋" w:cs="仿宋"/>
          <w:sz w:val="24"/>
          <w:highlight w:val="none"/>
          <w:u w:val="single"/>
          <w:lang w:val="en-US" w:eastAsia="zh-CN"/>
        </w:rPr>
        <w:t xml:space="preserve"> 5 </w:t>
      </w:r>
      <w:r>
        <w:rPr>
          <w:rFonts w:hint="eastAsia" w:ascii="仿宋" w:hAnsi="仿宋" w:eastAsia="仿宋" w:cs="仿宋"/>
          <w:sz w:val="24"/>
          <w:highlight w:val="none"/>
          <w:lang w:val="en-US" w:eastAsia="zh-CN"/>
        </w:rPr>
        <w:t>年的质保服务。质保方式包括提供设备备件更换、返厂寄修服务等。质保期内运行发生故障或需要优化时，7×24 小时电话响应，中标人在接到采购人通知后3小时内委派专业技术人员到现场负责提供咨询、维修等服务，8小时内解决，若8小时内不能解决，负责提供同等性能、配置的设备，以保证采购人的正常使用。质保期满前1个月内派技术人员到甲方项目现场对全部产品进行一次全面检修，负责更换损坏零部件及易损件，此工作所发生费用应由中标人自行承担。</w:t>
      </w:r>
    </w:p>
    <w:bookmarkEnd w:id="29"/>
    <w:p w14:paraId="74551221">
      <w:pPr>
        <w:pStyle w:val="3"/>
        <w:snapToGrid w:val="0"/>
        <w:spacing w:line="440" w:lineRule="exact"/>
        <w:rPr>
          <w:rFonts w:hint="eastAsia" w:ascii="仿宋" w:eastAsia="仿宋" w:cs="仿宋"/>
          <w:sz w:val="24"/>
          <w:szCs w:val="24"/>
          <w:highlight w:val="none"/>
          <w:lang w:val="en-US"/>
        </w:rPr>
      </w:pPr>
      <w:r>
        <w:rPr>
          <w:rFonts w:hint="eastAsia" w:ascii="仿宋" w:eastAsia="仿宋" w:cs="仿宋"/>
          <w:sz w:val="24"/>
          <w:szCs w:val="24"/>
          <w:highlight w:val="none"/>
          <w:lang w:val="en-US" w:eastAsia="zh-CN"/>
        </w:rPr>
        <w:t>八</w:t>
      </w:r>
      <w:r>
        <w:rPr>
          <w:rFonts w:hint="eastAsia" w:ascii="仿宋" w:eastAsia="仿宋" w:cs="仿宋"/>
          <w:sz w:val="24"/>
          <w:szCs w:val="24"/>
          <w:highlight w:val="none"/>
          <w:lang w:val="en-US"/>
        </w:rPr>
        <w:t>、演示要求</w:t>
      </w:r>
    </w:p>
    <w:p w14:paraId="4A7762FF">
      <w:pPr>
        <w:tabs>
          <w:tab w:val="left" w:pos="432"/>
        </w:tabs>
        <w:snapToGrid w:val="0"/>
        <w:spacing w:line="440" w:lineRule="exact"/>
        <w:ind w:firstLine="480" w:firstLineChars="200"/>
        <w:outlineLvl w:val="9"/>
        <w:rPr>
          <w:rFonts w:hint="eastAsia" w:ascii="仿宋" w:eastAsia="仿宋" w:cs="仿宋"/>
          <w:sz w:val="24"/>
          <w:szCs w:val="24"/>
          <w:highlight w:val="none"/>
          <w:lang w:val="en-US" w:eastAsia="zh-CN"/>
        </w:rPr>
      </w:pPr>
      <w:r>
        <w:rPr>
          <w:rFonts w:hint="eastAsia" w:ascii="仿宋" w:eastAsia="仿宋" w:cs="仿宋"/>
          <w:sz w:val="24"/>
          <w:szCs w:val="24"/>
          <w:highlight w:val="none"/>
          <w:lang w:val="en-US" w:eastAsia="zh-CN"/>
        </w:rPr>
        <w:t>要求投标人提供</w:t>
      </w:r>
      <w:r>
        <w:rPr>
          <w:rFonts w:hint="eastAsia" w:ascii="仿宋" w:eastAsia="仿宋" w:cs="仿宋"/>
          <w:b/>
          <w:bCs/>
          <w:sz w:val="24"/>
          <w:szCs w:val="24"/>
          <w:highlight w:val="none"/>
          <w:lang w:val="en-US" w:eastAsia="zh-CN"/>
        </w:rPr>
        <w:t>演示视频</w:t>
      </w:r>
      <w:r>
        <w:rPr>
          <w:rFonts w:hint="eastAsia" w:ascii="仿宋" w:eastAsia="仿宋" w:cs="仿宋"/>
          <w:sz w:val="24"/>
          <w:szCs w:val="24"/>
          <w:highlight w:val="none"/>
          <w:lang w:val="en-US" w:eastAsia="zh-CN"/>
        </w:rPr>
        <w:t>进行演示，以PPT、word、非实体软件录制的视频、图片等视同未演示。投标人不演示的，不作无效标处理但会影响相关评分项的得分。</w:t>
      </w:r>
    </w:p>
    <w:p w14:paraId="63A1C831">
      <w:pPr>
        <w:tabs>
          <w:tab w:val="left" w:pos="432"/>
        </w:tabs>
        <w:snapToGrid w:val="0"/>
        <w:spacing w:line="440" w:lineRule="exact"/>
        <w:ind w:firstLine="480" w:firstLineChars="200"/>
        <w:outlineLvl w:val="9"/>
        <w:rPr>
          <w:rFonts w:hint="eastAsia" w:ascii="仿宋" w:eastAsia="仿宋" w:cs="仿宋"/>
          <w:sz w:val="24"/>
          <w:szCs w:val="24"/>
          <w:highlight w:val="none"/>
          <w:lang w:val="en-US" w:eastAsia="zh-CN"/>
        </w:rPr>
      </w:pPr>
      <w:r>
        <w:rPr>
          <w:rFonts w:hint="eastAsia" w:ascii="仿宋" w:eastAsia="仿宋" w:cs="仿宋"/>
          <w:sz w:val="24"/>
          <w:szCs w:val="24"/>
          <w:highlight w:val="none"/>
          <w:lang w:val="en-US" w:eastAsia="zh-CN"/>
        </w:rPr>
        <w:t>1.时间要求：不超过15分钟。</w:t>
      </w:r>
    </w:p>
    <w:p w14:paraId="4AA9704C">
      <w:pPr>
        <w:tabs>
          <w:tab w:val="left" w:pos="432"/>
        </w:tabs>
        <w:snapToGrid w:val="0"/>
        <w:spacing w:line="440" w:lineRule="exact"/>
        <w:ind w:firstLine="480" w:firstLineChars="200"/>
        <w:outlineLvl w:val="9"/>
        <w:rPr>
          <w:rFonts w:hint="eastAsia" w:ascii="仿宋" w:eastAsia="仿宋" w:cs="仿宋"/>
          <w:sz w:val="24"/>
          <w:szCs w:val="24"/>
          <w:highlight w:val="none"/>
          <w:lang w:val="en-US" w:eastAsia="zh-CN"/>
        </w:rPr>
      </w:pPr>
      <w:r>
        <w:rPr>
          <w:rFonts w:hint="eastAsia" w:ascii="仿宋" w:eastAsia="仿宋" w:cs="仿宋"/>
          <w:sz w:val="24"/>
          <w:szCs w:val="24"/>
          <w:highlight w:val="none"/>
          <w:lang w:val="en-US" w:eastAsia="zh-CN"/>
        </w:rPr>
        <w:t xml:space="preserve">2.演示地点：杭州市文三路90号东部软件园1号楼3楼。 </w:t>
      </w:r>
    </w:p>
    <w:p w14:paraId="2B441736">
      <w:pPr>
        <w:tabs>
          <w:tab w:val="left" w:pos="432"/>
        </w:tabs>
        <w:snapToGrid w:val="0"/>
        <w:spacing w:line="440" w:lineRule="exact"/>
        <w:ind w:firstLine="480" w:firstLineChars="200"/>
        <w:outlineLvl w:val="9"/>
        <w:rPr>
          <w:rFonts w:hint="eastAsia" w:ascii="仿宋" w:eastAsia="仿宋" w:cs="仿宋"/>
          <w:sz w:val="24"/>
          <w:szCs w:val="24"/>
          <w:highlight w:val="none"/>
          <w:lang w:val="en-US" w:eastAsia="zh-CN"/>
        </w:rPr>
      </w:pPr>
      <w:r>
        <w:rPr>
          <w:rFonts w:hint="eastAsia" w:ascii="仿宋" w:eastAsia="仿宋" w:cs="仿宋"/>
          <w:sz w:val="24"/>
          <w:szCs w:val="24"/>
          <w:highlight w:val="none"/>
          <w:lang w:val="en-US" w:eastAsia="zh-CN"/>
        </w:rPr>
        <w:t>3.演示方式：录制演示视频。演示视频与备份响应文件一同存于U盘内，在响应截止时间之前递交至采购代理机构。逾期不予接收。</w:t>
      </w:r>
    </w:p>
    <w:p w14:paraId="648B21EF">
      <w:pPr>
        <w:tabs>
          <w:tab w:val="left" w:pos="432"/>
        </w:tabs>
        <w:snapToGrid w:val="0"/>
        <w:spacing w:line="440" w:lineRule="exact"/>
        <w:ind w:firstLine="482" w:firstLineChars="200"/>
        <w:outlineLvl w:val="9"/>
        <w:rPr>
          <w:rFonts w:hint="eastAsia" w:ascii="仿宋" w:eastAsia="仿宋" w:cs="仿宋"/>
          <w:sz w:val="24"/>
          <w:szCs w:val="24"/>
          <w:highlight w:val="none"/>
          <w:lang w:val="en-US" w:eastAsia="zh-CN"/>
        </w:rPr>
      </w:pPr>
      <w:r>
        <w:rPr>
          <w:rFonts w:hint="eastAsia" w:ascii="仿宋" w:eastAsia="仿宋" w:cs="仿宋"/>
          <w:b/>
          <w:bCs/>
          <w:sz w:val="24"/>
          <w:szCs w:val="24"/>
          <w:highlight w:val="none"/>
          <w:lang w:val="en-US" w:eastAsia="zh-CN"/>
        </w:rPr>
        <w:t>4.演示内容要求</w:t>
      </w:r>
    </w:p>
    <w:p w14:paraId="7BD2655B">
      <w:pPr>
        <w:tabs>
          <w:tab w:val="left" w:pos="432"/>
        </w:tabs>
        <w:snapToGrid w:val="0"/>
        <w:spacing w:line="440" w:lineRule="exact"/>
        <w:ind w:firstLine="480" w:firstLineChars="200"/>
        <w:outlineLvl w:val="9"/>
        <w:rPr>
          <w:rFonts w:hint="eastAsia" w:ascii="仿宋" w:eastAsia="仿宋" w:cs="仿宋"/>
          <w:color w:val="000000" w:themeColor="text1"/>
          <w:sz w:val="24"/>
          <w:szCs w:val="24"/>
          <w:highlight w:val="none"/>
          <w:lang w:val="en-US" w:eastAsia="zh-CN"/>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（1）要求支持多色彩展示运行预警状态，支持预警统计、概览、处理，支持预警记录查看、查询，支持预警单条、批量处理，支持系统最近7天每日预警数统计。</w:t>
      </w:r>
    </w:p>
    <w:p w14:paraId="11174C07">
      <w:pPr>
        <w:tabs>
          <w:tab w:val="left" w:pos="432"/>
        </w:tabs>
        <w:snapToGrid w:val="0"/>
        <w:spacing w:line="440" w:lineRule="exact"/>
        <w:ind w:firstLine="480" w:firstLineChars="200"/>
        <w:outlineLvl w:val="9"/>
        <w:rPr>
          <w:rFonts w:hint="eastAsia"/>
          <w:color w:val="000000" w:themeColor="text1"/>
          <w:highlight w:val="none"/>
          <w:lang w:val="en-US" w:eastAsia="zh-CN"/>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（2）平台支持在API市场中查看API基础信息、接口状态、输入返回参数等，同时支持API状态的切换（在线、下线、隐藏）；支持API接口的调用时间、调用次数策略。</w:t>
      </w:r>
    </w:p>
    <w:p w14:paraId="0CD275BD">
      <w:pPr>
        <w:tabs>
          <w:tab w:val="left" w:pos="432"/>
        </w:tabs>
        <w:snapToGrid w:val="0"/>
        <w:spacing w:line="440" w:lineRule="exact"/>
        <w:ind w:firstLine="480" w:firstLineChars="200"/>
        <w:outlineLvl w:val="9"/>
        <w:rPr>
          <w:rFonts w:hint="eastAsia" w:ascii="仿宋" w:eastAsia="仿宋" w:cs="仿宋"/>
          <w:color w:val="000000" w:themeColor="text1"/>
          <w:sz w:val="24"/>
          <w:szCs w:val="24"/>
          <w:highlight w:val="none"/>
          <w:lang w:val="en-US" w:eastAsia="zh-CN"/>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3）支持展示异常数据统计，包括多日未归人数（点击可跳转至多日未归查询界面，展示7日内数据）、多日未出人数（点击可跳转至多日未出查询界面，展示7日内数据）、独居寝室人数（点击可展示当天数据）。</w:t>
      </w:r>
    </w:p>
    <w:p w14:paraId="21AA3587">
      <w:pPr>
        <w:tabs>
          <w:tab w:val="left" w:pos="432"/>
        </w:tabs>
        <w:snapToGrid w:val="0"/>
        <w:spacing w:line="440" w:lineRule="exact"/>
        <w:ind w:firstLine="480" w:firstLineChars="200"/>
        <w:outlineLvl w:val="9"/>
        <w:rPr>
          <w:rFonts w:hint="eastAsia" w:ascii="仿宋" w:eastAsia="仿宋" w:cs="仿宋"/>
          <w:color w:val="000000" w:themeColor="text1"/>
          <w:sz w:val="24"/>
          <w:szCs w:val="24"/>
          <w:highlight w:val="none"/>
          <w:lang w:val="en-US" w:eastAsia="zh-CN"/>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（4）支持展示所管辖人员入住楼栋情况统计（该用户组织权限下学生入住宿舍情况），包括楼栋名称、管辖人数、已归寝人数、未归寝人数、晚归人数、请假人数、独居寝室情况、异常预警数等情况。</w:t>
      </w:r>
    </w:p>
    <w:p w14:paraId="177B3111">
      <w:pPr>
        <w:tabs>
          <w:tab w:val="left" w:pos="432"/>
        </w:tabs>
        <w:snapToGrid w:val="0"/>
        <w:spacing w:line="440" w:lineRule="exact"/>
        <w:ind w:firstLine="480" w:firstLineChars="200"/>
        <w:outlineLvl w:val="9"/>
        <w:rPr>
          <w:rFonts w:hint="eastAsia" w:ascii="仿宋" w:eastAsia="仿宋" w:cs="仿宋"/>
          <w:color w:val="000000" w:themeColor="text1"/>
          <w:sz w:val="24"/>
          <w:szCs w:val="24"/>
          <w:highlight w:val="none"/>
          <w:lang w:val="en-US" w:eastAsia="zh-CN"/>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（5）可设置考勤数据推送规则，根据学生每日考勤情况、长时间未归、未出情况、独居寝室情况等信息进行自动分析生成预警名单，并推送给相应人员。</w:t>
      </w:r>
    </w:p>
    <w:p w14:paraId="75B90826">
      <w:pPr>
        <w:pStyle w:val="3"/>
        <w:snapToGrid w:val="0"/>
        <w:spacing w:line="440" w:lineRule="exact"/>
        <w:rPr>
          <w:rFonts w:ascii="仿宋" w:eastAsia="仿宋" w:cs="仿宋"/>
          <w:sz w:val="24"/>
          <w:szCs w:val="24"/>
          <w:highlight w:val="none"/>
          <w:lang w:val="en-US"/>
        </w:rPr>
      </w:pPr>
      <w:r>
        <w:rPr>
          <w:rFonts w:hint="eastAsia" w:ascii="仿宋" w:eastAsia="仿宋" w:cs="仿宋"/>
          <w:sz w:val="24"/>
          <w:szCs w:val="24"/>
          <w:highlight w:val="none"/>
          <w:lang w:val="en-US" w:eastAsia="zh-CN"/>
        </w:rPr>
        <w:t>九</w:t>
      </w:r>
      <w:r>
        <w:rPr>
          <w:rFonts w:hint="eastAsia" w:ascii="仿宋" w:eastAsia="仿宋" w:cs="仿宋"/>
          <w:sz w:val="24"/>
          <w:szCs w:val="24"/>
          <w:highlight w:val="none"/>
          <w:lang w:val="en-US"/>
        </w:rPr>
        <w:t>、其他要求</w:t>
      </w:r>
    </w:p>
    <w:p w14:paraId="23DDAAA0">
      <w:pPr>
        <w:snapToGrid w:val="0"/>
        <w:spacing w:line="440" w:lineRule="exact"/>
        <w:ind w:firstLine="480"/>
        <w:rPr>
          <w:rFonts w:ascii="仿宋" w:hAnsi="仿宋" w:eastAsia="仿宋" w:cs="仿宋"/>
          <w:sz w:val="24"/>
        </w:rPr>
      </w:pPr>
      <w:r>
        <w:rPr>
          <w:rFonts w:hint="eastAsia" w:ascii="仿宋" w:hAnsi="仿宋" w:eastAsia="仿宋" w:cs="仿宋"/>
          <w:sz w:val="24"/>
        </w:rPr>
        <w:t>1.投标人自2022年1月1日以来（以合同签署时间为准），同类产品（含本项目核心设备）供货业绩。</w:t>
      </w:r>
    </w:p>
    <w:p w14:paraId="247C4EF5">
      <w:pPr>
        <w:snapToGrid w:val="0"/>
        <w:spacing w:line="440" w:lineRule="exact"/>
        <w:ind w:firstLine="48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.投标人通过ISO9001质量管理体系、ISO14001环境管理体系</w:t>
      </w:r>
      <w:r>
        <w:rPr>
          <w:rFonts w:hint="eastAsia" w:ascii="仿宋" w:hAnsi="仿宋" w:eastAsia="仿宋" w:cs="仿宋"/>
          <w:sz w:val="24"/>
          <w:lang w:eastAsia="zh-CN"/>
        </w:rPr>
        <w:t>、</w:t>
      </w:r>
      <w:r>
        <w:rPr>
          <w:rFonts w:hint="eastAsia" w:ascii="仿宋" w:hAnsi="仿宋" w:eastAsia="仿宋" w:cs="仿宋"/>
          <w:sz w:val="24"/>
        </w:rPr>
        <w:t>ISO</w:t>
      </w:r>
      <w:r>
        <w:rPr>
          <w:rFonts w:hint="eastAsia" w:ascii="仿宋" w:hAnsi="仿宋" w:eastAsia="仿宋" w:cs="仿宋"/>
          <w:sz w:val="24"/>
          <w:lang w:val="en-US" w:eastAsia="zh-CN"/>
        </w:rPr>
        <w:t>45</w:t>
      </w:r>
      <w:r>
        <w:rPr>
          <w:rFonts w:hint="eastAsia" w:ascii="仿宋" w:hAnsi="仿宋" w:eastAsia="仿宋" w:cs="仿宋"/>
          <w:sz w:val="24"/>
        </w:rPr>
        <w:t>001职业健康安全管理体系认证并获得相关证书。</w:t>
      </w:r>
    </w:p>
    <w:p w14:paraId="3ED5FF42">
      <w:pPr>
        <w:snapToGrid w:val="0"/>
        <w:spacing w:line="44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提供</w:t>
      </w:r>
      <w:r>
        <w:rPr>
          <w:rFonts w:hint="eastAsia" w:ascii="仿宋" w:hAnsi="仿宋" w:eastAsia="仿宋" w:cs="仿宋"/>
          <w:sz w:val="24"/>
        </w:rPr>
        <w:t>对本项目采购需求的理解程度，对系统建设服务存在的难点、要点问题分析的合理性及解决措施。</w:t>
      </w:r>
    </w:p>
    <w:p w14:paraId="465031DC">
      <w:pPr>
        <w:snapToGrid w:val="0"/>
        <w:spacing w:line="440" w:lineRule="exact"/>
        <w:ind w:firstLine="48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.投标人应提供</w:t>
      </w:r>
      <w:r>
        <w:rPr>
          <w:rFonts w:ascii="仿宋" w:hAnsi="仿宋" w:eastAsia="仿宋" w:cs="仿宋"/>
          <w:sz w:val="24"/>
        </w:rPr>
        <w:t>项目实施方案</w:t>
      </w:r>
      <w:r>
        <w:rPr>
          <w:rFonts w:hint="eastAsia" w:ascii="仿宋" w:hAnsi="仿宋" w:eastAsia="仿宋" w:cs="仿宋"/>
          <w:sz w:val="24"/>
          <w:lang w:eastAsia="zh-CN"/>
        </w:rPr>
        <w:t>，包括不限于</w:t>
      </w:r>
      <w:r>
        <w:rPr>
          <w:rFonts w:ascii="仿宋" w:hAnsi="仿宋" w:eastAsia="仿宋" w:cs="仿宋"/>
          <w:sz w:val="24"/>
        </w:rPr>
        <w:t>项目具体实施方案的合理性、可行性</w:t>
      </w:r>
      <w:r>
        <w:rPr>
          <w:rFonts w:hint="eastAsia" w:ascii="仿宋" w:hAnsi="仿宋" w:eastAsia="仿宋" w:cs="仿宋"/>
          <w:sz w:val="24"/>
        </w:rPr>
        <w:t>。</w:t>
      </w:r>
    </w:p>
    <w:p w14:paraId="58CE8567">
      <w:pPr>
        <w:snapToGrid w:val="0"/>
        <w:spacing w:line="440" w:lineRule="exact"/>
        <w:ind w:firstLine="48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.投标人应提供</w:t>
      </w:r>
      <w:r>
        <w:rPr>
          <w:rFonts w:hint="eastAsia" w:ascii="仿宋" w:hAnsi="仿宋" w:eastAsia="仿宋" w:cs="仿宋"/>
          <w:sz w:val="24"/>
          <w:lang w:val="en-US" w:eastAsia="zh-CN"/>
        </w:rPr>
        <w:t>培训方案，</w:t>
      </w:r>
      <w:r>
        <w:rPr>
          <w:rFonts w:hint="eastAsia" w:ascii="仿宋" w:hAnsi="仿宋" w:eastAsia="仿宋" w:cs="仿宋"/>
          <w:sz w:val="24"/>
        </w:rPr>
        <w:t>包括不限于培训内容、培训方式等内容。</w:t>
      </w:r>
    </w:p>
    <w:p w14:paraId="0A3168FE">
      <w:pPr>
        <w:snapToGrid w:val="0"/>
        <w:spacing w:line="440" w:lineRule="exact"/>
        <w:ind w:firstLine="480"/>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投标人应提供拟派</w:t>
      </w:r>
      <w:r>
        <w:rPr>
          <w:rFonts w:hint="eastAsia" w:ascii="仿宋" w:hAnsi="仿宋" w:eastAsia="仿宋" w:cs="仿宋"/>
          <w:sz w:val="24"/>
          <w:lang w:eastAsia="zh-Hans"/>
        </w:rPr>
        <w:t>团队</w:t>
      </w:r>
      <w:r>
        <w:rPr>
          <w:rFonts w:hint="eastAsia" w:ascii="仿宋" w:hAnsi="仿宋" w:eastAsia="仿宋" w:cs="仿宋"/>
          <w:sz w:val="24"/>
        </w:rPr>
        <w:t>成员的资历、经验、数量、拟承担的主要工作等</w:t>
      </w:r>
      <w:r>
        <w:rPr>
          <w:rFonts w:hint="eastAsia" w:ascii="仿宋" w:hAnsi="仿宋" w:eastAsia="仿宋" w:cs="仿宋"/>
          <w:sz w:val="24"/>
          <w:lang w:eastAsia="zh-CN"/>
        </w:rPr>
        <w:t>情况</w:t>
      </w:r>
      <w:r>
        <w:rPr>
          <w:rFonts w:hint="eastAsia" w:ascii="仿宋" w:hAnsi="仿宋" w:eastAsia="仿宋" w:cs="仿宋"/>
          <w:sz w:val="24"/>
          <w:lang w:val="en-US" w:eastAsia="zh-CN"/>
        </w:rPr>
        <w:t>。</w:t>
      </w:r>
    </w:p>
    <w:p w14:paraId="110EF883">
      <w:pPr>
        <w:snapToGrid w:val="0"/>
        <w:spacing w:line="440" w:lineRule="exact"/>
        <w:ind w:firstLine="480"/>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投标人应提供信息安全保障方案，包括不限于系统架构安全、系统开发安全措施等内容</w:t>
      </w:r>
      <w:r>
        <w:rPr>
          <w:rFonts w:hint="eastAsia" w:ascii="仿宋" w:hAnsi="仿宋" w:eastAsia="仿宋" w:cs="仿宋"/>
          <w:sz w:val="24"/>
          <w:lang w:eastAsia="zh-CN"/>
        </w:rPr>
        <w:t>。</w:t>
      </w:r>
    </w:p>
    <w:p w14:paraId="46866EE6">
      <w:pPr>
        <w:snapToGrid w:val="0"/>
        <w:spacing w:line="440" w:lineRule="exact"/>
        <w:ind w:firstLine="480"/>
        <w:rPr>
          <w:rFonts w:hint="eastAsia" w:ascii="仿宋" w:hAnsi="仿宋" w:eastAsia="仿宋" w:cs="仿宋"/>
          <w:sz w:val="24"/>
          <w:lang w:eastAsia="zh-CN"/>
        </w:rPr>
      </w:pPr>
      <w:r>
        <w:rPr>
          <w:rFonts w:hint="eastAsia" w:ascii="仿宋" w:hAnsi="仿宋" w:eastAsia="仿宋" w:cs="仿宋"/>
          <w:sz w:val="24"/>
          <w:lang w:val="en-US" w:eastAsia="zh-CN"/>
        </w:rPr>
        <w:t>8.</w:t>
      </w:r>
      <w:r>
        <w:rPr>
          <w:rFonts w:hint="eastAsia" w:ascii="仿宋" w:hAnsi="仿宋" w:eastAsia="仿宋" w:cs="仿宋"/>
          <w:sz w:val="24"/>
        </w:rPr>
        <w:t>投标人应提供软件升级及系统维护服务重点、难点分析，</w:t>
      </w:r>
      <w:r>
        <w:rPr>
          <w:rFonts w:hint="eastAsia" w:ascii="仿宋" w:hAnsi="仿宋" w:eastAsia="仿宋" w:cs="仿宋"/>
          <w:sz w:val="24"/>
          <w:lang w:val="en-US" w:eastAsia="zh-CN"/>
        </w:rPr>
        <w:t>包括不限于</w:t>
      </w:r>
      <w:r>
        <w:rPr>
          <w:rFonts w:hint="eastAsia" w:ascii="仿宋" w:hAnsi="仿宋" w:eastAsia="仿宋" w:cs="仿宋"/>
          <w:sz w:val="24"/>
        </w:rPr>
        <w:t>投标人对软件升级及系统维护服务重点难点分析的准确性、对项目的熟悉程度</w:t>
      </w:r>
      <w:r>
        <w:rPr>
          <w:rFonts w:hint="eastAsia" w:ascii="仿宋" w:hAnsi="仿宋" w:eastAsia="仿宋" w:cs="仿宋"/>
          <w:sz w:val="24"/>
          <w:lang w:eastAsia="zh-CN"/>
        </w:rPr>
        <w:t>。</w:t>
      </w:r>
    </w:p>
    <w:p w14:paraId="79DB4923">
      <w:pPr>
        <w:snapToGrid w:val="0"/>
        <w:spacing w:line="440" w:lineRule="exact"/>
        <w:ind w:firstLine="480"/>
        <w:rPr>
          <w:rFonts w:hint="eastAsia" w:ascii="仿宋" w:hAnsi="仿宋" w:eastAsia="仿宋" w:cs="仿宋"/>
          <w:sz w:val="24"/>
          <w:lang w:val="en-US" w:eastAsia="zh-CN"/>
        </w:rPr>
      </w:pPr>
      <w:r>
        <w:rPr>
          <w:rFonts w:hint="eastAsia" w:ascii="仿宋" w:hAnsi="仿宋" w:eastAsia="仿宋" w:cs="仿宋"/>
          <w:sz w:val="24"/>
          <w:lang w:val="en-US" w:eastAsia="zh-CN"/>
        </w:rPr>
        <w:t>9.</w:t>
      </w:r>
      <w:r>
        <w:rPr>
          <w:rFonts w:hint="eastAsia" w:ascii="仿宋" w:hAnsi="仿宋" w:eastAsia="仿宋" w:cs="仿宋"/>
          <w:sz w:val="24"/>
        </w:rPr>
        <w:t>投标人应提供</w:t>
      </w:r>
      <w:r>
        <w:rPr>
          <w:rFonts w:hint="eastAsia" w:ascii="仿宋" w:hAnsi="仿宋" w:eastAsia="仿宋" w:cs="仿宋"/>
          <w:sz w:val="24"/>
          <w:lang w:eastAsia="zh-CN"/>
        </w:rPr>
        <w:t>售后质量服务承诺</w:t>
      </w:r>
      <w:r>
        <w:rPr>
          <w:rFonts w:hint="eastAsia" w:ascii="仿宋" w:hAnsi="仿宋" w:eastAsia="仿宋" w:cs="仿宋"/>
          <w:sz w:val="24"/>
          <w:lang w:val="en-US" w:eastAsia="zh-CN"/>
        </w:rPr>
        <w:t>、</w:t>
      </w:r>
      <w:r>
        <w:rPr>
          <w:rFonts w:hint="eastAsia" w:ascii="仿宋" w:hAnsi="仿宋" w:eastAsia="仿宋" w:cs="仿宋"/>
          <w:sz w:val="24"/>
        </w:rPr>
        <w:t>目标进度计划</w:t>
      </w:r>
      <w:r>
        <w:rPr>
          <w:rFonts w:hint="eastAsia" w:ascii="仿宋" w:hAnsi="仿宋" w:eastAsia="仿宋" w:cs="仿宋"/>
          <w:sz w:val="24"/>
          <w:lang w:val="en-US" w:eastAsia="zh-CN"/>
        </w:rPr>
        <w:t>。</w:t>
      </w:r>
    </w:p>
    <w:p w14:paraId="09A70AB7">
      <w:pPr>
        <w:snapToGrid w:val="0"/>
        <w:spacing w:line="440" w:lineRule="exact"/>
        <w:ind w:firstLine="480"/>
        <w:rPr>
          <w:rFonts w:hint="eastAsia" w:ascii="仿宋" w:hAnsi="仿宋" w:eastAsia="仿宋" w:cs="仿宋"/>
          <w:sz w:val="24"/>
        </w:rPr>
      </w:pPr>
      <w:r>
        <w:rPr>
          <w:rFonts w:hint="eastAsia" w:ascii="仿宋" w:hAnsi="仿宋" w:eastAsia="仿宋" w:cs="仿宋"/>
          <w:sz w:val="24"/>
        </w:rPr>
        <w:br w:type="page"/>
      </w:r>
    </w:p>
    <w:p w14:paraId="5F6FA70A">
      <w:pPr>
        <w:snapToGrid w:val="0"/>
        <w:spacing w:line="440" w:lineRule="exact"/>
        <w:jc w:val="center"/>
        <w:outlineLvl w:val="0"/>
        <w:rPr>
          <w:rFonts w:ascii="仿宋" w:hAnsi="仿宋" w:eastAsia="仿宋" w:cs="仿宋"/>
          <w:b/>
          <w:sz w:val="36"/>
          <w:szCs w:val="36"/>
        </w:rPr>
      </w:pPr>
      <w:r>
        <w:rPr>
          <w:rFonts w:hint="eastAsia" w:ascii="仿宋" w:hAnsi="仿宋" w:eastAsia="仿宋" w:cs="仿宋"/>
          <w:b/>
          <w:sz w:val="36"/>
          <w:szCs w:val="36"/>
        </w:rPr>
        <w:t>第四部分</w:t>
      </w:r>
      <w:bookmarkStart w:id="30" w:name="_Toc184312131"/>
      <w:bookmarkEnd w:id="30"/>
      <w:bookmarkStart w:id="31" w:name="_Toc184314448"/>
      <w:bookmarkEnd w:id="31"/>
      <w:bookmarkStart w:id="32" w:name="_Toc184313303"/>
      <w:bookmarkEnd w:id="32"/>
      <w:bookmarkStart w:id="33" w:name="_Toc184310324"/>
      <w:bookmarkEnd w:id="33"/>
      <w:bookmarkStart w:id="34" w:name="_Toc184308071"/>
      <w:bookmarkEnd w:id="34"/>
      <w:bookmarkStart w:id="35" w:name="_Toc184314451"/>
      <w:bookmarkEnd w:id="35"/>
      <w:bookmarkStart w:id="36" w:name="_Toc184310298"/>
      <w:bookmarkEnd w:id="36"/>
      <w:bookmarkStart w:id="37" w:name="_Toc184310312"/>
      <w:bookmarkEnd w:id="37"/>
      <w:bookmarkStart w:id="38" w:name="_Toc184310302"/>
      <w:bookmarkEnd w:id="38"/>
      <w:bookmarkStart w:id="39" w:name="_Toc184312086"/>
      <w:bookmarkEnd w:id="39"/>
      <w:bookmarkStart w:id="40" w:name="_Toc184312083"/>
      <w:bookmarkEnd w:id="40"/>
      <w:bookmarkStart w:id="41" w:name="_Toc184314477"/>
      <w:bookmarkEnd w:id="41"/>
      <w:bookmarkStart w:id="42" w:name="_Toc184313266"/>
      <w:bookmarkEnd w:id="42"/>
      <w:bookmarkStart w:id="43" w:name="_Toc184314445"/>
      <w:bookmarkEnd w:id="43"/>
      <w:bookmarkStart w:id="44" w:name="_Toc184310292"/>
      <w:bookmarkEnd w:id="44"/>
      <w:bookmarkStart w:id="45" w:name="_Toc184314417"/>
      <w:bookmarkEnd w:id="45"/>
      <w:bookmarkStart w:id="46" w:name="_Toc184313298"/>
      <w:bookmarkEnd w:id="46"/>
      <w:bookmarkStart w:id="47" w:name="_Toc184310304"/>
      <w:bookmarkEnd w:id="47"/>
      <w:bookmarkStart w:id="48" w:name="_Toc184308047"/>
      <w:bookmarkEnd w:id="48"/>
      <w:bookmarkStart w:id="49" w:name="_Toc184312111"/>
      <w:bookmarkEnd w:id="49"/>
      <w:bookmarkStart w:id="50" w:name="_Toc184313259"/>
      <w:bookmarkEnd w:id="50"/>
      <w:bookmarkStart w:id="51" w:name="_Toc184312117"/>
      <w:bookmarkEnd w:id="51"/>
      <w:bookmarkStart w:id="52" w:name="_Toc184313306"/>
      <w:bookmarkEnd w:id="52"/>
      <w:bookmarkStart w:id="53" w:name="_Toc184314476"/>
      <w:bookmarkEnd w:id="53"/>
      <w:bookmarkStart w:id="54" w:name="_Toc184313283"/>
      <w:bookmarkEnd w:id="54"/>
      <w:bookmarkStart w:id="55" w:name="_Toc184308104"/>
      <w:bookmarkEnd w:id="55"/>
      <w:bookmarkStart w:id="56" w:name="_Toc184314443"/>
      <w:bookmarkEnd w:id="56"/>
      <w:bookmarkStart w:id="57" w:name="_Toc184312090"/>
      <w:bookmarkEnd w:id="57"/>
      <w:bookmarkStart w:id="58" w:name="_Toc184314471"/>
      <w:bookmarkEnd w:id="58"/>
      <w:bookmarkStart w:id="59" w:name="_Toc184308077"/>
      <w:bookmarkEnd w:id="59"/>
      <w:bookmarkStart w:id="60" w:name="_Toc184312069"/>
      <w:bookmarkEnd w:id="60"/>
      <w:bookmarkStart w:id="61" w:name="_Toc184310306"/>
      <w:bookmarkEnd w:id="61"/>
      <w:bookmarkStart w:id="62" w:name="_Toc184314456"/>
      <w:bookmarkEnd w:id="62"/>
      <w:bookmarkStart w:id="63" w:name="_Toc184313262"/>
      <w:bookmarkEnd w:id="63"/>
      <w:bookmarkStart w:id="64" w:name="_Toc184313310"/>
      <w:bookmarkEnd w:id="64"/>
      <w:bookmarkStart w:id="65" w:name="_Toc184308107"/>
      <w:bookmarkEnd w:id="65"/>
      <w:bookmarkStart w:id="66" w:name="_Toc184313269"/>
      <w:bookmarkEnd w:id="66"/>
      <w:bookmarkStart w:id="67" w:name="_Toc184312108"/>
      <w:bookmarkEnd w:id="67"/>
      <w:bookmarkStart w:id="68" w:name="_Toc184314424"/>
      <w:bookmarkEnd w:id="68"/>
      <w:bookmarkStart w:id="69" w:name="_Toc184310325"/>
      <w:bookmarkEnd w:id="69"/>
      <w:bookmarkStart w:id="70" w:name="_Toc184308100"/>
      <w:bookmarkEnd w:id="70"/>
      <w:bookmarkStart w:id="71" w:name="_Toc184308102"/>
      <w:bookmarkEnd w:id="71"/>
      <w:bookmarkStart w:id="72" w:name="_Toc184310276"/>
      <w:bookmarkEnd w:id="72"/>
      <w:bookmarkStart w:id="73" w:name="_Toc184308103"/>
      <w:bookmarkEnd w:id="73"/>
      <w:bookmarkStart w:id="74" w:name="_Toc184312096"/>
      <w:bookmarkEnd w:id="74"/>
      <w:bookmarkStart w:id="75" w:name="_Toc184314447"/>
      <w:bookmarkEnd w:id="75"/>
      <w:bookmarkStart w:id="76" w:name="_Toc184313302"/>
      <w:bookmarkEnd w:id="76"/>
      <w:bookmarkStart w:id="77" w:name="_Toc184314439"/>
      <w:bookmarkEnd w:id="77"/>
      <w:bookmarkStart w:id="78" w:name="_Toc184313284"/>
      <w:bookmarkEnd w:id="78"/>
      <w:bookmarkStart w:id="79" w:name="_Toc184314450"/>
      <w:bookmarkEnd w:id="79"/>
      <w:bookmarkStart w:id="80" w:name="_Toc184308094"/>
      <w:bookmarkEnd w:id="80"/>
      <w:bookmarkStart w:id="81" w:name="_Toc184313241"/>
      <w:bookmarkEnd w:id="81"/>
      <w:bookmarkStart w:id="82" w:name="_Toc184312129"/>
      <w:bookmarkEnd w:id="82"/>
      <w:bookmarkStart w:id="83" w:name="_Toc184314414"/>
      <w:bookmarkEnd w:id="83"/>
      <w:bookmarkStart w:id="84" w:name="_Toc184308061"/>
      <w:bookmarkEnd w:id="84"/>
      <w:bookmarkStart w:id="85" w:name="_Toc184308081"/>
      <w:bookmarkEnd w:id="85"/>
      <w:bookmarkStart w:id="86" w:name="_Toc184310318"/>
      <w:bookmarkEnd w:id="86"/>
      <w:bookmarkStart w:id="87" w:name="_Toc184313304"/>
      <w:bookmarkEnd w:id="87"/>
      <w:bookmarkStart w:id="88" w:name="_Toc184313289"/>
      <w:bookmarkEnd w:id="88"/>
      <w:bookmarkStart w:id="89" w:name="_Toc184314425"/>
      <w:bookmarkEnd w:id="89"/>
      <w:bookmarkStart w:id="90" w:name="_Toc184308063"/>
      <w:bookmarkEnd w:id="90"/>
      <w:bookmarkStart w:id="91" w:name="_Toc184308042"/>
      <w:bookmarkEnd w:id="91"/>
      <w:bookmarkStart w:id="92" w:name="_Toc184314472"/>
      <w:bookmarkEnd w:id="92"/>
      <w:bookmarkStart w:id="93" w:name="_Toc184312125"/>
      <w:bookmarkEnd w:id="93"/>
      <w:bookmarkStart w:id="94" w:name="_Toc184310277"/>
      <w:bookmarkEnd w:id="94"/>
      <w:bookmarkStart w:id="95" w:name="_Toc184310344"/>
      <w:bookmarkEnd w:id="95"/>
      <w:bookmarkStart w:id="96" w:name="_Toc184314457"/>
      <w:bookmarkEnd w:id="96"/>
      <w:bookmarkStart w:id="97" w:name="_Toc184312097"/>
      <w:bookmarkEnd w:id="97"/>
      <w:bookmarkStart w:id="98" w:name="_Toc184313285"/>
      <w:bookmarkEnd w:id="98"/>
      <w:bookmarkStart w:id="99" w:name="_Toc184308051"/>
      <w:bookmarkEnd w:id="99"/>
      <w:bookmarkStart w:id="100" w:name="_Toc184313263"/>
      <w:bookmarkEnd w:id="100"/>
      <w:bookmarkStart w:id="101" w:name="_Toc184312103"/>
      <w:bookmarkEnd w:id="101"/>
      <w:bookmarkStart w:id="102" w:name="_Toc184314429"/>
      <w:bookmarkEnd w:id="102"/>
      <w:bookmarkStart w:id="103" w:name="_Toc184313270"/>
      <w:bookmarkEnd w:id="103"/>
      <w:bookmarkStart w:id="104" w:name="_Toc184312107"/>
      <w:bookmarkEnd w:id="104"/>
      <w:bookmarkStart w:id="105" w:name="_Toc184314411"/>
      <w:bookmarkEnd w:id="105"/>
      <w:bookmarkStart w:id="106" w:name="_Toc184308086"/>
      <w:bookmarkEnd w:id="106"/>
      <w:bookmarkStart w:id="107" w:name="_Toc184314422"/>
      <w:bookmarkEnd w:id="107"/>
      <w:bookmarkStart w:id="108" w:name="_Toc184310282"/>
      <w:bookmarkEnd w:id="108"/>
      <w:bookmarkStart w:id="109" w:name="_Toc184313282"/>
      <w:bookmarkEnd w:id="109"/>
      <w:bookmarkStart w:id="110" w:name="_Toc184314444"/>
      <w:bookmarkEnd w:id="110"/>
      <w:bookmarkStart w:id="111" w:name="_Toc184314435"/>
      <w:bookmarkEnd w:id="111"/>
      <w:bookmarkStart w:id="112" w:name="_Toc184313255"/>
      <w:bookmarkEnd w:id="112"/>
      <w:bookmarkStart w:id="113" w:name="_Toc184313278"/>
      <w:bookmarkEnd w:id="113"/>
      <w:bookmarkStart w:id="114" w:name="_Toc184313260"/>
      <w:bookmarkEnd w:id="114"/>
      <w:bookmarkStart w:id="115" w:name="_Toc184313287"/>
      <w:bookmarkEnd w:id="115"/>
      <w:bookmarkStart w:id="116" w:name="_Toc184313288"/>
      <w:bookmarkEnd w:id="116"/>
      <w:bookmarkStart w:id="117" w:name="_Toc184310290"/>
      <w:bookmarkEnd w:id="117"/>
      <w:bookmarkStart w:id="118" w:name="_Toc184312106"/>
      <w:bookmarkEnd w:id="118"/>
      <w:bookmarkStart w:id="119" w:name="_Toc184313292"/>
      <w:bookmarkEnd w:id="119"/>
      <w:bookmarkStart w:id="120" w:name="_Toc184314478"/>
      <w:bookmarkEnd w:id="120"/>
      <w:bookmarkStart w:id="121" w:name="_Toc184314470"/>
      <w:bookmarkEnd w:id="121"/>
      <w:bookmarkStart w:id="122" w:name="_Toc184313265"/>
      <w:bookmarkEnd w:id="122"/>
      <w:bookmarkStart w:id="123" w:name="_Toc184314459"/>
      <w:bookmarkEnd w:id="123"/>
      <w:bookmarkStart w:id="124" w:name="_Toc184312105"/>
      <w:bookmarkEnd w:id="124"/>
      <w:bookmarkStart w:id="125" w:name="_Toc184313276"/>
      <w:bookmarkEnd w:id="125"/>
      <w:bookmarkStart w:id="126" w:name="_Toc184308064"/>
      <w:bookmarkEnd w:id="126"/>
      <w:bookmarkStart w:id="127" w:name="_Toc184313305"/>
      <w:bookmarkEnd w:id="127"/>
      <w:bookmarkStart w:id="128" w:name="_Toc184314482"/>
      <w:bookmarkEnd w:id="128"/>
      <w:bookmarkStart w:id="129" w:name="_Toc184314479"/>
      <w:bookmarkEnd w:id="129"/>
      <w:bookmarkStart w:id="130" w:name="_Toc184313271"/>
      <w:bookmarkEnd w:id="130"/>
      <w:bookmarkStart w:id="131" w:name="_Toc184310289"/>
      <w:bookmarkEnd w:id="131"/>
      <w:bookmarkStart w:id="132" w:name="_Toc184310285"/>
      <w:bookmarkEnd w:id="132"/>
      <w:bookmarkStart w:id="133" w:name="_Toc184314455"/>
      <w:bookmarkEnd w:id="133"/>
      <w:bookmarkStart w:id="134" w:name="_Toc184312079"/>
      <w:bookmarkEnd w:id="134"/>
      <w:bookmarkStart w:id="135" w:name="_Toc184308080"/>
      <w:bookmarkEnd w:id="135"/>
      <w:bookmarkStart w:id="136" w:name="_Toc184310322"/>
      <w:bookmarkEnd w:id="136"/>
      <w:bookmarkStart w:id="137" w:name="_Toc184314475"/>
      <w:bookmarkEnd w:id="137"/>
      <w:bookmarkStart w:id="138" w:name="_Toc184308066"/>
      <w:bookmarkEnd w:id="138"/>
      <w:bookmarkStart w:id="139" w:name="_Toc184314454"/>
      <w:bookmarkEnd w:id="139"/>
      <w:bookmarkStart w:id="140" w:name="_Toc184313286"/>
      <w:bookmarkEnd w:id="140"/>
      <w:bookmarkStart w:id="141" w:name="_Toc184312127"/>
      <w:bookmarkEnd w:id="141"/>
      <w:bookmarkStart w:id="142" w:name="_Toc184308067"/>
      <w:bookmarkEnd w:id="142"/>
      <w:bookmarkStart w:id="143" w:name="_Toc184313239"/>
      <w:bookmarkEnd w:id="143"/>
      <w:bookmarkStart w:id="144" w:name="_Toc184313258"/>
      <w:bookmarkEnd w:id="144"/>
      <w:bookmarkStart w:id="145" w:name="_Toc184308099"/>
      <w:bookmarkEnd w:id="145"/>
      <w:bookmarkStart w:id="146" w:name="_Toc184312098"/>
      <w:bookmarkEnd w:id="146"/>
      <w:bookmarkStart w:id="147" w:name="_Toc184314440"/>
      <w:bookmarkEnd w:id="147"/>
      <w:bookmarkStart w:id="148" w:name="_Toc184308056"/>
      <w:bookmarkEnd w:id="148"/>
      <w:bookmarkStart w:id="149" w:name="_Toc184313242"/>
      <w:bookmarkEnd w:id="149"/>
      <w:bookmarkStart w:id="150" w:name="_Toc184312100"/>
      <w:bookmarkEnd w:id="150"/>
      <w:bookmarkStart w:id="151" w:name="_Toc184310307"/>
      <w:bookmarkEnd w:id="151"/>
      <w:bookmarkStart w:id="152" w:name="_Toc184313280"/>
      <w:bookmarkEnd w:id="152"/>
      <w:bookmarkStart w:id="153" w:name="_Toc184312071"/>
      <w:bookmarkEnd w:id="153"/>
      <w:bookmarkStart w:id="154" w:name="_Toc184310274"/>
      <w:bookmarkEnd w:id="154"/>
      <w:bookmarkStart w:id="155" w:name="_Toc184308069"/>
      <w:bookmarkEnd w:id="155"/>
      <w:bookmarkStart w:id="156" w:name="_Toc184310303"/>
      <w:bookmarkEnd w:id="156"/>
      <w:bookmarkStart w:id="157" w:name="_Toc184308073"/>
      <w:bookmarkEnd w:id="157"/>
      <w:bookmarkStart w:id="158" w:name="_Toc184312126"/>
      <w:bookmarkEnd w:id="158"/>
      <w:bookmarkStart w:id="159" w:name="_Toc184313295"/>
      <w:bookmarkEnd w:id="159"/>
      <w:bookmarkStart w:id="160" w:name="_Toc184310281"/>
      <w:bookmarkEnd w:id="160"/>
      <w:bookmarkStart w:id="161" w:name="_Toc184314415"/>
      <w:bookmarkEnd w:id="161"/>
      <w:bookmarkStart w:id="162" w:name="_Toc184308089"/>
      <w:bookmarkEnd w:id="162"/>
      <w:bookmarkStart w:id="163" w:name="_Toc184313264"/>
      <w:bookmarkEnd w:id="163"/>
      <w:bookmarkStart w:id="164" w:name="_Toc184314469"/>
      <w:bookmarkEnd w:id="164"/>
      <w:bookmarkStart w:id="165" w:name="_Toc184310336"/>
      <w:bookmarkEnd w:id="165"/>
      <w:bookmarkStart w:id="166" w:name="_Toc184312102"/>
      <w:bookmarkEnd w:id="166"/>
      <w:bookmarkStart w:id="167" w:name="_Toc184312093"/>
      <w:bookmarkEnd w:id="167"/>
      <w:bookmarkStart w:id="168" w:name="_Toc184313254"/>
      <w:bookmarkEnd w:id="168"/>
      <w:bookmarkStart w:id="169" w:name="_Toc184310319"/>
      <w:bookmarkEnd w:id="169"/>
      <w:bookmarkStart w:id="170" w:name="_Toc184314421"/>
      <w:bookmarkEnd w:id="170"/>
      <w:bookmarkStart w:id="171" w:name="_Toc184310316"/>
      <w:bookmarkEnd w:id="171"/>
      <w:bookmarkStart w:id="172" w:name="_Toc184313307"/>
      <w:bookmarkEnd w:id="172"/>
      <w:bookmarkStart w:id="173" w:name="_Toc184314465"/>
      <w:bookmarkEnd w:id="173"/>
      <w:bookmarkStart w:id="174" w:name="_Toc184308055"/>
      <w:bookmarkEnd w:id="174"/>
      <w:bookmarkStart w:id="175" w:name="_Toc184313309"/>
      <w:bookmarkEnd w:id="175"/>
      <w:bookmarkStart w:id="176" w:name="_Toc184314431"/>
      <w:bookmarkEnd w:id="176"/>
      <w:bookmarkStart w:id="177" w:name="_Toc184313245"/>
      <w:bookmarkEnd w:id="177"/>
      <w:bookmarkStart w:id="178" w:name="_Toc184308101"/>
      <w:bookmarkEnd w:id="178"/>
      <w:bookmarkStart w:id="179" w:name="_Toc184314464"/>
      <w:bookmarkEnd w:id="179"/>
      <w:bookmarkStart w:id="180" w:name="_Toc184310315"/>
      <w:bookmarkEnd w:id="180"/>
      <w:bookmarkStart w:id="181" w:name="_Toc184314428"/>
      <w:bookmarkEnd w:id="181"/>
      <w:bookmarkStart w:id="182" w:name="_Toc184308106"/>
      <w:bookmarkEnd w:id="182"/>
      <w:bookmarkStart w:id="183" w:name="_Toc184310320"/>
      <w:bookmarkEnd w:id="183"/>
      <w:bookmarkStart w:id="184" w:name="_Toc184312128"/>
      <w:bookmarkEnd w:id="184"/>
      <w:bookmarkStart w:id="185" w:name="_Toc184312119"/>
      <w:bookmarkEnd w:id="185"/>
      <w:bookmarkStart w:id="186" w:name="_Toc184314480"/>
      <w:bookmarkEnd w:id="186"/>
      <w:bookmarkStart w:id="187" w:name="_Toc184310273"/>
      <w:bookmarkEnd w:id="187"/>
      <w:bookmarkStart w:id="188" w:name="_Toc184314460"/>
      <w:bookmarkEnd w:id="188"/>
      <w:bookmarkStart w:id="189" w:name="_Toc184314481"/>
      <w:bookmarkEnd w:id="189"/>
      <w:bookmarkStart w:id="190" w:name="_Toc184310288"/>
      <w:bookmarkEnd w:id="190"/>
      <w:bookmarkStart w:id="191" w:name="_Toc184313300"/>
      <w:bookmarkEnd w:id="191"/>
      <w:bookmarkStart w:id="192" w:name="_Toc184313240"/>
      <w:bookmarkEnd w:id="192"/>
      <w:bookmarkStart w:id="193" w:name="_Toc184308062"/>
      <w:bookmarkEnd w:id="193"/>
      <w:bookmarkStart w:id="194" w:name="_Toc184308070"/>
      <w:bookmarkEnd w:id="194"/>
      <w:bookmarkStart w:id="195" w:name="_Toc184314473"/>
      <w:bookmarkEnd w:id="195"/>
      <w:bookmarkStart w:id="196" w:name="_Toc184308082"/>
      <w:bookmarkEnd w:id="196"/>
      <w:bookmarkStart w:id="197" w:name="_Toc184312077"/>
      <w:bookmarkEnd w:id="197"/>
      <w:bookmarkStart w:id="198" w:name="_Toc184313268"/>
      <w:bookmarkEnd w:id="198"/>
      <w:bookmarkStart w:id="199" w:name="_Toc184310321"/>
      <w:bookmarkEnd w:id="199"/>
      <w:bookmarkStart w:id="200" w:name="_Toc184310284"/>
      <w:bookmarkEnd w:id="200"/>
      <w:bookmarkStart w:id="201" w:name="_Toc184312091"/>
      <w:bookmarkEnd w:id="201"/>
      <w:bookmarkStart w:id="202" w:name="_Toc184308078"/>
      <w:bookmarkEnd w:id="202"/>
      <w:bookmarkStart w:id="203" w:name="_Toc184310342"/>
      <w:bookmarkEnd w:id="203"/>
      <w:bookmarkStart w:id="204" w:name="_Toc184308072"/>
      <w:bookmarkEnd w:id="204"/>
      <w:bookmarkStart w:id="205" w:name="_Toc184310280"/>
      <w:bookmarkEnd w:id="205"/>
      <w:bookmarkStart w:id="206" w:name="_Toc184310294"/>
      <w:bookmarkEnd w:id="206"/>
      <w:bookmarkStart w:id="207" w:name="_Toc184312109"/>
      <w:bookmarkEnd w:id="207"/>
      <w:bookmarkStart w:id="208" w:name="_Toc184314446"/>
      <w:bookmarkEnd w:id="208"/>
      <w:bookmarkStart w:id="209" w:name="_Toc184313281"/>
      <w:bookmarkEnd w:id="209"/>
      <w:bookmarkStart w:id="210" w:name="_Toc184312116"/>
      <w:bookmarkEnd w:id="210"/>
      <w:bookmarkStart w:id="211" w:name="_Toc184313274"/>
      <w:bookmarkEnd w:id="211"/>
      <w:bookmarkStart w:id="212" w:name="_Toc184310335"/>
      <w:bookmarkEnd w:id="212"/>
      <w:bookmarkStart w:id="213" w:name="_Toc184313256"/>
      <w:bookmarkEnd w:id="213"/>
      <w:bookmarkStart w:id="214" w:name="_Toc184308068"/>
      <w:bookmarkEnd w:id="214"/>
      <w:bookmarkStart w:id="215" w:name="_Toc184314463"/>
      <w:bookmarkEnd w:id="215"/>
      <w:bookmarkStart w:id="216" w:name="_Toc184310341"/>
      <w:bookmarkEnd w:id="216"/>
      <w:bookmarkStart w:id="217" w:name="_Toc184312122"/>
      <w:bookmarkEnd w:id="217"/>
      <w:bookmarkStart w:id="218" w:name="_Toc184312099"/>
      <w:bookmarkEnd w:id="218"/>
      <w:bookmarkStart w:id="219" w:name="_Toc184313247"/>
      <w:bookmarkEnd w:id="219"/>
      <w:bookmarkStart w:id="220" w:name="_Toc184314438"/>
      <w:bookmarkEnd w:id="220"/>
      <w:bookmarkStart w:id="221" w:name="_Toc184312135"/>
      <w:bookmarkEnd w:id="221"/>
      <w:bookmarkStart w:id="222" w:name="_Toc184314466"/>
      <w:bookmarkEnd w:id="222"/>
      <w:bookmarkStart w:id="223" w:name="_Toc184308037"/>
      <w:bookmarkEnd w:id="223"/>
      <w:bookmarkStart w:id="224" w:name="_Toc184308040"/>
      <w:bookmarkEnd w:id="224"/>
      <w:bookmarkStart w:id="225" w:name="_Toc184308087"/>
      <w:bookmarkEnd w:id="225"/>
      <w:bookmarkStart w:id="226" w:name="_Toc184310296"/>
      <w:bookmarkEnd w:id="226"/>
      <w:bookmarkStart w:id="227" w:name="_Toc184308060"/>
      <w:bookmarkEnd w:id="227"/>
      <w:bookmarkStart w:id="228" w:name="_Toc184308084"/>
      <w:bookmarkEnd w:id="228"/>
      <w:bookmarkStart w:id="229" w:name="_Toc184314436"/>
      <w:bookmarkEnd w:id="229"/>
      <w:bookmarkStart w:id="230" w:name="_Toc184312130"/>
      <w:bookmarkEnd w:id="230"/>
      <w:bookmarkStart w:id="231" w:name="_Toc184312120"/>
      <w:bookmarkEnd w:id="231"/>
      <w:bookmarkStart w:id="232" w:name="_Toc184312088"/>
      <w:bookmarkEnd w:id="232"/>
      <w:bookmarkStart w:id="233" w:name="_Toc184308050"/>
      <w:bookmarkEnd w:id="233"/>
      <w:bookmarkStart w:id="234" w:name="_Toc184313277"/>
      <w:bookmarkEnd w:id="234"/>
      <w:bookmarkStart w:id="235" w:name="_Toc184314458"/>
      <w:bookmarkEnd w:id="235"/>
      <w:bookmarkStart w:id="236" w:name="_Toc184312110"/>
      <w:bookmarkEnd w:id="236"/>
      <w:bookmarkStart w:id="237" w:name="_Toc184308053"/>
      <w:bookmarkEnd w:id="237"/>
      <w:bookmarkStart w:id="238" w:name="_Toc184314412"/>
      <w:bookmarkEnd w:id="238"/>
      <w:bookmarkStart w:id="239" w:name="_Toc184312136"/>
      <w:bookmarkEnd w:id="239"/>
      <w:bookmarkStart w:id="240" w:name="_Toc184310333"/>
      <w:bookmarkEnd w:id="240"/>
      <w:bookmarkStart w:id="241" w:name="_Toc184313244"/>
      <w:bookmarkEnd w:id="241"/>
      <w:bookmarkStart w:id="242" w:name="_Toc184308074"/>
      <w:bookmarkEnd w:id="242"/>
      <w:bookmarkStart w:id="243" w:name="_Toc184313273"/>
      <w:bookmarkEnd w:id="243"/>
      <w:bookmarkStart w:id="244" w:name="_Toc184313257"/>
      <w:bookmarkEnd w:id="244"/>
      <w:bookmarkStart w:id="245" w:name="_Toc184308092"/>
      <w:bookmarkEnd w:id="245"/>
      <w:bookmarkStart w:id="246" w:name="_Toc184314462"/>
      <w:bookmarkEnd w:id="246"/>
      <w:bookmarkStart w:id="247" w:name="_Toc184310323"/>
      <w:bookmarkEnd w:id="247"/>
      <w:bookmarkStart w:id="248" w:name="_Toc184308096"/>
      <w:bookmarkEnd w:id="248"/>
      <w:bookmarkStart w:id="249" w:name="_Toc184312075"/>
      <w:bookmarkEnd w:id="249"/>
      <w:bookmarkStart w:id="250" w:name="_Toc184312101"/>
      <w:bookmarkEnd w:id="250"/>
      <w:bookmarkStart w:id="251" w:name="_Toc184310339"/>
      <w:bookmarkEnd w:id="251"/>
      <w:bookmarkStart w:id="252" w:name="_Toc184314468"/>
      <w:bookmarkEnd w:id="252"/>
      <w:bookmarkStart w:id="253" w:name="_Toc184314423"/>
      <w:bookmarkEnd w:id="253"/>
      <w:bookmarkStart w:id="254" w:name="_Toc184310293"/>
      <w:bookmarkEnd w:id="254"/>
      <w:bookmarkStart w:id="255" w:name="_Toc184308038"/>
      <w:bookmarkEnd w:id="255"/>
      <w:bookmarkStart w:id="256" w:name="_Toc184312132"/>
      <w:bookmarkEnd w:id="256"/>
      <w:bookmarkStart w:id="257" w:name="_Toc184312138"/>
      <w:bookmarkEnd w:id="257"/>
      <w:bookmarkStart w:id="258" w:name="_Toc184310283"/>
      <w:bookmarkEnd w:id="258"/>
      <w:bookmarkStart w:id="259" w:name="_Toc184312082"/>
      <w:bookmarkEnd w:id="259"/>
      <w:bookmarkStart w:id="260" w:name="_Toc184312137"/>
      <w:bookmarkEnd w:id="260"/>
      <w:bookmarkStart w:id="261" w:name="_Toc184314416"/>
      <w:bookmarkEnd w:id="261"/>
      <w:bookmarkStart w:id="262" w:name="_Toc184310317"/>
      <w:bookmarkEnd w:id="262"/>
      <w:bookmarkStart w:id="263" w:name="_Toc184312094"/>
      <w:bookmarkEnd w:id="263"/>
      <w:bookmarkStart w:id="264" w:name="_Toc184313261"/>
      <w:bookmarkEnd w:id="264"/>
      <w:bookmarkStart w:id="265" w:name="_Toc184312133"/>
      <w:bookmarkEnd w:id="265"/>
      <w:bookmarkStart w:id="266" w:name="_Toc184312134"/>
      <w:bookmarkEnd w:id="266"/>
      <w:bookmarkStart w:id="267" w:name="_Toc184308088"/>
      <w:bookmarkEnd w:id="267"/>
      <w:bookmarkStart w:id="268" w:name="_Toc184312095"/>
      <w:bookmarkEnd w:id="268"/>
      <w:bookmarkStart w:id="269" w:name="_Toc184310297"/>
      <w:bookmarkEnd w:id="269"/>
      <w:bookmarkStart w:id="270" w:name="_Toc184312124"/>
      <w:bookmarkEnd w:id="270"/>
      <w:bookmarkStart w:id="271" w:name="_Toc184312074"/>
      <w:bookmarkEnd w:id="271"/>
      <w:bookmarkStart w:id="272" w:name="_Toc184310301"/>
      <w:bookmarkEnd w:id="272"/>
      <w:bookmarkStart w:id="273" w:name="_Toc184310311"/>
      <w:bookmarkEnd w:id="273"/>
      <w:bookmarkStart w:id="274" w:name="_Toc184313252"/>
      <w:bookmarkEnd w:id="274"/>
      <w:bookmarkStart w:id="275" w:name="_Toc184313290"/>
      <w:bookmarkEnd w:id="275"/>
      <w:bookmarkStart w:id="276" w:name="_Toc184313297"/>
      <w:bookmarkEnd w:id="276"/>
      <w:bookmarkStart w:id="277" w:name="_Toc184314461"/>
      <w:bookmarkEnd w:id="277"/>
      <w:bookmarkStart w:id="278" w:name="_Toc184313249"/>
      <w:bookmarkEnd w:id="278"/>
      <w:bookmarkStart w:id="279" w:name="_Toc184314452"/>
      <w:bookmarkEnd w:id="279"/>
      <w:bookmarkStart w:id="280" w:name="_Toc184308058"/>
      <w:bookmarkEnd w:id="280"/>
      <w:bookmarkStart w:id="281" w:name="_Toc184310314"/>
      <w:bookmarkEnd w:id="281"/>
      <w:bookmarkStart w:id="282" w:name="_Toc184313251"/>
      <w:bookmarkEnd w:id="282"/>
      <w:bookmarkStart w:id="283" w:name="_Toc184310334"/>
      <w:bookmarkEnd w:id="283"/>
      <w:bookmarkStart w:id="284" w:name="_Toc184312089"/>
      <w:bookmarkEnd w:id="284"/>
      <w:bookmarkStart w:id="285" w:name="_Toc184313301"/>
      <w:bookmarkEnd w:id="285"/>
      <w:bookmarkStart w:id="286" w:name="_Toc184312084"/>
      <w:bookmarkEnd w:id="286"/>
      <w:bookmarkStart w:id="287" w:name="_Toc184313299"/>
      <w:bookmarkEnd w:id="287"/>
      <w:bookmarkStart w:id="288" w:name="_Toc184313267"/>
      <w:bookmarkEnd w:id="288"/>
      <w:bookmarkStart w:id="289" w:name="_Toc184312073"/>
      <w:bookmarkEnd w:id="289"/>
      <w:bookmarkStart w:id="290" w:name="_Toc184310328"/>
      <w:bookmarkEnd w:id="290"/>
      <w:bookmarkStart w:id="291" w:name="_Toc184308059"/>
      <w:bookmarkEnd w:id="291"/>
      <w:bookmarkStart w:id="292" w:name="_Toc184312092"/>
      <w:bookmarkEnd w:id="292"/>
      <w:bookmarkStart w:id="293" w:name="_Toc184308083"/>
      <w:bookmarkEnd w:id="293"/>
      <w:bookmarkStart w:id="294" w:name="_Toc184312078"/>
      <w:bookmarkEnd w:id="294"/>
      <w:bookmarkStart w:id="295" w:name="_Toc184308091"/>
      <w:bookmarkEnd w:id="295"/>
      <w:bookmarkStart w:id="296" w:name="_Toc184314430"/>
      <w:bookmarkEnd w:id="296"/>
      <w:bookmarkStart w:id="297" w:name="_Toc184310337"/>
      <w:bookmarkEnd w:id="297"/>
      <w:bookmarkStart w:id="298" w:name="_Toc184313246"/>
      <w:bookmarkEnd w:id="298"/>
      <w:bookmarkStart w:id="299" w:name="_Toc184314449"/>
      <w:bookmarkEnd w:id="299"/>
      <w:bookmarkStart w:id="300" w:name="_Toc184310287"/>
      <w:bookmarkEnd w:id="300"/>
      <w:bookmarkStart w:id="301" w:name="_Toc184310330"/>
      <w:bookmarkEnd w:id="301"/>
      <w:bookmarkStart w:id="302" w:name="_Toc184308076"/>
      <w:bookmarkEnd w:id="302"/>
      <w:bookmarkStart w:id="303" w:name="_Toc184312087"/>
      <w:bookmarkEnd w:id="303"/>
      <w:bookmarkStart w:id="304" w:name="_Toc184314437"/>
      <w:bookmarkEnd w:id="304"/>
      <w:bookmarkStart w:id="305" w:name="_Toc184313291"/>
      <w:bookmarkEnd w:id="305"/>
      <w:bookmarkStart w:id="306" w:name="_Toc184308057"/>
      <w:bookmarkEnd w:id="306"/>
      <w:bookmarkStart w:id="307" w:name="_Toc184312112"/>
      <w:bookmarkEnd w:id="307"/>
      <w:bookmarkStart w:id="308" w:name="_Toc184310331"/>
      <w:bookmarkEnd w:id="308"/>
      <w:bookmarkStart w:id="309" w:name="_Toc184308041"/>
      <w:bookmarkEnd w:id="309"/>
      <w:bookmarkStart w:id="310" w:name="_Toc184312104"/>
      <w:bookmarkEnd w:id="310"/>
      <w:bookmarkStart w:id="311" w:name="_Toc184313248"/>
      <w:bookmarkEnd w:id="311"/>
      <w:bookmarkStart w:id="312" w:name="_Toc184310338"/>
      <w:bookmarkEnd w:id="312"/>
      <w:bookmarkStart w:id="313" w:name="_Toc184308045"/>
      <w:bookmarkEnd w:id="313"/>
      <w:bookmarkStart w:id="314" w:name="_Toc184308075"/>
      <w:bookmarkEnd w:id="314"/>
      <w:bookmarkStart w:id="315" w:name="_Toc184314426"/>
      <w:bookmarkEnd w:id="315"/>
      <w:bookmarkStart w:id="316" w:name="_Toc184313243"/>
      <w:bookmarkEnd w:id="316"/>
      <w:bookmarkStart w:id="317" w:name="_Toc184310278"/>
      <w:bookmarkEnd w:id="317"/>
      <w:bookmarkStart w:id="318" w:name="_Toc184313294"/>
      <w:bookmarkEnd w:id="318"/>
      <w:bookmarkStart w:id="319" w:name="_Toc184308085"/>
      <w:bookmarkEnd w:id="319"/>
      <w:bookmarkStart w:id="320" w:name="_Toc184313279"/>
      <w:bookmarkEnd w:id="320"/>
      <w:bookmarkStart w:id="321" w:name="_Toc184312115"/>
      <w:bookmarkEnd w:id="321"/>
      <w:bookmarkStart w:id="322" w:name="_Toc184308095"/>
      <w:bookmarkEnd w:id="322"/>
      <w:bookmarkStart w:id="323" w:name="_Toc184308052"/>
      <w:bookmarkEnd w:id="323"/>
      <w:bookmarkStart w:id="324" w:name="_Toc184310326"/>
      <w:bookmarkEnd w:id="324"/>
      <w:bookmarkStart w:id="325" w:name="_Toc184313308"/>
      <w:bookmarkEnd w:id="325"/>
      <w:bookmarkStart w:id="326" w:name="_Toc184314474"/>
      <w:bookmarkEnd w:id="326"/>
      <w:bookmarkStart w:id="327" w:name="_Toc184310299"/>
      <w:bookmarkEnd w:id="327"/>
      <w:bookmarkStart w:id="328" w:name="_Toc184310295"/>
      <w:bookmarkEnd w:id="328"/>
      <w:bookmarkStart w:id="329" w:name="_Toc184308036"/>
      <w:bookmarkEnd w:id="329"/>
      <w:bookmarkStart w:id="330" w:name="_Toc184312139"/>
      <w:bookmarkEnd w:id="330"/>
      <w:bookmarkStart w:id="331" w:name="_Toc184310286"/>
      <w:bookmarkEnd w:id="331"/>
      <w:bookmarkStart w:id="332" w:name="_Toc184314419"/>
      <w:bookmarkEnd w:id="332"/>
      <w:bookmarkStart w:id="333" w:name="_Toc184312121"/>
      <w:bookmarkEnd w:id="333"/>
      <w:bookmarkStart w:id="334" w:name="_Toc184312081"/>
      <w:bookmarkEnd w:id="334"/>
      <w:bookmarkStart w:id="335" w:name="_Toc184313293"/>
      <w:bookmarkEnd w:id="335"/>
      <w:bookmarkStart w:id="336" w:name="_Toc184312080"/>
      <w:bookmarkEnd w:id="336"/>
      <w:bookmarkStart w:id="337" w:name="_Toc184312113"/>
      <w:bookmarkEnd w:id="337"/>
      <w:bookmarkStart w:id="338" w:name="_Toc184312072"/>
      <w:bookmarkEnd w:id="338"/>
      <w:bookmarkStart w:id="339" w:name="_Toc184312076"/>
      <w:bookmarkEnd w:id="339"/>
      <w:bookmarkStart w:id="340" w:name="_Toc184310300"/>
      <w:bookmarkEnd w:id="340"/>
      <w:bookmarkStart w:id="341" w:name="_Toc184310310"/>
      <w:bookmarkEnd w:id="341"/>
      <w:bookmarkStart w:id="342" w:name="_Toc184313250"/>
      <w:bookmarkEnd w:id="342"/>
      <w:bookmarkStart w:id="343" w:name="_Toc184312118"/>
      <w:bookmarkEnd w:id="343"/>
      <w:bookmarkStart w:id="344" w:name="_Toc184310308"/>
      <w:bookmarkEnd w:id="344"/>
      <w:bookmarkStart w:id="345" w:name="_Toc184310343"/>
      <w:bookmarkEnd w:id="345"/>
      <w:bookmarkStart w:id="346" w:name="_Toc184314418"/>
      <w:bookmarkEnd w:id="346"/>
      <w:bookmarkStart w:id="347" w:name="_Toc184312068"/>
      <w:bookmarkEnd w:id="347"/>
      <w:bookmarkStart w:id="348" w:name="_Toc184312123"/>
      <w:bookmarkEnd w:id="348"/>
      <w:bookmarkStart w:id="349" w:name="_Toc184310275"/>
      <w:bookmarkEnd w:id="349"/>
      <w:bookmarkStart w:id="350" w:name="_Toc184310279"/>
      <w:bookmarkEnd w:id="350"/>
      <w:bookmarkStart w:id="351" w:name="_Toc184308090"/>
      <w:bookmarkEnd w:id="351"/>
      <w:bookmarkStart w:id="352" w:name="_Toc184308043"/>
      <w:bookmarkEnd w:id="352"/>
      <w:bookmarkStart w:id="353" w:name="_Toc184310291"/>
      <w:bookmarkEnd w:id="353"/>
      <w:bookmarkStart w:id="354" w:name="_Toc184314442"/>
      <w:bookmarkEnd w:id="354"/>
      <w:bookmarkStart w:id="355" w:name="_Toc184310340"/>
      <w:bookmarkEnd w:id="355"/>
      <w:bookmarkStart w:id="356" w:name="_Toc184310305"/>
      <w:bookmarkEnd w:id="356"/>
      <w:bookmarkStart w:id="357" w:name="_Toc184312067"/>
      <w:bookmarkEnd w:id="357"/>
      <w:bookmarkStart w:id="358" w:name="_Toc184308065"/>
      <w:bookmarkEnd w:id="358"/>
      <w:bookmarkStart w:id="359" w:name="_Toc184313272"/>
      <w:bookmarkEnd w:id="359"/>
      <w:bookmarkStart w:id="360" w:name="_Toc184313253"/>
      <w:bookmarkEnd w:id="360"/>
      <w:bookmarkStart w:id="361" w:name="_Toc184313275"/>
      <w:bookmarkEnd w:id="361"/>
      <w:bookmarkStart w:id="362" w:name="_Toc184308049"/>
      <w:bookmarkEnd w:id="362"/>
      <w:bookmarkStart w:id="363" w:name="_Toc184308098"/>
      <w:bookmarkEnd w:id="363"/>
      <w:bookmarkStart w:id="364" w:name="_Toc184314432"/>
      <w:bookmarkEnd w:id="364"/>
      <w:bookmarkStart w:id="365" w:name="_Toc184308054"/>
      <w:bookmarkEnd w:id="365"/>
      <w:bookmarkStart w:id="366" w:name="_Toc184308108"/>
      <w:bookmarkEnd w:id="366"/>
      <w:bookmarkStart w:id="367" w:name="_Toc184313296"/>
      <w:bookmarkEnd w:id="367"/>
      <w:bookmarkStart w:id="368" w:name="_Toc184314453"/>
      <w:bookmarkEnd w:id="368"/>
      <w:bookmarkStart w:id="369" w:name="_Toc184314433"/>
      <w:bookmarkEnd w:id="369"/>
      <w:bookmarkStart w:id="370" w:name="_Toc184310329"/>
      <w:bookmarkEnd w:id="370"/>
      <w:bookmarkStart w:id="371" w:name="_Toc184312070"/>
      <w:bookmarkEnd w:id="371"/>
      <w:bookmarkStart w:id="372" w:name="_Toc184308048"/>
      <w:bookmarkEnd w:id="372"/>
      <w:bookmarkStart w:id="373" w:name="_Toc184314441"/>
      <w:bookmarkEnd w:id="373"/>
      <w:bookmarkStart w:id="374" w:name="_Toc184313238"/>
      <w:bookmarkEnd w:id="374"/>
      <w:bookmarkStart w:id="375" w:name="_Toc184312085"/>
      <w:bookmarkEnd w:id="375"/>
      <w:bookmarkStart w:id="376" w:name="_Toc184308097"/>
      <w:bookmarkEnd w:id="376"/>
      <w:bookmarkStart w:id="377" w:name="_Toc184308105"/>
      <w:bookmarkEnd w:id="377"/>
      <w:bookmarkStart w:id="378" w:name="_Toc184314467"/>
      <w:bookmarkEnd w:id="378"/>
      <w:bookmarkStart w:id="379" w:name="_Toc184310327"/>
      <w:bookmarkEnd w:id="379"/>
      <w:bookmarkStart w:id="380" w:name="_Toc184308046"/>
      <w:bookmarkEnd w:id="380"/>
      <w:bookmarkStart w:id="381" w:name="_Toc184312114"/>
      <w:bookmarkEnd w:id="381"/>
      <w:bookmarkStart w:id="382" w:name="_Toc184314427"/>
      <w:bookmarkEnd w:id="382"/>
      <w:bookmarkStart w:id="383" w:name="_Toc184310332"/>
      <w:bookmarkEnd w:id="383"/>
      <w:bookmarkStart w:id="384" w:name="_Toc184314410"/>
      <w:bookmarkEnd w:id="384"/>
      <w:bookmarkStart w:id="385" w:name="_Toc184314434"/>
      <w:bookmarkEnd w:id="385"/>
      <w:bookmarkStart w:id="386" w:name="_Toc184308039"/>
      <w:bookmarkEnd w:id="386"/>
      <w:bookmarkStart w:id="387" w:name="_Toc184308093"/>
      <w:bookmarkEnd w:id="387"/>
      <w:bookmarkStart w:id="388" w:name="_Toc184314413"/>
      <w:bookmarkEnd w:id="388"/>
      <w:bookmarkStart w:id="389" w:name="_Toc184314420"/>
      <w:bookmarkEnd w:id="389"/>
      <w:bookmarkStart w:id="390" w:name="_Toc184310309"/>
      <w:bookmarkEnd w:id="390"/>
      <w:bookmarkStart w:id="391" w:name="_Toc184308079"/>
      <w:bookmarkEnd w:id="391"/>
      <w:bookmarkStart w:id="392" w:name="_Toc184310313"/>
      <w:bookmarkEnd w:id="392"/>
      <w:bookmarkStart w:id="393" w:name="_Toc184310272"/>
      <w:bookmarkEnd w:id="393"/>
      <w:bookmarkStart w:id="394" w:name="_Toc184308044"/>
      <w:bookmarkEnd w:id="394"/>
      <w:r>
        <w:rPr>
          <w:rFonts w:hint="eastAsia" w:ascii="仿宋" w:hAnsi="仿宋" w:eastAsia="仿宋" w:cs="仿宋"/>
          <w:b/>
          <w:sz w:val="36"/>
          <w:szCs w:val="36"/>
        </w:rPr>
        <w:t xml:space="preserve">  评标办法</w:t>
      </w:r>
    </w:p>
    <w:p w14:paraId="1EA61A95">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061"/>
        <w:gridCol w:w="796"/>
        <w:gridCol w:w="1107"/>
      </w:tblGrid>
      <w:tr w14:paraId="725D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5" w:type="dxa"/>
            <w:vAlign w:val="center"/>
          </w:tcPr>
          <w:p w14:paraId="76E6A54E">
            <w:pPr>
              <w:jc w:val="center"/>
              <w:outlineLvl w:val="0"/>
              <w:rPr>
                <w:rFonts w:ascii="仿宋" w:hAnsi="仿宋" w:eastAsia="仿宋" w:cs="仿宋"/>
                <w:bCs/>
                <w:sz w:val="24"/>
              </w:rPr>
            </w:pPr>
            <w:r>
              <w:rPr>
                <w:rFonts w:hint="eastAsia" w:ascii="仿宋" w:hAnsi="仿宋" w:eastAsia="仿宋" w:cs="仿宋"/>
                <w:bCs/>
                <w:sz w:val="24"/>
              </w:rPr>
              <w:t>序号</w:t>
            </w:r>
          </w:p>
        </w:tc>
        <w:tc>
          <w:tcPr>
            <w:tcW w:w="6061" w:type="dxa"/>
            <w:vAlign w:val="center"/>
          </w:tcPr>
          <w:p w14:paraId="34BC0CDF">
            <w:pPr>
              <w:jc w:val="center"/>
              <w:outlineLvl w:val="0"/>
              <w:rPr>
                <w:rFonts w:ascii="仿宋" w:hAnsi="仿宋" w:eastAsia="仿宋" w:cs="仿宋"/>
                <w:bCs/>
                <w:sz w:val="24"/>
              </w:rPr>
            </w:pPr>
            <w:r>
              <w:rPr>
                <w:rFonts w:hint="eastAsia" w:ascii="仿宋" w:hAnsi="仿宋" w:eastAsia="仿宋" w:cs="仿宋"/>
                <w:bCs/>
                <w:sz w:val="24"/>
              </w:rPr>
              <w:t>评标标准</w:t>
            </w:r>
          </w:p>
        </w:tc>
        <w:tc>
          <w:tcPr>
            <w:tcW w:w="796" w:type="dxa"/>
            <w:vAlign w:val="center"/>
          </w:tcPr>
          <w:p w14:paraId="3120A05B">
            <w:pPr>
              <w:jc w:val="center"/>
              <w:outlineLvl w:val="0"/>
              <w:rPr>
                <w:rFonts w:ascii="仿宋" w:hAnsi="仿宋" w:eastAsia="仿宋" w:cs="仿宋"/>
                <w:bCs/>
                <w:sz w:val="24"/>
              </w:rPr>
            </w:pPr>
            <w:r>
              <w:rPr>
                <w:rFonts w:hint="eastAsia" w:ascii="仿宋" w:hAnsi="仿宋" w:eastAsia="仿宋" w:cs="仿宋"/>
                <w:bCs/>
                <w:sz w:val="24"/>
              </w:rPr>
              <w:t>权重</w:t>
            </w:r>
          </w:p>
        </w:tc>
        <w:tc>
          <w:tcPr>
            <w:tcW w:w="1107" w:type="dxa"/>
          </w:tcPr>
          <w:p w14:paraId="391DC2BB">
            <w:pPr>
              <w:jc w:val="center"/>
              <w:outlineLvl w:val="0"/>
              <w:rPr>
                <w:rFonts w:ascii="仿宋" w:hAnsi="仿宋" w:eastAsia="仿宋" w:cs="仿宋"/>
                <w:bCs/>
                <w:sz w:val="24"/>
              </w:rPr>
            </w:pPr>
            <w:r>
              <w:rPr>
                <w:rFonts w:hint="eastAsia" w:ascii="仿宋" w:hAnsi="仿宋" w:eastAsia="仿宋" w:cs="仿宋"/>
                <w:bCs/>
                <w:sz w:val="24"/>
              </w:rPr>
              <w:t>主观分/客观分属性</w:t>
            </w:r>
          </w:p>
        </w:tc>
      </w:tr>
      <w:tr w14:paraId="4549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45" w:type="dxa"/>
            <w:vAlign w:val="center"/>
          </w:tcPr>
          <w:p w14:paraId="4385EC51">
            <w:pPr>
              <w:jc w:val="center"/>
              <w:rPr>
                <w:rFonts w:ascii="仿宋" w:hAnsi="仿宋" w:eastAsia="仿宋" w:cs="仿宋"/>
                <w:sz w:val="24"/>
              </w:rPr>
            </w:pPr>
            <w:r>
              <w:rPr>
                <w:rFonts w:hint="eastAsia" w:ascii="仿宋" w:hAnsi="仿宋" w:eastAsia="仿宋" w:cs="仿宋"/>
                <w:sz w:val="24"/>
              </w:rPr>
              <w:t>1</w:t>
            </w:r>
          </w:p>
        </w:tc>
        <w:tc>
          <w:tcPr>
            <w:tcW w:w="6061" w:type="dxa"/>
            <w:vAlign w:val="center"/>
          </w:tcPr>
          <w:p w14:paraId="209422D5">
            <w:pPr>
              <w:jc w:val="left"/>
              <w:outlineLvl w:val="0"/>
              <w:rPr>
                <w:rFonts w:hint="eastAsia" w:ascii="仿宋" w:hAnsi="仿宋" w:eastAsia="仿宋" w:cs="仿宋"/>
                <w:sz w:val="24"/>
              </w:rPr>
            </w:pPr>
            <w:r>
              <w:rPr>
                <w:rFonts w:hint="eastAsia" w:ascii="仿宋" w:hAnsi="仿宋" w:eastAsia="仿宋" w:cs="仿宋"/>
                <w:sz w:val="24"/>
              </w:rPr>
              <w:t>投标人自2022年1月1日以来（以合同签署时间为准），同类产品（含本项目核心设备）供货业绩，每提供一份业绩证明材料得1分，最高得3分。</w:t>
            </w:r>
          </w:p>
          <w:p w14:paraId="317CA0D8">
            <w:pPr>
              <w:jc w:val="left"/>
              <w:outlineLvl w:val="0"/>
              <w:rPr>
                <w:rFonts w:hint="eastAsia" w:ascii="仿宋" w:hAnsi="仿宋" w:eastAsia="仿宋" w:cs="仿宋"/>
                <w:sz w:val="24"/>
              </w:rPr>
            </w:pPr>
            <w:r>
              <w:rPr>
                <w:rFonts w:hint="eastAsia" w:ascii="仿宋" w:hAnsi="仿宋" w:eastAsia="仿宋" w:cs="仿宋"/>
                <w:b/>
                <w:bCs/>
                <w:sz w:val="24"/>
              </w:rPr>
              <w:t>评审依据：</w:t>
            </w:r>
            <w:r>
              <w:rPr>
                <w:rFonts w:hint="eastAsia" w:ascii="仿宋" w:hAnsi="仿宋" w:eastAsia="仿宋" w:cs="仿宋"/>
                <w:sz w:val="24"/>
              </w:rPr>
              <w:t>合同复制件。复制件应显示合同双方信息、签署日期、合同标的等；字迹、印章清晰可辨。</w:t>
            </w:r>
          </w:p>
          <w:p w14:paraId="6F5D5E2D">
            <w:pPr>
              <w:jc w:val="left"/>
              <w:outlineLvl w:val="0"/>
              <w:rPr>
                <w:rFonts w:ascii="仿宋" w:hAnsi="仿宋" w:eastAsia="仿宋" w:cs="仿宋"/>
                <w:sz w:val="24"/>
              </w:rPr>
            </w:pPr>
            <w:r>
              <w:rPr>
                <w:rFonts w:hint="eastAsia" w:ascii="仿宋" w:hAnsi="仿宋" w:eastAsia="仿宋" w:cs="仿宋"/>
                <w:b/>
                <w:bCs/>
                <w:sz w:val="24"/>
              </w:rPr>
              <w:t>说明：</w:t>
            </w:r>
            <w:r>
              <w:rPr>
                <w:rFonts w:hint="eastAsia" w:ascii="仿宋" w:hAnsi="仿宋" w:eastAsia="仿宋" w:cs="仿宋"/>
                <w:sz w:val="24"/>
              </w:rPr>
              <w:t>“同类产品”系指与本项目所采购的设备（核心设备）功能相同的产品。</w:t>
            </w:r>
          </w:p>
        </w:tc>
        <w:tc>
          <w:tcPr>
            <w:tcW w:w="796" w:type="dxa"/>
            <w:vAlign w:val="center"/>
          </w:tcPr>
          <w:p w14:paraId="59551913">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107" w:type="dxa"/>
            <w:vAlign w:val="center"/>
          </w:tcPr>
          <w:p w14:paraId="66864A5E">
            <w:pPr>
              <w:jc w:val="left"/>
              <w:rPr>
                <w:rFonts w:ascii="仿宋" w:hAnsi="仿宋" w:eastAsia="仿宋" w:cs="仿宋"/>
                <w:sz w:val="24"/>
              </w:rPr>
            </w:pPr>
            <w:r>
              <w:rPr>
                <w:rFonts w:hint="eastAsia" w:ascii="仿宋" w:hAnsi="仿宋" w:eastAsia="仿宋" w:cs="仿宋"/>
                <w:sz w:val="24"/>
              </w:rPr>
              <w:t>客观分</w:t>
            </w:r>
          </w:p>
        </w:tc>
      </w:tr>
      <w:tr w14:paraId="3558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45" w:type="dxa"/>
            <w:vAlign w:val="center"/>
          </w:tcPr>
          <w:p w14:paraId="4493648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6061" w:type="dxa"/>
            <w:vAlign w:val="center"/>
          </w:tcPr>
          <w:p w14:paraId="4068758F">
            <w:pPr>
              <w:jc w:val="left"/>
              <w:outlineLvl w:val="0"/>
              <w:rPr>
                <w:rFonts w:hint="eastAsia" w:ascii="仿宋" w:hAnsi="仿宋" w:eastAsia="仿宋" w:cs="仿宋"/>
                <w:sz w:val="24"/>
              </w:rPr>
            </w:pPr>
            <w:bookmarkStart w:id="395" w:name="_Toc17167"/>
            <w:r>
              <w:rPr>
                <w:rFonts w:hint="eastAsia" w:ascii="仿宋" w:hAnsi="仿宋" w:eastAsia="仿宋" w:cs="仿宋"/>
                <w:sz w:val="24"/>
              </w:rPr>
              <w:t>投标人通过ISO9001质量管理体系、ISO14001环境管理体系</w:t>
            </w:r>
            <w:r>
              <w:rPr>
                <w:rFonts w:hint="eastAsia" w:ascii="仿宋" w:hAnsi="仿宋" w:eastAsia="仿宋" w:cs="仿宋"/>
                <w:sz w:val="24"/>
                <w:lang w:eastAsia="zh-CN"/>
              </w:rPr>
              <w:t>、</w:t>
            </w:r>
            <w:r>
              <w:rPr>
                <w:rFonts w:hint="eastAsia" w:ascii="仿宋" w:hAnsi="仿宋" w:eastAsia="仿宋" w:cs="仿宋"/>
                <w:sz w:val="24"/>
              </w:rPr>
              <w:t>ISO</w:t>
            </w:r>
            <w:r>
              <w:rPr>
                <w:rFonts w:hint="eastAsia" w:ascii="仿宋" w:hAnsi="仿宋" w:eastAsia="仿宋" w:cs="仿宋"/>
                <w:sz w:val="24"/>
                <w:lang w:val="en-US" w:eastAsia="zh-CN"/>
              </w:rPr>
              <w:t>45</w:t>
            </w:r>
            <w:r>
              <w:rPr>
                <w:rFonts w:hint="eastAsia" w:ascii="仿宋" w:hAnsi="仿宋" w:eastAsia="仿宋" w:cs="仿宋"/>
                <w:sz w:val="24"/>
              </w:rPr>
              <w:t>001职业健康安全管理体系认证并获得相关证书（有效</w:t>
            </w:r>
            <w:r>
              <w:rPr>
                <w:rFonts w:hint="eastAsia" w:ascii="仿宋" w:hAnsi="仿宋" w:eastAsia="仿宋" w:cs="仿宋"/>
                <w:sz w:val="24"/>
                <w:lang w:val="en-US" w:eastAsia="zh-CN"/>
              </w:rPr>
              <w:t>状态</w:t>
            </w:r>
            <w:r>
              <w:rPr>
                <w:rFonts w:hint="eastAsia" w:ascii="仿宋" w:hAnsi="仿宋" w:eastAsia="仿宋" w:cs="仿宋"/>
                <w:sz w:val="24"/>
              </w:rPr>
              <w:t>）的，每提供1项得</w:t>
            </w:r>
            <w:r>
              <w:rPr>
                <w:rFonts w:hint="eastAsia" w:ascii="仿宋" w:hAnsi="仿宋" w:eastAsia="仿宋" w:cs="仿宋"/>
                <w:sz w:val="24"/>
                <w:lang w:val="en-US" w:eastAsia="zh-CN"/>
              </w:rPr>
              <w:t>1</w:t>
            </w:r>
            <w:r>
              <w:rPr>
                <w:rFonts w:hint="eastAsia" w:ascii="仿宋" w:hAnsi="仿宋" w:eastAsia="仿宋" w:cs="仿宋"/>
                <w:sz w:val="24"/>
              </w:rPr>
              <w:t>分，最高得3分。</w:t>
            </w:r>
            <w:bookmarkEnd w:id="395"/>
          </w:p>
          <w:p w14:paraId="08782930">
            <w:pPr>
              <w:jc w:val="left"/>
              <w:outlineLvl w:val="0"/>
              <w:rPr>
                <w:rFonts w:hint="eastAsia" w:ascii="仿宋" w:hAnsi="仿宋" w:eastAsia="仿宋" w:cs="仿宋"/>
                <w:sz w:val="24"/>
              </w:rPr>
            </w:pPr>
            <w:r>
              <w:rPr>
                <w:rFonts w:hint="eastAsia" w:ascii="仿宋" w:hAnsi="仿宋" w:eastAsia="仿宋" w:cs="仿宋"/>
                <w:sz w:val="24"/>
              </w:rPr>
              <w:t>提供证书的复印件（或扫描件）和全国认证认可信息公共服务平台（http://cx.cnca.cn)网站查询截图。</w:t>
            </w:r>
          </w:p>
        </w:tc>
        <w:tc>
          <w:tcPr>
            <w:tcW w:w="796" w:type="dxa"/>
            <w:vAlign w:val="center"/>
          </w:tcPr>
          <w:p w14:paraId="4F005393">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107" w:type="dxa"/>
            <w:vAlign w:val="center"/>
          </w:tcPr>
          <w:p w14:paraId="3F999D76">
            <w:pPr>
              <w:jc w:val="left"/>
              <w:rPr>
                <w:rFonts w:hint="eastAsia" w:ascii="仿宋" w:hAnsi="仿宋" w:eastAsia="仿宋" w:cs="仿宋"/>
                <w:sz w:val="24"/>
              </w:rPr>
            </w:pPr>
            <w:r>
              <w:rPr>
                <w:rFonts w:hint="eastAsia" w:ascii="仿宋" w:hAnsi="仿宋" w:eastAsia="仿宋" w:cs="仿宋"/>
                <w:sz w:val="24"/>
              </w:rPr>
              <w:t>客观分</w:t>
            </w:r>
          </w:p>
        </w:tc>
      </w:tr>
      <w:tr w14:paraId="55DA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45" w:type="dxa"/>
            <w:vAlign w:val="center"/>
          </w:tcPr>
          <w:p w14:paraId="1ADC961D">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6061" w:type="dxa"/>
            <w:vAlign w:val="center"/>
          </w:tcPr>
          <w:p w14:paraId="376E4E41">
            <w:pPr>
              <w:jc w:val="left"/>
              <w:outlineLvl w:val="0"/>
              <w:rPr>
                <w:rFonts w:ascii="仿宋" w:hAnsi="仿宋" w:eastAsia="仿宋" w:cs="仿宋"/>
                <w:sz w:val="24"/>
              </w:rPr>
            </w:pPr>
            <w:r>
              <w:rPr>
                <w:rFonts w:hint="eastAsia" w:ascii="仿宋" w:hAnsi="仿宋" w:eastAsia="仿宋" w:cs="仿宋"/>
                <w:sz w:val="24"/>
              </w:rPr>
              <w:t>采购文件</w:t>
            </w:r>
            <w:r>
              <w:rPr>
                <w:rFonts w:hint="eastAsia" w:ascii="仿宋" w:hAnsi="仿宋" w:eastAsia="仿宋" w:cs="仿宋"/>
                <w:sz w:val="24"/>
                <w:u w:val="single"/>
              </w:rPr>
              <w:t>“第三部分采购需求</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四</w:t>
            </w:r>
            <w:r>
              <w:rPr>
                <w:rFonts w:hint="eastAsia" w:ascii="仿宋" w:hAnsi="仿宋" w:eastAsia="仿宋" w:cs="仿宋"/>
                <w:sz w:val="24"/>
                <w:u w:val="single"/>
              </w:rPr>
              <w:t>、产品功能参数”</w:t>
            </w:r>
            <w:r>
              <w:rPr>
                <w:rFonts w:hint="eastAsia" w:ascii="仿宋" w:hAnsi="仿宋" w:eastAsia="仿宋" w:cs="仿宋"/>
                <w:sz w:val="24"/>
              </w:rPr>
              <w:t>响应情况。关键性</w:t>
            </w:r>
            <w:r>
              <w:rPr>
                <w:rFonts w:hint="eastAsia" w:ascii="仿宋" w:hAnsi="仿宋" w:eastAsia="仿宋" w:cs="仿宋"/>
                <w:sz w:val="24"/>
                <w:lang w:eastAsia="zh-CN"/>
              </w:rPr>
              <w:t>条款</w:t>
            </w:r>
            <w:r>
              <w:rPr>
                <w:rFonts w:hint="eastAsia" w:ascii="仿宋" w:hAnsi="仿宋" w:eastAsia="仿宋" w:cs="仿宋"/>
                <w:sz w:val="24"/>
              </w:rPr>
              <w:t>（标注▲条款）出现负偏离的投标无效。所有指标均满足得</w:t>
            </w:r>
            <w:r>
              <w:rPr>
                <w:rFonts w:hint="eastAsia" w:ascii="仿宋" w:hAnsi="仿宋" w:eastAsia="仿宋" w:cs="仿宋"/>
                <w:sz w:val="24"/>
                <w:lang w:val="en-US" w:eastAsia="zh-CN"/>
              </w:rPr>
              <w:t>30</w:t>
            </w:r>
            <w:r>
              <w:rPr>
                <w:rFonts w:hint="eastAsia" w:ascii="仿宋" w:hAnsi="仿宋" w:eastAsia="仿宋" w:cs="仿宋"/>
                <w:sz w:val="24"/>
              </w:rPr>
              <w:t>分，一般</w:t>
            </w:r>
            <w:r>
              <w:rPr>
                <w:rFonts w:hint="eastAsia" w:ascii="仿宋" w:hAnsi="仿宋" w:eastAsia="仿宋" w:cs="仿宋"/>
                <w:sz w:val="24"/>
                <w:lang w:eastAsia="zh-CN"/>
              </w:rPr>
              <w:t>条款</w:t>
            </w:r>
            <w:r>
              <w:rPr>
                <w:rFonts w:hint="eastAsia" w:ascii="仿宋" w:hAnsi="仿宋" w:eastAsia="仿宋" w:cs="仿宋"/>
                <w:sz w:val="24"/>
              </w:rPr>
              <w:t>每一项负偏离扣2分。重要</w:t>
            </w:r>
            <w:r>
              <w:rPr>
                <w:rFonts w:hint="eastAsia" w:ascii="仿宋" w:hAnsi="仿宋" w:eastAsia="仿宋" w:cs="仿宋"/>
                <w:sz w:val="24"/>
                <w:lang w:eastAsia="zh-CN"/>
              </w:rPr>
              <w:t>条款</w:t>
            </w:r>
            <w:r>
              <w:rPr>
                <w:rFonts w:hint="eastAsia" w:ascii="仿宋" w:hAnsi="仿宋" w:eastAsia="仿宋" w:cs="仿宋"/>
                <w:sz w:val="24"/>
              </w:rPr>
              <w:t>（标注★条款）每一项负偏离扣</w:t>
            </w:r>
            <w:r>
              <w:rPr>
                <w:rFonts w:hint="eastAsia" w:ascii="仿宋" w:hAnsi="仿宋" w:eastAsia="仿宋" w:cs="仿宋"/>
                <w:sz w:val="24"/>
                <w:lang w:val="en-US" w:eastAsia="zh-CN"/>
              </w:rPr>
              <w:t>3</w:t>
            </w:r>
            <w:r>
              <w:rPr>
                <w:rFonts w:hint="eastAsia" w:ascii="仿宋" w:hAnsi="仿宋" w:eastAsia="仿宋" w:cs="仿宋"/>
                <w:sz w:val="24"/>
              </w:rPr>
              <w:t>分。扣完为止。</w:t>
            </w:r>
          </w:p>
        </w:tc>
        <w:tc>
          <w:tcPr>
            <w:tcW w:w="796" w:type="dxa"/>
            <w:vAlign w:val="center"/>
          </w:tcPr>
          <w:p w14:paraId="7A15FD00">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107" w:type="dxa"/>
            <w:vAlign w:val="center"/>
          </w:tcPr>
          <w:p w14:paraId="4504AA6D">
            <w:pPr>
              <w:jc w:val="left"/>
              <w:rPr>
                <w:rFonts w:ascii="仿宋" w:hAnsi="仿宋" w:eastAsia="仿宋" w:cs="仿宋"/>
                <w:sz w:val="24"/>
              </w:rPr>
            </w:pPr>
            <w:r>
              <w:rPr>
                <w:rFonts w:hint="eastAsia" w:ascii="仿宋" w:hAnsi="仿宋" w:eastAsia="仿宋" w:cs="仿宋"/>
                <w:sz w:val="24"/>
              </w:rPr>
              <w:t>客观分</w:t>
            </w:r>
          </w:p>
        </w:tc>
      </w:tr>
      <w:tr w14:paraId="6178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5" w:type="dxa"/>
            <w:vAlign w:val="center"/>
          </w:tcPr>
          <w:p w14:paraId="7BD30E2D">
            <w:pPr>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061" w:type="dxa"/>
            <w:vAlign w:val="center"/>
          </w:tcPr>
          <w:p w14:paraId="0D73D957">
            <w:pPr>
              <w:jc w:val="left"/>
              <w:outlineLvl w:val="0"/>
              <w:rPr>
                <w:rFonts w:ascii="仿宋" w:hAnsi="仿宋" w:eastAsia="仿宋" w:cs="仿宋"/>
                <w:sz w:val="24"/>
              </w:rPr>
            </w:pPr>
            <w:r>
              <w:rPr>
                <w:rFonts w:hint="eastAsia" w:ascii="仿宋" w:hAnsi="仿宋" w:eastAsia="仿宋" w:cs="仿宋"/>
                <w:sz w:val="24"/>
              </w:rPr>
              <w:t>根据投标人对本项目采购需求的理解程度，对系统建设服务存在的难点、要点问题分析的合理性及解决措施的有效性进行评分。</w:t>
            </w:r>
            <w:r>
              <w:rPr>
                <w:rFonts w:hint="eastAsia" w:ascii="仿宋" w:hAnsi="仿宋" w:eastAsia="仿宋" w:cs="仿宋"/>
                <w:sz w:val="24"/>
                <w:lang w:eastAsia="zh-CN"/>
              </w:rPr>
              <w:t>分值（</w:t>
            </w:r>
            <w:r>
              <w:rPr>
                <w:rFonts w:hint="eastAsia" w:ascii="仿宋" w:hAnsi="仿宋" w:eastAsia="仿宋" w:cs="仿宋"/>
                <w:sz w:val="24"/>
                <w:lang w:val="en-US" w:eastAsia="zh-CN"/>
              </w:rPr>
              <w:t>4.0、3.0、2.0、1.0、0</w:t>
            </w:r>
            <w:r>
              <w:rPr>
                <w:rFonts w:hint="eastAsia" w:ascii="仿宋" w:hAnsi="仿宋" w:eastAsia="仿宋" w:cs="仿宋"/>
                <w:sz w:val="24"/>
                <w:lang w:eastAsia="zh-CN"/>
              </w:rPr>
              <w:t>）。</w:t>
            </w:r>
          </w:p>
        </w:tc>
        <w:tc>
          <w:tcPr>
            <w:tcW w:w="796" w:type="dxa"/>
            <w:vAlign w:val="center"/>
          </w:tcPr>
          <w:p w14:paraId="2974612E">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107" w:type="dxa"/>
            <w:vAlign w:val="center"/>
          </w:tcPr>
          <w:p w14:paraId="41E88FAF">
            <w:pPr>
              <w:jc w:val="center"/>
              <w:rPr>
                <w:rFonts w:hint="eastAsia" w:ascii="仿宋" w:hAnsi="仿宋" w:eastAsia="仿宋" w:cs="仿宋"/>
                <w:sz w:val="24"/>
              </w:rPr>
            </w:pPr>
            <w:r>
              <w:rPr>
                <w:rFonts w:hint="eastAsia" w:ascii="仿宋" w:hAnsi="仿宋" w:eastAsia="仿宋" w:cs="仿宋"/>
                <w:sz w:val="24"/>
                <w:lang w:eastAsia="zh-CN"/>
              </w:rPr>
              <w:t>主观分</w:t>
            </w:r>
          </w:p>
        </w:tc>
      </w:tr>
      <w:tr w14:paraId="3EB4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5" w:type="dxa"/>
            <w:vAlign w:val="center"/>
          </w:tcPr>
          <w:p w14:paraId="597E3E4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6061" w:type="dxa"/>
            <w:vAlign w:val="center"/>
          </w:tcPr>
          <w:p w14:paraId="790047CE">
            <w:pPr>
              <w:jc w:val="left"/>
              <w:outlineLvl w:val="0"/>
              <w:rPr>
                <w:rFonts w:hint="eastAsia" w:ascii="仿宋" w:hAnsi="仿宋" w:eastAsia="仿宋" w:cs="仿宋"/>
                <w:sz w:val="24"/>
                <w:lang w:eastAsia="zh-CN"/>
              </w:rPr>
            </w:pPr>
            <w:r>
              <w:rPr>
                <w:rFonts w:ascii="仿宋" w:hAnsi="仿宋" w:eastAsia="仿宋" w:cs="仿宋"/>
                <w:b/>
                <w:bCs/>
                <w:sz w:val="24"/>
              </w:rPr>
              <w:t>项目实施方案</w:t>
            </w:r>
            <w:r>
              <w:rPr>
                <w:rFonts w:hint="eastAsia" w:ascii="仿宋" w:hAnsi="仿宋" w:eastAsia="仿宋" w:cs="仿宋"/>
                <w:b/>
                <w:bCs/>
                <w:sz w:val="24"/>
                <w:lang w:eastAsia="zh-CN"/>
              </w:rPr>
              <w:t>：</w:t>
            </w:r>
            <w:r>
              <w:rPr>
                <w:rFonts w:ascii="仿宋" w:hAnsi="仿宋" w:eastAsia="仿宋" w:cs="仿宋"/>
                <w:sz w:val="24"/>
              </w:rPr>
              <w:t>根据投标人提供的项目具体实施方案的合理性、可行性，与需求的吻合程度进行评分。</w:t>
            </w:r>
            <w:r>
              <w:rPr>
                <w:rFonts w:hint="eastAsia" w:ascii="仿宋" w:hAnsi="仿宋" w:eastAsia="仿宋" w:cs="仿宋"/>
                <w:sz w:val="24"/>
                <w:lang w:eastAsia="zh-CN"/>
              </w:rPr>
              <w:t>分值（</w:t>
            </w:r>
            <w:r>
              <w:rPr>
                <w:rFonts w:hint="eastAsia" w:ascii="仿宋" w:hAnsi="仿宋" w:eastAsia="仿宋" w:cs="仿宋"/>
                <w:sz w:val="24"/>
                <w:lang w:val="en-US" w:eastAsia="zh-CN"/>
              </w:rPr>
              <w:t>4.0、3.0、2.0、1.0、0</w:t>
            </w:r>
            <w:r>
              <w:rPr>
                <w:rFonts w:hint="eastAsia" w:ascii="仿宋" w:hAnsi="仿宋" w:eastAsia="仿宋" w:cs="仿宋"/>
                <w:sz w:val="24"/>
                <w:lang w:eastAsia="zh-CN"/>
              </w:rPr>
              <w:t>）。</w:t>
            </w:r>
          </w:p>
        </w:tc>
        <w:tc>
          <w:tcPr>
            <w:tcW w:w="796" w:type="dxa"/>
            <w:vAlign w:val="center"/>
          </w:tcPr>
          <w:p w14:paraId="3732DFAF">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107" w:type="dxa"/>
            <w:vAlign w:val="center"/>
          </w:tcPr>
          <w:p w14:paraId="25A9321E">
            <w:pPr>
              <w:jc w:val="center"/>
              <w:rPr>
                <w:rFonts w:hint="eastAsia" w:ascii="仿宋" w:hAnsi="仿宋" w:eastAsia="仿宋" w:cs="仿宋"/>
                <w:sz w:val="24"/>
                <w:lang w:eastAsia="zh-CN"/>
              </w:rPr>
            </w:pPr>
            <w:r>
              <w:rPr>
                <w:rFonts w:hint="eastAsia" w:ascii="仿宋" w:hAnsi="仿宋" w:eastAsia="仿宋" w:cs="仿宋"/>
                <w:sz w:val="24"/>
                <w:lang w:eastAsia="zh-CN"/>
              </w:rPr>
              <w:t>主观分</w:t>
            </w:r>
          </w:p>
        </w:tc>
      </w:tr>
      <w:tr w14:paraId="1A05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ins w:id="0" w:author="Administrator" w:date="2025-04-30T14:47:54Z"/>
        </w:trPr>
        <w:tc>
          <w:tcPr>
            <w:tcW w:w="845" w:type="dxa"/>
            <w:shd w:val="clear" w:color="auto" w:fill="auto"/>
            <w:vAlign w:val="center"/>
          </w:tcPr>
          <w:p w14:paraId="591A3934">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6061" w:type="dxa"/>
            <w:vAlign w:val="center"/>
          </w:tcPr>
          <w:p w14:paraId="137B4840">
            <w:pPr>
              <w:jc w:val="left"/>
              <w:outlineLvl w:val="0"/>
              <w:rPr>
                <w:rFonts w:ascii="仿宋" w:hAnsi="仿宋" w:eastAsia="仿宋" w:cs="仿宋"/>
                <w:sz w:val="24"/>
              </w:rPr>
            </w:pPr>
            <w:r>
              <w:rPr>
                <w:rFonts w:hint="eastAsia" w:ascii="仿宋" w:hAnsi="仿宋" w:eastAsia="仿宋" w:cs="仿宋"/>
                <w:b/>
                <w:bCs/>
                <w:sz w:val="24"/>
              </w:rPr>
              <w:t>培训方案</w:t>
            </w:r>
            <w:r>
              <w:rPr>
                <w:rFonts w:hint="eastAsia" w:ascii="仿宋" w:hAnsi="仿宋" w:eastAsia="仿宋" w:cs="仿宋"/>
                <w:b/>
                <w:bCs/>
                <w:sz w:val="24"/>
                <w:lang w:eastAsia="zh-CN"/>
              </w:rPr>
              <w:t>：</w:t>
            </w:r>
            <w:r>
              <w:rPr>
                <w:rFonts w:ascii="仿宋" w:hAnsi="仿宋" w:eastAsia="仿宋" w:cs="仿宋"/>
                <w:sz w:val="24"/>
              </w:rPr>
              <w:t>根据投标人提供的</w:t>
            </w:r>
            <w:r>
              <w:rPr>
                <w:rFonts w:hint="eastAsia" w:ascii="仿宋" w:hAnsi="仿宋" w:eastAsia="仿宋" w:cs="仿宋"/>
                <w:sz w:val="24"/>
                <w:lang w:val="en-US" w:eastAsia="zh-CN"/>
              </w:rPr>
              <w:t>培训方案，</w:t>
            </w:r>
            <w:r>
              <w:rPr>
                <w:rFonts w:hint="eastAsia" w:ascii="仿宋" w:hAnsi="仿宋" w:eastAsia="仿宋" w:cs="仿宋"/>
                <w:sz w:val="24"/>
              </w:rPr>
              <w:t>包括不限于培训内容、培训方式等内容。方案需合理、内容完整，可操作性强进行评分。评分分值（</w:t>
            </w:r>
            <w:r>
              <w:rPr>
                <w:rFonts w:hint="eastAsia" w:ascii="仿宋" w:hAnsi="仿宋" w:eastAsia="仿宋" w:cs="仿宋"/>
                <w:sz w:val="24"/>
                <w:lang w:val="en-US" w:eastAsia="zh-CN"/>
              </w:rPr>
              <w:t>4.0、3.0、2.0、1.0、0</w:t>
            </w:r>
            <w:r>
              <w:rPr>
                <w:rFonts w:hint="eastAsia" w:ascii="仿宋" w:hAnsi="仿宋" w:eastAsia="仿宋" w:cs="仿宋"/>
                <w:sz w:val="24"/>
              </w:rPr>
              <w:t>）。</w:t>
            </w:r>
          </w:p>
        </w:tc>
        <w:tc>
          <w:tcPr>
            <w:tcW w:w="796" w:type="dxa"/>
            <w:vAlign w:val="center"/>
          </w:tcPr>
          <w:p w14:paraId="68C52A14">
            <w:pPr>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107" w:type="dxa"/>
            <w:vAlign w:val="center"/>
          </w:tcPr>
          <w:p w14:paraId="32ADE65F">
            <w:pPr>
              <w:jc w:val="center"/>
              <w:rPr>
                <w:rFonts w:hint="eastAsia" w:ascii="仿宋" w:hAnsi="仿宋" w:eastAsia="仿宋" w:cs="仿宋"/>
                <w:sz w:val="24"/>
                <w:lang w:eastAsia="zh-CN"/>
              </w:rPr>
            </w:pPr>
            <w:r>
              <w:rPr>
                <w:rFonts w:hint="eastAsia" w:ascii="仿宋" w:hAnsi="仿宋" w:eastAsia="仿宋" w:cs="仿宋"/>
                <w:sz w:val="24"/>
                <w:lang w:eastAsia="zh-CN"/>
              </w:rPr>
              <w:t>主观分</w:t>
            </w:r>
          </w:p>
        </w:tc>
      </w:tr>
      <w:tr w14:paraId="655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5" w:type="dxa"/>
            <w:shd w:val="clear" w:color="auto" w:fill="auto"/>
            <w:vAlign w:val="center"/>
          </w:tcPr>
          <w:p w14:paraId="60F7D6C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7</w:t>
            </w:r>
          </w:p>
        </w:tc>
        <w:tc>
          <w:tcPr>
            <w:tcW w:w="6061" w:type="dxa"/>
            <w:shd w:val="clear" w:color="auto" w:fill="auto"/>
            <w:vAlign w:val="center"/>
          </w:tcPr>
          <w:p w14:paraId="5C545251">
            <w:pPr>
              <w:snapToGrid w:val="0"/>
              <w:spacing w:line="320" w:lineRule="exact"/>
              <w:rPr>
                <w:rFonts w:hint="eastAsia" w:ascii="仿宋" w:hAnsi="仿宋" w:eastAsia="仿宋" w:cs="仿宋"/>
                <w:sz w:val="24"/>
                <w:lang w:eastAsia="zh-CN"/>
              </w:rPr>
            </w:pPr>
            <w:r>
              <w:rPr>
                <w:rFonts w:hint="eastAsia" w:ascii="仿宋" w:hAnsi="仿宋" w:eastAsia="仿宋" w:cs="仿宋"/>
                <w:sz w:val="24"/>
              </w:rPr>
              <w:t>根据拟派</w:t>
            </w:r>
            <w:r>
              <w:rPr>
                <w:rFonts w:hint="eastAsia" w:ascii="仿宋" w:hAnsi="仿宋" w:eastAsia="仿宋" w:cs="仿宋"/>
                <w:sz w:val="24"/>
                <w:lang w:eastAsia="zh-Hans"/>
              </w:rPr>
              <w:t>团队</w:t>
            </w:r>
            <w:r>
              <w:rPr>
                <w:rFonts w:hint="eastAsia" w:ascii="仿宋" w:hAnsi="仿宋" w:eastAsia="仿宋" w:cs="仿宋"/>
                <w:sz w:val="24"/>
              </w:rPr>
              <w:t>成员的资历、经验、数量、拟承担的主要工作等进行评分。</w:t>
            </w:r>
            <w:r>
              <w:rPr>
                <w:rFonts w:hint="eastAsia" w:ascii="仿宋" w:hAnsi="仿宋" w:eastAsia="仿宋" w:cs="仿宋"/>
                <w:sz w:val="24"/>
                <w:lang w:eastAsia="zh-CN"/>
              </w:rPr>
              <w:t>分值（</w:t>
            </w:r>
            <w:r>
              <w:rPr>
                <w:rFonts w:hint="eastAsia" w:ascii="仿宋" w:hAnsi="仿宋" w:eastAsia="仿宋" w:cs="仿宋"/>
                <w:sz w:val="24"/>
                <w:lang w:val="en-US" w:eastAsia="zh-CN"/>
              </w:rPr>
              <w:t>4.0、3.0、2.0、1.0、0</w:t>
            </w:r>
            <w:r>
              <w:rPr>
                <w:rFonts w:hint="eastAsia" w:ascii="仿宋" w:hAnsi="仿宋" w:eastAsia="仿宋" w:cs="仿宋"/>
                <w:sz w:val="24"/>
                <w:lang w:eastAsia="zh-CN"/>
              </w:rPr>
              <w:t>）。</w:t>
            </w:r>
          </w:p>
          <w:p w14:paraId="0F1219EC">
            <w:pPr>
              <w:snapToGrid w:val="0"/>
              <w:spacing w:line="320" w:lineRule="exact"/>
              <w:rPr>
                <w:rFonts w:hint="eastAsia"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需提供</w:t>
            </w:r>
            <w:r>
              <w:rPr>
                <w:rFonts w:hint="eastAsia" w:ascii="仿宋" w:hAnsi="仿宋" w:eastAsia="仿宋" w:cs="仿宋"/>
                <w:sz w:val="24"/>
              </w:rPr>
              <w:t>履历表和相关资料、证书</w:t>
            </w:r>
            <w:r>
              <w:rPr>
                <w:rFonts w:hint="eastAsia" w:ascii="仿宋" w:hAnsi="仿宋" w:eastAsia="仿宋" w:cs="仿宋"/>
                <w:sz w:val="24"/>
                <w:lang w:eastAsia="zh-CN"/>
              </w:rPr>
              <w:t>、</w:t>
            </w:r>
            <w:r>
              <w:rPr>
                <w:rFonts w:hint="eastAsia" w:ascii="仿宋" w:hAnsi="仿宋" w:eastAsia="仿宋" w:cs="仿宋"/>
                <w:sz w:val="24"/>
                <w:lang w:val="en-US" w:eastAsia="zh-CN"/>
              </w:rPr>
              <w:t>在投标单位最近三个月任意一个月的社保缴纳情况</w:t>
            </w:r>
            <w:r>
              <w:rPr>
                <w:rFonts w:hint="eastAsia" w:ascii="仿宋" w:hAnsi="仿宋" w:eastAsia="仿宋" w:cs="仿宋"/>
                <w:sz w:val="24"/>
              </w:rPr>
              <w:t>等）。</w:t>
            </w:r>
          </w:p>
        </w:tc>
        <w:tc>
          <w:tcPr>
            <w:tcW w:w="796" w:type="dxa"/>
            <w:shd w:val="clear" w:color="auto" w:fill="auto"/>
            <w:vAlign w:val="center"/>
          </w:tcPr>
          <w:p w14:paraId="08544EE8">
            <w:pPr>
              <w:pStyle w:val="169"/>
              <w:spacing w:before="0" w:line="32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Cs w:val="24"/>
                <w:lang w:val="en-US" w:eastAsia="zh-CN"/>
              </w:rPr>
              <w:t>4</w:t>
            </w:r>
          </w:p>
        </w:tc>
        <w:tc>
          <w:tcPr>
            <w:tcW w:w="1107" w:type="dxa"/>
            <w:vAlign w:val="center"/>
          </w:tcPr>
          <w:p w14:paraId="59670344">
            <w:pPr>
              <w:jc w:val="center"/>
              <w:rPr>
                <w:rFonts w:hint="eastAsia" w:ascii="仿宋" w:hAnsi="仿宋" w:eastAsia="仿宋" w:cs="仿宋"/>
                <w:sz w:val="24"/>
              </w:rPr>
            </w:pPr>
            <w:r>
              <w:rPr>
                <w:rFonts w:hint="eastAsia" w:ascii="仿宋" w:hAnsi="仿宋" w:eastAsia="仿宋" w:cs="仿宋"/>
                <w:sz w:val="24"/>
                <w:lang w:eastAsia="zh-CN"/>
              </w:rPr>
              <w:t>主观分</w:t>
            </w:r>
          </w:p>
        </w:tc>
      </w:tr>
      <w:tr w14:paraId="26AA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5" w:type="dxa"/>
            <w:shd w:val="clear" w:color="auto" w:fill="auto"/>
            <w:vAlign w:val="center"/>
          </w:tcPr>
          <w:p w14:paraId="110B1A23">
            <w:pPr>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061" w:type="dxa"/>
            <w:shd w:val="clear" w:color="auto" w:fill="auto"/>
            <w:vAlign w:val="center"/>
          </w:tcPr>
          <w:p w14:paraId="3E299890">
            <w:pPr>
              <w:snapToGrid w:val="0"/>
              <w:spacing w:line="320" w:lineRule="exact"/>
              <w:rPr>
                <w:rFonts w:hint="eastAsia" w:ascii="仿宋" w:hAnsi="仿宋" w:eastAsia="仿宋" w:cs="仿宋"/>
                <w:sz w:val="24"/>
              </w:rPr>
            </w:pPr>
            <w:r>
              <w:rPr>
                <w:rFonts w:hint="eastAsia" w:ascii="仿宋" w:hAnsi="仿宋" w:eastAsia="仿宋" w:cs="仿宋"/>
                <w:sz w:val="24"/>
              </w:rPr>
              <w:t>根据投标人提供的</w:t>
            </w:r>
            <w:r>
              <w:rPr>
                <w:rFonts w:hint="eastAsia" w:ascii="仿宋" w:hAnsi="仿宋" w:eastAsia="仿宋" w:cs="仿宋"/>
                <w:sz w:val="24"/>
                <w:lang w:val="en-US" w:eastAsia="zh-CN"/>
              </w:rPr>
              <w:t>信息</w:t>
            </w:r>
            <w:r>
              <w:rPr>
                <w:rFonts w:hint="eastAsia" w:ascii="仿宋" w:hAnsi="仿宋" w:eastAsia="仿宋" w:cs="仿宋"/>
                <w:sz w:val="24"/>
              </w:rPr>
              <w:t>安全保障方案进行评分，包括不限于系统架构安全、系统开发安全措施等内容。</w:t>
            </w:r>
          </w:p>
          <w:p w14:paraId="6D474CA3">
            <w:pPr>
              <w:snapToGrid w:val="0"/>
              <w:spacing w:line="320" w:lineRule="exact"/>
              <w:rPr>
                <w:rFonts w:hint="eastAsia" w:ascii="仿宋" w:hAnsi="仿宋" w:eastAsia="仿宋" w:cs="仿宋"/>
                <w:sz w:val="24"/>
              </w:rPr>
            </w:pPr>
            <w:r>
              <w:rPr>
                <w:rFonts w:hint="eastAsia" w:ascii="仿宋" w:hAnsi="仿宋" w:eastAsia="仿宋" w:cs="仿宋"/>
                <w:sz w:val="24"/>
              </w:rPr>
              <w:t>方案设计需合理、内容完整，可操作性强。评分分值（</w:t>
            </w:r>
            <w:r>
              <w:rPr>
                <w:rFonts w:hint="eastAsia" w:ascii="仿宋" w:hAnsi="仿宋" w:eastAsia="仿宋" w:cs="仿宋"/>
                <w:sz w:val="24"/>
                <w:lang w:val="en-US" w:eastAsia="zh-CN"/>
              </w:rPr>
              <w:t>4.0、3.0、2.0、1.0、0</w:t>
            </w:r>
            <w:r>
              <w:rPr>
                <w:rFonts w:hint="eastAsia" w:ascii="仿宋" w:hAnsi="仿宋" w:eastAsia="仿宋" w:cs="仿宋"/>
                <w:sz w:val="24"/>
              </w:rPr>
              <w:t>）。</w:t>
            </w:r>
          </w:p>
        </w:tc>
        <w:tc>
          <w:tcPr>
            <w:tcW w:w="796" w:type="dxa"/>
            <w:shd w:val="clear" w:color="auto" w:fill="auto"/>
            <w:vAlign w:val="center"/>
          </w:tcPr>
          <w:p w14:paraId="7CFFEAB6">
            <w:pPr>
              <w:pStyle w:val="169"/>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4</w:t>
            </w:r>
          </w:p>
        </w:tc>
        <w:tc>
          <w:tcPr>
            <w:tcW w:w="1107" w:type="dxa"/>
            <w:vAlign w:val="center"/>
          </w:tcPr>
          <w:p w14:paraId="5D47516A">
            <w:pPr>
              <w:jc w:val="center"/>
              <w:rPr>
                <w:rFonts w:hint="eastAsia" w:ascii="仿宋" w:hAnsi="仿宋" w:eastAsia="仿宋" w:cs="仿宋"/>
                <w:sz w:val="24"/>
                <w:lang w:eastAsia="zh-CN"/>
              </w:rPr>
            </w:pPr>
            <w:r>
              <w:rPr>
                <w:rFonts w:hint="eastAsia" w:ascii="仿宋" w:hAnsi="仿宋" w:eastAsia="仿宋" w:cs="仿宋"/>
                <w:sz w:val="24"/>
                <w:lang w:eastAsia="zh-CN"/>
              </w:rPr>
              <w:t>主观分</w:t>
            </w:r>
          </w:p>
        </w:tc>
      </w:tr>
      <w:tr w14:paraId="5BBF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5" w:type="dxa"/>
            <w:shd w:val="clear" w:color="auto" w:fill="auto"/>
            <w:vAlign w:val="center"/>
          </w:tcPr>
          <w:p w14:paraId="4947DF04">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9</w:t>
            </w:r>
          </w:p>
        </w:tc>
        <w:tc>
          <w:tcPr>
            <w:tcW w:w="6061" w:type="dxa"/>
            <w:shd w:val="clear" w:color="auto" w:fill="auto"/>
            <w:vAlign w:val="center"/>
          </w:tcPr>
          <w:p w14:paraId="578C6E18">
            <w:pPr>
              <w:jc w:val="left"/>
              <w:outlineLvl w:val="0"/>
              <w:rPr>
                <w:rFonts w:hint="eastAsia" w:ascii="仿宋" w:hAnsi="仿宋" w:eastAsia="仿宋" w:cs="仿宋"/>
                <w:sz w:val="24"/>
                <w:lang w:eastAsia="zh-CN"/>
              </w:rPr>
            </w:pPr>
            <w:r>
              <w:rPr>
                <w:rFonts w:hint="eastAsia" w:ascii="仿宋" w:hAnsi="仿宋" w:eastAsia="仿宋" w:cs="仿宋"/>
                <w:sz w:val="24"/>
              </w:rPr>
              <w:t>根据投标人提供的软件升级及系统维护服务重点、难点分析，根据投标人对软件升级及系统维护服务重点难点分析的准确性、对项目的熟悉程度以及对项目实施的有利性进行评审。评分分值（</w:t>
            </w:r>
            <w:r>
              <w:rPr>
                <w:rFonts w:hint="eastAsia" w:ascii="仿宋" w:hAnsi="仿宋" w:eastAsia="仿宋" w:cs="仿宋"/>
                <w:sz w:val="24"/>
                <w:lang w:val="en-US" w:eastAsia="zh-CN"/>
              </w:rPr>
              <w:t>3.0、2.0、1.0、0</w:t>
            </w:r>
            <w:r>
              <w:rPr>
                <w:rFonts w:hint="eastAsia" w:ascii="仿宋" w:hAnsi="仿宋" w:eastAsia="仿宋" w:cs="仿宋"/>
                <w:sz w:val="24"/>
              </w:rPr>
              <w:t>）。</w:t>
            </w:r>
          </w:p>
        </w:tc>
        <w:tc>
          <w:tcPr>
            <w:tcW w:w="796" w:type="dxa"/>
            <w:shd w:val="clear" w:color="auto" w:fill="auto"/>
            <w:vAlign w:val="center"/>
          </w:tcPr>
          <w:p w14:paraId="757E859C">
            <w:pPr>
              <w:pStyle w:val="169"/>
              <w:spacing w:before="0" w:line="320" w:lineRule="exact"/>
              <w:ind w:firstLine="0" w:firstLineChars="0"/>
              <w:jc w:val="center"/>
              <w:rPr>
                <w:rFonts w:hint="eastAsia" w:ascii="仿宋" w:hAnsi="仿宋" w:eastAsia="仿宋" w:cs="仿宋"/>
                <w:szCs w:val="24"/>
                <w:lang w:val="en-US" w:eastAsia="zh-CN"/>
              </w:rPr>
            </w:pPr>
            <w:r>
              <w:rPr>
                <w:rFonts w:hint="eastAsia" w:ascii="仿宋" w:hAnsi="仿宋" w:eastAsia="仿宋" w:cs="仿宋"/>
                <w:szCs w:val="24"/>
                <w:lang w:val="en-US" w:eastAsia="zh-CN"/>
              </w:rPr>
              <w:t>3</w:t>
            </w:r>
          </w:p>
        </w:tc>
        <w:tc>
          <w:tcPr>
            <w:tcW w:w="1107" w:type="dxa"/>
            <w:vAlign w:val="center"/>
          </w:tcPr>
          <w:p w14:paraId="1DF89FB3">
            <w:pPr>
              <w:jc w:val="center"/>
              <w:rPr>
                <w:rFonts w:hint="eastAsia" w:ascii="仿宋" w:hAnsi="仿宋" w:eastAsia="仿宋" w:cs="仿宋"/>
                <w:sz w:val="24"/>
                <w:lang w:eastAsia="zh-CN"/>
              </w:rPr>
            </w:pPr>
            <w:r>
              <w:rPr>
                <w:rFonts w:hint="eastAsia" w:ascii="仿宋" w:hAnsi="仿宋" w:eastAsia="仿宋" w:cs="仿宋"/>
                <w:sz w:val="24"/>
                <w:lang w:eastAsia="zh-CN"/>
              </w:rPr>
              <w:t>主观分</w:t>
            </w:r>
          </w:p>
        </w:tc>
      </w:tr>
      <w:tr w14:paraId="3F86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5" w:type="dxa"/>
            <w:shd w:val="clear" w:color="auto" w:fill="auto"/>
            <w:vAlign w:val="center"/>
          </w:tcPr>
          <w:p w14:paraId="5FAB992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6061" w:type="dxa"/>
            <w:shd w:val="clear" w:color="auto" w:fill="auto"/>
            <w:vAlign w:val="center"/>
          </w:tcPr>
          <w:p w14:paraId="7BD50132">
            <w:pPr>
              <w:snapToGrid w:val="0"/>
              <w:spacing w:line="32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针对售后质量服务承诺，所采取的措施，有效期内上门服务及服务承诺的可能性、完整性，服务承诺落实保障措施等进行评分。分值（</w:t>
            </w:r>
            <w:r>
              <w:rPr>
                <w:rFonts w:hint="eastAsia" w:ascii="仿宋" w:hAnsi="仿宋" w:eastAsia="仿宋" w:cs="仿宋"/>
                <w:sz w:val="24"/>
                <w:lang w:val="en-US" w:eastAsia="zh-CN"/>
              </w:rPr>
              <w:t>3.0、2.0、1.0、0</w:t>
            </w:r>
            <w:r>
              <w:rPr>
                <w:rFonts w:hint="eastAsia" w:ascii="仿宋" w:hAnsi="仿宋" w:eastAsia="仿宋" w:cs="仿宋"/>
                <w:sz w:val="24"/>
                <w:lang w:eastAsia="zh-CN"/>
              </w:rPr>
              <w:t>）。</w:t>
            </w:r>
          </w:p>
        </w:tc>
        <w:tc>
          <w:tcPr>
            <w:tcW w:w="796" w:type="dxa"/>
            <w:shd w:val="clear" w:color="auto" w:fill="auto"/>
            <w:vAlign w:val="center"/>
          </w:tcPr>
          <w:p w14:paraId="7BF5955B">
            <w:pPr>
              <w:pStyle w:val="169"/>
              <w:spacing w:before="0" w:line="32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Cs w:val="24"/>
                <w:lang w:val="en-US" w:eastAsia="zh-CN"/>
              </w:rPr>
              <w:t>3</w:t>
            </w:r>
          </w:p>
        </w:tc>
        <w:tc>
          <w:tcPr>
            <w:tcW w:w="1107" w:type="dxa"/>
            <w:vAlign w:val="center"/>
          </w:tcPr>
          <w:p w14:paraId="713D8085">
            <w:pPr>
              <w:jc w:val="center"/>
              <w:rPr>
                <w:rFonts w:hint="eastAsia" w:ascii="仿宋" w:hAnsi="仿宋" w:eastAsia="仿宋" w:cs="仿宋"/>
                <w:sz w:val="24"/>
              </w:rPr>
            </w:pPr>
            <w:r>
              <w:rPr>
                <w:rFonts w:hint="eastAsia" w:ascii="仿宋" w:hAnsi="仿宋" w:eastAsia="仿宋" w:cs="仿宋"/>
                <w:sz w:val="24"/>
                <w:lang w:eastAsia="zh-CN"/>
              </w:rPr>
              <w:t>主观分</w:t>
            </w:r>
          </w:p>
        </w:tc>
      </w:tr>
      <w:tr w14:paraId="7CC1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5" w:type="dxa"/>
            <w:shd w:val="clear" w:color="auto" w:fill="auto"/>
            <w:vAlign w:val="center"/>
          </w:tcPr>
          <w:p w14:paraId="764FE254">
            <w:pPr>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6061" w:type="dxa"/>
            <w:vAlign w:val="center"/>
          </w:tcPr>
          <w:p w14:paraId="0E45D02B">
            <w:pPr>
              <w:jc w:val="left"/>
              <w:outlineLvl w:val="0"/>
              <w:rPr>
                <w:rFonts w:ascii="仿宋" w:hAnsi="仿宋" w:eastAsia="仿宋" w:cs="仿宋"/>
                <w:sz w:val="24"/>
              </w:rPr>
            </w:pPr>
            <w:r>
              <w:rPr>
                <w:rFonts w:hint="eastAsia" w:ascii="仿宋" w:hAnsi="仿宋" w:eastAsia="仿宋" w:cs="仿宋"/>
                <w:sz w:val="24"/>
              </w:rPr>
              <w:t>根据各投标人提供的目标进度计划的合理性、可行性等进行评分。</w:t>
            </w:r>
            <w:r>
              <w:rPr>
                <w:rFonts w:hint="eastAsia" w:ascii="仿宋" w:hAnsi="仿宋" w:eastAsia="仿宋" w:cs="仿宋"/>
                <w:sz w:val="24"/>
                <w:lang w:eastAsia="zh-CN"/>
              </w:rPr>
              <w:t>分值（</w:t>
            </w:r>
            <w:r>
              <w:rPr>
                <w:rFonts w:hint="eastAsia" w:ascii="仿宋" w:hAnsi="仿宋" w:eastAsia="仿宋" w:cs="仿宋"/>
                <w:sz w:val="24"/>
                <w:lang w:val="en-US" w:eastAsia="zh-CN"/>
              </w:rPr>
              <w:t>3.0、2.0、1.0、0</w:t>
            </w:r>
            <w:r>
              <w:rPr>
                <w:rFonts w:hint="eastAsia" w:ascii="仿宋" w:hAnsi="仿宋" w:eastAsia="仿宋" w:cs="仿宋"/>
                <w:sz w:val="24"/>
                <w:lang w:eastAsia="zh-CN"/>
              </w:rPr>
              <w:t>）。</w:t>
            </w:r>
          </w:p>
        </w:tc>
        <w:tc>
          <w:tcPr>
            <w:tcW w:w="796" w:type="dxa"/>
            <w:vAlign w:val="center"/>
          </w:tcPr>
          <w:p w14:paraId="5D979B07">
            <w:pPr>
              <w:pStyle w:val="169"/>
              <w:spacing w:before="0" w:line="320" w:lineRule="exact"/>
              <w:ind w:firstLine="0" w:firstLineChars="0"/>
              <w:jc w:val="center"/>
              <w:rPr>
                <w:rFonts w:ascii="仿宋" w:hAnsi="仿宋" w:eastAsia="仿宋" w:cs="仿宋"/>
                <w:sz w:val="24"/>
              </w:rPr>
            </w:pPr>
            <w:r>
              <w:rPr>
                <w:rFonts w:hint="eastAsia" w:ascii="仿宋" w:hAnsi="仿宋" w:eastAsia="仿宋" w:cs="仿宋"/>
                <w:szCs w:val="24"/>
                <w:lang w:val="en-US" w:eastAsia="zh-CN"/>
              </w:rPr>
              <w:t>3</w:t>
            </w:r>
          </w:p>
        </w:tc>
        <w:tc>
          <w:tcPr>
            <w:tcW w:w="1107" w:type="dxa"/>
            <w:vAlign w:val="center"/>
          </w:tcPr>
          <w:p w14:paraId="2D945D16">
            <w:pPr>
              <w:jc w:val="center"/>
              <w:rPr>
                <w:rFonts w:ascii="仿宋" w:hAnsi="仿宋" w:eastAsia="仿宋" w:cs="仿宋"/>
                <w:sz w:val="24"/>
              </w:rPr>
            </w:pPr>
            <w:r>
              <w:rPr>
                <w:rFonts w:hint="eastAsia" w:ascii="仿宋" w:hAnsi="仿宋" w:eastAsia="仿宋" w:cs="仿宋"/>
                <w:sz w:val="24"/>
                <w:lang w:eastAsia="zh-CN"/>
              </w:rPr>
              <w:t>主观分</w:t>
            </w:r>
          </w:p>
        </w:tc>
      </w:tr>
      <w:tr w14:paraId="0705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5" w:type="dxa"/>
            <w:vAlign w:val="center"/>
          </w:tcPr>
          <w:p w14:paraId="062C57FB">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061" w:type="dxa"/>
            <w:vAlign w:val="center"/>
          </w:tcPr>
          <w:p w14:paraId="53A550D4">
            <w:pPr>
              <w:jc w:val="left"/>
              <w:outlineLvl w:val="0"/>
              <w:rPr>
                <w:rFonts w:ascii="仿宋" w:hAnsi="仿宋" w:eastAsia="仿宋" w:cs="仿宋"/>
                <w:sz w:val="24"/>
              </w:rPr>
            </w:pPr>
            <w:r>
              <w:rPr>
                <w:rFonts w:hint="eastAsia" w:ascii="仿宋" w:hAnsi="仿宋" w:eastAsia="仿宋" w:cs="仿宋"/>
                <w:sz w:val="24"/>
              </w:rPr>
              <w:t>演示（采用录制演示视频演示方式，不接受PPT和word演示的方式）。演示内容包括：</w:t>
            </w:r>
          </w:p>
        </w:tc>
        <w:tc>
          <w:tcPr>
            <w:tcW w:w="796" w:type="dxa"/>
            <w:vAlign w:val="center"/>
          </w:tcPr>
          <w:p w14:paraId="4ACEEE72">
            <w:pPr>
              <w:jc w:val="center"/>
              <w:rPr>
                <w:rFonts w:hint="eastAsia" w:ascii="仿宋" w:hAnsi="仿宋" w:eastAsia="仿宋" w:cs="仿宋"/>
                <w:szCs w:val="24"/>
                <w:lang w:val="en-US" w:eastAsia="zh-CN"/>
              </w:rPr>
            </w:pPr>
            <w:r>
              <w:rPr>
                <w:rFonts w:hint="eastAsia" w:ascii="仿宋" w:hAnsi="仿宋" w:eastAsia="仿宋" w:cs="仿宋"/>
                <w:sz w:val="24"/>
                <w:lang w:val="en-US" w:eastAsia="zh-CN"/>
              </w:rPr>
              <w:t>/</w:t>
            </w:r>
          </w:p>
        </w:tc>
        <w:tc>
          <w:tcPr>
            <w:tcW w:w="1107" w:type="dxa"/>
            <w:vAlign w:val="center"/>
          </w:tcPr>
          <w:p w14:paraId="0F67538A">
            <w:pPr>
              <w:jc w:val="center"/>
              <w:rPr>
                <w:rFonts w:hint="eastAsia" w:ascii="仿宋" w:hAnsi="仿宋" w:eastAsia="仿宋" w:cs="仿宋"/>
                <w:sz w:val="24"/>
                <w:lang w:eastAsia="zh-CN"/>
              </w:rPr>
            </w:pPr>
            <w:r>
              <w:rPr>
                <w:rFonts w:hint="eastAsia" w:ascii="仿宋" w:hAnsi="仿宋" w:eastAsia="仿宋" w:cs="仿宋"/>
                <w:sz w:val="24"/>
                <w:lang w:val="en-US" w:eastAsia="zh-CN"/>
              </w:rPr>
              <w:t>/</w:t>
            </w:r>
          </w:p>
        </w:tc>
      </w:tr>
      <w:tr w14:paraId="5196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5" w:type="dxa"/>
            <w:vAlign w:val="center"/>
          </w:tcPr>
          <w:p w14:paraId="14C7BE73">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12.1</w:t>
            </w:r>
          </w:p>
        </w:tc>
        <w:tc>
          <w:tcPr>
            <w:tcW w:w="6061" w:type="dxa"/>
            <w:vAlign w:val="center"/>
          </w:tcPr>
          <w:p w14:paraId="5BFFB29E">
            <w:pPr>
              <w:jc w:val="left"/>
              <w:outlineLvl w:val="0"/>
              <w:rPr>
                <w:rFonts w:hint="eastAsia" w:ascii="仿宋" w:hAnsi="仿宋" w:eastAsia="仿宋" w:cs="仿宋"/>
                <w:sz w:val="24"/>
                <w:highlight w:val="yellow"/>
              </w:rPr>
            </w:pPr>
            <w:r>
              <w:rPr>
                <w:rFonts w:hint="eastAsia" w:ascii="仿宋" w:eastAsia="仿宋" w:cs="仿宋"/>
                <w:sz w:val="24"/>
                <w:szCs w:val="24"/>
                <w:highlight w:val="none"/>
                <w:lang w:val="en-US" w:eastAsia="zh-CN"/>
              </w:rPr>
              <w:t>要求支持多色彩展示运行预警状态，支持预警统计、概览、处理，支持预警记录查看、查询，支持预警单条、批量处理，支持系统最近7天每日预警数统计。</w:t>
            </w:r>
            <w:r>
              <w:rPr>
                <w:rFonts w:hint="eastAsia" w:ascii="仿宋" w:hAnsi="仿宋" w:eastAsia="仿宋" w:cs="仿宋"/>
                <w:sz w:val="24"/>
                <w:highlight w:val="none"/>
              </w:rPr>
              <w:t>满足得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分，不满足不得分。</w:t>
            </w:r>
          </w:p>
        </w:tc>
        <w:tc>
          <w:tcPr>
            <w:tcW w:w="796" w:type="dxa"/>
            <w:vAlign w:val="center"/>
          </w:tcPr>
          <w:p w14:paraId="1D8B00DE">
            <w:pPr>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107" w:type="dxa"/>
            <w:vAlign w:val="center"/>
          </w:tcPr>
          <w:p w14:paraId="4FBF55CE">
            <w:pPr>
              <w:jc w:val="center"/>
              <w:rPr>
                <w:rFonts w:hint="eastAsia" w:ascii="仿宋" w:hAnsi="仿宋" w:eastAsia="仿宋" w:cs="仿宋"/>
                <w:sz w:val="24"/>
                <w:lang w:val="en-US" w:eastAsia="zh-CN"/>
              </w:rPr>
            </w:pPr>
            <w:r>
              <w:rPr>
                <w:rFonts w:hint="eastAsia" w:ascii="仿宋" w:hAnsi="仿宋" w:eastAsia="仿宋" w:cs="仿宋"/>
                <w:sz w:val="24"/>
              </w:rPr>
              <w:t>客观分</w:t>
            </w:r>
          </w:p>
        </w:tc>
      </w:tr>
      <w:tr w14:paraId="16B8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ins w:id="1" w:author="孔一空" w:date="2025-07-02T15:11:16Z"/>
        </w:trPr>
        <w:tc>
          <w:tcPr>
            <w:tcW w:w="845" w:type="dxa"/>
            <w:vAlign w:val="center"/>
          </w:tcPr>
          <w:p w14:paraId="6FEA436D">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12.2</w:t>
            </w:r>
          </w:p>
        </w:tc>
        <w:tc>
          <w:tcPr>
            <w:tcW w:w="6061" w:type="dxa"/>
            <w:vAlign w:val="center"/>
          </w:tcPr>
          <w:p w14:paraId="45E66CA6">
            <w:pPr>
              <w:jc w:val="left"/>
              <w:outlineLvl w:val="0"/>
              <w:rPr>
                <w:rFonts w:hint="eastAsia" w:ascii="仿宋" w:eastAsia="仿宋" w:cs="仿宋"/>
                <w:sz w:val="24"/>
                <w:szCs w:val="24"/>
                <w:highlight w:val="none"/>
                <w:lang w:val="en-US" w:eastAsia="zh-CN"/>
              </w:rPr>
            </w:pPr>
            <w:r>
              <w:rPr>
                <w:rFonts w:hint="eastAsia" w:ascii="仿宋" w:eastAsia="仿宋" w:cs="仿宋"/>
                <w:color w:val="000000" w:themeColor="text1"/>
                <w:sz w:val="24"/>
                <w:szCs w:val="24"/>
                <w:highlight w:val="none"/>
                <w:lang w:val="en-US" w:eastAsia="zh-CN"/>
                <w14:textFill>
                  <w14:solidFill>
                    <w14:schemeClr w14:val="tx1"/>
                  </w14:solidFill>
                </w14:textFill>
              </w:rPr>
              <w:t>平台支持在API市场中查看API基础信息、接口状态、输入返回参数等，同时支持API状态的切换（在线、下线、隐藏）；支持API接口的调用时间、调用次数策略。</w:t>
            </w:r>
            <w:r>
              <w:rPr>
                <w:rFonts w:hint="eastAsia" w:ascii="仿宋" w:hAnsi="仿宋" w:eastAsia="仿宋" w:cs="仿宋"/>
                <w:sz w:val="24"/>
              </w:rPr>
              <w:t>满足得</w:t>
            </w:r>
            <w:r>
              <w:rPr>
                <w:rFonts w:hint="eastAsia" w:ascii="仿宋" w:hAnsi="仿宋" w:eastAsia="仿宋" w:cs="仿宋"/>
                <w:sz w:val="24"/>
                <w:lang w:val="en-US" w:eastAsia="zh-CN"/>
              </w:rPr>
              <w:t>1</w:t>
            </w:r>
            <w:r>
              <w:rPr>
                <w:rFonts w:hint="eastAsia" w:ascii="仿宋" w:hAnsi="仿宋" w:eastAsia="仿宋" w:cs="仿宋"/>
                <w:sz w:val="24"/>
              </w:rPr>
              <w:t>分，不满足不得分。</w:t>
            </w:r>
          </w:p>
        </w:tc>
        <w:tc>
          <w:tcPr>
            <w:tcW w:w="796" w:type="dxa"/>
            <w:vAlign w:val="center"/>
          </w:tcPr>
          <w:p w14:paraId="6C2C4C05">
            <w:pPr>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107" w:type="dxa"/>
            <w:vAlign w:val="center"/>
          </w:tcPr>
          <w:p w14:paraId="55AD5DF9">
            <w:pPr>
              <w:jc w:val="center"/>
              <w:rPr>
                <w:rFonts w:hint="eastAsia" w:ascii="仿宋" w:hAnsi="仿宋" w:eastAsia="仿宋" w:cs="仿宋"/>
                <w:sz w:val="24"/>
              </w:rPr>
            </w:pPr>
            <w:r>
              <w:rPr>
                <w:rFonts w:hint="eastAsia" w:ascii="仿宋" w:hAnsi="仿宋" w:eastAsia="仿宋" w:cs="仿宋"/>
                <w:sz w:val="24"/>
              </w:rPr>
              <w:t>客观分</w:t>
            </w:r>
          </w:p>
        </w:tc>
      </w:tr>
      <w:tr w14:paraId="0344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5" w:type="dxa"/>
            <w:vAlign w:val="center"/>
          </w:tcPr>
          <w:p w14:paraId="179F912D">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12.3</w:t>
            </w:r>
          </w:p>
        </w:tc>
        <w:tc>
          <w:tcPr>
            <w:tcW w:w="6061" w:type="dxa"/>
            <w:vAlign w:val="center"/>
          </w:tcPr>
          <w:p w14:paraId="50804E9A">
            <w:pPr>
              <w:jc w:val="left"/>
              <w:outlineLvl w:val="0"/>
              <w:rPr>
                <w:rFonts w:hint="eastAsia" w:ascii="仿宋" w:hAnsi="仿宋" w:eastAsia="仿宋" w:cs="仿宋"/>
                <w:sz w:val="24"/>
              </w:rPr>
            </w:pPr>
            <w:r>
              <w:rPr>
                <w:rFonts w:hint="eastAsia" w:ascii="仿宋" w:hAnsi="仿宋" w:eastAsia="仿宋" w:cs="仿宋"/>
                <w:sz w:val="24"/>
              </w:rPr>
              <w:t>支持展示异常数据统计，包括多日未归人数（点击可跳转至多日未归查询界面，展示7日内数据）、多日未出人数（点击可跳转至多日未出查询界面，展示7日内数据）、独居寝室</w:t>
            </w:r>
            <w:r>
              <w:rPr>
                <w:rFonts w:hint="eastAsia" w:ascii="仿宋" w:hAnsi="仿宋" w:eastAsia="仿宋" w:cs="仿宋"/>
                <w:sz w:val="24"/>
                <w:lang w:val="en-US" w:eastAsia="zh-CN"/>
              </w:rPr>
              <w:t>情况</w:t>
            </w:r>
            <w:r>
              <w:rPr>
                <w:rFonts w:hint="eastAsia" w:ascii="仿宋" w:hAnsi="仿宋" w:eastAsia="仿宋" w:cs="仿宋"/>
                <w:sz w:val="24"/>
              </w:rPr>
              <w:t>（点击可展示当天数据）。满足得</w:t>
            </w:r>
            <w:r>
              <w:rPr>
                <w:rFonts w:hint="eastAsia" w:ascii="仿宋" w:hAnsi="仿宋" w:eastAsia="仿宋" w:cs="仿宋"/>
                <w:sz w:val="24"/>
                <w:lang w:val="en-US" w:eastAsia="zh-CN"/>
              </w:rPr>
              <w:t>1</w:t>
            </w:r>
            <w:r>
              <w:rPr>
                <w:rFonts w:hint="eastAsia" w:ascii="仿宋" w:hAnsi="仿宋" w:eastAsia="仿宋" w:cs="仿宋"/>
                <w:sz w:val="24"/>
              </w:rPr>
              <w:t>分，不满足不得分。</w:t>
            </w:r>
          </w:p>
        </w:tc>
        <w:tc>
          <w:tcPr>
            <w:tcW w:w="796" w:type="dxa"/>
            <w:vAlign w:val="center"/>
          </w:tcPr>
          <w:p w14:paraId="7CA427DC">
            <w:pPr>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107" w:type="dxa"/>
            <w:vAlign w:val="center"/>
          </w:tcPr>
          <w:p w14:paraId="33A55809">
            <w:pPr>
              <w:jc w:val="center"/>
              <w:rPr>
                <w:rFonts w:hint="eastAsia" w:ascii="仿宋" w:hAnsi="仿宋" w:eastAsia="仿宋" w:cs="仿宋"/>
                <w:sz w:val="24"/>
                <w:lang w:val="en-US" w:eastAsia="zh-CN"/>
              </w:rPr>
            </w:pPr>
            <w:r>
              <w:rPr>
                <w:rFonts w:hint="eastAsia" w:ascii="仿宋" w:hAnsi="仿宋" w:eastAsia="仿宋" w:cs="仿宋"/>
                <w:sz w:val="24"/>
              </w:rPr>
              <w:t>客观分</w:t>
            </w:r>
          </w:p>
        </w:tc>
      </w:tr>
      <w:tr w14:paraId="10C0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5" w:type="dxa"/>
            <w:vAlign w:val="center"/>
          </w:tcPr>
          <w:p w14:paraId="5DE69B1F">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12.4</w:t>
            </w:r>
          </w:p>
        </w:tc>
        <w:tc>
          <w:tcPr>
            <w:tcW w:w="6061" w:type="dxa"/>
            <w:vAlign w:val="center"/>
          </w:tcPr>
          <w:p w14:paraId="5BF857D9">
            <w:pPr>
              <w:jc w:val="left"/>
              <w:outlineLvl w:val="0"/>
              <w:rPr>
                <w:rFonts w:hint="eastAsia" w:ascii="仿宋" w:hAnsi="仿宋" w:eastAsia="仿宋" w:cs="仿宋"/>
                <w:sz w:val="24"/>
              </w:rPr>
            </w:pPr>
            <w:r>
              <w:rPr>
                <w:rFonts w:hint="eastAsia" w:ascii="仿宋" w:eastAsia="仿宋" w:cs="仿宋"/>
                <w:sz w:val="24"/>
                <w:szCs w:val="24"/>
                <w:highlight w:val="none"/>
                <w:lang w:val="en-US" w:eastAsia="zh-CN"/>
              </w:rPr>
              <w:t>支持展示所管辖人员入住楼栋情况统计（该用户组织权限下学生入住宿舍情况），包括楼栋名称、管辖人数、已归寝人数、未归寝人数、晚归人数、请假人数、独居寝室情况、异常预警数等情况。</w:t>
            </w:r>
            <w:r>
              <w:rPr>
                <w:rFonts w:hint="eastAsia" w:ascii="仿宋" w:hAnsi="仿宋" w:eastAsia="仿宋" w:cs="仿宋"/>
                <w:sz w:val="24"/>
              </w:rPr>
              <w:t>满足得</w:t>
            </w:r>
            <w:r>
              <w:rPr>
                <w:rFonts w:hint="eastAsia" w:ascii="仿宋" w:hAnsi="仿宋" w:eastAsia="仿宋" w:cs="仿宋"/>
                <w:sz w:val="24"/>
                <w:lang w:val="en-US" w:eastAsia="zh-CN"/>
              </w:rPr>
              <w:t>1</w:t>
            </w:r>
            <w:r>
              <w:rPr>
                <w:rFonts w:hint="eastAsia" w:ascii="仿宋" w:hAnsi="仿宋" w:eastAsia="仿宋" w:cs="仿宋"/>
                <w:sz w:val="24"/>
              </w:rPr>
              <w:t>分，不满足不得分。</w:t>
            </w:r>
          </w:p>
        </w:tc>
        <w:tc>
          <w:tcPr>
            <w:tcW w:w="796" w:type="dxa"/>
            <w:vAlign w:val="center"/>
          </w:tcPr>
          <w:p w14:paraId="3331291C">
            <w:pPr>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107" w:type="dxa"/>
            <w:vAlign w:val="center"/>
          </w:tcPr>
          <w:p w14:paraId="74613120">
            <w:pPr>
              <w:jc w:val="center"/>
              <w:rPr>
                <w:rFonts w:hint="eastAsia" w:ascii="仿宋" w:hAnsi="仿宋" w:eastAsia="仿宋" w:cs="仿宋"/>
                <w:sz w:val="24"/>
                <w:lang w:val="en-US" w:eastAsia="zh-CN"/>
              </w:rPr>
            </w:pPr>
            <w:r>
              <w:rPr>
                <w:rFonts w:hint="eastAsia" w:ascii="仿宋" w:hAnsi="仿宋" w:eastAsia="仿宋" w:cs="仿宋"/>
                <w:sz w:val="24"/>
              </w:rPr>
              <w:t>客观分</w:t>
            </w:r>
          </w:p>
        </w:tc>
      </w:tr>
      <w:tr w14:paraId="41B6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5" w:type="dxa"/>
            <w:vAlign w:val="center"/>
          </w:tcPr>
          <w:p w14:paraId="716187BA">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12.5</w:t>
            </w:r>
          </w:p>
        </w:tc>
        <w:tc>
          <w:tcPr>
            <w:tcW w:w="6061" w:type="dxa"/>
            <w:vAlign w:val="center"/>
          </w:tcPr>
          <w:p w14:paraId="685085C4">
            <w:pPr>
              <w:jc w:val="left"/>
              <w:outlineLvl w:val="0"/>
              <w:rPr>
                <w:rFonts w:hint="eastAsia" w:ascii="仿宋" w:hAnsi="仿宋" w:eastAsia="仿宋" w:cs="仿宋"/>
                <w:sz w:val="24"/>
              </w:rPr>
            </w:pPr>
            <w:r>
              <w:rPr>
                <w:rFonts w:hint="eastAsia" w:ascii="仿宋" w:eastAsia="仿宋" w:cs="仿宋"/>
                <w:sz w:val="24"/>
                <w:szCs w:val="24"/>
                <w:highlight w:val="none"/>
                <w:lang w:val="en-US" w:eastAsia="zh-CN"/>
              </w:rPr>
              <w:t>可设置考勤数据推送规则，根据学生每日考勤情况、长时间未归、未出情况、独居寝室情况等信息进行自动分析生成预警名单，并推送给相应人员。</w:t>
            </w:r>
            <w:r>
              <w:rPr>
                <w:rFonts w:hint="eastAsia" w:ascii="仿宋" w:hAnsi="仿宋" w:eastAsia="仿宋" w:cs="仿宋"/>
                <w:sz w:val="24"/>
              </w:rPr>
              <w:t>满足得</w:t>
            </w:r>
            <w:r>
              <w:rPr>
                <w:rFonts w:hint="eastAsia" w:ascii="仿宋" w:hAnsi="仿宋" w:eastAsia="仿宋" w:cs="仿宋"/>
                <w:sz w:val="24"/>
                <w:lang w:val="en-US" w:eastAsia="zh-CN"/>
              </w:rPr>
              <w:t>1</w:t>
            </w:r>
            <w:r>
              <w:rPr>
                <w:rFonts w:hint="eastAsia" w:ascii="仿宋" w:hAnsi="仿宋" w:eastAsia="仿宋" w:cs="仿宋"/>
                <w:sz w:val="24"/>
              </w:rPr>
              <w:t>分，不满足不得分。</w:t>
            </w:r>
          </w:p>
        </w:tc>
        <w:tc>
          <w:tcPr>
            <w:tcW w:w="796" w:type="dxa"/>
            <w:vAlign w:val="center"/>
          </w:tcPr>
          <w:p w14:paraId="5EAAD284">
            <w:pPr>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107" w:type="dxa"/>
            <w:vAlign w:val="center"/>
          </w:tcPr>
          <w:p w14:paraId="6A35C368">
            <w:pPr>
              <w:jc w:val="center"/>
              <w:rPr>
                <w:rFonts w:hint="eastAsia" w:ascii="仿宋" w:hAnsi="仿宋" w:eastAsia="仿宋" w:cs="仿宋"/>
                <w:sz w:val="24"/>
                <w:lang w:val="en-US" w:eastAsia="zh-CN"/>
              </w:rPr>
            </w:pPr>
            <w:r>
              <w:rPr>
                <w:rFonts w:hint="eastAsia" w:ascii="仿宋" w:hAnsi="仿宋" w:eastAsia="仿宋" w:cs="仿宋"/>
                <w:sz w:val="24"/>
              </w:rPr>
              <w:t>客观分</w:t>
            </w:r>
          </w:p>
        </w:tc>
      </w:tr>
      <w:tr w14:paraId="05B4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45" w:type="dxa"/>
            <w:vAlign w:val="center"/>
          </w:tcPr>
          <w:p w14:paraId="7D6F38CE">
            <w:pPr>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6061" w:type="dxa"/>
            <w:vAlign w:val="center"/>
          </w:tcPr>
          <w:p w14:paraId="3C5B8039">
            <w:pPr>
              <w:outlineLvl w:val="0"/>
              <w:rPr>
                <w:rFonts w:ascii="仿宋" w:hAnsi="仿宋" w:eastAsia="仿宋" w:cs="仿宋"/>
                <w:sz w:val="24"/>
              </w:rPr>
            </w:pPr>
            <w:r>
              <w:rPr>
                <w:rFonts w:hint="eastAsia" w:ascii="仿宋" w:hAnsi="仿宋" w:eastAsia="仿宋" w:cs="仿宋"/>
                <w:sz w:val="24"/>
              </w:rPr>
              <w:t>投标报价</w:t>
            </w:r>
          </w:p>
        </w:tc>
        <w:tc>
          <w:tcPr>
            <w:tcW w:w="796" w:type="dxa"/>
            <w:vAlign w:val="center"/>
          </w:tcPr>
          <w:p w14:paraId="71EF9867">
            <w:pPr>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107" w:type="dxa"/>
            <w:vAlign w:val="center"/>
          </w:tcPr>
          <w:p w14:paraId="70E26885">
            <w:pPr>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14:paraId="2939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5" w:type="dxa"/>
            <w:vAlign w:val="center"/>
          </w:tcPr>
          <w:p w14:paraId="259CA135">
            <w:pPr>
              <w:jc w:val="center"/>
              <w:rPr>
                <w:rFonts w:hint="default" w:ascii="仿宋" w:hAnsi="仿宋" w:eastAsia="仿宋" w:cs="仿宋"/>
                <w:sz w:val="24"/>
                <w:lang w:val="en-US" w:eastAsia="zh-CN"/>
              </w:rPr>
            </w:pPr>
            <w:r>
              <w:rPr>
                <w:rFonts w:hint="eastAsia" w:ascii="仿宋" w:hAnsi="仿宋" w:eastAsia="仿宋" w:cs="仿宋"/>
                <w:sz w:val="24"/>
                <w:lang w:val="en-US" w:eastAsia="zh-CN"/>
              </w:rPr>
              <w:t>13.1</w:t>
            </w:r>
          </w:p>
        </w:tc>
        <w:tc>
          <w:tcPr>
            <w:tcW w:w="6061" w:type="dxa"/>
          </w:tcPr>
          <w:p w14:paraId="3568067B">
            <w:pPr>
              <w:jc w:val="left"/>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30</w:t>
            </w:r>
            <w:r>
              <w:rPr>
                <w:rFonts w:hint="eastAsia" w:ascii="仿宋" w:hAnsi="仿宋" w:eastAsia="仿宋" w:cs="仿宋"/>
                <w:sz w:val="24"/>
              </w:rPr>
              <w:t>］的计算公式计算。</w:t>
            </w:r>
          </w:p>
          <w:p w14:paraId="65EE2C00">
            <w:pPr>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14:paraId="15F1B2A6">
            <w:pPr>
              <w:jc w:val="left"/>
              <w:rPr>
                <w:rFonts w:hint="eastAsia" w:ascii="仿宋" w:hAnsi="仿宋" w:eastAsia="仿宋" w:cs="仿宋"/>
                <w:sz w:val="24"/>
              </w:rPr>
            </w:pPr>
            <w:r>
              <w:rPr>
                <w:rFonts w:hint="eastAsia" w:ascii="仿宋" w:hAnsi="仿宋" w:eastAsia="仿宋" w:cs="仿宋"/>
                <w:sz w:val="24"/>
                <w:highlight w:val="none"/>
              </w:rPr>
              <w:t>对于非专门面向中小企业的采购货物项目，对小型和微型企业的投标报价给子10%的扣除，用扣除后的价格参与评审。</w:t>
            </w:r>
          </w:p>
        </w:tc>
        <w:tc>
          <w:tcPr>
            <w:tcW w:w="796" w:type="dxa"/>
            <w:vAlign w:val="center"/>
          </w:tcPr>
          <w:p w14:paraId="3FA6703B">
            <w:pPr>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1107" w:type="dxa"/>
            <w:vAlign w:val="center"/>
          </w:tcPr>
          <w:p w14:paraId="06B65FCF">
            <w:pPr>
              <w:jc w:val="left"/>
              <w:outlineLvl w:val="0"/>
              <w:rPr>
                <w:rFonts w:ascii="仿宋" w:hAnsi="仿宋" w:eastAsia="仿宋" w:cs="仿宋"/>
                <w:sz w:val="24"/>
              </w:rPr>
            </w:pPr>
            <w:r>
              <w:rPr>
                <w:rFonts w:hint="eastAsia" w:ascii="仿宋" w:hAnsi="仿宋" w:eastAsia="仿宋" w:cs="仿宋"/>
                <w:sz w:val="24"/>
              </w:rPr>
              <w:t>客观分</w:t>
            </w:r>
          </w:p>
        </w:tc>
      </w:tr>
    </w:tbl>
    <w:p w14:paraId="5F0FE3B8">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14:paraId="4BBF0ACD">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5DF07412">
      <w:pPr>
        <w:adjustRightInd/>
        <w:snapToGrid w:val="0"/>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DA1A6C4">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6C8FB372">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F3A8484">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9D176A1">
      <w:pPr>
        <w:snapToGrid w:val="0"/>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F3FD6AA">
      <w:pPr>
        <w:snapToGrid w:val="0"/>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C43B140">
      <w:pPr>
        <w:snapToGrid w:val="0"/>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BD7D540">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3.4报价评审。</w:t>
      </w:r>
    </w:p>
    <w:p w14:paraId="75B660E7">
      <w:pPr>
        <w:pStyle w:val="169"/>
        <w:snapToGrid w:val="0"/>
        <w:spacing w:before="0"/>
        <w:ind w:firstLine="480"/>
        <w:rPr>
          <w:rFonts w:ascii="仿宋" w:hAnsi="仿宋" w:eastAsia="仿宋" w:cs="仿宋"/>
          <w:kern w:val="0"/>
        </w:rPr>
      </w:pPr>
      <w:r>
        <w:rPr>
          <w:rFonts w:hint="eastAsia" w:ascii="仿宋" w:hAnsi="仿宋" w:eastAsia="仿宋" w:cs="仿宋"/>
          <w:kern w:val="0"/>
        </w:rPr>
        <w:t>3.4.1投标文件报价出现前后不一致的，按照下列规定修正：</w:t>
      </w:r>
    </w:p>
    <w:p w14:paraId="3AFF4E60">
      <w:pPr>
        <w:pStyle w:val="169"/>
        <w:snapToGrid w:val="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1EDB627">
      <w:pPr>
        <w:pStyle w:val="169"/>
        <w:snapToGrid w:val="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85D530">
      <w:pPr>
        <w:pStyle w:val="169"/>
        <w:snapToGrid w:val="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C6854CC">
      <w:pPr>
        <w:pStyle w:val="169"/>
        <w:snapToGrid w:val="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EF60760">
      <w:pPr>
        <w:pStyle w:val="169"/>
        <w:snapToGrid w:val="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3.4.1.5同时出现两种以上不一致的，按照3.4.1规定的顺序修正。修正后的报价经投标人确认后产生约束力。</w:t>
      </w:r>
    </w:p>
    <w:p w14:paraId="4B917E50">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DF3A468">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62BBFB54">
      <w:pPr>
        <w:pStyle w:val="169"/>
        <w:snapToGrid w:val="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E769F9">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6D3979">
      <w:pPr>
        <w:snapToGrid w:val="0"/>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B81F1D">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287CD65">
      <w:pPr>
        <w:pStyle w:val="16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现场澄清、邮件等方式进行。投标人的澄清、说明或者补正不得超出投标文件的范围或者改变投标文件的实质性内容。</w:t>
      </w:r>
    </w:p>
    <w:p w14:paraId="4C87BE53">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688D6F4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37CD13C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4B59973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4.2.3投标文件含有</w:t>
      </w:r>
      <w:r>
        <w:rPr>
          <w:rFonts w:hint="eastAsia" w:ascii="仿宋" w:hAnsi="仿宋" w:eastAsia="仿宋" w:cs="仿宋"/>
          <w:kern w:val="0"/>
          <w:sz w:val="24"/>
          <w:lang w:eastAsia="zh-CN"/>
        </w:rPr>
        <w:t>采购人</w:t>
      </w:r>
      <w:r>
        <w:rPr>
          <w:rFonts w:hint="eastAsia" w:ascii="仿宋" w:hAnsi="仿宋" w:eastAsia="仿宋" w:cs="仿宋"/>
          <w:kern w:val="0"/>
          <w:sz w:val="24"/>
        </w:rPr>
        <w:t>不能接受的附加条件的；</w:t>
      </w:r>
    </w:p>
    <w:p w14:paraId="31EA176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3E5FBB0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14:paraId="0259D22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574794B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392DC14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55EA01F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14:paraId="5C0ACA6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4.2.10投标人有恶意串通、妨碍其他投标人的竞争行为、损害</w:t>
      </w:r>
      <w:r>
        <w:rPr>
          <w:rFonts w:hint="eastAsia" w:ascii="仿宋" w:hAnsi="仿宋" w:eastAsia="仿宋" w:cs="仿宋"/>
          <w:kern w:val="0"/>
          <w:sz w:val="24"/>
          <w:lang w:eastAsia="zh-CN"/>
        </w:rPr>
        <w:t>采购人</w:t>
      </w:r>
      <w:r>
        <w:rPr>
          <w:rFonts w:hint="eastAsia" w:ascii="仿宋" w:hAnsi="仿宋" w:eastAsia="仿宋" w:cs="仿宋"/>
          <w:kern w:val="0"/>
          <w:sz w:val="24"/>
        </w:rPr>
        <w:t>或者其他投标人的合法权益情形的；</w:t>
      </w:r>
    </w:p>
    <w:p w14:paraId="51A125D8">
      <w:pPr>
        <w:spacing w:line="312" w:lineRule="auto"/>
        <w:ind w:firstLine="480" w:firstLineChars="200"/>
        <w:rPr>
          <w:rFonts w:hint="eastAsia" w:ascii="仿宋_GB2312" w:hAnsi="仿宋_GB2312" w:eastAsia="仿宋_GB2312" w:cs="仿宋_GB2312"/>
          <w:b/>
          <w:bCs w:val="0"/>
          <w:color w:val="auto"/>
          <w:sz w:val="24"/>
          <w:highlight w:val="none"/>
          <w:lang w:val="en-US" w:eastAsia="zh-CN"/>
        </w:rPr>
      </w:pPr>
      <w:r>
        <w:rPr>
          <w:rFonts w:hint="eastAsia" w:ascii="仿宋" w:hAnsi="仿宋" w:eastAsia="仿宋" w:cs="仿宋"/>
          <w:kern w:val="0"/>
          <w:sz w:val="24"/>
        </w:rPr>
        <w:t>4.2.11</w:t>
      </w:r>
      <w:r>
        <w:rPr>
          <w:rFonts w:hint="eastAsia" w:ascii="仿宋_GB2312" w:hAnsi="仿宋_GB2312" w:eastAsia="仿宋_GB2312" w:cs="仿宋_GB2312"/>
          <w:b/>
          <w:bCs w:val="0"/>
          <w:color w:val="auto"/>
          <w:sz w:val="24"/>
          <w:highlight w:val="none"/>
          <w:lang w:val="en-US" w:eastAsia="zh-CN"/>
        </w:rPr>
        <w:t>参与同一个采购包（标段）的供应商存在下列情形之一的，其投标（响应）文件无效：</w:t>
      </w:r>
    </w:p>
    <w:p w14:paraId="28D01D9E">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a.不同供应商的电子投标（响应）文件上传的</w:t>
      </w:r>
      <w:r>
        <w:rPr>
          <w:rFonts w:hint="eastAsia" w:ascii="仿宋_GB2312" w:hAnsi="仿宋_GB2312" w:eastAsia="仿宋_GB2312" w:cs="仿宋_GB2312"/>
          <w:b/>
          <w:color w:val="auto"/>
          <w:sz w:val="24"/>
          <w:highlight w:val="none"/>
          <w:lang w:val="en-US" w:eastAsia="zh-CN"/>
        </w:rPr>
        <w:t>IP地址、</w:t>
      </w:r>
      <w:r>
        <w:rPr>
          <w:rFonts w:hint="eastAsia" w:ascii="仿宋_GB2312" w:hAnsi="仿宋_GB2312" w:eastAsia="仿宋_GB2312" w:cs="仿宋_GB2312"/>
          <w:b/>
          <w:bCs w:val="0"/>
          <w:color w:val="auto"/>
          <w:sz w:val="24"/>
          <w:highlight w:val="none"/>
          <w:lang w:val="en-US" w:eastAsia="zh-CN"/>
        </w:rPr>
        <w:t>计算机的网卡MAC地址、CPU序列号和硬盘序列号等硬件信息相同的；</w:t>
      </w:r>
    </w:p>
    <w:p w14:paraId="5C8E48F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b.上传的电子投标（响应）文件若出现使用本项目其他投标（响应）人的数字证书加密的，或者加盖本项目其他投标（响应）人的电子印章的；</w:t>
      </w:r>
    </w:p>
    <w:p w14:paraId="5484C23F">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_GB2312" w:hAnsi="仿宋_GB2312" w:eastAsia="仿宋_GB2312" w:cs="仿宋_GB2312"/>
          <w:b/>
          <w:bCs w:val="0"/>
          <w:color w:val="auto"/>
          <w:sz w:val="24"/>
          <w:highlight w:val="none"/>
          <w:lang w:val="en-US" w:eastAsia="zh-CN"/>
        </w:rPr>
      </w:pPr>
      <w:r>
        <w:rPr>
          <w:rFonts w:hint="eastAsia" w:ascii="仿宋_GB2312" w:hAnsi="仿宋_GB2312" w:eastAsia="仿宋_GB2312" w:cs="仿宋_GB2312"/>
          <w:b/>
          <w:bCs w:val="0"/>
          <w:color w:val="auto"/>
          <w:sz w:val="24"/>
          <w:highlight w:val="none"/>
          <w:lang w:val="en-US" w:eastAsia="zh-CN"/>
        </w:rPr>
        <w:t>c.不同供应商的投标（响应）文件的内容存在3处以上细节错误一致，且无法合理解释的；</w:t>
      </w:r>
    </w:p>
    <w:p w14:paraId="4A4A4724">
      <w:pPr>
        <w:adjustRightInd/>
        <w:spacing w:line="312" w:lineRule="auto"/>
        <w:ind w:firstLine="482" w:firstLineChars="200"/>
        <w:rPr>
          <w:rFonts w:hint="eastAsia" w:ascii="仿宋" w:hAnsi="仿宋" w:eastAsia="仿宋" w:cs="仿宋"/>
          <w:kern w:val="0"/>
          <w:sz w:val="24"/>
        </w:rPr>
      </w:pPr>
      <w:r>
        <w:rPr>
          <w:rFonts w:hint="eastAsia" w:ascii="仿宋_GB2312" w:hAnsi="仿宋_GB2312" w:eastAsia="仿宋_GB2312" w:cs="仿宋_GB2312"/>
          <w:b/>
          <w:bCs w:val="0"/>
          <w:color w:val="auto"/>
          <w:sz w:val="24"/>
          <w:highlight w:val="none"/>
          <w:lang w:val="en-US" w:eastAsia="zh-CN"/>
        </w:rPr>
        <w:t>d.不同供应商联系人为同一人或不同联系人的联系电话一致，且无法合理解释的。</w:t>
      </w:r>
    </w:p>
    <w:p w14:paraId="04B98F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14:paraId="72FCDDA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en-US" w:eastAsia="zh-CN"/>
        </w:rPr>
        <w:t>4.2.13</w:t>
      </w:r>
      <w:r>
        <w:rPr>
          <w:rFonts w:hint="eastAsia" w:ascii="仿宋" w:hAnsi="仿宋" w:eastAsia="仿宋" w:cs="仿宋"/>
          <w:kern w:val="0"/>
          <w:sz w:val="24"/>
        </w:rPr>
        <w:t>法律、法规、规章规定的其他无效情形。</w:t>
      </w:r>
    </w:p>
    <w:p w14:paraId="561AB151">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在采购中，出现下列情形之一的，应予废标：</w:t>
      </w:r>
    </w:p>
    <w:p w14:paraId="39D6071A">
      <w:pPr>
        <w:pStyle w:val="24"/>
        <w:snapToGrid w:val="0"/>
        <w:spacing w:line="360" w:lineRule="auto"/>
        <w:rPr>
          <w:rFonts w:ascii="仿宋" w:hAnsi="仿宋" w:eastAsia="仿宋" w:cs="仿宋"/>
        </w:rPr>
      </w:pPr>
      <w:r>
        <w:rPr>
          <w:rFonts w:hint="eastAsia" w:ascii="仿宋" w:hAnsi="仿宋" w:eastAsia="仿宋" w:cs="仿宋"/>
        </w:rPr>
        <w:t>5.1符合专业条件的投标人或者对招标文件作实质响应的投标人不足3家的；</w:t>
      </w:r>
    </w:p>
    <w:p w14:paraId="036DE24B">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2B2D7860">
      <w:pPr>
        <w:pStyle w:val="24"/>
        <w:snapToGrid w:val="0"/>
        <w:spacing w:line="360" w:lineRule="auto"/>
        <w:rPr>
          <w:rFonts w:ascii="仿宋" w:hAnsi="仿宋" w:eastAsia="仿宋" w:cs="仿宋"/>
        </w:rPr>
      </w:pPr>
      <w:r>
        <w:rPr>
          <w:rFonts w:hint="eastAsia" w:ascii="仿宋" w:hAnsi="仿宋" w:eastAsia="仿宋" w:cs="仿宋"/>
        </w:rPr>
        <w:t>5.3投标人的报价均超过了采购预算，</w:t>
      </w:r>
      <w:r>
        <w:rPr>
          <w:rFonts w:hint="eastAsia" w:ascii="仿宋" w:hAnsi="仿宋" w:eastAsia="仿宋" w:cs="仿宋"/>
          <w:lang w:eastAsia="zh-CN"/>
        </w:rPr>
        <w:t>采购人</w:t>
      </w:r>
      <w:r>
        <w:rPr>
          <w:rFonts w:hint="eastAsia" w:ascii="仿宋" w:hAnsi="仿宋" w:eastAsia="仿宋" w:cs="仿宋"/>
        </w:rPr>
        <w:t>不能支付的；</w:t>
      </w:r>
    </w:p>
    <w:p w14:paraId="2E309E6E">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04E8B70E">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29AD502D">
      <w:pPr>
        <w:pStyle w:val="24"/>
        <w:snapToGrid w:val="0"/>
        <w:spacing w:line="360" w:lineRule="auto"/>
        <w:ind w:firstLine="482"/>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w:t>
      </w:r>
      <w:r>
        <w:rPr>
          <w:rFonts w:hint="eastAsia" w:ascii="仿宋" w:hAnsi="仿宋" w:eastAsia="仿宋" w:cs="仿宋"/>
          <w:lang w:eastAsia="zh-CN"/>
        </w:rPr>
        <w:t>采购人</w:t>
      </w:r>
      <w:r>
        <w:rPr>
          <w:rFonts w:hint="eastAsia" w:ascii="仿宋" w:hAnsi="仿宋" w:eastAsia="仿宋" w:cs="仿宋"/>
        </w:rPr>
        <w:t>、采购代理机构沟通并作书面记录。</w:t>
      </w:r>
      <w:r>
        <w:rPr>
          <w:rFonts w:hint="eastAsia" w:ascii="仿宋" w:hAnsi="仿宋" w:eastAsia="仿宋" w:cs="仿宋"/>
          <w:lang w:eastAsia="zh-CN"/>
        </w:rPr>
        <w:t>采购人</w:t>
      </w:r>
      <w:r>
        <w:rPr>
          <w:rFonts w:hint="eastAsia" w:ascii="仿宋" w:hAnsi="仿宋" w:eastAsia="仿宋" w:cs="仿宋"/>
        </w:rPr>
        <w:t>、采购代理机构确认后，将修改招标文件，重新组织采购活动。</w:t>
      </w:r>
    </w:p>
    <w:p w14:paraId="25868597">
      <w:pPr>
        <w:pStyle w:val="24"/>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出现违法行为，影响或者可能影响中标、成交结果的，依照下列规定处理：</w:t>
      </w:r>
    </w:p>
    <w:p w14:paraId="2FD29BCB">
      <w:pPr>
        <w:pStyle w:val="24"/>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7.1未确定中标或者中标人的，终止本次采购活动，重新开展采购活动。</w:t>
      </w:r>
    </w:p>
    <w:p w14:paraId="72036EF9">
      <w:pPr>
        <w:pStyle w:val="24"/>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7.2已确定中标或者中标人但尚未签订合同的，中标或者成交结果无效，从合格的中标或者成交候选人中另行确定中标或者中标人；没有合格的中标或者成交候选人的，重新开展采购活动。</w:t>
      </w:r>
    </w:p>
    <w:p w14:paraId="55AD9338">
      <w:pPr>
        <w:pStyle w:val="24"/>
        <w:snapToGrid w:val="0"/>
        <w:spacing w:line="360" w:lineRule="auto"/>
        <w:ind w:firstLine="600" w:firstLineChars="250"/>
        <w:rPr>
          <w:rFonts w:ascii="仿宋" w:hAnsi="仿宋" w:eastAsia="仿宋" w:cs="仿宋"/>
        </w:rPr>
      </w:pPr>
      <w:r>
        <w:rPr>
          <w:rFonts w:hint="eastAsia" w:ascii="仿宋" w:hAnsi="仿宋" w:eastAsia="仿宋" w:cs="仿宋"/>
        </w:rPr>
        <w:t>7.3合同已签订但尚未履行的，撤销合同，从合格的中标或者成交候选人中另行确定中标或者中标人；没有合格的中标或者成交候选人的，重新开展采购活动。</w:t>
      </w:r>
    </w:p>
    <w:p w14:paraId="32976665">
      <w:pPr>
        <w:pStyle w:val="24"/>
        <w:snapToGrid w:val="0"/>
        <w:spacing w:line="360" w:lineRule="auto"/>
        <w:rPr>
          <w:rFonts w:ascii="仿宋" w:hAnsi="仿宋" w:eastAsia="仿宋" w:cs="仿宋"/>
        </w:rPr>
      </w:pPr>
      <w:r>
        <w:rPr>
          <w:rFonts w:hint="eastAsia" w:ascii="仿宋" w:hAnsi="仿宋" w:eastAsia="仿宋" w:cs="仿宋"/>
        </w:rPr>
        <w:t>7.4合同已经履行，给</w:t>
      </w:r>
      <w:r>
        <w:rPr>
          <w:rFonts w:hint="eastAsia" w:ascii="仿宋" w:hAnsi="仿宋" w:eastAsia="仿宋" w:cs="仿宋"/>
          <w:lang w:eastAsia="zh-CN"/>
        </w:rPr>
        <w:t>采购人</w:t>
      </w:r>
      <w:r>
        <w:rPr>
          <w:rFonts w:hint="eastAsia" w:ascii="仿宋" w:hAnsi="仿宋" w:eastAsia="仿宋" w:cs="仿宋"/>
        </w:rPr>
        <w:t>、投标人造成损失的，由责任人承担赔偿责任。</w:t>
      </w:r>
    </w:p>
    <w:p w14:paraId="57C1B60E">
      <w:pPr>
        <w:pStyle w:val="24"/>
        <w:snapToGrid w:val="0"/>
        <w:spacing w:line="360" w:lineRule="auto"/>
        <w:rPr>
          <w:rFonts w:ascii="仿宋" w:hAnsi="仿宋" w:eastAsia="仿宋" w:cs="仿宋"/>
        </w:rPr>
      </w:pPr>
      <w:r>
        <w:rPr>
          <w:rFonts w:hint="eastAsia" w:ascii="仿宋" w:hAnsi="仿宋" w:eastAsia="仿宋" w:cs="仿宋"/>
        </w:rPr>
        <w:t>7.5采购当事人有其他违反</w:t>
      </w:r>
      <w:r>
        <w:rPr>
          <w:rFonts w:hint="eastAsia" w:ascii="仿宋" w:hAnsi="仿宋" w:eastAsia="仿宋" w:cs="仿宋"/>
          <w:kern w:val="0"/>
        </w:rPr>
        <w:t>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6" w:name="第五部分"/>
      <w:bookmarkStart w:id="397" w:name="_Toc86217003"/>
    </w:p>
    <w:p w14:paraId="713EC6E3">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br w:type="page"/>
      </w:r>
      <w:r>
        <w:rPr>
          <w:rStyle w:val="88"/>
          <w:rFonts w:hint="eastAsia" w:ascii="仿宋" w:hAnsi="仿宋" w:eastAsia="仿宋" w:cs="仿宋"/>
        </w:rPr>
        <w:t>第五部分  拟签订的合同文本</w:t>
      </w:r>
    </w:p>
    <w:p w14:paraId="09D2B474">
      <w:pPr>
        <w:spacing w:line="360" w:lineRule="auto"/>
        <w:ind w:firstLine="562" w:firstLineChars="20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中国计量大学智慧校园行业合作项目采购合同</w:t>
      </w:r>
    </w:p>
    <w:p w14:paraId="763CF449">
      <w:pPr>
        <w:spacing w:line="360" w:lineRule="auto"/>
        <w:rPr>
          <w:rFonts w:ascii="仿宋" w:hAnsi="仿宋" w:eastAsia="仿宋" w:cs="仿宋"/>
          <w:szCs w:val="21"/>
          <w:highlight w:val="none"/>
        </w:rPr>
      </w:pPr>
    </w:p>
    <w:p w14:paraId="008A5BF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甲方：中国计量大学</w:t>
      </w:r>
    </w:p>
    <w:p w14:paraId="67496EB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乙方：中国工商银行股份有限公司杭州分行</w:t>
      </w:r>
    </w:p>
    <w:p w14:paraId="1FB6E4C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丙方：________________________________</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287A3D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为进一步密切银企合作关系，充分发挥各方优势，实现各方互赢，中国计量大学（以下简称甲方）、中国工商银行股份有限公司杭州分行（以下简称乙方）和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以下简称丙方）在相互尊重、相互信任、平等自愿的基础上，根据《中华人民共和国民法典》，甲、乙、丙三方本着优势互补、平等互利、共谋发展的原则，就中国计量大学智慧校园行业合作项目进行充分协商，同意按照以下条款签订本合同，并按以下条款执行本合同。</w:t>
      </w:r>
    </w:p>
    <w:p w14:paraId="2003A005">
      <w:pPr>
        <w:ind w:firstLine="398"/>
        <w:contextualSpacing/>
        <w:rPr>
          <w:rFonts w:hint="eastAsia" w:ascii="仿宋" w:hAnsi="仿宋" w:eastAsia="仿宋" w:cs="仿宋"/>
          <w:b/>
          <w:bCs/>
          <w:spacing w:val="-6"/>
          <w:szCs w:val="21"/>
          <w:highlight w:val="none"/>
          <w:lang w:eastAsia="zh-CN"/>
        </w:rPr>
      </w:pPr>
      <w:r>
        <w:rPr>
          <w:rFonts w:hint="eastAsia" w:ascii="仿宋" w:hAnsi="仿宋" w:eastAsia="仿宋" w:cs="仿宋"/>
          <w:b/>
          <w:bCs/>
          <w:spacing w:val="-6"/>
          <w:szCs w:val="21"/>
          <w:highlight w:val="none"/>
        </w:rPr>
        <w:t>一、</w:t>
      </w:r>
      <w:r>
        <w:rPr>
          <w:rFonts w:hint="eastAsia" w:ascii="仿宋" w:hAnsi="仿宋" w:eastAsia="仿宋" w:cs="仿宋"/>
          <w:b/>
          <w:bCs/>
          <w:spacing w:val="-6"/>
          <w:szCs w:val="21"/>
          <w:highlight w:val="none"/>
          <w:lang w:eastAsia="zh-CN"/>
        </w:rPr>
        <w:t>项目介绍</w:t>
      </w:r>
    </w:p>
    <w:p w14:paraId="1C7019FC">
      <w:pPr>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合同所开展项目为中国计量大学与中国工商银行股份有限公司杭州分行开展的中国计量大学智慧校园行业合作项目子模块，该模块主要为学校智慧后勤系统建设-中国计量大学东生活区道闸系统等，用于投入校园数字化建设，由甲、乙、丙三方协同共建，具体如下：</w:t>
      </w:r>
    </w:p>
    <w:tbl>
      <w:tblPr>
        <w:tblStyle w:val="62"/>
        <w:tblW w:w="8077" w:type="dxa"/>
        <w:jc w:val="center"/>
        <w:tblLayout w:type="fixed"/>
        <w:tblCellMar>
          <w:top w:w="0" w:type="dxa"/>
          <w:left w:w="108" w:type="dxa"/>
          <w:bottom w:w="0" w:type="dxa"/>
          <w:right w:w="108" w:type="dxa"/>
        </w:tblCellMar>
      </w:tblPr>
      <w:tblGrid>
        <w:gridCol w:w="2388"/>
        <w:gridCol w:w="1042"/>
        <w:gridCol w:w="724"/>
        <w:gridCol w:w="708"/>
        <w:gridCol w:w="707"/>
        <w:gridCol w:w="836"/>
        <w:gridCol w:w="1672"/>
      </w:tblGrid>
      <w:tr w14:paraId="6B7B057F">
        <w:tblPrEx>
          <w:tblCellMar>
            <w:top w:w="0" w:type="dxa"/>
            <w:left w:w="108" w:type="dxa"/>
            <w:bottom w:w="0" w:type="dxa"/>
            <w:right w:w="108" w:type="dxa"/>
          </w:tblCellMar>
        </w:tblPrEx>
        <w:trPr>
          <w:trHeight w:val="629"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14:paraId="01F0E2E1">
            <w:pPr>
              <w:jc w:val="center"/>
              <w:rPr>
                <w:rFonts w:hint="eastAsia" w:ascii="仿宋" w:hAnsi="仿宋" w:eastAsia="仿宋" w:cs="仿宋"/>
                <w:color w:val="000000"/>
                <w:kern w:val="0"/>
                <w:sz w:val="20"/>
                <w:highlight w:val="none"/>
                <w:lang w:eastAsia="zh-CN" w:bidi="ar"/>
              </w:rPr>
            </w:pPr>
            <w:r>
              <w:rPr>
                <w:rFonts w:hint="eastAsia" w:ascii="仿宋" w:hAnsi="仿宋" w:eastAsia="仿宋" w:cs="仿宋"/>
                <w:color w:val="000000"/>
                <w:kern w:val="0"/>
                <w:sz w:val="20"/>
                <w:highlight w:val="none"/>
                <w:lang w:eastAsia="zh-CN" w:bidi="ar"/>
              </w:rPr>
              <w:t>项目名称</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3F4AC3A">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含税单价（元）</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32B67FDC">
            <w:pPr>
              <w:widowControl/>
              <w:jc w:val="center"/>
              <w:textAlignment w:val="center"/>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
                <w:color w:val="000000"/>
                <w:kern w:val="0"/>
                <w:sz w:val="20"/>
                <w:highlight w:val="none"/>
                <w:lang w:bidi="ar"/>
              </w:rPr>
              <w:t>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B5B34DF">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数量</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258EF966">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单位</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698B3B41">
            <w:pPr>
              <w:widowControl/>
              <w:jc w:val="center"/>
              <w:textAlignment w:val="center"/>
              <w:rPr>
                <w:rFonts w:hint="eastAsia" w:ascii="仿宋" w:hAnsi="仿宋" w:eastAsia="仿宋" w:cs="仿宋"/>
                <w:color w:val="000000"/>
                <w:kern w:val="0"/>
                <w:sz w:val="20"/>
                <w:highlight w:val="none"/>
                <w:lang w:bidi="ar"/>
              </w:rPr>
            </w:pPr>
            <w:r>
              <w:rPr>
                <w:rFonts w:hint="eastAsia" w:ascii="仿宋" w:hAnsi="仿宋" w:eastAsia="仿宋" w:cs="仿宋"/>
                <w:color w:val="000000"/>
                <w:kern w:val="0"/>
                <w:sz w:val="20"/>
                <w:highlight w:val="none"/>
                <w:lang w:bidi="ar"/>
              </w:rPr>
              <w:t>总价</w:t>
            </w:r>
          </w:p>
          <w:p w14:paraId="6213B63C">
            <w:pPr>
              <w:widowControl/>
              <w:jc w:val="center"/>
              <w:textAlignment w:val="center"/>
              <w:rPr>
                <w:rFonts w:hint="eastAsia" w:ascii="仿宋" w:hAnsi="仿宋" w:eastAsia="仿宋" w:cs="仿宋"/>
                <w:color w:val="000000"/>
                <w:sz w:val="20"/>
                <w:highlight w:val="none"/>
              </w:rPr>
            </w:pPr>
            <w:r>
              <w:rPr>
                <w:rFonts w:hint="eastAsia" w:ascii="仿宋" w:hAnsi="仿宋" w:eastAsia="仿宋" w:cs="仿宋"/>
                <w:color w:val="000000"/>
                <w:kern w:val="0"/>
                <w:sz w:val="20"/>
                <w:highlight w:val="none"/>
                <w:lang w:bidi="ar"/>
              </w:rPr>
              <w:t>（元）</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9DAE033">
            <w:pPr>
              <w:widowControl/>
              <w:jc w:val="center"/>
              <w:textAlignment w:val="center"/>
              <w:rPr>
                <w:rFonts w:hint="eastAsia" w:ascii="仿宋" w:hAnsi="仿宋" w:eastAsia="仿宋" w:cs="仿宋"/>
                <w:color w:val="000000"/>
                <w:kern w:val="0"/>
                <w:sz w:val="20"/>
                <w:highlight w:val="none"/>
                <w:lang w:eastAsia="zh-CN" w:bidi="ar"/>
              </w:rPr>
            </w:pPr>
            <w:r>
              <w:rPr>
                <w:rFonts w:hint="eastAsia" w:ascii="仿宋" w:hAnsi="仿宋" w:eastAsia="仿宋" w:cs="仿宋"/>
                <w:color w:val="000000"/>
                <w:kern w:val="0"/>
                <w:sz w:val="20"/>
                <w:highlight w:val="none"/>
                <w:lang w:eastAsia="zh-CN" w:bidi="ar"/>
              </w:rPr>
              <w:t>备注</w:t>
            </w:r>
          </w:p>
        </w:tc>
      </w:tr>
      <w:tr w14:paraId="7B554B92">
        <w:tblPrEx>
          <w:tblCellMar>
            <w:top w:w="0" w:type="dxa"/>
            <w:left w:w="108" w:type="dxa"/>
            <w:bottom w:w="0" w:type="dxa"/>
            <w:right w:w="108" w:type="dxa"/>
          </w:tblCellMar>
        </w:tblPrEx>
        <w:trPr>
          <w:trHeight w:val="332" w:hRule="atLeast"/>
          <w:jc w:val="center"/>
        </w:trPr>
        <w:tc>
          <w:tcPr>
            <w:tcW w:w="2388" w:type="dxa"/>
            <w:tcBorders>
              <w:top w:val="single" w:color="auto" w:sz="4" w:space="0"/>
              <w:left w:val="single" w:color="auto" w:sz="4" w:space="0"/>
              <w:right w:val="single" w:color="auto" w:sz="4" w:space="0"/>
            </w:tcBorders>
            <w:noWrap w:val="0"/>
            <w:vAlign w:val="center"/>
          </w:tcPr>
          <w:p w14:paraId="79EE918D">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智慧后勤系统建设-中国计量大学东生活区道闸系统</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0DDA1DC">
            <w:pPr>
              <w:jc w:val="center"/>
              <w:rPr>
                <w:rFonts w:hint="eastAsia" w:ascii="仿宋" w:hAnsi="仿宋" w:eastAsia="仿宋" w:cs="仿宋"/>
                <w:color w:val="000000"/>
                <w:kern w:val="0"/>
                <w:sz w:val="20"/>
                <w:highlight w:val="none"/>
                <w:lang w:val="en-US" w:eastAsia="zh-CN" w:bidi="ar"/>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1C160AE2">
            <w:pPr>
              <w:jc w:val="center"/>
              <w:rPr>
                <w:rFonts w:hint="eastAsia" w:ascii="仿宋" w:hAnsi="仿宋" w:eastAsia="仿宋" w:cs="仿宋"/>
                <w:color w:val="000000"/>
                <w:kern w:val="0"/>
                <w:sz w:val="20"/>
                <w:highlight w:val="none"/>
                <w:lang w:val="en-US" w:eastAsia="zh-CN" w:bidi="ar"/>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39BF8B">
            <w:pPr>
              <w:widowControl/>
              <w:jc w:val="center"/>
              <w:textAlignment w:val="center"/>
              <w:rPr>
                <w:rFonts w:hint="eastAsia" w:ascii="仿宋" w:hAnsi="仿宋" w:eastAsia="仿宋" w:cs="仿宋"/>
                <w:color w:val="000000"/>
                <w:kern w:val="0"/>
                <w:sz w:val="18"/>
                <w:szCs w:val="18"/>
                <w:highlight w:val="none"/>
                <w:lang w:val="en-US" w:eastAsia="zh-CN"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194CB98D">
            <w:pPr>
              <w:jc w:val="center"/>
              <w:rPr>
                <w:rFonts w:hint="eastAsia" w:ascii="仿宋" w:hAnsi="仿宋" w:eastAsia="仿宋" w:cs="仿宋"/>
                <w:color w:val="000000"/>
                <w:kern w:val="0"/>
                <w:sz w:val="18"/>
                <w:szCs w:val="18"/>
                <w:highlight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40483CCE">
            <w:pPr>
              <w:jc w:val="center"/>
              <w:rPr>
                <w:rFonts w:hint="eastAsia" w:ascii="仿宋" w:hAnsi="仿宋" w:eastAsia="仿宋" w:cs="仿宋"/>
                <w:color w:val="000000"/>
                <w:kern w:val="0"/>
                <w:sz w:val="20"/>
                <w:highlight w:val="none"/>
                <w:lang w:val="en-US" w:eastAsia="zh-CN" w:bidi="ar"/>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38F6236">
            <w:pPr>
              <w:jc w:val="center"/>
              <w:rPr>
                <w:rFonts w:hint="eastAsia" w:ascii="仿宋" w:hAnsi="仿宋" w:eastAsia="仿宋" w:cs="仿宋"/>
                <w:color w:val="000000"/>
                <w:kern w:val="0"/>
                <w:sz w:val="20"/>
                <w:highlight w:val="none"/>
                <w:lang w:val="en-US" w:eastAsia="zh-CN" w:bidi="ar"/>
              </w:rPr>
            </w:pPr>
            <w:r>
              <w:rPr>
                <w:rFonts w:hint="eastAsia" w:ascii="仿宋" w:hAnsi="仿宋" w:eastAsia="仿宋" w:cs="仿宋"/>
                <w:color w:val="auto"/>
                <w:sz w:val="21"/>
                <w:szCs w:val="21"/>
                <w:highlight w:val="none"/>
              </w:rPr>
              <w:t>用于</w:t>
            </w:r>
            <w:r>
              <w:rPr>
                <w:rFonts w:hint="eastAsia" w:ascii="仿宋" w:hAnsi="仿宋" w:eastAsia="仿宋" w:cs="仿宋"/>
                <w:color w:val="auto"/>
                <w:sz w:val="21"/>
                <w:szCs w:val="21"/>
                <w:highlight w:val="none"/>
                <w:lang w:eastAsia="zh-CN"/>
              </w:rPr>
              <w:t>投入校园数字化建设</w:t>
            </w:r>
          </w:p>
        </w:tc>
      </w:tr>
      <w:tr w14:paraId="5EDA13DC">
        <w:tblPrEx>
          <w:tblCellMar>
            <w:top w:w="0" w:type="dxa"/>
            <w:left w:w="108" w:type="dxa"/>
            <w:bottom w:w="0" w:type="dxa"/>
            <w:right w:w="108" w:type="dxa"/>
          </w:tblCellMar>
        </w:tblPrEx>
        <w:trPr>
          <w:trHeight w:val="478" w:hRule="atLeast"/>
          <w:jc w:val="center"/>
        </w:trPr>
        <w:tc>
          <w:tcPr>
            <w:tcW w:w="4154" w:type="dxa"/>
            <w:gridSpan w:val="3"/>
            <w:tcBorders>
              <w:top w:val="single" w:color="auto" w:sz="4" w:space="0"/>
              <w:left w:val="single" w:color="auto" w:sz="4" w:space="0"/>
              <w:bottom w:val="single" w:color="auto" w:sz="4" w:space="0"/>
              <w:right w:val="single" w:color="auto" w:sz="4" w:space="0"/>
            </w:tcBorders>
            <w:noWrap w:val="0"/>
            <w:vAlign w:val="center"/>
          </w:tcPr>
          <w:p w14:paraId="249DACEF">
            <w:pPr>
              <w:jc w:val="left"/>
              <w:rPr>
                <w:rFonts w:hint="eastAsia" w:ascii="仿宋" w:hAnsi="仿宋" w:eastAsia="仿宋" w:cs="仿宋"/>
                <w:color w:val="000000"/>
                <w:kern w:val="0"/>
                <w:sz w:val="20"/>
                <w:highlight w:val="none"/>
                <w:lang w:val="en-US" w:eastAsia="zh-CN" w:bidi="ar"/>
              </w:rPr>
            </w:pPr>
            <w:r>
              <w:rPr>
                <w:rFonts w:hint="eastAsia" w:ascii="仿宋" w:hAnsi="仿宋" w:eastAsia="仿宋" w:cs="仿宋"/>
                <w:color w:val="000000"/>
                <w:kern w:val="0"/>
                <w:sz w:val="20"/>
                <w:highlight w:val="none"/>
                <w:lang w:val="en-US" w:eastAsia="zh-CN" w:bidi="ar"/>
              </w:rPr>
              <w:t>合计</w:t>
            </w:r>
          </w:p>
        </w:tc>
        <w:tc>
          <w:tcPr>
            <w:tcW w:w="3923" w:type="dxa"/>
            <w:gridSpan w:val="4"/>
            <w:tcBorders>
              <w:top w:val="single" w:color="auto" w:sz="4" w:space="0"/>
              <w:left w:val="single" w:color="auto" w:sz="4" w:space="0"/>
              <w:bottom w:val="single" w:color="auto" w:sz="4" w:space="0"/>
              <w:right w:val="single" w:color="auto" w:sz="4" w:space="0"/>
            </w:tcBorders>
            <w:noWrap w:val="0"/>
            <w:vAlign w:val="center"/>
          </w:tcPr>
          <w:p w14:paraId="7A9B4E6F">
            <w:pPr>
              <w:jc w:val="left"/>
              <w:rPr>
                <w:rFonts w:hint="eastAsia" w:ascii="仿宋" w:hAnsi="仿宋" w:eastAsia="仿宋" w:cs="仿宋"/>
                <w:color w:val="000000"/>
                <w:kern w:val="0"/>
                <w:sz w:val="20"/>
                <w:highlight w:val="none"/>
                <w:lang w:val="en-US" w:eastAsia="zh-CN" w:bidi="ar"/>
              </w:rPr>
            </w:pPr>
            <w:r>
              <w:rPr>
                <w:rFonts w:hint="eastAsia" w:ascii="仿宋" w:hAnsi="仿宋" w:eastAsia="仿宋" w:cs="仿宋"/>
                <w:color w:val="000000"/>
                <w:kern w:val="0"/>
                <w:sz w:val="20"/>
                <w:highlight w:val="none"/>
                <w:lang w:val="en-US" w:eastAsia="zh-CN" w:bidi="ar"/>
              </w:rPr>
              <w:t>人民币大写：XXX，小写：￥XXX元</w:t>
            </w:r>
          </w:p>
        </w:tc>
      </w:tr>
    </w:tbl>
    <w:p w14:paraId="34B7C2C0">
      <w:pPr>
        <w:contextualSpacing/>
        <w:rPr>
          <w:rFonts w:hint="eastAsia" w:ascii="仿宋" w:hAnsi="仿宋" w:eastAsia="仿宋" w:cs="仿宋"/>
          <w:spacing w:val="-6"/>
          <w:szCs w:val="21"/>
          <w:highlight w:val="none"/>
        </w:rPr>
      </w:pPr>
    </w:p>
    <w:p w14:paraId="4C3A7708">
      <w:pPr>
        <w:ind w:firstLine="396"/>
        <w:contextualSpacing/>
        <w:rPr>
          <w:rFonts w:ascii="仿宋" w:hAnsi="仿宋" w:eastAsia="仿宋" w:cs="仿宋"/>
          <w:spacing w:val="-6"/>
          <w:szCs w:val="21"/>
          <w:highlight w:val="none"/>
        </w:rPr>
      </w:pPr>
      <w:r>
        <w:rPr>
          <w:rFonts w:hint="eastAsia" w:ascii="仿宋" w:hAnsi="仿宋" w:eastAsia="仿宋" w:cs="仿宋"/>
          <w:spacing w:val="-6"/>
          <w:szCs w:val="21"/>
          <w:highlight w:val="none"/>
        </w:rPr>
        <w:t>注：以上合同总价包括运抵使用单位的运输、安装、调试、验收、税金等费用。</w:t>
      </w:r>
    </w:p>
    <w:p w14:paraId="05451F4C">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二、技术资料</w:t>
      </w:r>
    </w:p>
    <w:p w14:paraId="0BD7BC6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1.丙方应按招标文件规定的时间向甲方提供合同货物的有关技术资料。</w:t>
      </w:r>
    </w:p>
    <w:p w14:paraId="2724E6D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没有甲方事先书面同意，丙方不得将由甲方提供的有关合同或任何合同条文、规格、计划、图纸、样品或资料提供给与履行本合同无关的其他任何人。即使向履行本合同有关的人员提供，也应注意保密并限于履行合同的必需范围。</w:t>
      </w:r>
    </w:p>
    <w:p w14:paraId="5D7209F4">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 xml:space="preserve">三、交货时间、地点 </w:t>
      </w:r>
    </w:p>
    <w:p w14:paraId="0475BEC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丙方应于合同签订后</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天内</w:t>
      </w:r>
      <w:r>
        <w:rPr>
          <w:rFonts w:hint="eastAsia" w:ascii="仿宋" w:hAnsi="仿宋" w:eastAsia="仿宋" w:cs="仿宋"/>
          <w:szCs w:val="21"/>
          <w:highlight w:val="none"/>
          <w:lang w:val="en-US" w:eastAsia="zh-CN"/>
        </w:rPr>
        <w:t>完成系统部署，并</w:t>
      </w:r>
      <w:r>
        <w:rPr>
          <w:rFonts w:hint="eastAsia" w:ascii="仿宋" w:hAnsi="仿宋" w:eastAsia="仿宋" w:cs="仿宋"/>
          <w:szCs w:val="21"/>
          <w:highlight w:val="none"/>
        </w:rPr>
        <w:t>将所供商品按时、安全运至甲方指定地点，安装调试</w:t>
      </w:r>
      <w:r>
        <w:rPr>
          <w:rFonts w:hint="eastAsia" w:ascii="仿宋" w:hAnsi="仿宋" w:eastAsia="仿宋" w:cs="仿宋"/>
          <w:szCs w:val="21"/>
          <w:highlight w:val="none"/>
          <w:lang w:val="en-US" w:eastAsia="zh-CN"/>
        </w:rPr>
        <w:t>并实现软件系统试运行，60天内完成所有软件调试与系统对接，确保正常使用，完毕后交甲方、乙方验收。</w:t>
      </w:r>
    </w:p>
    <w:p w14:paraId="1531981B">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四、调试与验收</w:t>
      </w:r>
    </w:p>
    <w:p w14:paraId="29BFAFA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1.丙方交货前应对产品做出全面检查和对验收文件进行整理，并列出清单，作为甲方收货验收和使用的技术条件依据，检验的结果和相关文件、资料等应随货物交甲方。国内直接供货的进口设备需提供报关单。</w:t>
      </w:r>
    </w:p>
    <w:p w14:paraId="7900B80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到货验收：到货后，甲方对丙方提交的货物依据招标文件上的技术规格要求和国家有关质量标准进行现场到货验收，主要检查货物原产地、规格、型号、配置是否符合要求。符合招投标文件技术要求的给予签收，初步验收不合格的不予签收。</w:t>
      </w:r>
    </w:p>
    <w:p w14:paraId="67004BE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交付验收：丙方在货物交付前负责安装调试，丙方须事先负责安装调试达到合同规定的技术要求和国家有关质量标准，同时负责培训甲方的使用操作人员，安装调试完毕，甲方才做交付验收，在交付验收合格前，丙方负责承担相应风险。验收通过后，采购货物正式交付给甲方。</w:t>
      </w:r>
    </w:p>
    <w:p w14:paraId="451890B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4.对技术复杂的货物，甲方可请国家认可的专业检测机构或者双方认可的第三方机构参与到货验收及交付验收，并由其出具质量检测报告。验收费用由丙方承担。</w:t>
      </w:r>
    </w:p>
    <w:p w14:paraId="154BDB5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5.如发现有重大的质量问题：</w:t>
      </w:r>
    </w:p>
    <w:p w14:paraId="32F4C36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5.1甲丙双方可协商，丙方应在合理的期限内负责更换直至符合质量要求；</w:t>
      </w:r>
    </w:p>
    <w:p w14:paraId="60397EA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5.2协商不成，甲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丙方承担检测费用，同时丙方同意甲方无条件退货并支付给甲方货款总价20％ 的赔偿金。</w:t>
      </w:r>
    </w:p>
    <w:p w14:paraId="607496E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6.当出现退货情况时，丙方应在10天内将货物搬回，逾期没有将货物搬回的，视为丙方将货物抛弃，甲方有权随意处理，货物搬运和处理费用由丙方承担。</w:t>
      </w:r>
    </w:p>
    <w:p w14:paraId="089713F6">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五、质量保证与售后服务</w:t>
      </w:r>
    </w:p>
    <w:p w14:paraId="517E4E2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1.丙方应按招标文件规定的货物性能、技术要求、质量标准向甲方提供未经使用的全新产品。</w:t>
      </w:r>
    </w:p>
    <w:p w14:paraId="5EF14B1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2.产品</w:t>
      </w:r>
      <w:r>
        <w:rPr>
          <w:rFonts w:hint="eastAsia" w:ascii="仿宋" w:hAnsi="仿宋" w:eastAsia="仿宋" w:cs="仿宋"/>
          <w:szCs w:val="21"/>
          <w:highlight w:val="none"/>
          <w:lang w:val="en-US" w:eastAsia="zh-CN"/>
        </w:rPr>
        <w:t>系统软件和货物</w:t>
      </w:r>
      <w:r>
        <w:rPr>
          <w:rFonts w:hint="eastAsia" w:ascii="仿宋" w:hAnsi="仿宋" w:eastAsia="仿宋" w:cs="仿宋"/>
          <w:szCs w:val="21"/>
          <w:highlight w:val="none"/>
        </w:rPr>
        <w:t>质量保修期为XX年，质保期从验收合格后开始计算。</w:t>
      </w:r>
    </w:p>
    <w:p w14:paraId="2808F9A0">
      <w:pPr>
        <w:spacing w:line="360" w:lineRule="auto"/>
        <w:ind w:firstLine="420" w:firstLineChars="200"/>
        <w:rPr>
          <w:rFonts w:hint="eastAsia" w:ascii="仿宋" w:hAnsi="仿宋" w:eastAsia="仿宋" w:cs="仿宋"/>
          <w:strike/>
          <w:dstrike w:val="0"/>
          <w:color w:val="FF0000"/>
          <w:szCs w:val="21"/>
          <w:highlight w:val="none"/>
          <w:lang w:eastAsia="zh-CN"/>
        </w:rPr>
      </w:pPr>
      <w:r>
        <w:rPr>
          <w:rFonts w:hint="eastAsia" w:ascii="仿宋" w:hAnsi="仿宋" w:eastAsia="仿宋" w:cs="仿宋"/>
          <w:szCs w:val="21"/>
          <w:highlight w:val="none"/>
        </w:rPr>
        <w:t>3.在质保期内，丙方应对货物出现的质量及安全问题负责处理解决并承担一切费用。保修期后，丙方需继续为甲方服务，仅收取零配件成本费，</w:t>
      </w:r>
      <w:r>
        <w:rPr>
          <w:rFonts w:hint="eastAsia" w:ascii="仿宋" w:hAnsi="仿宋" w:eastAsia="仿宋" w:cs="仿宋"/>
          <w:szCs w:val="21"/>
          <w:highlight w:val="none"/>
          <w:lang w:eastAsia="zh-CN"/>
        </w:rPr>
        <w:t>由甲方承担，</w:t>
      </w:r>
      <w:r>
        <w:rPr>
          <w:rFonts w:hint="eastAsia" w:ascii="仿宋" w:hAnsi="仿宋" w:eastAsia="仿宋" w:cs="仿宋"/>
          <w:szCs w:val="21"/>
          <w:highlight w:val="none"/>
        </w:rPr>
        <w:t>免人工费和差旅费，</w:t>
      </w:r>
      <w:r>
        <w:rPr>
          <w:rFonts w:hint="eastAsia" w:ascii="仿宋" w:hAnsi="仿宋" w:eastAsia="仿宋" w:cs="仿宋"/>
          <w:szCs w:val="21"/>
          <w:highlight w:val="none"/>
          <w:lang w:eastAsia="zh-CN"/>
        </w:rPr>
        <w:t>所涉及软件终身免费升级。</w:t>
      </w:r>
    </w:p>
    <w:p w14:paraId="1113351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如在使用过程中发生故障，无法正常使用时，丙方在接到甲方通知后，保修响应时间2小时以内，电话技术支持4小时内解决问题；若需上门维修，则8小时内到达现场并进行维修，最迟在2个工作日内修复。如果丙方没有在约定时间内响应或上门维修或修复的，甲方有权请其他人员维修，产生费用由丙方承担。保修期内出现无法排除的故障，丙方需无条件为甲方更换同型号产品，以确保甲方的正常使用。</w:t>
      </w:r>
    </w:p>
    <w:p w14:paraId="7BDDFFD4">
      <w:pPr>
        <w:spacing w:line="360" w:lineRule="auto"/>
        <w:ind w:firstLine="422" w:firstLineChars="2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六、合同价格与付款方式</w:t>
      </w:r>
    </w:p>
    <w:p w14:paraId="51274B3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 合同价格</w:t>
      </w:r>
    </w:p>
    <w:p w14:paraId="2DD58B5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eastAsia="zh-CN"/>
        </w:rPr>
        <w:t>智慧后勤系统建设-中国计量大学东生活区道闸系统</w:t>
      </w:r>
      <w:r>
        <w:rPr>
          <w:rFonts w:hint="eastAsia" w:ascii="仿宋" w:hAnsi="仿宋" w:eastAsia="仿宋" w:cs="仿宋"/>
          <w:szCs w:val="21"/>
          <w:highlight w:val="none"/>
        </w:rPr>
        <w:t>项目合同总金额为￥XX（人民币XX元整）。该金额已经包括以上合同总价包括</w:t>
      </w:r>
      <w:r>
        <w:rPr>
          <w:rFonts w:hint="eastAsia" w:ascii="仿宋" w:hAnsi="仿宋" w:eastAsia="仿宋" w:cs="仿宋"/>
          <w:szCs w:val="21"/>
          <w:highlight w:val="none"/>
          <w:lang w:val="en-US" w:eastAsia="zh-CN"/>
        </w:rPr>
        <w:t>完成系统部署、将设备</w:t>
      </w:r>
      <w:r>
        <w:rPr>
          <w:rFonts w:hint="eastAsia" w:ascii="仿宋" w:hAnsi="仿宋" w:eastAsia="仿宋" w:cs="仿宋"/>
          <w:szCs w:val="21"/>
          <w:highlight w:val="none"/>
        </w:rPr>
        <w:t>运抵使用单位的运输、安装、调试、验收、税金等费用（包括税金），乙方对丙方在本合同项下所履行的义务无须另行支付其他任何费用。</w:t>
      </w:r>
    </w:p>
    <w:p w14:paraId="1F1AFAE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 付款方式</w:t>
      </w:r>
    </w:p>
    <w:p w14:paraId="45C63B7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 本合同以人民币结算。</w:t>
      </w:r>
    </w:p>
    <w:p w14:paraId="75211A6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2合同签订后30日内，丙方完成系统部署，</w:t>
      </w:r>
      <w:r>
        <w:rPr>
          <w:rFonts w:hint="eastAsia" w:ascii="仿宋" w:hAnsi="仿宋" w:eastAsia="仿宋" w:cs="仿宋"/>
          <w:color w:val="auto"/>
          <w:szCs w:val="21"/>
          <w:highlight w:val="none"/>
        </w:rPr>
        <w:t>将所供商品按时、安全运至甲方指定地点，安装调试</w:t>
      </w:r>
      <w:r>
        <w:rPr>
          <w:rFonts w:hint="eastAsia" w:ascii="仿宋" w:hAnsi="仿宋" w:eastAsia="仿宋" w:cs="仿宋"/>
          <w:color w:val="auto"/>
          <w:szCs w:val="21"/>
          <w:highlight w:val="none"/>
          <w:lang w:val="en-US" w:eastAsia="zh-CN"/>
        </w:rPr>
        <w:t>并实现软件系统试运行，</w:t>
      </w:r>
      <w:r>
        <w:rPr>
          <w:rFonts w:hint="eastAsia" w:ascii="仿宋" w:hAnsi="仿宋" w:eastAsia="仿宋" w:cs="仿宋"/>
          <w:color w:val="auto"/>
          <w:szCs w:val="21"/>
          <w:highlight w:val="none"/>
          <w:u w:val="single"/>
          <w:lang w:val="en-US" w:eastAsia="zh-CN"/>
        </w:rPr>
        <w:t>60日</w:t>
      </w:r>
      <w:r>
        <w:rPr>
          <w:rFonts w:hint="eastAsia" w:ascii="仿宋" w:hAnsi="仿宋" w:eastAsia="仿宋" w:cs="仿宋"/>
          <w:color w:val="auto"/>
          <w:szCs w:val="21"/>
          <w:highlight w:val="none"/>
          <w:lang w:val="en-US" w:eastAsia="zh-CN"/>
        </w:rPr>
        <w:t>内完成所有软件调试与系统对接，确保正常使用，</w:t>
      </w:r>
      <w:r>
        <w:rPr>
          <w:rFonts w:hint="eastAsia" w:ascii="仿宋" w:hAnsi="仿宋" w:eastAsia="仿宋" w:cs="仿宋"/>
          <w:color w:val="auto"/>
          <w:szCs w:val="21"/>
          <w:highlight w:val="none"/>
        </w:rPr>
        <w:t>完毕后交甲方验收。</w:t>
      </w:r>
      <w:r>
        <w:rPr>
          <w:rFonts w:hint="eastAsia" w:ascii="仿宋" w:hAnsi="仿宋" w:eastAsia="仿宋" w:cs="仿宋"/>
          <w:color w:val="auto"/>
          <w:szCs w:val="21"/>
          <w:highlight w:val="none"/>
          <w:lang w:val="en-US" w:eastAsia="zh-CN"/>
        </w:rPr>
        <w:t>经三方验收合同项下相关产品运行稳定，无质量问题，甲乙丙三方应当签署《产品验收备忘录》(附件一)，若有质量问题，甲方应在验收期限内书面提出。验收通过后，</w:t>
      </w:r>
      <w:r>
        <w:rPr>
          <w:rFonts w:hint="eastAsia" w:ascii="仿宋" w:hAnsi="仿宋" w:eastAsia="仿宋" w:cs="仿宋"/>
          <w:color w:val="auto"/>
          <w:szCs w:val="21"/>
          <w:highlight w:val="none"/>
        </w:rPr>
        <w:t>丙方向乙方提交符合乙方及监管要求的全额增值税专用发票和《</w:t>
      </w:r>
      <w:r>
        <w:rPr>
          <w:rFonts w:hint="eastAsia" w:ascii="仿宋" w:hAnsi="仿宋" w:eastAsia="仿宋" w:cs="仿宋"/>
          <w:color w:val="auto"/>
          <w:szCs w:val="21"/>
          <w:highlight w:val="none"/>
          <w:lang w:eastAsia="zh-CN"/>
        </w:rPr>
        <w:t>产品验收</w:t>
      </w:r>
      <w:r>
        <w:rPr>
          <w:rFonts w:hint="eastAsia" w:ascii="仿宋" w:hAnsi="仿宋" w:eastAsia="仿宋" w:cs="仿宋"/>
          <w:color w:val="auto"/>
          <w:szCs w:val="21"/>
          <w:highlight w:val="none"/>
        </w:rPr>
        <w:t>备忘录》（附件一）及付款申请（附件二），并经甲方确认后出具《付款确认书》（附件三），乙方在收到上述材料后，向合同约定的丙方收款账户支付合同剩余金额的100%。即¥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A7958B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3.丙方收款账户</w:t>
      </w:r>
    </w:p>
    <w:p w14:paraId="31B02DA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户名：XXX有限公司</w:t>
      </w:r>
    </w:p>
    <w:p w14:paraId="6B90B9D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开户行：</w:t>
      </w:r>
    </w:p>
    <w:p w14:paraId="1B398BF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账号：</w:t>
      </w:r>
    </w:p>
    <w:p w14:paraId="4E23608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4.乙方发票内容</w:t>
      </w:r>
    </w:p>
    <w:p w14:paraId="43B4D64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发票名称为：中国工商银行股份有限公司杭州高新支行</w:t>
      </w:r>
    </w:p>
    <w:p w14:paraId="4C8ACA3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纳税人识别号：913301008430436231</w:t>
      </w:r>
    </w:p>
    <w:p w14:paraId="5275F00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地址、电话：杭州市西湖区文二路391号0571-89961358</w:t>
      </w:r>
    </w:p>
    <w:p w14:paraId="4AE8E94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开户行及账号：工行杭州高新支行1202026211200501023</w:t>
      </w:r>
    </w:p>
    <w:p w14:paraId="0676E8E3">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七、权利保证与权利归属</w:t>
      </w:r>
    </w:p>
    <w:p w14:paraId="74BC208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丙方保证其在提供服务和形成资料的过程中所使用的文件、资料、软件及其他物品均可合法地不受打扰地用于项目的执行。丙方保证其服务与资料不侵犯任何除甲乙丙三方外的其他方的知识产权，不存在任何与此相关的争议。如甲方、乙方因使用本项目的服务与资料引起与除甲乙丙三方外的其他方纠纷、索赔、诉讼等，产生的一切法律责任与费用由丙方承担。</w:t>
      </w:r>
    </w:p>
    <w:p w14:paraId="4C0C707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.本合同项下任何一方未能取得另两方事先同意前，不得将本合同项下的任何权利或义务转让给除甲乙丙三方外的其他方。</w:t>
      </w:r>
    </w:p>
    <w:p w14:paraId="191384EB">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八、违约责任和赔偿</w:t>
      </w:r>
    </w:p>
    <w:p w14:paraId="2C36B5A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1.对于一方违反本合同约定给其他方造成损失的，违约方应赔偿守约方实际遭受的损失以及可预见损失。但对于违约方订立时无法预见的损失，违约方不承担责任。</w:t>
      </w:r>
    </w:p>
    <w:p w14:paraId="47A066C7">
      <w:pPr>
        <w:spacing w:line="360" w:lineRule="auto"/>
        <w:ind w:firstLine="420" w:firstLineChars="200"/>
        <w:rPr>
          <w:rFonts w:ascii="仿宋" w:hAnsi="仿宋" w:eastAsia="仿宋" w:cs="仿宋"/>
          <w:color w:val="FF0000"/>
          <w:szCs w:val="21"/>
          <w:highlight w:val="none"/>
        </w:rPr>
      </w:pPr>
      <w:r>
        <w:rPr>
          <w:rFonts w:hint="eastAsia" w:ascii="仿宋" w:hAnsi="仿宋" w:eastAsia="仿宋" w:cs="仿宋"/>
          <w:szCs w:val="21"/>
          <w:highlight w:val="none"/>
        </w:rPr>
        <w:t>2.在甲方具备实施条件的情况下，丙方在</w:t>
      </w:r>
      <w:r>
        <w:rPr>
          <w:rFonts w:hint="eastAsia" w:ascii="仿宋" w:hAnsi="仿宋" w:eastAsia="仿宋" w:cs="仿宋"/>
          <w:szCs w:val="21"/>
          <w:highlight w:val="none"/>
          <w:lang w:eastAsia="zh-CN"/>
        </w:rPr>
        <w:t>智慧后勤系统建设-中国计量大学东生活区道闸系统</w:t>
      </w:r>
      <w:r>
        <w:rPr>
          <w:rFonts w:hint="eastAsia" w:ascii="仿宋" w:hAnsi="仿宋" w:eastAsia="仿宋" w:cs="仿宋"/>
          <w:szCs w:val="21"/>
          <w:highlight w:val="none"/>
        </w:rPr>
        <w:t>项目采购合同签订后【】内完成交付，并提交甲方、乙方、丙方进行验收。丙方未</w:t>
      </w:r>
      <w:r>
        <w:rPr>
          <w:rFonts w:hint="eastAsia" w:ascii="仿宋" w:hAnsi="仿宋" w:eastAsia="仿宋" w:cs="仿宋"/>
          <w:szCs w:val="21"/>
          <w:highlight w:val="none"/>
          <w:lang w:val="en-US" w:eastAsia="zh-CN"/>
        </w:rPr>
        <w:t>按约定交货时间</w:t>
      </w:r>
      <w:r>
        <w:rPr>
          <w:rFonts w:hint="eastAsia" w:ascii="仿宋" w:hAnsi="仿宋" w:eastAsia="仿宋" w:cs="仿宋"/>
          <w:szCs w:val="21"/>
          <w:highlight w:val="none"/>
        </w:rPr>
        <w:t>完成项目交付的，乙方有权</w:t>
      </w:r>
      <w:r>
        <w:rPr>
          <w:rFonts w:hint="eastAsia" w:ascii="仿宋" w:hAnsi="仿宋" w:eastAsia="仿宋" w:cs="仿宋"/>
          <w:szCs w:val="21"/>
          <w:highlight w:val="none"/>
          <w:lang w:val="en-US" w:eastAsia="zh-CN"/>
        </w:rPr>
        <w:t>每日按照合同总价的1%进行扣款</w:t>
      </w:r>
      <w:r>
        <w:rPr>
          <w:rFonts w:hint="eastAsia" w:ascii="仿宋" w:hAnsi="仿宋" w:eastAsia="仿宋" w:cs="仿宋"/>
          <w:szCs w:val="21"/>
          <w:highlight w:val="none"/>
        </w:rPr>
        <w:t>作为违约金，并由甲乙丙三方确定延后交付时间。</w:t>
      </w:r>
    </w:p>
    <w:p w14:paraId="230D6DF6">
      <w:pPr>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.延后交付时间</w:t>
      </w:r>
      <w:r>
        <w:rPr>
          <w:rFonts w:hint="eastAsia" w:ascii="仿宋" w:hAnsi="仿宋" w:eastAsia="仿宋" w:cs="仿宋"/>
          <w:szCs w:val="21"/>
          <w:highlight w:val="none"/>
          <w:lang w:val="en-US" w:eastAsia="zh-CN"/>
        </w:rPr>
        <w:t>超过30日，</w:t>
      </w:r>
      <w:r>
        <w:rPr>
          <w:rFonts w:hint="eastAsia" w:ascii="仿宋" w:hAnsi="仿宋" w:eastAsia="仿宋" w:cs="仿宋"/>
          <w:szCs w:val="21"/>
          <w:highlight w:val="none"/>
        </w:rPr>
        <w:t>丙方仍未能完成供货的，</w:t>
      </w:r>
      <w:r>
        <w:rPr>
          <w:rFonts w:hint="eastAsia" w:ascii="仿宋" w:hAnsi="仿宋" w:eastAsia="仿宋" w:cs="仿宋"/>
          <w:szCs w:val="21"/>
          <w:highlight w:val="none"/>
          <w:lang w:val="en-US" w:eastAsia="zh-CN"/>
        </w:rPr>
        <w:t>甲方有权终止合同。</w:t>
      </w:r>
    </w:p>
    <w:p w14:paraId="72596A3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.乙方按合同约定向丙方支付费用时，有权扣减丙方应向乙方支付的违约金，并按扣减后的金额支付给丙方。丙方累计支付的违约金不超过本合同总金额的100%。</w:t>
      </w:r>
    </w:p>
    <w:p w14:paraId="5455375E">
      <w:pPr>
        <w:spacing w:line="360"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乙方若有响应不及时或未在约定时间内进行故障排除的，第一次违约金为1000.00元、第二次违约金为2000.00元、第三次违约金为3000.00元...（以此类推）。若期间造成甲方经济损失的，乙方将承担全部责任，并承担甲方的经济损失。</w:t>
      </w:r>
    </w:p>
    <w:p w14:paraId="7DF01DC5">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九、保密条款</w:t>
      </w:r>
    </w:p>
    <w:p w14:paraId="6B6C0B0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1.本合同及其附件属商业机密，未经另两方同意，一方不得向除甲乙丙三方外的其他方披露，法律法规、金融规章另有规定的除外。</w:t>
      </w:r>
    </w:p>
    <w:p w14:paraId="7B8B239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2.本条款将在本合同期满或终止后继续生效，但不适用于任何已在公众知悉范围的资料。</w:t>
      </w:r>
    </w:p>
    <w:p w14:paraId="3627757B">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十、不可抗力</w:t>
      </w:r>
    </w:p>
    <w:p w14:paraId="60F8C78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1.如果本合同的其中一方因受战争、火灾、洪水、台风、地震、国内骚乱或其它灾害影响，而不能履行本合同，则履约时间应该被相应地延长，而且对于因延时而造成的损失，任何一方都不承担责任。</w:t>
      </w:r>
    </w:p>
    <w:p w14:paraId="0B983F3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2.受阻的一方应在不可抗力发生后尽可能短的时间内通知另两方，并在此后十日内，用快递方式将有关部门签发的书面证明作为证据送达另一方。</w:t>
      </w:r>
    </w:p>
    <w:p w14:paraId="7A418F5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3.如果不可抗力因素的影响将持续150天以上，三方应该通过友好谈判的方式，就本合同的进一步实施尽快达成协议。</w:t>
      </w:r>
    </w:p>
    <w:p w14:paraId="28EDFAA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如果因有关政府部门对本合同实施的强制干预，致使本合同无法履行，或者履约会导致成本大幅度增长，与双方在签署合同之时所作的预测有很大差异，则应将此事件视为不可抗力，但合同一方对此进行操纵或促成的除外。</w:t>
      </w:r>
    </w:p>
    <w:p w14:paraId="6F724580">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十一、法律适用与争议解决</w:t>
      </w:r>
    </w:p>
    <w:p w14:paraId="7B6E820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1.本合同受中华人民共和国法律管辖。</w:t>
      </w:r>
    </w:p>
    <w:p w14:paraId="1DBDBD9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2.有关本合同的任何疑异，甲乙丙三方应首先本着相互信任、长期合作的原则，共同协商解决。</w:t>
      </w:r>
    </w:p>
    <w:p w14:paraId="4AC4A81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3.与本合同相关争议如不能通过协商解决，任何一方有权在合同签订地选择诉讼的途径解决。</w:t>
      </w:r>
    </w:p>
    <w:p w14:paraId="1581256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4.除正在提交诉讼的部分外，本合同其余部分应继续执行。</w:t>
      </w:r>
    </w:p>
    <w:p w14:paraId="17B1F8B9">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十二、合同生效、变更及终止</w:t>
      </w:r>
    </w:p>
    <w:p w14:paraId="18A26A6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1.本合同自甲乙丙三方</w:t>
      </w:r>
      <w:r>
        <w:rPr>
          <w:rFonts w:hint="eastAsia" w:ascii="仿宋" w:hAnsi="仿宋" w:eastAsia="仿宋" w:cs="仿宋"/>
          <w:szCs w:val="21"/>
          <w:highlight w:val="none"/>
          <w:lang w:eastAsia="zh-CN"/>
        </w:rPr>
        <w:t>签字并盖章后</w:t>
      </w:r>
      <w:r>
        <w:rPr>
          <w:rFonts w:hint="eastAsia" w:ascii="仿宋" w:hAnsi="仿宋" w:eastAsia="仿宋" w:cs="仿宋"/>
          <w:szCs w:val="21"/>
          <w:highlight w:val="none"/>
        </w:rPr>
        <w:t>生效，合同正本一式六份，甲、乙、丙三方各执两份，具有同等效力。</w:t>
      </w:r>
    </w:p>
    <w:p w14:paraId="7EA7328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2.附件均为本合同不可分割的组成部分，与合同正文具有同等法律效力。合同条款与附件有抵触时，以合同条款为准。</w:t>
      </w:r>
    </w:p>
    <w:p w14:paraId="0F85DD1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3.如果本合同的某些条款被认定为无效、不合法或不能执行，此类无效、不合法或不能执行的认定不影响其他条款的有效性、合法性或可执行性。</w:t>
      </w:r>
    </w:p>
    <w:p w14:paraId="5A071AD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对本合同任何条款的任何变更都需经过甲乙丙三方的书面确认。否则，变更部分不产生法律效力。若一方修改合同条款，应提前30天通知另两方，经三方协商达成一致后，对本合同相关条款进行变更。变更条款为本合同不可分割的组成部分，与合同具有相同效力。变更条款与本合同条款有冲突之处，以变更条款为准。</w:t>
      </w:r>
    </w:p>
    <w:p w14:paraId="1E2D687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5.本合同项下甲乙丙三方义务均完成或终止之后，本合同自动终止。</w:t>
      </w:r>
    </w:p>
    <w:p w14:paraId="7B37A4AB">
      <w:pPr>
        <w:spacing w:line="360" w:lineRule="auto"/>
        <w:ind w:firstLine="422" w:firstLineChars="200"/>
        <w:rPr>
          <w:rFonts w:ascii="仿宋" w:hAnsi="仿宋" w:eastAsia="仿宋" w:cs="仿宋"/>
          <w:b/>
          <w:bCs/>
          <w:szCs w:val="21"/>
          <w:highlight w:val="none"/>
        </w:rPr>
      </w:pPr>
      <w:r>
        <w:rPr>
          <w:rFonts w:hint="eastAsia" w:ascii="仿宋" w:hAnsi="仿宋" w:eastAsia="仿宋" w:cs="仿宋"/>
          <w:b/>
          <w:bCs/>
          <w:szCs w:val="21"/>
          <w:highlight w:val="none"/>
        </w:rPr>
        <w:t>十三、增值税特别约定</w:t>
      </w:r>
    </w:p>
    <w:p w14:paraId="5A427583">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合同所涉价款均为含税价格，并列明税率。每次付款前，丙方开具或提供的增值税发票价税合计金额应与乙方实际支付的价税合计款项相一致。</w:t>
      </w:r>
    </w:p>
    <w:p w14:paraId="423D3793">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丙方为增值税一般纳税人的，承诺向乙方开具合格增值税专用发票。丙方为小规模纳税人的，承诺向乙方开具或提供由税务机关代开的合格增值税专用发票。</w:t>
      </w:r>
    </w:p>
    <w:p w14:paraId="277627D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丙方应在接到乙方开票要求后15日内开具或提供增值税发票并送达乙方，乙方签收发票日期为发票送达日期。如丙方开具全面数字化电子发票（以下简称“数电发票”）的，通过电子发票服务平台自动交付至乙方。丙方应根据乙方要求通过电子邮件、二维码、下载打印等方式交付，交付的同时，还应提供OFD、PDF、XML格式文件。</w:t>
      </w:r>
    </w:p>
    <w:p w14:paraId="70ED5DA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蓝字增值税发票（不含数电发票）开具后，由于发生销售退回（包括全部退回和部分退回）、应税服务中止（包括全部中止和部分中止）、开票有误或销售折让等情形，丙方需在乙方送回原发票或提供有效证明后办理发票作废手续或开具红字发票。如需开具增值税红字专用发票且根据相关法律、法规及政策性文件规定需要由乙方向税务机关提交《开具红字增值税专用发票信息表》的，应由丙方及时通知乙方向税务机关提交《开具红字增值税专用发票信息表》，待税务机关审核并通知丙方后，丙方开具红字增值税专用发票。</w:t>
      </w:r>
    </w:p>
    <w:p w14:paraId="6F28A4F0">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蓝字数电发票开具后，如发生销售退回（包括全部退回和部分退回）、开票有误、应税服务中止（包括全部中止和部分中止）、销售折让等情形，</w:t>
      </w:r>
    </w:p>
    <w:p w14:paraId="4FCE330B">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（1）蓝字数电发票未进行用途确认及入账确认的，应由丙方发起红冲流程并尽快通知乙方，开具红字发票后应尽快交付乙方。</w:t>
      </w:r>
    </w:p>
    <w:p w14:paraId="4CDBDC4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蓝字数电发票已进行用途确认或入账确认的，丙方和乙方均可发起红冲流程。丙方发起红冲流程时，应及时通知乙方在72小时内确认《红字发票信息确认单》；乙方发起红冲流程时，丙方应在72小时内确认《红字发票信息确认单》。</w:t>
      </w:r>
    </w:p>
    <w:p w14:paraId="0D1F9370">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若增值税发票不合格，丙方应在接到乙方通知后30日内重新开具或提供合格的增值税发票并送达乙方，丙方自行承担全部费用。如丙方不能提供或拒不提供的，乙方有权拒绝付款且不承担任何责任，丙方的各项合同义务仍应按合同约定履行。</w:t>
      </w:r>
    </w:p>
    <w:p w14:paraId="28EA754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若丙方提供的增值税发票不合格导致未能通过税务机关认证，或虽通过税务机关认证，但因发票税率低于合同标的应征税率致使乙方减少抵扣或被税务机关以“失控发票”等事由追缴税款的，乙方有权解除合同，并要求丙方支付未通过认证的发票中载明的税款金额或者合同价款10%（二者中高者）作为违约金，并赔偿乙方全部经济损失。</w:t>
      </w:r>
    </w:p>
    <w:p w14:paraId="22D18E4A">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因丙方原因导致乙方收到的增值税发票在认证抵扣后被税务机关认定异常，造成乙方不能抵扣进项税、企业所得税无法税前扣除及其他经济损失，由丙方承担。</w:t>
      </w:r>
    </w:p>
    <w:p w14:paraId="45C5833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丙方提供的增值税发票不合格包括但不限于以下情况：开具发票种类错误，开具发票税率与合同标的应征税率不符，发票上的信息不全或错误，因丙方或税务机关开具错误等原因造成发票认证失败等。</w:t>
      </w:r>
    </w:p>
    <w:p w14:paraId="77085451">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丙方开具或提供的增值税纸质发票在送达乙方前或送达后如发生丢失、灭失或被盗，丙方均应按税法规定向乙方提供加盖丙方发票专用章的有关丢失发票的记账联复印件，积极协助乙方办理有关的进项税额认证申报手续。丙方开具或提供的增值税数电发票在送达乙方前或送达后如发生丢失、灭失或被盗，丙方应重新提供。否则，由此造成的经济损失，由丙方承担。</w:t>
      </w:r>
    </w:p>
    <w:p w14:paraId="3919861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因第三方传递原因导致乙方无法认证抵扣进项税的，丙方应全力协助乙方提供相关证据，以便乙方向主管税务机关申请抵扣进项税。否则，由此造成的经济损失，由丙方承担。</w:t>
      </w:r>
    </w:p>
    <w:p w14:paraId="4178FE6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丙方提供虚假、作废等无效增值税发票或者违反国家法律、法规开具、提供发票的，丙方自行承担全部法律责任。同时，乙方有权要求丙方支付合同总价款10%的违约金。</w:t>
      </w:r>
    </w:p>
    <w:p w14:paraId="1D87D70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在合同履行期间，如遇国家财税制度政策变更，双方同意根据变更后的制度政策调整本合同约定价格及发票开具要求。</w:t>
      </w:r>
      <w:r>
        <w:rPr>
          <w:rFonts w:hint="eastAsia" w:ascii="仿宋" w:hAnsi="仿宋" w:eastAsia="仿宋" w:cs="仿宋"/>
          <w:szCs w:val="21"/>
          <w:highlight w:val="none"/>
        </w:rPr>
        <w:br w:type="page"/>
      </w:r>
    </w:p>
    <w:p w14:paraId="2AF1F20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此页为中国工商银行股份有限公司杭州分行与XXX有限公司、中国计量大学订立的《中国计量大学采购合同》的签署页，此页无正文。</w:t>
      </w:r>
    </w:p>
    <w:p w14:paraId="61652DBC">
      <w:pPr>
        <w:spacing w:line="360" w:lineRule="auto"/>
        <w:ind w:firstLine="420" w:firstLineChars="200"/>
        <w:rPr>
          <w:rFonts w:ascii="仿宋" w:hAnsi="仿宋" w:eastAsia="仿宋" w:cs="仿宋"/>
          <w:szCs w:val="21"/>
          <w:highlight w:val="none"/>
        </w:rPr>
      </w:pPr>
    </w:p>
    <w:p w14:paraId="0E33D7F0">
      <w:pPr>
        <w:spacing w:line="360" w:lineRule="auto"/>
        <w:ind w:firstLine="420" w:firstLineChars="200"/>
        <w:rPr>
          <w:rFonts w:ascii="仿宋" w:hAnsi="仿宋" w:eastAsia="仿宋" w:cs="仿宋"/>
          <w:szCs w:val="21"/>
          <w:highlight w:val="none"/>
        </w:rPr>
      </w:pPr>
    </w:p>
    <w:p w14:paraId="41FC120C">
      <w:pPr>
        <w:spacing w:line="360" w:lineRule="auto"/>
        <w:ind w:firstLine="420" w:firstLineChars="200"/>
        <w:rPr>
          <w:rFonts w:ascii="仿宋" w:hAnsi="仿宋" w:eastAsia="仿宋" w:cs="仿宋"/>
          <w:szCs w:val="21"/>
          <w:highlight w:val="none"/>
        </w:rPr>
      </w:pPr>
    </w:p>
    <w:p w14:paraId="1203498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甲方：中国计量大学（盖章）</w:t>
      </w:r>
    </w:p>
    <w:p w14:paraId="64D147F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eastAsia="zh-CN"/>
        </w:rPr>
        <w:t>法定代表人或授权代表（签字）</w:t>
      </w:r>
    </w:p>
    <w:p w14:paraId="4DAE3A68">
      <w:pPr>
        <w:spacing w:line="360" w:lineRule="auto"/>
        <w:ind w:firstLine="420" w:firstLineChars="200"/>
        <w:rPr>
          <w:rFonts w:ascii="仿宋" w:hAnsi="仿宋" w:eastAsia="仿宋" w:cs="仿宋"/>
          <w:szCs w:val="21"/>
          <w:highlight w:val="none"/>
        </w:rPr>
      </w:pPr>
    </w:p>
    <w:p w14:paraId="7CAB9AFE">
      <w:pPr>
        <w:spacing w:line="360" w:lineRule="auto"/>
        <w:ind w:firstLine="420" w:firstLineChars="200"/>
        <w:rPr>
          <w:rFonts w:ascii="仿宋" w:hAnsi="仿宋" w:eastAsia="仿宋" w:cs="仿宋"/>
          <w:szCs w:val="21"/>
          <w:highlight w:val="none"/>
        </w:rPr>
      </w:pPr>
    </w:p>
    <w:p w14:paraId="3E211BAC">
      <w:pPr>
        <w:spacing w:line="360" w:lineRule="auto"/>
        <w:ind w:firstLine="420" w:firstLineChars="200"/>
        <w:rPr>
          <w:rFonts w:ascii="仿宋" w:hAnsi="仿宋" w:eastAsia="仿宋" w:cs="仿宋"/>
          <w:szCs w:val="21"/>
          <w:highlight w:val="none"/>
        </w:rPr>
      </w:pPr>
    </w:p>
    <w:p w14:paraId="751324A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乙方：中国工商银行股份有限公司杭州分行（盖章）</w:t>
      </w:r>
    </w:p>
    <w:p w14:paraId="133B7BB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eastAsia="zh-CN"/>
        </w:rPr>
        <w:t>法定代表人或授权代表（签字）</w:t>
      </w:r>
    </w:p>
    <w:p w14:paraId="65CD4EC8">
      <w:pPr>
        <w:spacing w:line="360" w:lineRule="auto"/>
        <w:ind w:firstLine="420" w:firstLineChars="200"/>
        <w:rPr>
          <w:rFonts w:ascii="仿宋" w:hAnsi="仿宋" w:eastAsia="仿宋" w:cs="仿宋"/>
          <w:szCs w:val="21"/>
          <w:highlight w:val="none"/>
        </w:rPr>
      </w:pPr>
    </w:p>
    <w:p w14:paraId="0A3A0A12">
      <w:pPr>
        <w:spacing w:line="360" w:lineRule="auto"/>
        <w:ind w:firstLine="420" w:firstLineChars="200"/>
        <w:rPr>
          <w:rFonts w:ascii="仿宋" w:hAnsi="仿宋" w:eastAsia="仿宋" w:cs="仿宋"/>
          <w:szCs w:val="21"/>
          <w:highlight w:val="none"/>
        </w:rPr>
      </w:pPr>
    </w:p>
    <w:p w14:paraId="33667DCC">
      <w:pPr>
        <w:spacing w:line="360" w:lineRule="auto"/>
        <w:ind w:firstLine="420" w:firstLineChars="200"/>
        <w:rPr>
          <w:rFonts w:ascii="仿宋" w:hAnsi="仿宋" w:eastAsia="仿宋" w:cs="仿宋"/>
          <w:szCs w:val="21"/>
          <w:highlight w:val="none"/>
        </w:rPr>
      </w:pPr>
    </w:p>
    <w:p w14:paraId="1F7BDF2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丙方：XXX有限公司（盖章）</w:t>
      </w:r>
    </w:p>
    <w:p w14:paraId="3767EAC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lang w:eastAsia="zh-CN"/>
        </w:rPr>
        <w:t>法定代表人或授权代表（签字）</w:t>
      </w:r>
    </w:p>
    <w:p w14:paraId="331D42BA">
      <w:pPr>
        <w:spacing w:line="360" w:lineRule="auto"/>
        <w:ind w:firstLine="420" w:firstLineChars="200"/>
        <w:rPr>
          <w:rFonts w:ascii="仿宋" w:hAnsi="仿宋" w:eastAsia="仿宋" w:cs="仿宋"/>
          <w:szCs w:val="21"/>
          <w:highlight w:val="none"/>
        </w:rPr>
      </w:pPr>
    </w:p>
    <w:p w14:paraId="07967D4D">
      <w:pPr>
        <w:spacing w:line="360" w:lineRule="auto"/>
        <w:ind w:firstLine="420" w:firstLineChars="200"/>
        <w:rPr>
          <w:rFonts w:ascii="仿宋" w:hAnsi="仿宋" w:eastAsia="仿宋" w:cs="仿宋"/>
          <w:szCs w:val="21"/>
          <w:highlight w:val="none"/>
        </w:rPr>
      </w:pPr>
    </w:p>
    <w:p w14:paraId="0859EFF5">
      <w:pPr>
        <w:spacing w:line="360" w:lineRule="auto"/>
        <w:ind w:firstLine="420" w:firstLineChars="200"/>
        <w:rPr>
          <w:rFonts w:ascii="仿宋" w:hAnsi="仿宋" w:eastAsia="仿宋" w:cs="仿宋"/>
          <w:szCs w:val="21"/>
          <w:highlight w:val="none"/>
        </w:rPr>
      </w:pPr>
    </w:p>
    <w:p w14:paraId="4E07E34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签署日期：     年    月   日</w:t>
      </w:r>
    </w:p>
    <w:p w14:paraId="36CCB074">
      <w:pPr>
        <w:ind w:firstLine="420" w:firstLineChars="200"/>
        <w:rPr>
          <w:rFonts w:ascii="仿宋" w:hAnsi="仿宋" w:eastAsia="仿宋" w:cs="仿宋"/>
          <w:highlight w:val="none"/>
        </w:rPr>
      </w:pPr>
      <w:r>
        <w:rPr>
          <w:rFonts w:hint="eastAsia" w:ascii="仿宋" w:hAnsi="仿宋" w:eastAsia="仿宋" w:cs="仿宋"/>
          <w:highlight w:val="none"/>
          <w:lang w:eastAsia="zh-CN"/>
        </w:rPr>
        <w:t>合同签订地：杭州市钱塘区</w:t>
      </w:r>
    </w:p>
    <w:p w14:paraId="15F4D0E1">
      <w:pPr>
        <w:spacing w:line="240" w:lineRule="auto"/>
        <w:jc w:val="left"/>
        <w:outlineLvl w:val="9"/>
        <w:rPr>
          <w:rFonts w:ascii="仿宋" w:hAnsi="仿宋" w:eastAsia="仿宋" w:cs="仿宋"/>
          <w:b/>
          <w:kern w:val="44"/>
          <w:sz w:val="32"/>
          <w:szCs w:val="22"/>
          <w:highlight w:val="none"/>
        </w:rPr>
      </w:pPr>
    </w:p>
    <w:p w14:paraId="5C8365DB">
      <w:pPr>
        <w:rPr>
          <w:rFonts w:ascii="仿宋" w:hAnsi="仿宋" w:eastAsia="仿宋" w:cs="仿宋"/>
          <w:sz w:val="28"/>
          <w:szCs w:val="28"/>
          <w:highlight w:val="none"/>
        </w:rPr>
      </w:pPr>
      <w:r>
        <w:rPr>
          <w:rFonts w:hint="eastAsia" w:ascii="宋体" w:hAnsi="宋体" w:cs="宋体"/>
          <w:szCs w:val="21"/>
          <w:highlight w:val="none"/>
        </w:rPr>
        <w:br w:type="page"/>
      </w:r>
      <w:r>
        <w:rPr>
          <w:rFonts w:hint="eastAsia" w:ascii="仿宋" w:hAnsi="仿宋" w:eastAsia="仿宋" w:cs="仿宋"/>
          <w:b/>
          <w:bCs/>
          <w:sz w:val="28"/>
          <w:szCs w:val="28"/>
          <w:highlight w:val="none"/>
        </w:rPr>
        <w:t>附件一:</w:t>
      </w:r>
    </w:p>
    <w:p w14:paraId="1ABE0184">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智慧后勤系统建设-中国计量大学东生活区道闸系统</w:t>
      </w:r>
      <w:r>
        <w:rPr>
          <w:rFonts w:hint="eastAsia" w:ascii="仿宋" w:hAnsi="仿宋" w:eastAsia="仿宋" w:cs="仿宋"/>
          <w:b/>
          <w:bCs/>
          <w:sz w:val="28"/>
          <w:szCs w:val="28"/>
          <w:highlight w:val="none"/>
        </w:rPr>
        <w:t>项目</w:t>
      </w:r>
    </w:p>
    <w:p w14:paraId="5F8595F1">
      <w:pPr>
        <w:jc w:val="center"/>
        <w:rPr>
          <w:rFonts w:ascii="仿宋" w:hAnsi="仿宋" w:eastAsia="仿宋" w:cs="仿宋"/>
          <w:sz w:val="28"/>
          <w:szCs w:val="28"/>
          <w:highlight w:val="none"/>
        </w:rPr>
      </w:pPr>
      <w:r>
        <w:rPr>
          <w:rFonts w:hint="eastAsia" w:ascii="仿宋" w:hAnsi="仿宋" w:eastAsia="仿宋" w:cs="仿宋"/>
          <w:b/>
          <w:bCs/>
          <w:sz w:val="28"/>
          <w:szCs w:val="28"/>
          <w:highlight w:val="none"/>
          <w:lang w:eastAsia="zh-CN"/>
        </w:rPr>
        <w:t>产品验收</w:t>
      </w:r>
      <w:r>
        <w:rPr>
          <w:rFonts w:hint="eastAsia" w:ascii="仿宋" w:hAnsi="仿宋" w:eastAsia="仿宋" w:cs="仿宋"/>
          <w:b/>
          <w:bCs/>
          <w:sz w:val="28"/>
          <w:szCs w:val="28"/>
          <w:highlight w:val="none"/>
        </w:rPr>
        <w:t>备忘录</w:t>
      </w:r>
    </w:p>
    <w:p w14:paraId="55D0752C">
      <w:pPr>
        <w:ind w:firstLine="560" w:firstLineChars="200"/>
        <w:rPr>
          <w:rFonts w:ascii="仿宋" w:hAnsi="仿宋" w:eastAsia="仿宋" w:cs="仿宋"/>
          <w:sz w:val="28"/>
          <w:szCs w:val="28"/>
          <w:highlight w:val="none"/>
        </w:rPr>
      </w:pPr>
    </w:p>
    <w:tbl>
      <w:tblPr>
        <w:tblStyle w:val="62"/>
        <w:tblW w:w="9716" w:type="dxa"/>
        <w:jc w:val="center"/>
        <w:tblLayout w:type="fixed"/>
        <w:tblCellMar>
          <w:top w:w="0" w:type="dxa"/>
          <w:left w:w="108" w:type="dxa"/>
          <w:bottom w:w="0" w:type="dxa"/>
          <w:right w:w="108" w:type="dxa"/>
        </w:tblCellMar>
      </w:tblPr>
      <w:tblGrid>
        <w:gridCol w:w="515"/>
        <w:gridCol w:w="1441"/>
        <w:gridCol w:w="2109"/>
        <w:gridCol w:w="741"/>
        <w:gridCol w:w="922"/>
        <w:gridCol w:w="950"/>
        <w:gridCol w:w="1149"/>
        <w:gridCol w:w="968"/>
        <w:gridCol w:w="921"/>
      </w:tblGrid>
      <w:tr w14:paraId="21788A34">
        <w:tblPrEx>
          <w:tblCellMar>
            <w:top w:w="0" w:type="dxa"/>
            <w:left w:w="108" w:type="dxa"/>
            <w:bottom w:w="0" w:type="dxa"/>
            <w:right w:w="108" w:type="dxa"/>
          </w:tblCellMar>
        </w:tblPrEx>
        <w:trPr>
          <w:trHeight w:val="557"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14:paraId="758A75F9">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441" w:type="dxa"/>
            <w:tcBorders>
              <w:top w:val="single" w:color="auto" w:sz="4" w:space="0"/>
              <w:left w:val="single" w:color="auto" w:sz="4" w:space="0"/>
              <w:bottom w:val="single" w:color="auto" w:sz="4" w:space="0"/>
              <w:right w:val="single" w:color="auto" w:sz="4" w:space="0"/>
            </w:tcBorders>
            <w:vAlign w:val="center"/>
          </w:tcPr>
          <w:p w14:paraId="04851AF4">
            <w:pPr>
              <w:tabs>
                <w:tab w:val="center" w:pos="4153"/>
                <w:tab w:val="right" w:pos="8306"/>
              </w:tabs>
              <w:snapToGrid w:val="0"/>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项目名称</w:t>
            </w:r>
          </w:p>
        </w:tc>
        <w:tc>
          <w:tcPr>
            <w:tcW w:w="2109" w:type="dxa"/>
            <w:tcBorders>
              <w:top w:val="single" w:color="auto" w:sz="4" w:space="0"/>
              <w:left w:val="single" w:color="auto" w:sz="4" w:space="0"/>
              <w:bottom w:val="single" w:color="auto" w:sz="4" w:space="0"/>
              <w:right w:val="single" w:color="auto" w:sz="4" w:space="0"/>
            </w:tcBorders>
            <w:vAlign w:val="center"/>
          </w:tcPr>
          <w:p w14:paraId="3D0EB0CE">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产品名称</w:t>
            </w:r>
          </w:p>
        </w:tc>
        <w:tc>
          <w:tcPr>
            <w:tcW w:w="741" w:type="dxa"/>
            <w:tcBorders>
              <w:top w:val="single" w:color="auto" w:sz="4" w:space="0"/>
              <w:left w:val="single" w:color="auto" w:sz="4" w:space="0"/>
              <w:bottom w:val="single" w:color="auto" w:sz="4" w:space="0"/>
              <w:right w:val="single" w:color="auto" w:sz="4" w:space="0"/>
            </w:tcBorders>
            <w:vAlign w:val="center"/>
          </w:tcPr>
          <w:p w14:paraId="78BCB474">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lang w:eastAsia="zh-CN"/>
              </w:rPr>
              <w:t>品牌</w:t>
            </w:r>
            <w:r>
              <w:rPr>
                <w:rFonts w:hint="eastAsia" w:ascii="仿宋" w:hAnsi="仿宋" w:eastAsia="仿宋" w:cs="仿宋"/>
                <w:kern w:val="0"/>
                <w:sz w:val="24"/>
                <w:highlight w:val="none"/>
              </w:rPr>
              <w:t>型号</w:t>
            </w:r>
          </w:p>
        </w:tc>
        <w:tc>
          <w:tcPr>
            <w:tcW w:w="922" w:type="dxa"/>
            <w:tcBorders>
              <w:top w:val="single" w:color="auto" w:sz="4" w:space="0"/>
              <w:left w:val="single" w:color="auto" w:sz="4" w:space="0"/>
              <w:bottom w:val="single" w:color="auto" w:sz="4" w:space="0"/>
              <w:right w:val="single" w:color="auto" w:sz="4" w:space="0"/>
            </w:tcBorders>
            <w:vAlign w:val="center"/>
          </w:tcPr>
          <w:p w14:paraId="32A03786">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数量</w:t>
            </w:r>
          </w:p>
        </w:tc>
        <w:tc>
          <w:tcPr>
            <w:tcW w:w="950" w:type="dxa"/>
            <w:tcBorders>
              <w:top w:val="single" w:color="auto" w:sz="4" w:space="0"/>
              <w:left w:val="single" w:color="auto" w:sz="4" w:space="0"/>
              <w:bottom w:val="single" w:color="auto" w:sz="4" w:space="0"/>
              <w:right w:val="single" w:color="auto" w:sz="4" w:space="0"/>
            </w:tcBorders>
            <w:vAlign w:val="center"/>
          </w:tcPr>
          <w:p w14:paraId="201B43A5">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甲方验收意见</w:t>
            </w:r>
          </w:p>
        </w:tc>
        <w:tc>
          <w:tcPr>
            <w:tcW w:w="1149" w:type="dxa"/>
            <w:tcBorders>
              <w:top w:val="single" w:color="auto" w:sz="4" w:space="0"/>
              <w:left w:val="single" w:color="auto" w:sz="4" w:space="0"/>
              <w:bottom w:val="single" w:color="auto" w:sz="4" w:space="0"/>
              <w:right w:val="single" w:color="auto" w:sz="4" w:space="0"/>
            </w:tcBorders>
            <w:vAlign w:val="center"/>
          </w:tcPr>
          <w:p w14:paraId="799079BA">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乙方验收意见</w:t>
            </w:r>
          </w:p>
        </w:tc>
        <w:tc>
          <w:tcPr>
            <w:tcW w:w="968" w:type="dxa"/>
            <w:tcBorders>
              <w:top w:val="single" w:color="auto" w:sz="4" w:space="0"/>
              <w:left w:val="single" w:color="auto" w:sz="4" w:space="0"/>
              <w:bottom w:val="single" w:color="auto" w:sz="4" w:space="0"/>
              <w:right w:val="single" w:color="auto" w:sz="4" w:space="0"/>
            </w:tcBorders>
            <w:vAlign w:val="center"/>
          </w:tcPr>
          <w:p w14:paraId="6423108F">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丙方验收意见</w:t>
            </w:r>
          </w:p>
        </w:tc>
        <w:tc>
          <w:tcPr>
            <w:tcW w:w="921" w:type="dxa"/>
            <w:tcBorders>
              <w:top w:val="single" w:color="auto" w:sz="4" w:space="0"/>
              <w:left w:val="single" w:color="auto" w:sz="4" w:space="0"/>
              <w:bottom w:val="single" w:color="auto" w:sz="4" w:space="0"/>
              <w:right w:val="single" w:color="auto" w:sz="4" w:space="0"/>
            </w:tcBorders>
            <w:vAlign w:val="center"/>
          </w:tcPr>
          <w:p w14:paraId="42B7D210">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备注</w:t>
            </w:r>
          </w:p>
        </w:tc>
      </w:tr>
      <w:tr w14:paraId="506616B2">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49607990">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441" w:type="dxa"/>
            <w:vMerge w:val="restart"/>
            <w:tcBorders>
              <w:top w:val="single" w:color="auto" w:sz="4" w:space="0"/>
              <w:left w:val="single" w:color="auto" w:sz="4" w:space="0"/>
              <w:right w:val="single" w:color="auto" w:sz="4" w:space="0"/>
            </w:tcBorders>
            <w:shd w:val="clear" w:color="auto" w:fill="FFFFFF"/>
            <w:vAlign w:val="center"/>
          </w:tcPr>
          <w:p w14:paraId="45F7E3BA">
            <w:pPr>
              <w:widowControl/>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智慧后勤系统建设-中国计量大学东生活区道闸系统</w:t>
            </w: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22104B0A">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4E710553">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4AFED93B">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054AA7C3">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397D285F">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32A313A1">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6C2F216D">
            <w:pPr>
              <w:tabs>
                <w:tab w:val="center" w:pos="4153"/>
                <w:tab w:val="right" w:pos="8306"/>
              </w:tabs>
              <w:snapToGrid w:val="0"/>
              <w:jc w:val="center"/>
              <w:rPr>
                <w:rFonts w:ascii="仿宋" w:hAnsi="仿宋" w:eastAsia="仿宋" w:cs="仿宋"/>
                <w:kern w:val="0"/>
                <w:sz w:val="24"/>
                <w:highlight w:val="none"/>
              </w:rPr>
            </w:pPr>
          </w:p>
        </w:tc>
      </w:tr>
      <w:tr w14:paraId="6742AD93">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38BA1F6">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441" w:type="dxa"/>
            <w:vMerge w:val="continue"/>
            <w:tcBorders>
              <w:left w:val="single" w:color="auto" w:sz="4" w:space="0"/>
              <w:right w:val="single" w:color="auto" w:sz="4" w:space="0"/>
            </w:tcBorders>
            <w:shd w:val="clear" w:color="auto" w:fill="FFFFFF"/>
            <w:vAlign w:val="center"/>
          </w:tcPr>
          <w:p w14:paraId="573484F6">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1383412C">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55937560">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2BCC55F6">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49A58927">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41B99F89">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542C85A">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9F8EA78">
            <w:pPr>
              <w:tabs>
                <w:tab w:val="center" w:pos="4153"/>
                <w:tab w:val="right" w:pos="8306"/>
              </w:tabs>
              <w:snapToGrid w:val="0"/>
              <w:jc w:val="center"/>
              <w:rPr>
                <w:rFonts w:ascii="仿宋" w:hAnsi="仿宋" w:eastAsia="仿宋" w:cs="仿宋"/>
                <w:kern w:val="0"/>
                <w:sz w:val="24"/>
                <w:highlight w:val="none"/>
              </w:rPr>
            </w:pPr>
          </w:p>
        </w:tc>
      </w:tr>
      <w:tr w14:paraId="5047CBAD">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6BE0DA61">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441" w:type="dxa"/>
            <w:vMerge w:val="continue"/>
            <w:tcBorders>
              <w:left w:val="single" w:color="auto" w:sz="4" w:space="0"/>
              <w:right w:val="single" w:color="auto" w:sz="4" w:space="0"/>
            </w:tcBorders>
            <w:shd w:val="clear" w:color="auto" w:fill="FFFFFF"/>
            <w:vAlign w:val="center"/>
          </w:tcPr>
          <w:p w14:paraId="3722A901">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6CE3443E">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7F3AD910">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382EF6E2">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719AAEE1">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0E706C25">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33E6DA7C">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30F0E771">
            <w:pPr>
              <w:tabs>
                <w:tab w:val="center" w:pos="4153"/>
                <w:tab w:val="right" w:pos="8306"/>
              </w:tabs>
              <w:snapToGrid w:val="0"/>
              <w:jc w:val="center"/>
              <w:rPr>
                <w:rFonts w:ascii="仿宋" w:hAnsi="仿宋" w:eastAsia="仿宋" w:cs="仿宋"/>
                <w:kern w:val="0"/>
                <w:sz w:val="24"/>
                <w:highlight w:val="none"/>
              </w:rPr>
            </w:pPr>
          </w:p>
        </w:tc>
      </w:tr>
      <w:tr w14:paraId="7FE67E79">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063FD075">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441" w:type="dxa"/>
            <w:vMerge w:val="continue"/>
            <w:tcBorders>
              <w:left w:val="single" w:color="auto" w:sz="4" w:space="0"/>
              <w:right w:val="single" w:color="auto" w:sz="4" w:space="0"/>
            </w:tcBorders>
            <w:shd w:val="clear" w:color="auto" w:fill="FFFFFF"/>
            <w:vAlign w:val="center"/>
          </w:tcPr>
          <w:p w14:paraId="1A19ECE5">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7902AA5E">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6EE81A1D">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7924975D">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0A956A9B">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5A839FE5">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58CD4B2B">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3283690F">
            <w:pPr>
              <w:tabs>
                <w:tab w:val="center" w:pos="4153"/>
                <w:tab w:val="right" w:pos="8306"/>
              </w:tabs>
              <w:snapToGrid w:val="0"/>
              <w:jc w:val="center"/>
              <w:rPr>
                <w:rFonts w:ascii="仿宋" w:hAnsi="仿宋" w:eastAsia="仿宋" w:cs="仿宋"/>
                <w:kern w:val="0"/>
                <w:sz w:val="24"/>
                <w:highlight w:val="none"/>
              </w:rPr>
            </w:pPr>
          </w:p>
        </w:tc>
      </w:tr>
      <w:tr w14:paraId="47CE8D0F">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190B396F">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441" w:type="dxa"/>
            <w:vMerge w:val="continue"/>
            <w:tcBorders>
              <w:left w:val="single" w:color="auto" w:sz="4" w:space="0"/>
              <w:right w:val="single" w:color="auto" w:sz="4" w:space="0"/>
            </w:tcBorders>
            <w:shd w:val="clear" w:color="auto" w:fill="FFFFFF"/>
            <w:vAlign w:val="center"/>
          </w:tcPr>
          <w:p w14:paraId="0435C02F">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59B154B6">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319DAF2B">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3644A200">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1CF7054">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10C188A0">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111CFFDA">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9FAFF78">
            <w:pPr>
              <w:tabs>
                <w:tab w:val="center" w:pos="4153"/>
                <w:tab w:val="right" w:pos="8306"/>
              </w:tabs>
              <w:snapToGrid w:val="0"/>
              <w:jc w:val="center"/>
              <w:rPr>
                <w:rFonts w:ascii="仿宋" w:hAnsi="仿宋" w:eastAsia="仿宋" w:cs="仿宋"/>
                <w:kern w:val="0"/>
                <w:sz w:val="24"/>
                <w:highlight w:val="none"/>
              </w:rPr>
            </w:pPr>
          </w:p>
        </w:tc>
      </w:tr>
      <w:tr w14:paraId="628D6EEF">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57478AE0">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441" w:type="dxa"/>
            <w:vMerge w:val="continue"/>
            <w:tcBorders>
              <w:left w:val="single" w:color="auto" w:sz="4" w:space="0"/>
              <w:right w:val="single" w:color="auto" w:sz="4" w:space="0"/>
            </w:tcBorders>
            <w:shd w:val="clear" w:color="auto" w:fill="FFFFFF"/>
            <w:vAlign w:val="center"/>
          </w:tcPr>
          <w:p w14:paraId="6DE556A6">
            <w:pPr>
              <w:widowControl/>
              <w:spacing w:line="360" w:lineRule="auto"/>
              <w:jc w:val="center"/>
              <w:rPr>
                <w:rFonts w:hint="eastAsia" w:ascii="仿宋" w:hAnsi="仿宋" w:eastAsia="仿宋" w:cs="仿宋"/>
                <w:szCs w:val="21"/>
                <w:highlight w:val="none"/>
                <w:lang w:eastAsia="zh-CN"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44A87FE4">
            <w:pPr>
              <w:widowControl/>
              <w:spacing w:line="360" w:lineRule="auto"/>
              <w:jc w:val="center"/>
              <w:rPr>
                <w:rFonts w:hint="eastAsia" w:ascii="仿宋" w:hAnsi="仿宋" w:eastAsia="仿宋" w:cs="仿宋"/>
                <w:sz w:val="24"/>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14:paraId="049294A5">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2F4E7D83">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C61673A">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79C5EC1F">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1314B5AC">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4016A03C">
            <w:pPr>
              <w:tabs>
                <w:tab w:val="center" w:pos="4153"/>
                <w:tab w:val="right" w:pos="8306"/>
              </w:tabs>
              <w:snapToGrid w:val="0"/>
              <w:jc w:val="center"/>
              <w:rPr>
                <w:rFonts w:ascii="仿宋" w:hAnsi="仿宋" w:eastAsia="仿宋" w:cs="仿宋"/>
                <w:kern w:val="0"/>
                <w:sz w:val="24"/>
                <w:highlight w:val="none"/>
              </w:rPr>
            </w:pPr>
          </w:p>
        </w:tc>
      </w:tr>
      <w:tr w14:paraId="03A91E1D">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16B0347D">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441" w:type="dxa"/>
            <w:vMerge w:val="continue"/>
            <w:tcBorders>
              <w:left w:val="single" w:color="auto" w:sz="4" w:space="0"/>
              <w:right w:val="single" w:color="auto" w:sz="4" w:space="0"/>
            </w:tcBorders>
            <w:shd w:val="clear" w:color="auto" w:fill="FFFFFF"/>
            <w:vAlign w:val="center"/>
          </w:tcPr>
          <w:p w14:paraId="2781977C">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6822C7A6">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30770AEA">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0165D627">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9F9C053">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55D77924">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510518B">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E52BF6A">
            <w:pPr>
              <w:tabs>
                <w:tab w:val="center" w:pos="4153"/>
                <w:tab w:val="right" w:pos="8306"/>
              </w:tabs>
              <w:snapToGrid w:val="0"/>
              <w:jc w:val="center"/>
              <w:rPr>
                <w:rFonts w:ascii="仿宋" w:hAnsi="仿宋" w:eastAsia="仿宋" w:cs="仿宋"/>
                <w:kern w:val="0"/>
                <w:sz w:val="24"/>
                <w:highlight w:val="none"/>
              </w:rPr>
            </w:pPr>
          </w:p>
        </w:tc>
      </w:tr>
      <w:tr w14:paraId="60F0D846">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DF78EF9">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441" w:type="dxa"/>
            <w:vMerge w:val="continue"/>
            <w:tcBorders>
              <w:left w:val="single" w:color="auto" w:sz="4" w:space="0"/>
              <w:right w:val="single" w:color="auto" w:sz="4" w:space="0"/>
            </w:tcBorders>
            <w:shd w:val="clear" w:color="auto" w:fill="FFFFFF"/>
            <w:vAlign w:val="center"/>
          </w:tcPr>
          <w:p w14:paraId="77AF532B">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0190F71A">
            <w:pPr>
              <w:widowControl/>
              <w:spacing w:line="360" w:lineRule="auto"/>
              <w:jc w:val="center"/>
              <w:rPr>
                <w:rFonts w:ascii="仿宋" w:hAnsi="仿宋" w:eastAsia="仿宋" w:cs="仿宋"/>
                <w:sz w:val="24"/>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14:paraId="66A1335C">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152C7DA">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6D50FEE5">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61A15415">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0362280">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72A3080">
            <w:pPr>
              <w:tabs>
                <w:tab w:val="center" w:pos="4153"/>
                <w:tab w:val="right" w:pos="8306"/>
              </w:tabs>
              <w:snapToGrid w:val="0"/>
              <w:jc w:val="center"/>
              <w:rPr>
                <w:rFonts w:ascii="仿宋" w:hAnsi="仿宋" w:eastAsia="仿宋" w:cs="仿宋"/>
                <w:kern w:val="0"/>
                <w:sz w:val="24"/>
                <w:highlight w:val="none"/>
              </w:rPr>
            </w:pPr>
          </w:p>
        </w:tc>
      </w:tr>
      <w:tr w14:paraId="5C4657E9">
        <w:tblPrEx>
          <w:tblCellMar>
            <w:top w:w="0" w:type="dxa"/>
            <w:left w:w="108" w:type="dxa"/>
            <w:bottom w:w="0" w:type="dxa"/>
            <w:right w:w="108" w:type="dxa"/>
          </w:tblCellMar>
        </w:tblPrEx>
        <w:trPr>
          <w:trHeight w:val="90"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10DA0FBB">
            <w:pPr>
              <w:tabs>
                <w:tab w:val="center" w:pos="4153"/>
                <w:tab w:val="right" w:pos="8306"/>
              </w:tabs>
              <w:snapToGrid w:val="0"/>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441" w:type="dxa"/>
            <w:vMerge w:val="continue"/>
            <w:tcBorders>
              <w:left w:val="single" w:color="auto" w:sz="4" w:space="0"/>
              <w:bottom w:val="single" w:color="auto" w:sz="4" w:space="0"/>
              <w:right w:val="single" w:color="auto" w:sz="4" w:space="0"/>
            </w:tcBorders>
            <w:shd w:val="clear" w:color="auto" w:fill="FFFFFF"/>
            <w:vAlign w:val="center"/>
          </w:tcPr>
          <w:p w14:paraId="581CC910">
            <w:pPr>
              <w:widowControl/>
              <w:spacing w:line="360" w:lineRule="auto"/>
              <w:jc w:val="center"/>
              <w:rPr>
                <w:rFonts w:hint="eastAsia" w:ascii="仿宋" w:hAnsi="仿宋" w:eastAsia="仿宋" w:cs="仿宋"/>
                <w:szCs w:val="21"/>
                <w:highlight w:val="none"/>
                <w:lang w:bidi="ar"/>
              </w:rPr>
            </w:pPr>
          </w:p>
        </w:tc>
        <w:tc>
          <w:tcPr>
            <w:tcW w:w="2109" w:type="dxa"/>
            <w:tcBorders>
              <w:top w:val="single" w:color="auto" w:sz="4" w:space="0"/>
              <w:left w:val="single" w:color="auto" w:sz="4" w:space="0"/>
              <w:bottom w:val="single" w:color="auto" w:sz="4" w:space="0"/>
              <w:right w:val="single" w:color="auto" w:sz="4" w:space="0"/>
            </w:tcBorders>
            <w:shd w:val="clear" w:color="auto" w:fill="FFFFFF"/>
            <w:vAlign w:val="center"/>
          </w:tcPr>
          <w:p w14:paraId="7CA1CAB8">
            <w:pPr>
              <w:widowControl/>
              <w:spacing w:line="360" w:lineRule="auto"/>
              <w:jc w:val="center"/>
              <w:rPr>
                <w:rFonts w:ascii="仿宋" w:hAnsi="仿宋" w:eastAsia="仿宋" w:cs="仿宋"/>
                <w:szCs w:val="21"/>
                <w:highlight w:val="none"/>
                <w:lang w:bidi="ar"/>
              </w:rPr>
            </w:pPr>
          </w:p>
        </w:tc>
        <w:tc>
          <w:tcPr>
            <w:tcW w:w="741" w:type="dxa"/>
            <w:tcBorders>
              <w:top w:val="single" w:color="auto" w:sz="4" w:space="0"/>
              <w:left w:val="single" w:color="auto" w:sz="4" w:space="0"/>
              <w:bottom w:val="single" w:color="auto" w:sz="4" w:space="0"/>
              <w:right w:val="single" w:color="auto" w:sz="4" w:space="0"/>
            </w:tcBorders>
            <w:vAlign w:val="center"/>
          </w:tcPr>
          <w:p w14:paraId="61A5C7A1">
            <w:pPr>
              <w:jc w:val="center"/>
              <w:rPr>
                <w:rFonts w:ascii="仿宋" w:hAnsi="仿宋" w:eastAsia="仿宋" w:cs="仿宋"/>
                <w:sz w:val="24"/>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51339E2B">
            <w:pPr>
              <w:jc w:val="center"/>
              <w:rPr>
                <w:rFonts w:ascii="仿宋" w:hAnsi="仿宋" w:eastAsia="仿宋" w:cs="仿宋"/>
                <w:kern w:val="0"/>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35F626B8">
            <w:pPr>
              <w:tabs>
                <w:tab w:val="center" w:pos="4153"/>
                <w:tab w:val="right" w:pos="8306"/>
              </w:tabs>
              <w:snapToGrid w:val="0"/>
              <w:jc w:val="center"/>
              <w:rPr>
                <w:rFonts w:ascii="仿宋" w:hAnsi="仿宋" w:eastAsia="仿宋" w:cs="仿宋"/>
                <w:kern w:val="0"/>
                <w:sz w:val="24"/>
                <w:highlight w:val="none"/>
              </w:rPr>
            </w:pPr>
          </w:p>
        </w:tc>
        <w:tc>
          <w:tcPr>
            <w:tcW w:w="1149" w:type="dxa"/>
            <w:tcBorders>
              <w:top w:val="single" w:color="auto" w:sz="4" w:space="0"/>
              <w:left w:val="single" w:color="auto" w:sz="4" w:space="0"/>
              <w:bottom w:val="single" w:color="auto" w:sz="4" w:space="0"/>
              <w:right w:val="single" w:color="auto" w:sz="4" w:space="0"/>
            </w:tcBorders>
            <w:vAlign w:val="center"/>
          </w:tcPr>
          <w:p w14:paraId="22FDE46C">
            <w:pPr>
              <w:tabs>
                <w:tab w:val="center" w:pos="4153"/>
                <w:tab w:val="right" w:pos="8306"/>
              </w:tabs>
              <w:snapToGrid w:val="0"/>
              <w:jc w:val="center"/>
              <w:rPr>
                <w:rFonts w:ascii="仿宋" w:hAnsi="仿宋" w:eastAsia="仿宋" w:cs="仿宋"/>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282DF3A">
            <w:pPr>
              <w:tabs>
                <w:tab w:val="center" w:pos="4153"/>
                <w:tab w:val="right" w:pos="8306"/>
              </w:tabs>
              <w:snapToGrid w:val="0"/>
              <w:jc w:val="center"/>
              <w:rPr>
                <w:rFonts w:ascii="仿宋" w:hAnsi="仿宋" w:eastAsia="仿宋" w:cs="仿宋"/>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B88A344">
            <w:pPr>
              <w:tabs>
                <w:tab w:val="center" w:pos="4153"/>
                <w:tab w:val="right" w:pos="8306"/>
              </w:tabs>
              <w:snapToGrid w:val="0"/>
              <w:jc w:val="center"/>
              <w:rPr>
                <w:rFonts w:ascii="仿宋" w:hAnsi="仿宋" w:eastAsia="仿宋" w:cs="仿宋"/>
                <w:kern w:val="0"/>
                <w:sz w:val="24"/>
                <w:highlight w:val="none"/>
              </w:rPr>
            </w:pPr>
          </w:p>
        </w:tc>
      </w:tr>
    </w:tbl>
    <w:p w14:paraId="791E3706">
      <w:pPr>
        <w:ind w:firstLine="480" w:firstLineChars="200"/>
        <w:rPr>
          <w:rFonts w:ascii="仿宋" w:hAnsi="仿宋" w:eastAsia="仿宋" w:cs="仿宋"/>
          <w:sz w:val="24"/>
          <w:highlight w:val="none"/>
        </w:rPr>
      </w:pPr>
    </w:p>
    <w:p w14:paraId="32D718D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以上</w:t>
      </w:r>
      <w:r>
        <w:rPr>
          <w:rFonts w:hint="eastAsia" w:ascii="仿宋" w:hAnsi="仿宋" w:eastAsia="仿宋" w:cs="仿宋"/>
          <w:sz w:val="24"/>
          <w:highlight w:val="none"/>
          <w:lang w:eastAsia="zh-CN"/>
        </w:rPr>
        <w:t>智慧后勤系统建设-中国计量大学东生活区道闸系统</w:t>
      </w:r>
      <w:r>
        <w:rPr>
          <w:rFonts w:hint="eastAsia" w:ascii="仿宋" w:hAnsi="仿宋" w:eastAsia="仿宋" w:cs="仿宋"/>
          <w:sz w:val="24"/>
          <w:highlight w:val="none"/>
        </w:rPr>
        <w:t>项目已经完成，验收通过。</w:t>
      </w:r>
    </w:p>
    <w:p w14:paraId="2E67CC08">
      <w:pPr>
        <w:spacing w:line="360" w:lineRule="auto"/>
        <w:ind w:firstLine="480" w:firstLineChars="200"/>
        <w:rPr>
          <w:rFonts w:ascii="仿宋" w:hAnsi="仿宋" w:eastAsia="仿宋" w:cs="仿宋"/>
          <w:sz w:val="24"/>
          <w:highlight w:val="none"/>
        </w:rPr>
      </w:pPr>
    </w:p>
    <w:p w14:paraId="40A6E461">
      <w:pPr>
        <w:spacing w:line="360" w:lineRule="auto"/>
        <w:ind w:firstLine="480" w:firstLineChars="200"/>
        <w:rPr>
          <w:rFonts w:ascii="仿宋" w:hAnsi="仿宋" w:eastAsia="仿宋" w:cs="仿宋"/>
          <w:sz w:val="24"/>
          <w:highlight w:val="none"/>
        </w:rPr>
      </w:pPr>
    </w:p>
    <w:p w14:paraId="7947582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甲方：中国计量大学          乙方：中国工商银行股份有限公司杭州分行</w:t>
      </w:r>
    </w:p>
    <w:p w14:paraId="0C873AD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（盖章）                   （盖章）              </w:t>
      </w:r>
    </w:p>
    <w:p w14:paraId="0E07BFB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负责人：   \       日期：   \       负责人：  \          日期：\</w:t>
      </w:r>
    </w:p>
    <w:p w14:paraId="2FF1BA8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经办人：   \       日期：   \       经办人：  \          日期：\</w:t>
      </w:r>
    </w:p>
    <w:p w14:paraId="4EAC3139">
      <w:pPr>
        <w:spacing w:line="360" w:lineRule="auto"/>
        <w:ind w:firstLine="480" w:firstLineChars="200"/>
        <w:rPr>
          <w:rFonts w:ascii="仿宋" w:hAnsi="仿宋" w:eastAsia="仿宋" w:cs="仿宋"/>
          <w:sz w:val="24"/>
          <w:highlight w:val="none"/>
        </w:rPr>
      </w:pPr>
    </w:p>
    <w:p w14:paraId="3BDC220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丙方：XXX有限公司（盖章）</w:t>
      </w:r>
    </w:p>
    <w:p w14:paraId="0196AD1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负责人： \         日期：   \            </w:t>
      </w:r>
    </w:p>
    <w:p w14:paraId="06BB67C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经办人： \         日期：   \           </w:t>
      </w:r>
    </w:p>
    <w:p w14:paraId="265420C7">
      <w:pPr>
        <w:ind w:firstLine="560" w:firstLineChars="200"/>
        <w:rPr>
          <w:rFonts w:ascii="仿宋" w:hAnsi="仿宋" w:eastAsia="仿宋" w:cs="仿宋"/>
          <w:sz w:val="28"/>
          <w:szCs w:val="28"/>
          <w:highlight w:val="none"/>
        </w:rPr>
      </w:pPr>
    </w:p>
    <w:p w14:paraId="2D2A5EF2">
      <w:pPr>
        <w:rPr>
          <w:rFonts w:ascii="仿宋" w:hAnsi="仿宋" w:eastAsia="仿宋" w:cs="仿宋"/>
          <w:sz w:val="28"/>
          <w:szCs w:val="28"/>
          <w:highlight w:val="none"/>
        </w:rPr>
      </w:pPr>
    </w:p>
    <w:p w14:paraId="5C1D73E5">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本备忘录一式四份。</w:t>
      </w:r>
    </w:p>
    <w:p w14:paraId="6E3EC5CD">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验收后中国计量大学、中国工商银行股份有限公司杭州分行各执一份，XXX有限公司执二份，其中一份随《付款申请》提交中国工商银行股份有限公司杭州分行申请付款，一份XXX有限公司自行留存。</w:t>
      </w:r>
    </w:p>
    <w:p w14:paraId="778206E3">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438EDD3">
      <w:pPr>
        <w:rPr>
          <w:rFonts w:ascii="仿宋" w:hAnsi="仿宋" w:eastAsia="仿宋" w:cs="仿宋"/>
          <w:b/>
          <w:bCs/>
          <w:sz w:val="28"/>
          <w:szCs w:val="28"/>
          <w:highlight w:val="none"/>
        </w:rPr>
      </w:pPr>
      <w:r>
        <w:rPr>
          <w:rFonts w:hint="eastAsia" w:ascii="仿宋" w:hAnsi="仿宋" w:eastAsia="仿宋" w:cs="仿宋"/>
          <w:b/>
          <w:bCs/>
          <w:sz w:val="28"/>
          <w:szCs w:val="28"/>
          <w:highlight w:val="none"/>
        </w:rPr>
        <w:t>附件二：</w:t>
      </w:r>
    </w:p>
    <w:p w14:paraId="55628FF4">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智慧后勤系统建设-中国计量大学东生活区道闸系统</w:t>
      </w:r>
      <w:r>
        <w:rPr>
          <w:rFonts w:hint="eastAsia" w:ascii="仿宋" w:hAnsi="仿宋" w:eastAsia="仿宋" w:cs="仿宋"/>
          <w:b/>
          <w:bCs/>
          <w:sz w:val="28"/>
          <w:szCs w:val="28"/>
          <w:highlight w:val="none"/>
        </w:rPr>
        <w:t>项目合同款项付款申请</w:t>
      </w:r>
    </w:p>
    <w:p w14:paraId="7562D9CA">
      <w:pPr>
        <w:rPr>
          <w:rFonts w:ascii="仿宋" w:hAnsi="仿宋" w:eastAsia="仿宋" w:cs="仿宋"/>
          <w:sz w:val="28"/>
          <w:szCs w:val="28"/>
          <w:highlight w:val="none"/>
        </w:rPr>
      </w:pPr>
    </w:p>
    <w:p w14:paraId="6EA5C5EE">
      <w:pPr>
        <w:spacing w:line="360" w:lineRule="auto"/>
        <w:rPr>
          <w:rFonts w:ascii="仿宋" w:hAnsi="仿宋" w:eastAsia="仿宋" w:cs="仿宋"/>
          <w:sz w:val="24"/>
          <w:highlight w:val="none"/>
        </w:rPr>
      </w:pPr>
      <w:r>
        <w:rPr>
          <w:rFonts w:hint="eastAsia" w:ascii="仿宋" w:hAnsi="仿宋" w:eastAsia="仿宋" w:cs="仿宋"/>
          <w:sz w:val="24"/>
          <w:highlight w:val="none"/>
        </w:rPr>
        <w:t>中国工商银行股份有限公司杭州分行：</w:t>
      </w:r>
    </w:p>
    <w:p w14:paraId="56DB008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智慧后勤系统建设-中国计量大学东生活区道闸系统</w:t>
      </w:r>
      <w:r>
        <w:rPr>
          <w:rFonts w:hint="eastAsia" w:ascii="仿宋" w:hAnsi="仿宋" w:eastAsia="仿宋" w:cs="仿宋"/>
          <w:sz w:val="24"/>
          <w:highlight w:val="none"/>
        </w:rPr>
        <w:t>项目合同项下全部</w:t>
      </w:r>
      <w:r>
        <w:rPr>
          <w:rFonts w:hint="eastAsia" w:ascii="仿宋" w:hAnsi="仿宋" w:eastAsia="仿宋" w:cs="仿宋"/>
          <w:sz w:val="24"/>
          <w:highlight w:val="none"/>
          <w:lang w:eastAsia="zh-CN"/>
        </w:rPr>
        <w:t>产品</w:t>
      </w:r>
      <w:r>
        <w:rPr>
          <w:rFonts w:hint="eastAsia" w:ascii="仿宋" w:hAnsi="仿宋" w:eastAsia="仿宋" w:cs="仿宋"/>
          <w:sz w:val="24"/>
          <w:highlight w:val="none"/>
        </w:rPr>
        <w:t>已完成</w:t>
      </w:r>
      <w:r>
        <w:rPr>
          <w:rFonts w:hint="eastAsia" w:ascii="仿宋" w:hAnsi="仿宋" w:eastAsia="仿宋" w:cs="仿宋"/>
          <w:sz w:val="24"/>
          <w:highlight w:val="none"/>
          <w:lang w:eastAsia="zh-CN"/>
        </w:rPr>
        <w:t>验收</w:t>
      </w:r>
      <w:r>
        <w:rPr>
          <w:rFonts w:hint="eastAsia" w:ascii="仿宋" w:hAnsi="仿宋" w:eastAsia="仿宋" w:cs="仿宋"/>
          <w:sz w:val="24"/>
          <w:highlight w:val="none"/>
        </w:rPr>
        <w:t>，于</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日验收通过。按照合同规定，向贵行开具正式发票，请将合同项下的人民币：</w:t>
      </w:r>
      <w:r>
        <w:rPr>
          <w:rFonts w:hint="eastAsia" w:ascii="仿宋" w:hAnsi="仿宋" w:eastAsia="仿宋" w:cs="仿宋"/>
          <w:sz w:val="24"/>
          <w:highlight w:val="none"/>
          <w:u w:val="single"/>
        </w:rPr>
        <w:t xml:space="preserve">      \     元整</w:t>
      </w:r>
      <w:r>
        <w:rPr>
          <w:rFonts w:hint="eastAsia" w:ascii="仿宋" w:hAnsi="仿宋" w:eastAsia="仿宋" w:cs="仿宋"/>
          <w:sz w:val="24"/>
          <w:highlight w:val="none"/>
        </w:rPr>
        <w:t>汇入我公司下列帐户：</w:t>
      </w:r>
    </w:p>
    <w:p w14:paraId="3714017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户名：</w:t>
      </w:r>
      <w:r>
        <w:rPr>
          <w:rFonts w:hint="eastAsia" w:ascii="仿宋" w:hAnsi="仿宋" w:eastAsia="仿宋" w:cs="仿宋"/>
          <w:sz w:val="24"/>
          <w:highlight w:val="none"/>
          <w:lang w:val="en-US" w:eastAsia="zh-CN"/>
        </w:rPr>
        <w:t xml:space="preserve">   </w:t>
      </w:r>
    </w:p>
    <w:p w14:paraId="6832FF6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开户行：</w:t>
      </w:r>
    </w:p>
    <w:p w14:paraId="3B4D71F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账号：</w:t>
      </w:r>
    </w:p>
    <w:p w14:paraId="4F19AF33">
      <w:pPr>
        <w:spacing w:line="360" w:lineRule="auto"/>
        <w:ind w:firstLine="480" w:firstLineChars="200"/>
        <w:rPr>
          <w:rFonts w:ascii="仿宋" w:hAnsi="仿宋" w:eastAsia="仿宋" w:cs="仿宋"/>
          <w:sz w:val="24"/>
          <w:highlight w:val="none"/>
        </w:rPr>
      </w:pPr>
    </w:p>
    <w:p w14:paraId="3752EDB8">
      <w:pPr>
        <w:spacing w:line="360" w:lineRule="auto"/>
        <w:ind w:firstLine="480" w:firstLineChars="200"/>
        <w:rPr>
          <w:rFonts w:ascii="仿宋" w:hAnsi="仿宋" w:eastAsia="仿宋" w:cs="仿宋"/>
          <w:sz w:val="24"/>
          <w:highlight w:val="none"/>
        </w:rPr>
      </w:pPr>
    </w:p>
    <w:p w14:paraId="35CD0712">
      <w:pPr>
        <w:spacing w:line="360" w:lineRule="auto"/>
        <w:ind w:firstLine="3120" w:firstLineChars="1300"/>
        <w:rPr>
          <w:rFonts w:ascii="仿宋" w:hAnsi="仿宋" w:eastAsia="仿宋" w:cs="仿宋"/>
          <w:sz w:val="24"/>
          <w:highlight w:val="none"/>
        </w:rPr>
      </w:pPr>
      <w:r>
        <w:rPr>
          <w:rFonts w:hint="eastAsia" w:ascii="仿宋" w:hAnsi="仿宋" w:eastAsia="仿宋" w:cs="仿宋"/>
          <w:sz w:val="24"/>
          <w:highlight w:val="none"/>
        </w:rPr>
        <w:t>XXX有限公司（盖章）</w:t>
      </w:r>
    </w:p>
    <w:p w14:paraId="0547628E">
      <w:pPr>
        <w:spacing w:line="360" w:lineRule="auto"/>
        <w:ind w:firstLine="6000" w:firstLineChars="2500"/>
        <w:rPr>
          <w:rFonts w:ascii="仿宋" w:hAnsi="仿宋" w:eastAsia="仿宋" w:cs="仿宋"/>
          <w:sz w:val="24"/>
          <w:highlight w:val="none"/>
        </w:rPr>
      </w:pPr>
      <w:r>
        <w:rPr>
          <w:rFonts w:hint="eastAsia" w:ascii="仿宋" w:hAnsi="仿宋" w:eastAsia="仿宋" w:cs="仿宋"/>
          <w:sz w:val="24"/>
          <w:highlight w:val="none"/>
        </w:rPr>
        <w:t>\年\月\日</w:t>
      </w:r>
    </w:p>
    <w:p w14:paraId="3071DF74">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CF601C5">
      <w:pPr>
        <w:rPr>
          <w:rFonts w:ascii="仿宋" w:hAnsi="仿宋" w:eastAsia="仿宋" w:cs="仿宋"/>
          <w:b/>
          <w:bCs/>
          <w:sz w:val="28"/>
          <w:szCs w:val="28"/>
          <w:highlight w:val="none"/>
        </w:rPr>
      </w:pPr>
      <w:r>
        <w:rPr>
          <w:rFonts w:hint="eastAsia" w:ascii="仿宋" w:hAnsi="仿宋" w:eastAsia="仿宋" w:cs="仿宋"/>
          <w:b/>
          <w:bCs/>
          <w:sz w:val="28"/>
          <w:szCs w:val="28"/>
          <w:highlight w:val="none"/>
        </w:rPr>
        <w:t>附件三：</w:t>
      </w:r>
    </w:p>
    <w:p w14:paraId="59DAF55A">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智慧后勤系统建设-中国计量大学东生活区道闸系统</w:t>
      </w:r>
      <w:r>
        <w:rPr>
          <w:rFonts w:hint="eastAsia" w:ascii="仿宋" w:hAnsi="仿宋" w:eastAsia="仿宋" w:cs="仿宋"/>
          <w:b/>
          <w:bCs/>
          <w:sz w:val="28"/>
          <w:szCs w:val="28"/>
          <w:highlight w:val="none"/>
        </w:rPr>
        <w:t>项目合同款项</w:t>
      </w:r>
    </w:p>
    <w:p w14:paraId="1CC5F1C6">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付款确认书</w:t>
      </w:r>
    </w:p>
    <w:p w14:paraId="4C4DF7A3">
      <w:pPr>
        <w:rPr>
          <w:rFonts w:ascii="仿宋" w:hAnsi="仿宋" w:eastAsia="仿宋" w:cs="仿宋"/>
          <w:sz w:val="28"/>
          <w:szCs w:val="28"/>
          <w:highlight w:val="none"/>
        </w:rPr>
      </w:pPr>
    </w:p>
    <w:p w14:paraId="41BE6216">
      <w:pPr>
        <w:spacing w:line="360" w:lineRule="auto"/>
        <w:rPr>
          <w:rFonts w:ascii="仿宋" w:hAnsi="仿宋" w:eastAsia="仿宋" w:cs="仿宋"/>
          <w:sz w:val="24"/>
          <w:highlight w:val="none"/>
        </w:rPr>
      </w:pPr>
      <w:r>
        <w:rPr>
          <w:rFonts w:hint="eastAsia" w:ascii="仿宋" w:hAnsi="仿宋" w:eastAsia="仿宋" w:cs="仿宋"/>
          <w:sz w:val="24"/>
          <w:highlight w:val="none"/>
        </w:rPr>
        <w:t>中国工商银行股份有限公司杭州分行：</w:t>
      </w:r>
    </w:p>
    <w:p w14:paraId="5F82E55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XXX有限公司已完成</w:t>
      </w:r>
      <w:r>
        <w:rPr>
          <w:rFonts w:hint="eastAsia" w:ascii="仿宋" w:hAnsi="仿宋" w:eastAsia="仿宋" w:cs="仿宋"/>
          <w:sz w:val="24"/>
          <w:highlight w:val="none"/>
          <w:lang w:eastAsia="zh-CN"/>
        </w:rPr>
        <w:t>智慧后勤系统建设-中国计量大学东生活区道闸系统</w:t>
      </w:r>
      <w:r>
        <w:rPr>
          <w:rFonts w:hint="eastAsia" w:ascii="仿宋" w:hAnsi="仿宋" w:eastAsia="仿宋" w:cs="仿宋"/>
          <w:sz w:val="24"/>
          <w:highlight w:val="none"/>
        </w:rPr>
        <w:t>项目合同项下全部服务，并经我方验收通过，现按合同规定，我方同意支付相应款项。请贵行将合同约定的款项即人民币：</w:t>
      </w:r>
      <w:r>
        <w:rPr>
          <w:rFonts w:hint="eastAsia" w:ascii="仿宋" w:hAnsi="仿宋" w:eastAsia="仿宋" w:cs="仿宋"/>
          <w:sz w:val="24"/>
          <w:highlight w:val="none"/>
          <w:u w:val="single"/>
        </w:rPr>
        <w:t xml:space="preserve">      \     元整</w:t>
      </w:r>
      <w:r>
        <w:rPr>
          <w:rFonts w:hint="eastAsia" w:ascii="仿宋" w:hAnsi="仿宋" w:eastAsia="仿宋" w:cs="仿宋"/>
          <w:sz w:val="24"/>
          <w:highlight w:val="none"/>
        </w:rPr>
        <w:t>汇入XXX有限公司指定账户。</w:t>
      </w:r>
    </w:p>
    <w:p w14:paraId="618C371B">
      <w:pPr>
        <w:spacing w:line="360" w:lineRule="auto"/>
        <w:ind w:firstLine="480" w:firstLineChars="200"/>
        <w:rPr>
          <w:rFonts w:ascii="仿宋" w:hAnsi="仿宋" w:eastAsia="仿宋" w:cs="仿宋"/>
          <w:sz w:val="24"/>
          <w:highlight w:val="none"/>
        </w:rPr>
      </w:pPr>
    </w:p>
    <w:p w14:paraId="185ABD8A">
      <w:pPr>
        <w:spacing w:line="360" w:lineRule="auto"/>
        <w:ind w:firstLine="480" w:firstLineChars="200"/>
        <w:rPr>
          <w:rFonts w:ascii="仿宋" w:hAnsi="仿宋" w:eastAsia="仿宋" w:cs="仿宋"/>
          <w:sz w:val="24"/>
          <w:highlight w:val="none"/>
        </w:rPr>
      </w:pPr>
    </w:p>
    <w:p w14:paraId="2AE9DD5A">
      <w:pPr>
        <w:spacing w:line="360" w:lineRule="auto"/>
        <w:ind w:firstLine="5040" w:firstLineChars="2100"/>
        <w:rPr>
          <w:rFonts w:ascii="仿宋" w:hAnsi="仿宋" w:eastAsia="仿宋" w:cs="仿宋"/>
          <w:sz w:val="24"/>
          <w:highlight w:val="none"/>
        </w:rPr>
      </w:pPr>
      <w:r>
        <w:rPr>
          <w:rFonts w:hint="eastAsia" w:ascii="仿宋" w:hAnsi="仿宋" w:eastAsia="仿宋" w:cs="仿宋"/>
          <w:sz w:val="24"/>
          <w:highlight w:val="none"/>
        </w:rPr>
        <w:t>中国计量大学（盖章）</w:t>
      </w:r>
    </w:p>
    <w:p w14:paraId="536ACAA6">
      <w:pPr>
        <w:spacing w:line="360" w:lineRule="auto"/>
        <w:ind w:firstLine="5760" w:firstLineChars="2400"/>
        <w:rPr>
          <w:rFonts w:ascii="仿宋" w:hAnsi="仿宋" w:eastAsia="仿宋" w:cs="仿宋"/>
          <w:sz w:val="24"/>
          <w:highlight w:val="none"/>
        </w:rPr>
      </w:pPr>
      <w:r>
        <w:rPr>
          <w:rFonts w:hint="eastAsia" w:ascii="仿宋" w:hAnsi="仿宋" w:eastAsia="仿宋" w:cs="仿宋"/>
          <w:sz w:val="24"/>
          <w:highlight w:val="none"/>
        </w:rPr>
        <w:t>\年\月\日</w:t>
      </w:r>
    </w:p>
    <w:p w14:paraId="026D2888">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FFE0D9">
      <w:pPr>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附件四：验收附件</w:t>
      </w:r>
    </w:p>
    <w:p w14:paraId="42D4C214">
      <w:pPr>
        <w:jc w:val="left"/>
        <w:rPr>
          <w:rFonts w:ascii="仿宋" w:hAnsi="仿宋" w:eastAsia="仿宋" w:cs="仿宋"/>
          <w:sz w:val="24"/>
          <w:highlight w:val="none"/>
        </w:rPr>
      </w:pPr>
      <w:r>
        <w:rPr>
          <w:rFonts w:hint="eastAsia" w:ascii="仿宋" w:hAnsi="仿宋" w:eastAsia="仿宋" w:cs="仿宋"/>
          <w:sz w:val="24"/>
          <w:highlight w:val="none"/>
          <w:lang w:eastAsia="zh-CN"/>
        </w:rPr>
        <w:t>智慧后勤系统建设-中国计量大学东生活区道闸系统</w:t>
      </w:r>
      <w:r>
        <w:rPr>
          <w:rFonts w:hint="eastAsia" w:ascii="仿宋" w:hAnsi="仿宋" w:eastAsia="仿宋" w:cs="仿宋"/>
          <w:sz w:val="24"/>
          <w:highlight w:val="none"/>
        </w:rPr>
        <w:t>项目——XX包含如下内容：</w:t>
      </w:r>
    </w:p>
    <w:p w14:paraId="32EF7342">
      <w:pPr>
        <w:spacing w:line="240" w:lineRule="auto"/>
        <w:jc w:val="left"/>
        <w:outlineLvl w:val="9"/>
        <w:rPr>
          <w:rFonts w:hint="eastAsia" w:ascii="仿宋" w:hAnsi="仿宋" w:eastAsia="仿宋" w:cs="仿宋"/>
          <w:b/>
          <w:sz w:val="36"/>
          <w:szCs w:val="20"/>
        </w:rPr>
      </w:pPr>
      <w:r>
        <w:rPr>
          <w:rFonts w:hint="eastAsia" w:ascii="仿宋" w:hAnsi="仿宋" w:eastAsia="仿宋" w:cs="仿宋"/>
          <w:b/>
          <w:sz w:val="36"/>
          <w:szCs w:val="20"/>
        </w:rPr>
        <w:br w:type="page"/>
      </w:r>
    </w:p>
    <w:p w14:paraId="4C25B1FC">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6"/>
      <w:bookmarkEnd w:id="397"/>
      <w:r>
        <w:rPr>
          <w:rFonts w:hint="eastAsia" w:ascii="仿宋" w:hAnsi="仿宋" w:eastAsia="仿宋" w:cs="仿宋"/>
          <w:b/>
          <w:sz w:val="36"/>
          <w:szCs w:val="20"/>
        </w:rPr>
        <w:t xml:space="preserve">  应提交的有关格式范例</w:t>
      </w:r>
    </w:p>
    <w:p w14:paraId="30F5990D">
      <w:pPr>
        <w:rPr>
          <w:rFonts w:ascii="仿宋" w:hAnsi="仿宋" w:eastAsia="仿宋" w:cs="仿宋"/>
        </w:rPr>
      </w:pPr>
    </w:p>
    <w:p w14:paraId="7B015F16">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7193E53">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12CDCEBF">
      <w:pPr>
        <w:rPr>
          <w:rFonts w:ascii="仿宋" w:hAnsi="仿宋" w:eastAsia="仿宋" w:cs="仿宋"/>
        </w:rPr>
      </w:pPr>
    </w:p>
    <w:p w14:paraId="74C4C6FC">
      <w:pPr>
        <w:snapToGrid w:val="0"/>
        <w:spacing w:line="360" w:lineRule="auto"/>
        <w:rPr>
          <w:rFonts w:ascii="仿宋" w:hAnsi="仿宋" w:eastAsia="仿宋" w:cs="仿宋"/>
          <w:sz w:val="24"/>
        </w:rPr>
      </w:pPr>
      <w:r>
        <w:rPr>
          <w:rFonts w:hint="eastAsia" w:ascii="仿宋" w:hAnsi="仿宋" w:eastAsia="仿宋" w:cs="仿宋"/>
          <w:sz w:val="24"/>
        </w:rPr>
        <w:t>（1）投标人基本情况证明材料………………………………………………（页码）</w:t>
      </w:r>
    </w:p>
    <w:p w14:paraId="77006CBE">
      <w:pPr>
        <w:snapToGrid w:val="0"/>
        <w:spacing w:line="360" w:lineRule="auto"/>
        <w:rPr>
          <w:rFonts w:hint="eastAsia" w:ascii="仿宋" w:hAnsi="仿宋" w:eastAsia="仿宋" w:cs="仿宋"/>
          <w:sz w:val="24"/>
        </w:rPr>
      </w:pPr>
      <w:r>
        <w:rPr>
          <w:rFonts w:hint="eastAsia" w:ascii="仿宋" w:hAnsi="仿宋" w:eastAsia="仿宋" w:cs="仿宋"/>
          <w:sz w:val="24"/>
        </w:rPr>
        <w:t>（2）符合参加采购活动应当具备的一般条件的承诺函……………………（页码）</w:t>
      </w:r>
    </w:p>
    <w:p w14:paraId="4914379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投标人</w:t>
      </w:r>
      <w:r>
        <w:rPr>
          <w:rFonts w:hint="eastAsia" w:ascii="仿宋" w:hAnsi="仿宋" w:eastAsia="仿宋" w:cs="仿宋"/>
          <w:sz w:val="24"/>
        </w:rPr>
        <w:t>不存在串通投标行为的承诺函…………………………………（页码）</w:t>
      </w:r>
    </w:p>
    <w:p w14:paraId="62024402">
      <w:pPr>
        <w:snapToGrid w:val="0"/>
        <w:spacing w:line="360" w:lineRule="auto"/>
        <w:rPr>
          <w:rFonts w:ascii="仿宋" w:hAnsi="仿宋" w:eastAsia="仿宋" w:cs="仿宋"/>
          <w:sz w:val="24"/>
        </w:rPr>
      </w:pPr>
    </w:p>
    <w:p w14:paraId="52E7C887">
      <w:pPr>
        <w:snapToGrid w:val="0"/>
        <w:spacing w:line="360" w:lineRule="auto"/>
        <w:rPr>
          <w:rFonts w:ascii="仿宋" w:hAnsi="仿宋" w:eastAsia="仿宋" w:cs="仿宋"/>
          <w:sz w:val="24"/>
        </w:rPr>
      </w:pPr>
    </w:p>
    <w:p w14:paraId="449D7F04">
      <w:pPr>
        <w:rPr>
          <w:rFonts w:ascii="仿宋" w:hAnsi="仿宋" w:eastAsia="仿宋" w:cs="仿宋"/>
        </w:rPr>
      </w:pPr>
    </w:p>
    <w:p w14:paraId="173079DE">
      <w:pPr>
        <w:rPr>
          <w:rFonts w:ascii="仿宋" w:hAnsi="仿宋" w:eastAsia="仿宋" w:cs="仿宋"/>
        </w:rPr>
      </w:pPr>
    </w:p>
    <w:p w14:paraId="1BD44530">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一、投标人基本情况证明材料</w:t>
      </w:r>
    </w:p>
    <w:p w14:paraId="042E4E8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符合以下情况的证明材料复印件（五选一）：</w:t>
      </w:r>
    </w:p>
    <w:p w14:paraId="440C4B5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①如投标人是企业（包括合伙企业），提供在工商部门注册的有效“企业法人营业执照”或“营业执照”；</w:t>
      </w:r>
    </w:p>
    <w:p w14:paraId="7026D24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②如投标人是事业单位，提供有效的“事业单位法人证书”；</w:t>
      </w:r>
    </w:p>
    <w:p w14:paraId="0001F35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③如投标人是非企业专业服务机构的，提供执业许可证等证明文件；</w:t>
      </w:r>
    </w:p>
    <w:p w14:paraId="75B264A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④如投标人是个体工商户，提供有效的“个体工商户营业执照”；</w:t>
      </w:r>
    </w:p>
    <w:p w14:paraId="5FF2840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⑤如投标人是自然人，提供有效的自然人身份证明（居民身份证正反面或公安机关出具的临时居民身份证正反面或港澳台胞证或护照）。</w:t>
      </w:r>
    </w:p>
    <w:p w14:paraId="71A0AD93">
      <w:pPr>
        <w:snapToGrid w:val="0"/>
        <w:spacing w:line="360" w:lineRule="auto"/>
        <w:rPr>
          <w:rFonts w:ascii="仿宋" w:hAnsi="仿宋" w:eastAsia="仿宋" w:cs="仿宋"/>
          <w:sz w:val="24"/>
        </w:rPr>
      </w:pPr>
    </w:p>
    <w:p w14:paraId="286DFAF7">
      <w:pPr>
        <w:pStyle w:val="23"/>
        <w:rPr>
          <w:rFonts w:ascii="仿宋" w:hAnsi="仿宋" w:eastAsia="仿宋" w:cs="仿宋"/>
          <w:lang w:val="en-US"/>
        </w:rPr>
      </w:pPr>
    </w:p>
    <w:p w14:paraId="55011500">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二、符合参加采购活动应当具备的一般条件的承诺函</w:t>
      </w:r>
    </w:p>
    <w:p w14:paraId="15ADEDED">
      <w:pPr>
        <w:snapToGrid w:val="0"/>
        <w:spacing w:line="440" w:lineRule="exact"/>
        <w:rPr>
          <w:rFonts w:ascii="仿宋" w:hAnsi="仿宋" w:eastAsia="仿宋" w:cs="仿宋"/>
          <w:sz w:val="24"/>
          <w:u w:val="single"/>
        </w:rPr>
      </w:pPr>
      <w:r>
        <w:rPr>
          <w:rFonts w:hint="eastAsia" w:ascii="仿宋" w:hAnsi="仿宋" w:eastAsia="仿宋" w:cs="仿宋"/>
          <w:sz w:val="24"/>
          <w:u w:val="single"/>
          <w:lang w:eastAsia="zh-CN"/>
        </w:rPr>
        <w:t>中国计量大学</w:t>
      </w:r>
      <w:r>
        <w:rPr>
          <w:rFonts w:hint="eastAsia" w:ascii="仿宋" w:hAnsi="仿宋" w:eastAsia="仿宋" w:cs="仿宋"/>
          <w:sz w:val="24"/>
          <w:u w:val="single"/>
        </w:rPr>
        <w:t>、浙江国际招投标有限公司：</w:t>
      </w:r>
    </w:p>
    <w:p w14:paraId="6386CC4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智慧后勤系统建设-中国计量大学东生活区道闸系统</w:t>
      </w:r>
      <w:r>
        <w:rPr>
          <w:rFonts w:hint="eastAsia" w:ascii="仿宋" w:hAnsi="仿宋" w:eastAsia="仿宋" w:cs="仿宋"/>
          <w:sz w:val="24"/>
          <w:u w:val="single"/>
        </w:rPr>
        <w:t>项目</w:t>
      </w:r>
      <w:r>
        <w:rPr>
          <w:rFonts w:hint="eastAsia" w:ascii="仿宋" w:hAnsi="仿宋" w:eastAsia="仿宋" w:cs="仿宋"/>
          <w:sz w:val="24"/>
        </w:rPr>
        <w:t>【项目编号：</w:t>
      </w:r>
      <w:r>
        <w:rPr>
          <w:rFonts w:hint="eastAsia" w:ascii="仿宋" w:hAnsi="仿宋" w:eastAsia="仿宋" w:cs="仿宋"/>
          <w:sz w:val="24"/>
          <w:lang w:eastAsia="zh-CN"/>
        </w:rPr>
        <w:t>ZJ-2541836</w:t>
      </w:r>
      <w:r>
        <w:rPr>
          <w:rFonts w:hint="eastAsia" w:ascii="仿宋" w:hAnsi="仿宋" w:eastAsia="仿宋" w:cs="仿宋"/>
          <w:sz w:val="24"/>
        </w:rPr>
        <w:t>】采购活动，郑重承诺：</w:t>
      </w:r>
    </w:p>
    <w:p w14:paraId="5B4D9DBA">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（一）具备采购活动的基本条件：</w:t>
      </w:r>
    </w:p>
    <w:p w14:paraId="734B8F4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2CC6E40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E6AD40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27911E8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EA3E4A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7690A08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195006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79C787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1119300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1、单位负责人为同一人或者存在直接控股、管理关系的不同投标人参加同一合同项下的采购活动的；</w:t>
      </w:r>
    </w:p>
    <w:p w14:paraId="7DC7774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D4964C2">
      <w:pPr>
        <w:snapToGrid w:val="0"/>
        <w:spacing w:line="360" w:lineRule="auto"/>
        <w:ind w:firstLine="480" w:firstLineChars="200"/>
        <w:rPr>
          <w:rFonts w:ascii="仿宋" w:hAnsi="仿宋" w:eastAsia="仿宋" w:cs="仿宋"/>
          <w:sz w:val="24"/>
        </w:rPr>
      </w:pPr>
    </w:p>
    <w:p w14:paraId="181C6D53">
      <w:pPr>
        <w:snapToGrid w:val="0"/>
        <w:spacing w:line="360" w:lineRule="auto"/>
        <w:ind w:firstLine="480" w:firstLineChars="200"/>
        <w:rPr>
          <w:rFonts w:ascii="仿宋" w:hAnsi="仿宋" w:eastAsia="仿宋" w:cs="仿宋"/>
          <w:sz w:val="24"/>
        </w:rPr>
      </w:pPr>
    </w:p>
    <w:p w14:paraId="13CAD18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投标人（盖公章）：</w:t>
      </w:r>
    </w:p>
    <w:p w14:paraId="3414F16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  年  月  日</w:t>
      </w:r>
    </w:p>
    <w:p w14:paraId="14E701DC">
      <w:pPr>
        <w:rPr>
          <w:rFonts w:hint="eastAsia" w:ascii="仿宋" w:hAnsi="仿宋" w:eastAsia="仿宋" w:cs="仿宋"/>
          <w:sz w:val="24"/>
        </w:rPr>
      </w:pPr>
      <w:r>
        <w:rPr>
          <w:rFonts w:hint="eastAsia" w:ascii="仿宋" w:hAnsi="仿宋" w:eastAsia="仿宋" w:cs="仿宋"/>
          <w:sz w:val="24"/>
        </w:rPr>
        <w:br w:type="page"/>
      </w:r>
    </w:p>
    <w:p w14:paraId="4E4D124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三、投标人不存在</w:t>
      </w:r>
      <w:r>
        <w:rPr>
          <w:rFonts w:hint="eastAsia" w:ascii="仿宋" w:hAnsi="仿宋" w:eastAsia="仿宋" w:cs="仿宋"/>
          <w:b/>
          <w:kern w:val="0"/>
          <w:sz w:val="32"/>
          <w:szCs w:val="32"/>
        </w:rPr>
        <w:t>串通投标</w:t>
      </w:r>
      <w:r>
        <w:rPr>
          <w:rFonts w:hint="eastAsia" w:ascii="仿宋" w:hAnsi="仿宋" w:eastAsia="仿宋" w:cs="仿宋"/>
          <w:b/>
          <w:kern w:val="0"/>
          <w:sz w:val="32"/>
          <w:szCs w:val="32"/>
          <w:lang w:val="en-US" w:eastAsia="zh-CN"/>
        </w:rPr>
        <w:t>行为</w:t>
      </w:r>
      <w:r>
        <w:rPr>
          <w:rFonts w:hint="eastAsia" w:ascii="仿宋" w:hAnsi="仿宋" w:eastAsia="仿宋" w:cs="仿宋"/>
          <w:b/>
          <w:kern w:val="0"/>
          <w:sz w:val="32"/>
          <w:szCs w:val="32"/>
          <w:lang w:eastAsia="zh-CN"/>
        </w:rPr>
        <w:t>的</w:t>
      </w:r>
      <w:r>
        <w:rPr>
          <w:rFonts w:hint="eastAsia" w:ascii="仿宋" w:hAnsi="仿宋" w:eastAsia="仿宋" w:cs="仿宋"/>
          <w:b/>
          <w:kern w:val="0"/>
          <w:sz w:val="32"/>
          <w:szCs w:val="32"/>
        </w:rPr>
        <w:t>承诺函</w:t>
      </w:r>
    </w:p>
    <w:p w14:paraId="184FA8F1">
      <w:pPr>
        <w:adjustRightInd w:val="0"/>
        <w:snapToGrid w:val="0"/>
        <w:spacing w:line="288" w:lineRule="auto"/>
        <w:rPr>
          <w:rFonts w:cs="Times New Roman"/>
          <w:color w:val="000000"/>
          <w:sz w:val="21"/>
          <w:szCs w:val="21"/>
          <w:shd w:val="clear" w:color="auto" w:fill="FFFFFF"/>
        </w:rPr>
      </w:pPr>
    </w:p>
    <w:p w14:paraId="54DEC413">
      <w:pPr>
        <w:adjustRightInd w:val="0"/>
        <w:snapToGrid w:val="0"/>
        <w:spacing w:line="288"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致：</w:t>
      </w:r>
      <w:r>
        <w:rPr>
          <w:rFonts w:hint="eastAsia" w:ascii="仿宋" w:hAnsi="仿宋" w:eastAsia="仿宋" w:cs="仿宋"/>
          <w:b/>
          <w:bCs/>
          <w:spacing w:val="-6"/>
          <w:sz w:val="24"/>
          <w:szCs w:val="24"/>
          <w:lang w:val="en-US" w:eastAsia="zh-CN"/>
        </w:rPr>
        <w:t>中国计量大学</w:t>
      </w:r>
      <w:r>
        <w:rPr>
          <w:rFonts w:hint="eastAsia" w:ascii="仿宋" w:hAnsi="仿宋" w:eastAsia="仿宋" w:cs="仿宋"/>
          <w:b/>
          <w:bCs/>
          <w:spacing w:val="-6"/>
          <w:sz w:val="24"/>
          <w:szCs w:val="24"/>
        </w:rPr>
        <w:t>、浙江</w:t>
      </w:r>
      <w:r>
        <w:rPr>
          <w:rFonts w:hint="eastAsia" w:ascii="仿宋" w:hAnsi="仿宋" w:eastAsia="仿宋" w:cs="仿宋"/>
          <w:b/>
          <w:bCs/>
          <w:spacing w:val="-6"/>
          <w:sz w:val="24"/>
          <w:szCs w:val="24"/>
          <w:lang w:val="en-US" w:eastAsia="zh-CN"/>
        </w:rPr>
        <w:t>国际招投标</w:t>
      </w:r>
      <w:r>
        <w:rPr>
          <w:rFonts w:hint="eastAsia" w:ascii="仿宋" w:hAnsi="仿宋" w:eastAsia="仿宋" w:cs="仿宋"/>
          <w:b/>
          <w:bCs/>
          <w:spacing w:val="-6"/>
          <w:sz w:val="24"/>
          <w:szCs w:val="24"/>
        </w:rPr>
        <w:t>有限公司</w:t>
      </w:r>
    </w:p>
    <w:p w14:paraId="0C0F3D35">
      <w:pPr>
        <w:pStyle w:val="25"/>
        <w:ind w:left="0" w:leftChars="0" w:firstLine="0" w:firstLineChars="0"/>
        <w:rPr>
          <w:rFonts w:hint="eastAsia" w:ascii="仿宋" w:hAnsi="仿宋" w:eastAsia="仿宋" w:cs="仿宋"/>
          <w:sz w:val="24"/>
          <w:szCs w:val="24"/>
        </w:rPr>
      </w:pPr>
      <w:bookmarkStart w:id="398" w:name="_Hlk97040025"/>
    </w:p>
    <w:p w14:paraId="6E8A76AF">
      <w:pPr>
        <w:adjustRightInd w:val="0"/>
        <w:snapToGrid w:val="0"/>
        <w:spacing w:line="288"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我方</w:t>
      </w:r>
      <w:r>
        <w:rPr>
          <w:rFonts w:hint="eastAsia" w:ascii="仿宋" w:hAnsi="仿宋" w:eastAsia="仿宋" w:cs="仿宋"/>
          <w:spacing w:val="-6"/>
          <w:sz w:val="24"/>
          <w:szCs w:val="24"/>
          <w:u w:val="single"/>
        </w:rPr>
        <w:t xml:space="preserve">（投标人名称）        </w:t>
      </w:r>
      <w:r>
        <w:rPr>
          <w:rFonts w:hint="eastAsia" w:ascii="仿宋" w:hAnsi="仿宋" w:eastAsia="仿宋" w:cs="仿宋"/>
          <w:spacing w:val="-6"/>
          <w:sz w:val="24"/>
          <w:szCs w:val="24"/>
        </w:rPr>
        <w:t>参加</w:t>
      </w:r>
      <w:r>
        <w:rPr>
          <w:rFonts w:hint="eastAsia" w:ascii="仿宋" w:hAnsi="仿宋" w:eastAsia="仿宋" w:cs="仿宋"/>
          <w:spacing w:val="-6"/>
          <w:sz w:val="24"/>
          <w:szCs w:val="24"/>
          <w:u w:val="single"/>
        </w:rPr>
        <w:t xml:space="preserve">（项目名称）        </w:t>
      </w:r>
      <w:r>
        <w:rPr>
          <w:rFonts w:hint="eastAsia" w:ascii="仿宋" w:hAnsi="仿宋" w:eastAsia="仿宋" w:cs="仿宋"/>
          <w:spacing w:val="-6"/>
          <w:sz w:val="24"/>
          <w:szCs w:val="24"/>
        </w:rPr>
        <w:t>项目的采购活动并承诺如下：</w:t>
      </w:r>
    </w:p>
    <w:p w14:paraId="130220A5">
      <w:pPr>
        <w:adjustRightInd w:val="0"/>
        <w:snapToGrid w:val="0"/>
        <w:spacing w:line="288" w:lineRule="auto"/>
        <w:ind w:firstLine="456" w:firstLineChars="200"/>
        <w:rPr>
          <w:rFonts w:hint="eastAsia" w:ascii="仿宋" w:hAnsi="仿宋" w:eastAsia="仿宋" w:cs="仿宋"/>
          <w:spacing w:val="-6"/>
          <w:sz w:val="24"/>
          <w:szCs w:val="24"/>
        </w:rPr>
      </w:pPr>
    </w:p>
    <w:p w14:paraId="45B9CC89">
      <w:pPr>
        <w:keepNext w:val="0"/>
        <w:keepLines w:val="0"/>
        <w:pageBreakBefore w:val="0"/>
        <w:kinsoku/>
        <w:wordWrap/>
        <w:overflowPunct/>
        <w:topLinePunct w:val="0"/>
        <w:autoSpaceDE/>
        <w:autoSpaceDN/>
        <w:bidi w:val="0"/>
        <w:adjustRightInd w:val="0"/>
        <w:snapToGrid w:val="0"/>
        <w:spacing w:line="360" w:lineRule="auto"/>
        <w:ind w:firstLine="456" w:firstLineChars="200"/>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一、我方不存在以下情形：</w:t>
      </w:r>
    </w:p>
    <w:p w14:paraId="3540201D">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（1）与其他投标人的投标文件由同一单位或者个人编制；</w:t>
      </w:r>
    </w:p>
    <w:p w14:paraId="68A242F3">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（2）与其他投标人委托同一单位或者个人办理投标事宜；</w:t>
      </w:r>
    </w:p>
    <w:p w14:paraId="3A06A6AB">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（3）与其他投标人的投标文件载明的项目管理成员或者联系人员为同一人；</w:t>
      </w:r>
    </w:p>
    <w:p w14:paraId="59B197B0">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（4）与其他投标人的投标文件异常一致或者投标报价呈规律性差异；</w:t>
      </w:r>
    </w:p>
    <w:p w14:paraId="00077D56">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（5）与其他投标人的投标文件相互混装。</w:t>
      </w:r>
    </w:p>
    <w:p w14:paraId="7C8794EA">
      <w:pPr>
        <w:keepNext w:val="0"/>
        <w:keepLines w:val="0"/>
        <w:pageBreakBefore w:val="0"/>
        <w:kinsoku/>
        <w:wordWrap/>
        <w:overflowPunct/>
        <w:topLinePunct w:val="0"/>
        <w:autoSpaceDE/>
        <w:autoSpaceDN/>
        <w:bidi w:val="0"/>
        <w:adjustRightInd w:val="0"/>
        <w:snapToGrid w:val="0"/>
        <w:spacing w:line="360" w:lineRule="auto"/>
        <w:ind w:firstLine="456" w:firstLineChars="200"/>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二、我方不存在以下情形：</w:t>
      </w:r>
    </w:p>
    <w:p w14:paraId="35E8F0BB">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（1）与其他投标人的电子投标文件上传计算机的网卡MAC地址或硬盘序列号等硬件信息相同，与其他投标人的电子投标文件上传IP地址相同；</w:t>
      </w:r>
    </w:p>
    <w:p w14:paraId="7A25091E">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w:t>
      </w:r>
      <w:r>
        <w:rPr>
          <w:rFonts w:hint="eastAsia" w:ascii="仿宋" w:hAnsi="仿宋" w:eastAsia="仿宋" w:cs="仿宋"/>
          <w:b w:val="0"/>
          <w:bCs w:val="0"/>
          <w:i w:val="0"/>
          <w:iCs w:val="0"/>
          <w:color w:val="auto"/>
          <w:sz w:val="24"/>
          <w:szCs w:val="24"/>
          <w:highlight w:val="none"/>
          <w:lang w:val="en-US" w:eastAsia="zh-CN"/>
        </w:rPr>
        <w:t>上传的电子投标文件出现使用本项目其他投标人的数字证书加密，或者加盖本项目其他投标人的电子印章；</w:t>
      </w:r>
    </w:p>
    <w:p w14:paraId="036B2779">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（3）与其他投标人的投标文件的内容存在3处（含）以上错误一致；</w:t>
      </w:r>
    </w:p>
    <w:p w14:paraId="4C23DBA4">
      <w:pPr>
        <w:keepNext w:val="0"/>
        <w:keepLines w:val="0"/>
        <w:pageBreakBefore w:val="0"/>
        <w:widowControl/>
        <w:kinsoku/>
        <w:wordWrap/>
        <w:overflowPunct/>
        <w:topLinePunct w:val="0"/>
        <w:autoSpaceDE/>
        <w:autoSpaceDN/>
        <w:bidi w:val="0"/>
        <w:adjustRightInd w:val="0"/>
        <w:snapToGrid w:val="0"/>
        <w:spacing w:line="360" w:lineRule="auto"/>
        <w:ind w:firstLine="456" w:firstLineChars="200"/>
        <w:jc w:val="left"/>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（4）与其他投标人联系人为同一人或不同联系人的联系电话一致。</w:t>
      </w:r>
    </w:p>
    <w:p w14:paraId="689A101F">
      <w:pPr>
        <w:keepNext w:val="0"/>
        <w:keepLines w:val="0"/>
        <w:pageBreakBefore w:val="0"/>
        <w:kinsoku/>
        <w:wordWrap/>
        <w:overflowPunct/>
        <w:topLinePunct w:val="0"/>
        <w:autoSpaceDE/>
        <w:autoSpaceDN/>
        <w:bidi w:val="0"/>
        <w:adjustRightInd w:val="0"/>
        <w:snapToGrid w:val="0"/>
        <w:spacing w:line="360" w:lineRule="auto"/>
        <w:ind w:firstLine="456" w:firstLineChars="200"/>
        <w:textAlignment w:val="auto"/>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三、以上事项如有虚假或隐瞒，我方愿意承担一切后果和责任。</w:t>
      </w:r>
    </w:p>
    <w:p w14:paraId="5B8438FC">
      <w:pPr>
        <w:adjustRightInd w:val="0"/>
        <w:snapToGrid w:val="0"/>
        <w:spacing w:line="288" w:lineRule="auto"/>
        <w:rPr>
          <w:rFonts w:hint="eastAsia" w:ascii="仿宋" w:hAnsi="仿宋" w:eastAsia="仿宋" w:cs="仿宋"/>
          <w:sz w:val="24"/>
          <w:szCs w:val="24"/>
        </w:rPr>
      </w:pPr>
    </w:p>
    <w:p w14:paraId="7BA1C824">
      <w:pPr>
        <w:adjustRightInd w:val="0"/>
        <w:snapToGrid w:val="0"/>
        <w:spacing w:line="288" w:lineRule="auto"/>
        <w:rPr>
          <w:rFonts w:hint="eastAsia" w:ascii="仿宋" w:hAnsi="仿宋" w:eastAsia="仿宋" w:cs="仿宋"/>
          <w:b w:val="0"/>
          <w:bCs w:val="0"/>
          <w:spacing w:val="-6"/>
          <w:sz w:val="24"/>
          <w:szCs w:val="24"/>
        </w:rPr>
      </w:pPr>
      <w:r>
        <w:rPr>
          <w:rFonts w:hint="eastAsia" w:ascii="仿宋" w:hAnsi="仿宋" w:eastAsia="仿宋" w:cs="仿宋"/>
          <w:b w:val="0"/>
          <w:bCs w:val="0"/>
          <w:spacing w:val="-6"/>
          <w:sz w:val="24"/>
          <w:szCs w:val="24"/>
        </w:rPr>
        <w:t>投标人名称：</w:t>
      </w:r>
    </w:p>
    <w:p w14:paraId="5DDCF0C0">
      <w:pPr>
        <w:adjustRightInd w:val="0"/>
        <w:snapToGrid w:val="0"/>
        <w:spacing w:line="288" w:lineRule="auto"/>
        <w:rPr>
          <w:rFonts w:hint="eastAsia" w:ascii="仿宋" w:hAnsi="仿宋" w:eastAsia="仿宋" w:cs="仿宋"/>
          <w:b/>
          <w:bCs/>
          <w:spacing w:val="-6"/>
          <w:sz w:val="24"/>
          <w:szCs w:val="24"/>
        </w:rPr>
      </w:pPr>
    </w:p>
    <w:p w14:paraId="7C2C6064">
      <w:pPr>
        <w:adjustRightInd w:val="0"/>
        <w:snapToGrid w:val="0"/>
        <w:spacing w:line="288" w:lineRule="auto"/>
        <w:rPr>
          <w:rFonts w:hint="eastAsia" w:ascii="仿宋" w:hAnsi="仿宋" w:eastAsia="仿宋" w:cs="仿宋"/>
          <w:b/>
          <w:bCs/>
          <w:spacing w:val="-6"/>
          <w:sz w:val="24"/>
          <w:szCs w:val="24"/>
        </w:rPr>
      </w:pPr>
    </w:p>
    <w:p w14:paraId="62DA5F31">
      <w:pPr>
        <w:adjustRightInd w:val="0"/>
        <w:snapToGrid w:val="0"/>
        <w:spacing w:line="288" w:lineRule="auto"/>
        <w:rPr>
          <w:rFonts w:hint="eastAsia" w:ascii="仿宋" w:hAnsi="仿宋" w:eastAsia="仿宋" w:cs="仿宋"/>
          <w:b w:val="0"/>
          <w:bCs w:val="0"/>
          <w:spacing w:val="-6"/>
          <w:sz w:val="24"/>
          <w:szCs w:val="24"/>
        </w:rPr>
      </w:pPr>
      <w:r>
        <w:rPr>
          <w:rFonts w:hint="eastAsia" w:ascii="仿宋" w:hAnsi="仿宋" w:eastAsia="仿宋" w:cs="仿宋"/>
          <w:b w:val="0"/>
          <w:bCs w:val="0"/>
          <w:spacing w:val="-6"/>
          <w:sz w:val="24"/>
          <w:szCs w:val="24"/>
        </w:rPr>
        <w:t>日期：     年   月   日</w:t>
      </w:r>
    </w:p>
    <w:bookmarkEnd w:id="398"/>
    <w:p w14:paraId="3EE073BC">
      <w:pPr>
        <w:pStyle w:val="26"/>
      </w:pPr>
    </w:p>
    <w:p w14:paraId="1F547F1C">
      <w:pPr>
        <w:snapToGrid w:val="0"/>
        <w:spacing w:line="360" w:lineRule="auto"/>
        <w:ind w:right="480"/>
        <w:jc w:val="center"/>
        <w:rPr>
          <w:rFonts w:ascii="仿宋" w:hAnsi="仿宋" w:eastAsia="仿宋" w:cs="仿宋"/>
          <w:b/>
          <w:kern w:val="0"/>
          <w:sz w:val="32"/>
          <w:szCs w:val="32"/>
        </w:rPr>
      </w:pPr>
    </w:p>
    <w:p w14:paraId="0DC8C575">
      <w:pPr>
        <w:snapToGrid w:val="0"/>
        <w:spacing w:line="360" w:lineRule="auto"/>
        <w:ind w:right="480"/>
        <w:jc w:val="center"/>
        <w:rPr>
          <w:rFonts w:ascii="仿宋" w:hAnsi="仿宋" w:eastAsia="仿宋" w:cs="仿宋"/>
          <w:b/>
          <w:kern w:val="0"/>
          <w:sz w:val="32"/>
          <w:szCs w:val="32"/>
        </w:rPr>
      </w:pPr>
    </w:p>
    <w:p w14:paraId="58431683">
      <w:pPr>
        <w:snapToGrid w:val="0"/>
        <w:spacing w:line="360" w:lineRule="auto"/>
        <w:ind w:right="480"/>
        <w:jc w:val="center"/>
        <w:rPr>
          <w:rFonts w:ascii="仿宋" w:hAnsi="仿宋" w:eastAsia="仿宋" w:cs="仿宋"/>
          <w:b/>
          <w:kern w:val="0"/>
          <w:sz w:val="32"/>
          <w:szCs w:val="32"/>
        </w:rPr>
      </w:pPr>
    </w:p>
    <w:p w14:paraId="682CE3F3">
      <w:pPr>
        <w:snapToGrid w:val="0"/>
        <w:spacing w:line="360" w:lineRule="auto"/>
        <w:ind w:right="480"/>
        <w:jc w:val="center"/>
        <w:rPr>
          <w:rFonts w:ascii="仿宋" w:hAnsi="仿宋" w:eastAsia="仿宋" w:cs="仿宋"/>
          <w:b/>
          <w:kern w:val="0"/>
          <w:sz w:val="32"/>
          <w:szCs w:val="32"/>
        </w:rPr>
      </w:pPr>
    </w:p>
    <w:p w14:paraId="1957A53E">
      <w:pPr>
        <w:rPr>
          <w:rFonts w:ascii="仿宋" w:hAnsi="仿宋" w:eastAsia="仿宋" w:cs="仿宋"/>
        </w:rPr>
      </w:pPr>
      <w:r>
        <w:rPr>
          <w:rFonts w:hint="eastAsia" w:ascii="仿宋" w:hAnsi="仿宋" w:eastAsia="仿宋" w:cs="仿宋"/>
          <w:b/>
          <w:kern w:val="0"/>
          <w:sz w:val="36"/>
          <w:szCs w:val="36"/>
        </w:rPr>
        <w:br w:type="page"/>
      </w:r>
    </w:p>
    <w:p w14:paraId="1F11E49C">
      <w:pPr>
        <w:rPr>
          <w:rFonts w:ascii="仿宋" w:hAnsi="仿宋" w:eastAsia="仿宋" w:cs="仿宋"/>
        </w:rPr>
      </w:pPr>
    </w:p>
    <w:p w14:paraId="3614DBB6">
      <w:pPr>
        <w:spacing w:line="360" w:lineRule="auto"/>
        <w:ind w:right="420"/>
        <w:jc w:val="center"/>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83A7A40">
      <w:pPr>
        <w:rPr>
          <w:rFonts w:ascii="仿宋" w:hAnsi="仿宋" w:eastAsia="仿宋" w:cs="仿宋"/>
        </w:rPr>
      </w:pPr>
    </w:p>
    <w:p w14:paraId="3368A743">
      <w:pPr>
        <w:spacing w:line="360" w:lineRule="auto"/>
        <w:jc w:val="center"/>
        <w:outlineLvl w:val="2"/>
        <w:rPr>
          <w:rFonts w:ascii="仿宋" w:hAnsi="仿宋" w:eastAsia="仿宋" w:cs="仿宋"/>
          <w:b/>
          <w:kern w:val="0"/>
          <w:sz w:val="28"/>
          <w:szCs w:val="28"/>
        </w:rPr>
      </w:pPr>
      <w:r>
        <w:rPr>
          <w:rFonts w:hint="eastAsia" w:ascii="仿宋" w:hAnsi="仿宋" w:eastAsia="仿宋" w:cs="仿宋"/>
          <w:b/>
          <w:kern w:val="0"/>
          <w:sz w:val="28"/>
          <w:szCs w:val="28"/>
        </w:rPr>
        <w:t>目录</w:t>
      </w:r>
    </w:p>
    <w:p w14:paraId="711BBD16">
      <w:pPr>
        <w:numPr>
          <w:ilvl w:val="0"/>
          <w:numId w:val="3"/>
        </w:numPr>
        <w:snapToGrid w:val="0"/>
        <w:spacing w:line="360" w:lineRule="auto"/>
        <w:ind w:left="17" w:hanging="16" w:hangingChars="7"/>
        <w:rPr>
          <w:rFonts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14:paraId="527B69CF">
      <w:pPr>
        <w:snapToGrid w:val="0"/>
        <w:spacing w:line="360" w:lineRule="auto"/>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BFB1B9D">
      <w:pPr>
        <w:snapToGrid w:val="0"/>
        <w:spacing w:line="360" w:lineRule="auto"/>
        <w:rPr>
          <w:rFonts w:ascii="仿宋" w:hAnsi="仿宋" w:eastAsia="仿宋" w:cs="仿宋"/>
        </w:rPr>
      </w:pPr>
      <w:r>
        <w:rPr>
          <w:rFonts w:hint="eastAsia" w:ascii="仿宋" w:hAnsi="仿宋" w:eastAsia="仿宋" w:cs="仿宋"/>
          <w:sz w:val="24"/>
        </w:rPr>
        <w:t>（3）评标标准相应的商务技术资料</w:t>
      </w:r>
      <w:r>
        <w:rPr>
          <w:rFonts w:hint="eastAsia" w:ascii="仿宋" w:hAnsi="仿宋" w:eastAsia="仿宋" w:cs="仿宋"/>
        </w:rPr>
        <w:t>……………………………………………………（页码）</w:t>
      </w:r>
    </w:p>
    <w:p w14:paraId="39600379">
      <w:pPr>
        <w:snapToGrid w:val="0"/>
        <w:spacing w:line="360" w:lineRule="auto"/>
        <w:rPr>
          <w:rFonts w:ascii="仿宋" w:hAnsi="仿宋" w:eastAsia="仿宋" w:cs="仿宋"/>
        </w:rPr>
      </w:pPr>
      <w:r>
        <w:rPr>
          <w:rFonts w:hint="eastAsia" w:ascii="仿宋" w:hAnsi="仿宋" w:eastAsia="仿宋" w:cs="仿宋"/>
          <w:sz w:val="24"/>
        </w:rPr>
        <w:t>（4）商务技术偏离表</w:t>
      </w:r>
      <w:r>
        <w:rPr>
          <w:rFonts w:hint="eastAsia" w:ascii="仿宋" w:hAnsi="仿宋" w:eastAsia="仿宋" w:cs="仿宋"/>
        </w:rPr>
        <w:t>………………………………………………………………………（页码）</w:t>
      </w:r>
    </w:p>
    <w:p w14:paraId="142FDD06">
      <w:pPr>
        <w:snapToGrid w:val="0"/>
        <w:spacing w:line="36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5</w:t>
      </w:r>
      <w:r>
        <w:rPr>
          <w:rFonts w:hint="eastAsia" w:ascii="仿宋" w:hAnsi="仿宋" w:eastAsia="仿宋" w:cs="仿宋"/>
          <w:sz w:val="24"/>
          <w:lang w:val="zh-CN"/>
        </w:rPr>
        <w:t>）投标人廉洁自律承诺书</w:t>
      </w:r>
      <w:r>
        <w:rPr>
          <w:rFonts w:hint="eastAsia" w:ascii="仿宋" w:hAnsi="仿宋" w:eastAsia="仿宋" w:cs="仿宋"/>
        </w:rPr>
        <w:t>………………………………………………………………（页码）</w:t>
      </w:r>
    </w:p>
    <w:p w14:paraId="2A885172">
      <w:pPr>
        <w:rPr>
          <w:rFonts w:ascii="仿宋" w:hAnsi="仿宋" w:eastAsia="仿宋" w:cs="仿宋"/>
          <w:lang w:val="zh-CN"/>
        </w:rPr>
      </w:pPr>
    </w:p>
    <w:p w14:paraId="30D28307">
      <w:pPr>
        <w:rPr>
          <w:rFonts w:ascii="仿宋" w:hAnsi="仿宋" w:eastAsia="仿宋" w:cs="仿宋"/>
          <w:lang w:val="zh-CN"/>
        </w:rPr>
      </w:pPr>
    </w:p>
    <w:p w14:paraId="2ABB2A20">
      <w:pPr>
        <w:rPr>
          <w:rFonts w:ascii="仿宋" w:hAnsi="仿宋" w:eastAsia="仿宋" w:cs="仿宋"/>
          <w:lang w:val="zh-CN"/>
        </w:rPr>
      </w:pPr>
    </w:p>
    <w:p w14:paraId="66BA0FAC">
      <w:pPr>
        <w:rPr>
          <w:rFonts w:ascii="仿宋" w:hAnsi="仿宋" w:eastAsia="仿宋" w:cs="仿宋"/>
          <w:lang w:val="zh-CN"/>
        </w:rPr>
      </w:pPr>
    </w:p>
    <w:p w14:paraId="1AC4A39C">
      <w:pPr>
        <w:rPr>
          <w:rFonts w:ascii="仿宋" w:hAnsi="仿宋" w:eastAsia="仿宋" w:cs="仿宋"/>
          <w:lang w:val="zh-CN"/>
        </w:rPr>
      </w:pPr>
    </w:p>
    <w:p w14:paraId="73DE97E2">
      <w:pPr>
        <w:rPr>
          <w:rFonts w:ascii="仿宋" w:hAnsi="仿宋" w:eastAsia="仿宋" w:cs="仿宋"/>
        </w:rPr>
      </w:pPr>
    </w:p>
    <w:p w14:paraId="4EB7619E">
      <w:pPr>
        <w:rPr>
          <w:rFonts w:ascii="仿宋" w:hAnsi="仿宋" w:eastAsia="仿宋" w:cs="仿宋"/>
        </w:rPr>
      </w:pPr>
    </w:p>
    <w:p w14:paraId="5479031B">
      <w:pPr>
        <w:rPr>
          <w:rFonts w:ascii="仿宋" w:hAnsi="仿宋" w:eastAsia="仿宋" w:cs="仿宋"/>
        </w:rPr>
      </w:pPr>
    </w:p>
    <w:p w14:paraId="1BE31911">
      <w:pPr>
        <w:rPr>
          <w:rFonts w:ascii="仿宋" w:hAnsi="仿宋" w:eastAsia="仿宋" w:cs="仿宋"/>
        </w:rPr>
      </w:pPr>
    </w:p>
    <w:p w14:paraId="5BF7BEDD">
      <w:pPr>
        <w:rPr>
          <w:rFonts w:ascii="仿宋" w:hAnsi="仿宋" w:eastAsia="仿宋" w:cs="仿宋"/>
        </w:rPr>
      </w:pPr>
    </w:p>
    <w:p w14:paraId="1BD98DCB">
      <w:pPr>
        <w:rPr>
          <w:rFonts w:ascii="仿宋" w:hAnsi="仿宋" w:eastAsia="仿宋" w:cs="仿宋"/>
        </w:rPr>
      </w:pPr>
    </w:p>
    <w:p w14:paraId="5DCF4A85">
      <w:pPr>
        <w:rPr>
          <w:rFonts w:ascii="仿宋" w:hAnsi="仿宋" w:eastAsia="仿宋" w:cs="仿宋"/>
        </w:rPr>
      </w:pPr>
    </w:p>
    <w:p w14:paraId="1431FFBB">
      <w:pPr>
        <w:rPr>
          <w:rFonts w:ascii="仿宋" w:hAnsi="仿宋" w:eastAsia="仿宋" w:cs="仿宋"/>
        </w:rPr>
      </w:pPr>
    </w:p>
    <w:p w14:paraId="3C097A83">
      <w:pPr>
        <w:rPr>
          <w:rFonts w:ascii="仿宋" w:hAnsi="仿宋" w:eastAsia="仿宋" w:cs="仿宋"/>
        </w:rPr>
      </w:pPr>
    </w:p>
    <w:p w14:paraId="7FABDA61">
      <w:pPr>
        <w:numPr>
          <w:ilvl w:val="0"/>
          <w:numId w:val="4"/>
        </w:numPr>
        <w:jc w:val="center"/>
        <w:rPr>
          <w:rFonts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1DBD1675">
      <w:pPr>
        <w:pStyle w:val="24"/>
        <w:ind w:firstLine="0" w:firstLineChars="0"/>
      </w:pPr>
    </w:p>
    <w:p w14:paraId="34244481">
      <w:pPr>
        <w:snapToGrid w:val="0"/>
        <w:spacing w:line="360" w:lineRule="auto"/>
        <w:rPr>
          <w:rFonts w:ascii="仿宋" w:hAnsi="仿宋" w:eastAsia="仿宋" w:cs="仿宋"/>
          <w:b/>
          <w:bCs/>
          <w:sz w:val="24"/>
          <w:u w:val="single"/>
        </w:rPr>
      </w:pPr>
      <w:r>
        <w:rPr>
          <w:rFonts w:hint="eastAsia" w:ascii="仿宋" w:hAnsi="仿宋" w:eastAsia="仿宋" w:cs="仿宋"/>
          <w:b/>
          <w:bCs/>
          <w:sz w:val="24"/>
          <w:u w:val="single"/>
          <w:lang w:eastAsia="zh-CN"/>
        </w:rPr>
        <w:t>中国计量大学</w:t>
      </w:r>
      <w:r>
        <w:rPr>
          <w:rFonts w:hint="eastAsia" w:ascii="仿宋" w:hAnsi="仿宋" w:eastAsia="仿宋" w:cs="仿宋"/>
          <w:b/>
          <w:bCs/>
          <w:sz w:val="24"/>
          <w:u w:val="single"/>
        </w:rPr>
        <w:t>、浙江国际招投标有限公司：</w:t>
      </w:r>
    </w:p>
    <w:p w14:paraId="1118B57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智慧后勤系统建设-中国计量大学东生活区道闸系统</w:t>
      </w:r>
      <w:r>
        <w:rPr>
          <w:rFonts w:hint="eastAsia" w:ascii="仿宋" w:hAnsi="仿宋" w:eastAsia="仿宋" w:cs="仿宋"/>
          <w:sz w:val="24"/>
          <w:u w:val="single"/>
        </w:rPr>
        <w:t>项目</w:t>
      </w:r>
      <w:r>
        <w:rPr>
          <w:rFonts w:hint="eastAsia" w:ascii="仿宋" w:hAnsi="仿宋" w:eastAsia="仿宋" w:cs="仿宋"/>
          <w:sz w:val="24"/>
        </w:rPr>
        <w:t>【项目编号：</w:t>
      </w:r>
      <w:r>
        <w:rPr>
          <w:rFonts w:hint="eastAsia" w:ascii="仿宋" w:hAnsi="仿宋" w:eastAsia="仿宋" w:cs="仿宋"/>
          <w:sz w:val="24"/>
          <w:lang w:eastAsia="zh-CN"/>
        </w:rPr>
        <w:t>ZJ-2541836</w:t>
      </w:r>
      <w:r>
        <w:rPr>
          <w:rFonts w:hint="eastAsia" w:ascii="仿宋" w:hAnsi="仿宋" w:eastAsia="仿宋" w:cs="仿宋"/>
          <w:sz w:val="24"/>
        </w:rPr>
        <w:t>】招标的有关活动，并对此项目进行投标。为此：</w:t>
      </w:r>
    </w:p>
    <w:p w14:paraId="613B2C3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71B79C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E4B2F03">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0149C95E">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2.1.1基本资格条件的证明材料;</w:t>
      </w:r>
    </w:p>
    <w:p w14:paraId="71521D7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2.1.2符合参加采购活动应当具备的一般条件的承诺函；</w:t>
      </w:r>
    </w:p>
    <w:p w14:paraId="39FA49EF">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1A2E204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1D656F7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097D801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2.2.3符合性审查资料；</w:t>
      </w:r>
    </w:p>
    <w:p w14:paraId="69E47CA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5F62D908">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2.2.5商务技术偏离表；</w:t>
      </w:r>
    </w:p>
    <w:p w14:paraId="79703C22">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采购投标人廉洁自律承诺书；</w:t>
      </w:r>
    </w:p>
    <w:p w14:paraId="4743307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7E23D8">
      <w:pPr>
        <w:snapToGrid w:val="0"/>
        <w:spacing w:line="440" w:lineRule="exact"/>
        <w:ind w:firstLine="960" w:firstLineChars="400"/>
        <w:rPr>
          <w:rFonts w:ascii="仿宋" w:hAnsi="仿宋" w:eastAsia="仿宋" w:cs="仿宋"/>
          <w:sz w:val="24"/>
        </w:rPr>
      </w:pPr>
      <w:r>
        <w:rPr>
          <w:rFonts w:hint="eastAsia" w:ascii="仿宋" w:hAnsi="仿宋" w:eastAsia="仿宋" w:cs="仿宋"/>
          <w:sz w:val="24"/>
        </w:rPr>
        <w:t>2.3.1开标一览表（报价表）；</w:t>
      </w:r>
    </w:p>
    <w:p w14:paraId="35BD3989">
      <w:pPr>
        <w:pStyle w:val="23"/>
        <w:snapToGrid w:val="0"/>
        <w:spacing w:line="440" w:lineRule="exact"/>
        <w:ind w:firstLine="960" w:firstLineChars="400"/>
        <w:rPr>
          <w:rFonts w:ascii="仿宋" w:hAnsi="仿宋" w:eastAsia="仿宋" w:cs="仿宋"/>
          <w:snapToGrid/>
          <w:szCs w:val="24"/>
          <w:lang w:val="en-US"/>
        </w:rPr>
      </w:pPr>
      <w:r>
        <w:rPr>
          <w:rFonts w:hint="eastAsia" w:ascii="仿宋" w:hAnsi="仿宋" w:eastAsia="仿宋" w:cs="仿宋"/>
          <w:snapToGrid/>
          <w:szCs w:val="24"/>
          <w:lang w:val="en-US"/>
        </w:rPr>
        <w:t>2.3.2分项报价明细表；</w:t>
      </w:r>
    </w:p>
    <w:p w14:paraId="24ACB35D">
      <w:pPr>
        <w:pStyle w:val="23"/>
        <w:snapToGrid w:val="0"/>
        <w:spacing w:line="440" w:lineRule="exact"/>
        <w:ind w:firstLine="960" w:firstLineChars="400"/>
        <w:rPr>
          <w:rFonts w:hint="default" w:ascii="仿宋" w:hAnsi="仿宋" w:eastAsia="仿宋" w:cs="仿宋"/>
          <w:snapToGrid/>
          <w:szCs w:val="24"/>
          <w:lang w:val="en-US" w:eastAsia="zh-CN"/>
        </w:rPr>
      </w:pPr>
      <w:r>
        <w:rPr>
          <w:rFonts w:hint="eastAsia" w:ascii="仿宋" w:hAnsi="仿宋" w:eastAsia="仿宋" w:cs="仿宋"/>
          <w:snapToGrid/>
          <w:szCs w:val="24"/>
          <w:lang w:val="en-US"/>
        </w:rPr>
        <w:t>2.3.3</w:t>
      </w:r>
      <w:r>
        <w:rPr>
          <w:rFonts w:hint="eastAsia" w:ascii="仿宋" w:hAnsi="仿宋" w:eastAsia="仿宋" w:cs="仿宋"/>
          <w:snapToGrid/>
          <w:szCs w:val="24"/>
          <w:lang w:val="en-US" w:eastAsia="zh-CN"/>
        </w:rPr>
        <w:t>中小企业声明函（如有）</w:t>
      </w:r>
      <w:r>
        <w:rPr>
          <w:rFonts w:hint="eastAsia" w:ascii="仿宋" w:hAnsi="仿宋" w:eastAsia="仿宋" w:cs="仿宋"/>
          <w:snapToGrid/>
          <w:szCs w:val="24"/>
          <w:lang w:val="en-US"/>
        </w:rPr>
        <w:t>；</w:t>
      </w:r>
    </w:p>
    <w:p w14:paraId="5907CB35">
      <w:pPr>
        <w:pStyle w:val="23"/>
        <w:snapToGrid w:val="0"/>
        <w:spacing w:line="440" w:lineRule="exact"/>
        <w:ind w:firstLine="960" w:firstLineChars="400"/>
        <w:rPr>
          <w:rFonts w:ascii="仿宋" w:hAnsi="仿宋" w:eastAsia="仿宋" w:cs="仿宋"/>
          <w:snapToGrid/>
          <w:szCs w:val="24"/>
          <w:lang w:val="en-US"/>
        </w:rPr>
      </w:pPr>
      <w:r>
        <w:rPr>
          <w:rFonts w:hint="eastAsia" w:ascii="仿宋" w:hAnsi="仿宋" w:eastAsia="仿宋" w:cs="仿宋"/>
          <w:snapToGrid/>
          <w:szCs w:val="24"/>
          <w:lang w:val="en-US"/>
        </w:rPr>
        <w:t>2.3.</w:t>
      </w:r>
      <w:r>
        <w:rPr>
          <w:rFonts w:hint="eastAsia" w:ascii="仿宋" w:hAnsi="仿宋" w:eastAsia="仿宋" w:cs="仿宋"/>
          <w:snapToGrid/>
          <w:szCs w:val="24"/>
          <w:lang w:val="en-US" w:eastAsia="zh-CN"/>
        </w:rPr>
        <w:t>4</w:t>
      </w:r>
      <w:r>
        <w:rPr>
          <w:rFonts w:hint="eastAsia" w:ascii="仿宋" w:hAnsi="仿宋" w:eastAsia="仿宋" w:cs="仿宋"/>
          <w:snapToGrid/>
          <w:szCs w:val="24"/>
          <w:lang w:val="en-US"/>
        </w:rPr>
        <w:t>中标服务费支付承诺书。</w:t>
      </w:r>
    </w:p>
    <w:p w14:paraId="64B63B71">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0F3A0B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7515A6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3BD0C50">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F0093B9">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r>
        <w:rPr>
          <w:rFonts w:hint="eastAsia" w:ascii="仿宋" w:hAnsi="仿宋" w:eastAsia="仿宋" w:cs="仿宋"/>
          <w:sz w:val="24"/>
          <w:lang w:eastAsia="zh-CN"/>
        </w:rPr>
        <w:t>（本项目不适用）</w:t>
      </w:r>
      <w:r>
        <w:rPr>
          <w:rFonts w:hint="eastAsia" w:ascii="仿宋" w:hAnsi="仿宋" w:eastAsia="仿宋" w:cs="仿宋"/>
          <w:sz w:val="24"/>
        </w:rPr>
        <w:t xml:space="preserve">； </w:t>
      </w:r>
    </w:p>
    <w:p w14:paraId="70AE6718">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0B4E8B0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5、其他补充说明:。</w:t>
      </w:r>
    </w:p>
    <w:p w14:paraId="6083B440">
      <w:pPr>
        <w:snapToGrid w:val="0"/>
        <w:spacing w:line="360" w:lineRule="auto"/>
        <w:ind w:firstLine="480" w:firstLineChars="200"/>
        <w:rPr>
          <w:rFonts w:ascii="仿宋" w:hAnsi="仿宋" w:eastAsia="仿宋" w:cs="仿宋"/>
          <w:sz w:val="24"/>
        </w:rPr>
      </w:pPr>
    </w:p>
    <w:p w14:paraId="0DE109E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投标人（盖公章）：</w:t>
      </w:r>
    </w:p>
    <w:p w14:paraId="6203359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14:paraId="39EF9D09">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7ADE599">
      <w:pPr>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9A4596E">
      <w:pPr>
        <w:snapToGrid w:val="0"/>
        <w:spacing w:line="360" w:lineRule="auto"/>
        <w:rPr>
          <w:rFonts w:ascii="仿宋" w:hAnsi="仿宋" w:eastAsia="仿宋" w:cs="仿宋"/>
          <w:sz w:val="24"/>
        </w:rPr>
      </w:pPr>
    </w:p>
    <w:p w14:paraId="560D4FF7">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w:t>
      </w:r>
    </w:p>
    <w:p w14:paraId="0070F632">
      <w:pPr>
        <w:snapToGrid w:val="0"/>
        <w:spacing w:line="360" w:lineRule="auto"/>
        <w:rPr>
          <w:rFonts w:ascii="仿宋" w:hAnsi="仿宋" w:eastAsia="仿宋" w:cs="仿宋"/>
          <w:b/>
          <w:bCs/>
          <w:kern w:val="0"/>
          <w:sz w:val="24"/>
          <w:u w:val="single"/>
        </w:rPr>
      </w:pPr>
      <w:r>
        <w:rPr>
          <w:rFonts w:hint="eastAsia" w:ascii="仿宋" w:hAnsi="仿宋" w:eastAsia="仿宋" w:cs="仿宋"/>
          <w:b/>
          <w:bCs/>
          <w:sz w:val="24"/>
          <w:u w:val="single"/>
          <w:lang w:eastAsia="zh-CN"/>
        </w:rPr>
        <w:t>中国计量大学</w:t>
      </w:r>
      <w:r>
        <w:rPr>
          <w:rFonts w:hint="eastAsia" w:ascii="仿宋" w:hAnsi="仿宋" w:eastAsia="仿宋" w:cs="仿宋"/>
          <w:b/>
          <w:bCs/>
          <w:sz w:val="24"/>
          <w:u w:val="single"/>
        </w:rPr>
        <w:t>、浙江国际招投标有限公司</w:t>
      </w:r>
      <w:r>
        <w:rPr>
          <w:rFonts w:hint="eastAsia" w:ascii="仿宋" w:hAnsi="仿宋" w:eastAsia="仿宋" w:cs="仿宋"/>
          <w:b/>
          <w:bCs/>
          <w:kern w:val="0"/>
          <w:sz w:val="24"/>
          <w:u w:val="single"/>
          <w:lang w:val="zh-CN"/>
        </w:rPr>
        <w:t>：</w:t>
      </w:r>
    </w:p>
    <w:p w14:paraId="59FF8C9B">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智慧后勤系统建设-中国计量大学东生活区道闸系统</w:t>
      </w:r>
      <w:r>
        <w:rPr>
          <w:rFonts w:hint="eastAsia" w:ascii="仿宋" w:hAnsi="仿宋" w:eastAsia="仿宋" w:cs="仿宋"/>
          <w:sz w:val="24"/>
          <w:u w:val="single"/>
        </w:rPr>
        <w:t>项目</w:t>
      </w:r>
      <w:r>
        <w:rPr>
          <w:rFonts w:hint="eastAsia" w:ascii="仿宋" w:hAnsi="仿宋" w:eastAsia="仿宋" w:cs="仿宋"/>
          <w:sz w:val="24"/>
        </w:rPr>
        <w:t>【项目编号：</w:t>
      </w:r>
      <w:r>
        <w:rPr>
          <w:rFonts w:hint="eastAsia" w:ascii="仿宋" w:hAnsi="仿宋" w:eastAsia="仿宋" w:cs="仿宋"/>
          <w:sz w:val="24"/>
          <w:lang w:eastAsia="zh-CN"/>
        </w:rPr>
        <w:t>ZJ-2541836</w:t>
      </w:r>
      <w:r>
        <w:rPr>
          <w:rFonts w:hint="eastAsia" w:ascii="仿宋" w:hAnsi="仿宋" w:eastAsia="仿宋" w:cs="仿宋"/>
          <w:sz w:val="24"/>
        </w:rPr>
        <w:t>】</w:t>
      </w:r>
      <w:r>
        <w:rPr>
          <w:rFonts w:hint="eastAsia" w:ascii="仿宋" w:hAnsi="仿宋" w:eastAsia="仿宋" w:cs="仿宋"/>
          <w:kern w:val="0"/>
          <w:sz w:val="24"/>
          <w:lang w:val="zh-CN"/>
        </w:rPr>
        <w:t>投标的一切事项，其法律后果由我方承担。</w:t>
      </w:r>
    </w:p>
    <w:p w14:paraId="122AD32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自【】年【】月【】日起至自【】年【】月【】日止。</w:t>
      </w:r>
    </w:p>
    <w:p w14:paraId="30252E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特此告知。</w:t>
      </w:r>
    </w:p>
    <w:p w14:paraId="054D46E2">
      <w:pPr>
        <w:snapToGrid w:val="0"/>
        <w:spacing w:line="360" w:lineRule="auto"/>
        <w:rPr>
          <w:rFonts w:hint="eastAsia" w:ascii="仿宋" w:hAnsi="仿宋" w:eastAsia="仿宋" w:cs="仿宋"/>
          <w:kern w:val="0"/>
          <w:sz w:val="24"/>
          <w:lang w:val="zh-CN"/>
        </w:rPr>
      </w:pPr>
    </w:p>
    <w:p w14:paraId="6B2FB9B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投标人（盖公章）：</w:t>
      </w:r>
    </w:p>
    <w:p w14:paraId="333875C5">
      <w:pPr>
        <w:snapToGrid w:val="0"/>
        <w:spacing w:line="360" w:lineRule="auto"/>
        <w:ind w:firstLine="480" w:firstLineChars="200"/>
        <w:rPr>
          <w:rFonts w:hint="eastAsia" w:ascii="仿宋" w:hAnsi="仿宋" w:eastAsia="仿宋" w:cs="仿宋"/>
          <w:sz w:val="24"/>
        </w:rPr>
      </w:pPr>
    </w:p>
    <w:p w14:paraId="0DFFBC5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14:paraId="35123ED6">
      <w:pPr>
        <w:pStyle w:val="23"/>
        <w:rPr>
          <w:rFonts w:ascii="仿宋" w:hAnsi="仿宋" w:eastAsia="仿宋" w:cs="仿宋"/>
          <w:bCs/>
          <w:szCs w:val="24"/>
        </w:rPr>
      </w:pPr>
    </w:p>
    <w:p w14:paraId="6B7339E9">
      <w:pPr>
        <w:pStyle w:val="23"/>
        <w:rPr>
          <w:rFonts w:ascii="仿宋" w:hAnsi="仿宋" w:eastAsia="仿宋" w:cs="仿宋"/>
          <w:bCs/>
          <w:szCs w:val="24"/>
        </w:rPr>
      </w:pPr>
    </w:p>
    <w:p w14:paraId="060BC4D0">
      <w:pPr>
        <w:pStyle w:val="23"/>
        <w:rPr>
          <w:rFonts w:ascii="仿宋" w:hAnsi="仿宋" w:eastAsia="仿宋" w:cs="仿宋"/>
          <w:bCs/>
          <w:szCs w:val="24"/>
        </w:rPr>
      </w:pPr>
      <w:r>
        <w:rPr>
          <w:rFonts w:hint="eastAsia" w:ascii="仿宋" w:hAnsi="仿宋" w:eastAsia="仿宋" w:cs="仿宋"/>
          <w:bCs/>
          <w:szCs w:val="24"/>
          <w:lang w:val="en-US"/>
        </w:rPr>
        <w:t>附：授权代表</w:t>
      </w:r>
      <w:r>
        <w:rPr>
          <w:rFonts w:hint="eastAsia" w:ascii="仿宋" w:hAnsi="仿宋" w:eastAsia="仿宋" w:cs="仿宋"/>
        </w:rPr>
        <w:t>近</w:t>
      </w:r>
      <w:r>
        <w:rPr>
          <w:rFonts w:hint="eastAsia" w:ascii="仿宋" w:hAnsi="仿宋" w:eastAsia="仿宋" w:cs="仿宋"/>
          <w:lang w:val="en-US"/>
        </w:rPr>
        <w:t>三</w:t>
      </w:r>
      <w:r>
        <w:rPr>
          <w:rFonts w:hint="eastAsia" w:ascii="仿宋" w:hAnsi="仿宋" w:eastAsia="仿宋" w:cs="仿宋"/>
        </w:rPr>
        <w:t>个月</w:t>
      </w:r>
      <w:r>
        <w:rPr>
          <w:rFonts w:hint="eastAsia" w:ascii="仿宋" w:hAnsi="仿宋" w:eastAsia="仿宋" w:cs="仿宋"/>
          <w:lang w:val="en-US"/>
        </w:rPr>
        <w:t>内任一个月</w:t>
      </w:r>
      <w:r>
        <w:rPr>
          <w:rFonts w:hint="eastAsia" w:ascii="仿宋" w:hAnsi="仿宋" w:eastAsia="仿宋" w:cs="仿宋"/>
        </w:rPr>
        <w:t>的社保清单和授权代表身份证复印件</w:t>
      </w:r>
      <w:r>
        <w:rPr>
          <w:rFonts w:hint="eastAsia" w:ascii="仿宋" w:hAnsi="仿宋" w:eastAsia="仿宋" w:cs="仿宋"/>
          <w:bCs/>
          <w:szCs w:val="24"/>
        </w:rPr>
        <w:t>。</w:t>
      </w:r>
    </w:p>
    <w:p w14:paraId="6FF57613">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463911D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45778ED">
      <w:pPr>
        <w:pStyle w:val="18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2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0AE82C">
            <w:pPr>
              <w:pStyle w:val="185"/>
              <w:adjustRightInd w:val="0"/>
              <w:spacing w:line="360" w:lineRule="auto"/>
              <w:rPr>
                <w:rFonts w:ascii="仿宋" w:hAnsi="仿宋" w:eastAsia="仿宋" w:cs="仿宋"/>
                <w:bCs/>
                <w:sz w:val="24"/>
              </w:rPr>
            </w:pPr>
            <w:r>
              <w:rPr>
                <w:rFonts w:hint="eastAsia" w:ascii="仿宋" w:hAnsi="仿宋" w:eastAsia="仿宋" w:cs="仿宋"/>
                <w:bCs/>
                <w:sz w:val="24"/>
              </w:rPr>
              <w:t>正面：</w:t>
            </w:r>
          </w:p>
          <w:p w14:paraId="43876262">
            <w:pPr>
              <w:pStyle w:val="185"/>
              <w:adjustRightInd w:val="0"/>
              <w:spacing w:line="360" w:lineRule="auto"/>
              <w:rPr>
                <w:rFonts w:ascii="仿宋" w:hAnsi="仿宋" w:eastAsia="仿宋" w:cs="仿宋"/>
                <w:bCs/>
                <w:sz w:val="24"/>
              </w:rPr>
            </w:pPr>
          </w:p>
          <w:p w14:paraId="3704B1AE">
            <w:pPr>
              <w:pStyle w:val="185"/>
              <w:adjustRightInd w:val="0"/>
              <w:spacing w:line="360" w:lineRule="auto"/>
              <w:rPr>
                <w:rFonts w:ascii="仿宋" w:hAnsi="仿宋" w:eastAsia="仿宋" w:cs="仿宋"/>
                <w:bCs/>
                <w:sz w:val="24"/>
              </w:rPr>
            </w:pPr>
          </w:p>
          <w:p w14:paraId="577330F3">
            <w:pPr>
              <w:pStyle w:val="185"/>
              <w:adjustRightInd w:val="0"/>
              <w:spacing w:line="360" w:lineRule="auto"/>
              <w:rPr>
                <w:rFonts w:ascii="仿宋" w:hAnsi="仿宋" w:eastAsia="仿宋" w:cs="仿宋"/>
                <w:bCs/>
                <w:sz w:val="24"/>
              </w:rPr>
            </w:pPr>
          </w:p>
          <w:p w14:paraId="362FDEFD">
            <w:pPr>
              <w:pStyle w:val="185"/>
              <w:adjustRightInd w:val="0"/>
              <w:spacing w:line="360" w:lineRule="auto"/>
              <w:rPr>
                <w:rFonts w:ascii="仿宋" w:hAnsi="仿宋" w:eastAsia="仿宋" w:cs="仿宋"/>
                <w:bCs/>
                <w:sz w:val="24"/>
              </w:rPr>
            </w:pPr>
          </w:p>
          <w:p w14:paraId="558B1BC9">
            <w:pPr>
              <w:pStyle w:val="185"/>
              <w:adjustRightInd w:val="0"/>
              <w:spacing w:line="360" w:lineRule="auto"/>
              <w:rPr>
                <w:rFonts w:ascii="仿宋" w:hAnsi="仿宋" w:eastAsia="仿宋" w:cs="仿宋"/>
                <w:bCs/>
                <w:sz w:val="24"/>
              </w:rPr>
            </w:pPr>
            <w:r>
              <w:rPr>
                <w:rFonts w:hint="eastAsia" w:ascii="仿宋" w:hAnsi="仿宋" w:eastAsia="仿宋" w:cs="仿宋"/>
                <w:bCs/>
                <w:sz w:val="24"/>
              </w:rPr>
              <w:t>反面：</w:t>
            </w:r>
          </w:p>
          <w:p w14:paraId="64EC2DE4">
            <w:pPr>
              <w:pStyle w:val="185"/>
              <w:adjustRightInd w:val="0"/>
              <w:spacing w:line="360" w:lineRule="auto"/>
              <w:rPr>
                <w:rFonts w:ascii="仿宋" w:hAnsi="仿宋" w:eastAsia="仿宋" w:cs="仿宋"/>
                <w:bCs/>
                <w:sz w:val="24"/>
              </w:rPr>
            </w:pPr>
          </w:p>
        </w:tc>
      </w:tr>
    </w:tbl>
    <w:p w14:paraId="0C7E4619">
      <w:pPr>
        <w:snapToGrid w:val="0"/>
        <w:spacing w:line="360" w:lineRule="auto"/>
        <w:ind w:firstLine="576"/>
        <w:jc w:val="center"/>
        <w:rPr>
          <w:rFonts w:ascii="仿宋" w:hAnsi="仿宋" w:eastAsia="仿宋" w:cs="仿宋"/>
          <w:kern w:val="0"/>
          <w:sz w:val="24"/>
          <w:lang w:val="zh-CN"/>
        </w:rPr>
      </w:pPr>
    </w:p>
    <w:p w14:paraId="1B225B5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投标人（盖公章）：</w:t>
      </w:r>
    </w:p>
    <w:p w14:paraId="4D273432">
      <w:pPr>
        <w:snapToGrid w:val="0"/>
        <w:spacing w:line="360" w:lineRule="auto"/>
        <w:ind w:firstLine="480" w:firstLineChars="200"/>
        <w:rPr>
          <w:rFonts w:ascii="仿宋" w:hAnsi="仿宋" w:eastAsia="仿宋" w:cs="仿宋"/>
          <w:sz w:val="24"/>
        </w:rPr>
      </w:pPr>
    </w:p>
    <w:p w14:paraId="47128E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14:paraId="4F595A27">
      <w:pPr>
        <w:pStyle w:val="24"/>
        <w:rPr>
          <w:rFonts w:ascii="仿宋" w:hAnsi="仿宋" w:eastAsia="仿宋" w:cs="仿宋"/>
        </w:rPr>
      </w:pPr>
    </w:p>
    <w:p w14:paraId="49A154D3">
      <w:pPr>
        <w:rPr>
          <w:rFonts w:ascii="仿宋" w:hAnsi="仿宋" w:eastAsia="仿宋" w:cs="仿宋"/>
          <w:sz w:val="24"/>
        </w:rPr>
      </w:pPr>
    </w:p>
    <w:p w14:paraId="62960078">
      <w:pPr>
        <w:pStyle w:val="24"/>
      </w:pPr>
      <w:r>
        <w:rPr>
          <w:rFonts w:hint="eastAsia" w:ascii="仿宋" w:hAnsi="仿宋" w:eastAsia="仿宋" w:cs="仿宋"/>
        </w:rPr>
        <w:t>授权代表至投标截止时间的前3个月内任一个月的社保缴纳证明</w:t>
      </w:r>
      <w:r>
        <w:rPr>
          <w:rFonts w:hint="eastAsia" w:ascii="仿宋" w:hAnsi="仿宋" w:eastAsia="仿宋" w:cs="仿宋"/>
          <w:b/>
          <w:bCs/>
        </w:rPr>
        <w:t>(特别提醒：要求授权代表为投标人本单位员工。)</w:t>
      </w:r>
    </w:p>
    <w:p w14:paraId="5552A145">
      <w:pPr>
        <w:jc w:val="center"/>
        <w:outlineLvl w:val="2"/>
        <w:rPr>
          <w:rFonts w:ascii="仿宋" w:hAnsi="仿宋" w:eastAsia="仿宋" w:cs="仿宋"/>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三、评标标准相应的商务技术资料</w:t>
      </w:r>
    </w:p>
    <w:p w14:paraId="5D61603A">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3849C52">
      <w:pPr>
        <w:spacing w:beforeLines="50" w:afterLines="50" w:line="360" w:lineRule="auto"/>
        <w:jc w:val="center"/>
        <w:rPr>
          <w:rFonts w:ascii="仿宋" w:hAnsi="仿宋" w:eastAsia="仿宋" w:cs="仿宋"/>
          <w:b/>
          <w:sz w:val="32"/>
          <w:szCs w:val="32"/>
        </w:rPr>
      </w:pPr>
      <w:r>
        <w:rPr>
          <w:rFonts w:hint="eastAsia" w:ascii="仿宋" w:hAnsi="仿宋" w:eastAsia="仿宋" w:cs="仿宋"/>
          <w:b/>
          <w:sz w:val="32"/>
          <w:szCs w:val="32"/>
        </w:rPr>
        <w:t>技术响应表</w:t>
      </w:r>
    </w:p>
    <w:tbl>
      <w:tblPr>
        <w:tblStyle w:val="62"/>
        <w:tblW w:w="9085" w:type="dxa"/>
        <w:tblInd w:w="0" w:type="dxa"/>
        <w:tblLayout w:type="fixed"/>
        <w:tblCellMar>
          <w:top w:w="0" w:type="dxa"/>
          <w:left w:w="108" w:type="dxa"/>
          <w:bottom w:w="0" w:type="dxa"/>
          <w:right w:w="108" w:type="dxa"/>
        </w:tblCellMar>
      </w:tblPr>
      <w:tblGrid>
        <w:gridCol w:w="648"/>
        <w:gridCol w:w="3374"/>
        <w:gridCol w:w="3670"/>
        <w:gridCol w:w="1393"/>
      </w:tblGrid>
      <w:tr w14:paraId="47FA8083">
        <w:tblPrEx>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14:paraId="5B253E65">
            <w:pPr>
              <w:jc w:val="center"/>
              <w:rPr>
                <w:rFonts w:ascii="仿宋" w:hAnsi="仿宋" w:eastAsia="仿宋" w:cs="仿宋"/>
                <w:color w:val="000000"/>
                <w:szCs w:val="21"/>
              </w:rPr>
            </w:pPr>
            <w:r>
              <w:rPr>
                <w:rFonts w:hint="eastAsia" w:ascii="仿宋" w:hAnsi="仿宋" w:eastAsia="仿宋" w:cs="仿宋"/>
                <w:color w:val="000000"/>
                <w:szCs w:val="21"/>
              </w:rPr>
              <w:t>序号</w:t>
            </w:r>
          </w:p>
        </w:tc>
        <w:tc>
          <w:tcPr>
            <w:tcW w:w="3374" w:type="dxa"/>
            <w:tcBorders>
              <w:top w:val="single" w:color="auto" w:sz="4" w:space="0"/>
              <w:left w:val="nil"/>
              <w:bottom w:val="single" w:color="auto" w:sz="4" w:space="0"/>
              <w:right w:val="single" w:color="auto" w:sz="4" w:space="0"/>
            </w:tcBorders>
            <w:vAlign w:val="center"/>
          </w:tcPr>
          <w:p w14:paraId="1F8016EC">
            <w:pPr>
              <w:jc w:val="center"/>
              <w:rPr>
                <w:rFonts w:ascii="仿宋" w:hAnsi="仿宋" w:eastAsia="仿宋" w:cs="仿宋"/>
                <w:color w:val="000000"/>
                <w:szCs w:val="21"/>
              </w:rPr>
            </w:pPr>
            <w:r>
              <w:rPr>
                <w:rFonts w:hint="eastAsia" w:ascii="仿宋" w:hAnsi="仿宋" w:eastAsia="仿宋" w:cs="仿宋"/>
                <w:color w:val="000000"/>
                <w:szCs w:val="21"/>
              </w:rPr>
              <w:t>招标文件技术要求</w:t>
            </w:r>
          </w:p>
        </w:tc>
        <w:tc>
          <w:tcPr>
            <w:tcW w:w="3670" w:type="dxa"/>
            <w:tcBorders>
              <w:top w:val="single" w:color="auto" w:sz="4" w:space="0"/>
              <w:left w:val="nil"/>
              <w:bottom w:val="nil"/>
              <w:right w:val="single" w:color="auto" w:sz="4" w:space="0"/>
            </w:tcBorders>
            <w:vAlign w:val="center"/>
          </w:tcPr>
          <w:p w14:paraId="4D023D4E">
            <w:pPr>
              <w:jc w:val="center"/>
              <w:rPr>
                <w:rFonts w:ascii="仿宋" w:hAnsi="仿宋" w:eastAsia="仿宋" w:cs="仿宋"/>
                <w:color w:val="000000"/>
                <w:szCs w:val="21"/>
              </w:rPr>
            </w:pPr>
            <w:r>
              <w:rPr>
                <w:rFonts w:hint="eastAsia" w:ascii="仿宋" w:hAnsi="仿宋" w:eastAsia="仿宋" w:cs="仿宋"/>
                <w:color w:val="000000"/>
                <w:szCs w:val="21"/>
              </w:rPr>
              <w:t>响应技术参数</w:t>
            </w:r>
          </w:p>
        </w:tc>
        <w:tc>
          <w:tcPr>
            <w:tcW w:w="1393" w:type="dxa"/>
            <w:tcBorders>
              <w:top w:val="single" w:color="auto" w:sz="4" w:space="0"/>
              <w:left w:val="nil"/>
              <w:bottom w:val="nil"/>
              <w:right w:val="single" w:color="auto" w:sz="4" w:space="0"/>
            </w:tcBorders>
            <w:vAlign w:val="center"/>
          </w:tcPr>
          <w:p w14:paraId="4566C1B4">
            <w:pPr>
              <w:jc w:val="center"/>
              <w:rPr>
                <w:rFonts w:ascii="仿宋" w:hAnsi="仿宋" w:eastAsia="仿宋" w:cs="仿宋"/>
                <w:color w:val="000000"/>
                <w:szCs w:val="21"/>
              </w:rPr>
            </w:pPr>
            <w:r>
              <w:rPr>
                <w:rFonts w:hint="eastAsia" w:ascii="仿宋" w:hAnsi="仿宋" w:eastAsia="仿宋" w:cs="仿宋"/>
                <w:color w:val="000000"/>
                <w:szCs w:val="21"/>
              </w:rPr>
              <w:t>正偏离或负偏离或响应</w:t>
            </w:r>
          </w:p>
        </w:tc>
      </w:tr>
      <w:tr w14:paraId="5A31E143">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14:paraId="6153F78D">
            <w:pPr>
              <w:numPr>
                <w:ilvl w:val="0"/>
                <w:numId w:val="5"/>
              </w:numPr>
              <w:spacing w:line="360" w:lineRule="auto"/>
              <w:jc w:val="center"/>
              <w:rPr>
                <w:rFonts w:ascii="仿宋" w:hAnsi="仿宋" w:eastAsia="仿宋" w:cs="仿宋"/>
                <w:color w:val="000000"/>
                <w:szCs w:val="21"/>
              </w:rPr>
            </w:pPr>
          </w:p>
        </w:tc>
        <w:tc>
          <w:tcPr>
            <w:tcW w:w="3374" w:type="dxa"/>
            <w:tcBorders>
              <w:top w:val="single" w:color="auto" w:sz="4" w:space="0"/>
              <w:left w:val="nil"/>
              <w:bottom w:val="single" w:color="auto" w:sz="4" w:space="0"/>
              <w:right w:val="single" w:color="auto" w:sz="4" w:space="0"/>
            </w:tcBorders>
            <w:vAlign w:val="center"/>
          </w:tcPr>
          <w:p w14:paraId="484034AA">
            <w:pPr>
              <w:spacing w:line="360" w:lineRule="auto"/>
              <w:jc w:val="center"/>
              <w:rPr>
                <w:rFonts w:ascii="仿宋" w:hAnsi="仿宋" w:eastAsia="仿宋" w:cs="仿宋"/>
                <w:color w:val="000000"/>
                <w:szCs w:val="21"/>
              </w:rPr>
            </w:pPr>
          </w:p>
        </w:tc>
        <w:tc>
          <w:tcPr>
            <w:tcW w:w="3670" w:type="dxa"/>
            <w:tcBorders>
              <w:top w:val="single" w:color="auto" w:sz="4" w:space="0"/>
              <w:left w:val="nil"/>
              <w:bottom w:val="single" w:color="auto" w:sz="4" w:space="0"/>
              <w:right w:val="single" w:color="auto" w:sz="4" w:space="0"/>
            </w:tcBorders>
            <w:vAlign w:val="center"/>
          </w:tcPr>
          <w:p w14:paraId="674D10EF">
            <w:pPr>
              <w:spacing w:line="360" w:lineRule="auto"/>
              <w:jc w:val="center"/>
              <w:rPr>
                <w:rFonts w:ascii="仿宋" w:hAnsi="仿宋" w:eastAsia="仿宋" w:cs="仿宋"/>
                <w:color w:val="000000"/>
                <w:szCs w:val="21"/>
              </w:rPr>
            </w:pPr>
          </w:p>
        </w:tc>
        <w:tc>
          <w:tcPr>
            <w:tcW w:w="1393" w:type="dxa"/>
            <w:tcBorders>
              <w:top w:val="single" w:color="auto" w:sz="4" w:space="0"/>
              <w:left w:val="nil"/>
              <w:bottom w:val="single" w:color="auto" w:sz="4" w:space="0"/>
              <w:right w:val="single" w:color="auto" w:sz="4" w:space="0"/>
            </w:tcBorders>
            <w:vAlign w:val="center"/>
          </w:tcPr>
          <w:p w14:paraId="2F70793A">
            <w:pPr>
              <w:spacing w:line="360" w:lineRule="auto"/>
              <w:jc w:val="center"/>
              <w:rPr>
                <w:rFonts w:ascii="仿宋" w:hAnsi="仿宋" w:eastAsia="仿宋" w:cs="仿宋"/>
                <w:color w:val="000000"/>
                <w:szCs w:val="21"/>
              </w:rPr>
            </w:pPr>
          </w:p>
        </w:tc>
      </w:tr>
      <w:tr w14:paraId="38DABA1A">
        <w:tblPrEx>
          <w:tblCellMar>
            <w:top w:w="0" w:type="dxa"/>
            <w:left w:w="108" w:type="dxa"/>
            <w:bottom w:w="0" w:type="dxa"/>
            <w:right w:w="108" w:type="dxa"/>
          </w:tblCellMar>
        </w:tblPrEx>
        <w:trPr>
          <w:cantSplit/>
          <w:trHeight w:val="360" w:hRule="atLeast"/>
        </w:trPr>
        <w:tc>
          <w:tcPr>
            <w:tcW w:w="648" w:type="dxa"/>
            <w:tcBorders>
              <w:top w:val="single" w:color="auto" w:sz="4" w:space="0"/>
              <w:left w:val="single" w:color="auto" w:sz="4" w:space="0"/>
              <w:bottom w:val="single" w:color="auto" w:sz="4" w:space="0"/>
              <w:right w:val="single" w:color="auto" w:sz="4" w:space="0"/>
            </w:tcBorders>
            <w:vAlign w:val="center"/>
          </w:tcPr>
          <w:p w14:paraId="2ACE7F7D">
            <w:pPr>
              <w:numPr>
                <w:ilvl w:val="0"/>
                <w:numId w:val="5"/>
              </w:numPr>
              <w:spacing w:line="360" w:lineRule="auto"/>
              <w:jc w:val="center"/>
              <w:rPr>
                <w:rFonts w:ascii="仿宋" w:hAnsi="仿宋" w:eastAsia="仿宋" w:cs="仿宋"/>
                <w:color w:val="000000"/>
                <w:szCs w:val="21"/>
              </w:rPr>
            </w:pPr>
          </w:p>
        </w:tc>
        <w:tc>
          <w:tcPr>
            <w:tcW w:w="3374" w:type="dxa"/>
            <w:tcBorders>
              <w:top w:val="single" w:color="auto" w:sz="4" w:space="0"/>
              <w:left w:val="nil"/>
              <w:bottom w:val="single" w:color="auto" w:sz="4" w:space="0"/>
              <w:right w:val="single" w:color="auto" w:sz="4" w:space="0"/>
            </w:tcBorders>
            <w:vAlign w:val="center"/>
          </w:tcPr>
          <w:p w14:paraId="1F417AEF">
            <w:pPr>
              <w:spacing w:line="360" w:lineRule="auto"/>
              <w:jc w:val="center"/>
              <w:rPr>
                <w:rFonts w:ascii="仿宋" w:hAnsi="仿宋" w:eastAsia="仿宋" w:cs="仿宋"/>
                <w:color w:val="000000"/>
                <w:szCs w:val="21"/>
              </w:rPr>
            </w:pPr>
          </w:p>
        </w:tc>
        <w:tc>
          <w:tcPr>
            <w:tcW w:w="3670" w:type="dxa"/>
            <w:tcBorders>
              <w:top w:val="single" w:color="auto" w:sz="4" w:space="0"/>
              <w:left w:val="nil"/>
              <w:bottom w:val="single" w:color="auto" w:sz="4" w:space="0"/>
              <w:right w:val="single" w:color="auto" w:sz="4" w:space="0"/>
            </w:tcBorders>
            <w:vAlign w:val="center"/>
          </w:tcPr>
          <w:p w14:paraId="438184BD">
            <w:pPr>
              <w:spacing w:line="360" w:lineRule="auto"/>
              <w:jc w:val="center"/>
              <w:rPr>
                <w:rFonts w:ascii="仿宋" w:hAnsi="仿宋" w:eastAsia="仿宋" w:cs="仿宋"/>
                <w:color w:val="000000"/>
                <w:szCs w:val="21"/>
              </w:rPr>
            </w:pPr>
          </w:p>
        </w:tc>
        <w:tc>
          <w:tcPr>
            <w:tcW w:w="1393" w:type="dxa"/>
            <w:tcBorders>
              <w:top w:val="single" w:color="auto" w:sz="4" w:space="0"/>
              <w:left w:val="nil"/>
              <w:bottom w:val="single" w:color="auto" w:sz="4" w:space="0"/>
              <w:right w:val="single" w:color="auto" w:sz="4" w:space="0"/>
            </w:tcBorders>
            <w:vAlign w:val="center"/>
          </w:tcPr>
          <w:p w14:paraId="49FC8517">
            <w:pPr>
              <w:spacing w:line="360" w:lineRule="auto"/>
              <w:jc w:val="center"/>
              <w:rPr>
                <w:rFonts w:ascii="仿宋" w:hAnsi="仿宋" w:eastAsia="仿宋" w:cs="仿宋"/>
                <w:color w:val="000000"/>
                <w:szCs w:val="21"/>
              </w:rPr>
            </w:pPr>
          </w:p>
        </w:tc>
      </w:tr>
      <w:tr w14:paraId="361F5BB8">
        <w:tblPrEx>
          <w:tblCellMar>
            <w:top w:w="0" w:type="dxa"/>
            <w:left w:w="108" w:type="dxa"/>
            <w:bottom w:w="0" w:type="dxa"/>
            <w:right w:w="108" w:type="dxa"/>
          </w:tblCellMar>
        </w:tblPrEx>
        <w:trPr>
          <w:cantSplit/>
          <w:trHeight w:val="210" w:hRule="atLeast"/>
        </w:trPr>
        <w:tc>
          <w:tcPr>
            <w:tcW w:w="648" w:type="dxa"/>
            <w:tcBorders>
              <w:top w:val="single" w:color="auto" w:sz="4" w:space="0"/>
              <w:left w:val="single" w:color="auto" w:sz="4" w:space="0"/>
              <w:bottom w:val="single" w:color="auto" w:sz="4" w:space="0"/>
              <w:right w:val="single" w:color="auto" w:sz="4" w:space="0"/>
            </w:tcBorders>
            <w:vAlign w:val="center"/>
          </w:tcPr>
          <w:p w14:paraId="2BEC2C6C">
            <w:pPr>
              <w:numPr>
                <w:ilvl w:val="0"/>
                <w:numId w:val="5"/>
              </w:numPr>
              <w:spacing w:line="360" w:lineRule="auto"/>
              <w:jc w:val="center"/>
              <w:rPr>
                <w:rFonts w:ascii="仿宋" w:hAnsi="仿宋" w:eastAsia="仿宋" w:cs="仿宋"/>
                <w:color w:val="000000"/>
                <w:szCs w:val="21"/>
              </w:rPr>
            </w:pPr>
          </w:p>
        </w:tc>
        <w:tc>
          <w:tcPr>
            <w:tcW w:w="3374" w:type="dxa"/>
            <w:tcBorders>
              <w:top w:val="single" w:color="auto" w:sz="4" w:space="0"/>
              <w:left w:val="nil"/>
              <w:bottom w:val="single" w:color="auto" w:sz="4" w:space="0"/>
              <w:right w:val="single" w:color="auto" w:sz="4" w:space="0"/>
            </w:tcBorders>
            <w:vAlign w:val="center"/>
          </w:tcPr>
          <w:p w14:paraId="3F5AF06F">
            <w:pPr>
              <w:spacing w:line="360" w:lineRule="auto"/>
              <w:jc w:val="center"/>
              <w:rPr>
                <w:rFonts w:ascii="仿宋" w:hAnsi="仿宋" w:eastAsia="仿宋" w:cs="仿宋"/>
                <w:color w:val="000000"/>
                <w:szCs w:val="21"/>
              </w:rPr>
            </w:pPr>
          </w:p>
        </w:tc>
        <w:tc>
          <w:tcPr>
            <w:tcW w:w="3670" w:type="dxa"/>
            <w:tcBorders>
              <w:top w:val="single" w:color="auto" w:sz="4" w:space="0"/>
              <w:left w:val="nil"/>
              <w:bottom w:val="single" w:color="auto" w:sz="4" w:space="0"/>
              <w:right w:val="single" w:color="auto" w:sz="4" w:space="0"/>
            </w:tcBorders>
            <w:vAlign w:val="center"/>
          </w:tcPr>
          <w:p w14:paraId="198947D2">
            <w:pPr>
              <w:spacing w:line="360" w:lineRule="auto"/>
              <w:jc w:val="center"/>
              <w:rPr>
                <w:rFonts w:ascii="仿宋" w:hAnsi="仿宋" w:eastAsia="仿宋" w:cs="仿宋"/>
                <w:color w:val="000000"/>
                <w:szCs w:val="21"/>
              </w:rPr>
            </w:pPr>
          </w:p>
        </w:tc>
        <w:tc>
          <w:tcPr>
            <w:tcW w:w="1393" w:type="dxa"/>
            <w:tcBorders>
              <w:top w:val="single" w:color="auto" w:sz="4" w:space="0"/>
              <w:left w:val="nil"/>
              <w:bottom w:val="single" w:color="auto" w:sz="4" w:space="0"/>
              <w:right w:val="single" w:color="auto" w:sz="4" w:space="0"/>
            </w:tcBorders>
            <w:vAlign w:val="center"/>
          </w:tcPr>
          <w:p w14:paraId="04B870B9">
            <w:pPr>
              <w:spacing w:line="360" w:lineRule="auto"/>
              <w:jc w:val="center"/>
              <w:rPr>
                <w:rFonts w:ascii="仿宋" w:hAnsi="仿宋" w:eastAsia="仿宋" w:cs="仿宋"/>
                <w:color w:val="000000"/>
                <w:szCs w:val="21"/>
              </w:rPr>
            </w:pPr>
          </w:p>
        </w:tc>
      </w:tr>
      <w:tr w14:paraId="0383F0F9">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14:paraId="14A5EF78">
            <w:pPr>
              <w:numPr>
                <w:ilvl w:val="0"/>
                <w:numId w:val="5"/>
              </w:numPr>
              <w:spacing w:line="360" w:lineRule="auto"/>
              <w:jc w:val="center"/>
              <w:rPr>
                <w:rFonts w:ascii="仿宋" w:hAnsi="仿宋" w:eastAsia="仿宋" w:cs="仿宋"/>
                <w:color w:val="000000"/>
                <w:sz w:val="8"/>
                <w:szCs w:val="21"/>
              </w:rPr>
            </w:pPr>
          </w:p>
        </w:tc>
        <w:tc>
          <w:tcPr>
            <w:tcW w:w="3374" w:type="dxa"/>
            <w:tcBorders>
              <w:top w:val="single" w:color="auto" w:sz="4" w:space="0"/>
              <w:left w:val="nil"/>
              <w:bottom w:val="single" w:color="auto" w:sz="4" w:space="0"/>
              <w:right w:val="single" w:color="auto" w:sz="4" w:space="0"/>
            </w:tcBorders>
            <w:vAlign w:val="center"/>
          </w:tcPr>
          <w:p w14:paraId="66A1442A">
            <w:pPr>
              <w:spacing w:line="360" w:lineRule="auto"/>
              <w:jc w:val="center"/>
              <w:rPr>
                <w:rFonts w:ascii="仿宋" w:hAnsi="仿宋" w:eastAsia="仿宋" w:cs="仿宋"/>
                <w:color w:val="000000"/>
                <w:sz w:val="8"/>
                <w:szCs w:val="21"/>
              </w:rPr>
            </w:pPr>
          </w:p>
        </w:tc>
        <w:tc>
          <w:tcPr>
            <w:tcW w:w="3670" w:type="dxa"/>
            <w:tcBorders>
              <w:top w:val="single" w:color="auto" w:sz="4" w:space="0"/>
              <w:left w:val="nil"/>
              <w:bottom w:val="single" w:color="auto" w:sz="4" w:space="0"/>
              <w:right w:val="single" w:color="auto" w:sz="4" w:space="0"/>
            </w:tcBorders>
            <w:vAlign w:val="center"/>
          </w:tcPr>
          <w:p w14:paraId="7B69E044">
            <w:pPr>
              <w:spacing w:line="360" w:lineRule="auto"/>
              <w:jc w:val="center"/>
              <w:rPr>
                <w:rFonts w:ascii="仿宋" w:hAnsi="仿宋" w:eastAsia="仿宋" w:cs="仿宋"/>
                <w:color w:val="000000"/>
                <w:sz w:val="8"/>
                <w:szCs w:val="21"/>
              </w:rPr>
            </w:pPr>
          </w:p>
        </w:tc>
        <w:tc>
          <w:tcPr>
            <w:tcW w:w="1393" w:type="dxa"/>
            <w:tcBorders>
              <w:top w:val="single" w:color="auto" w:sz="4" w:space="0"/>
              <w:left w:val="nil"/>
              <w:bottom w:val="single" w:color="auto" w:sz="4" w:space="0"/>
              <w:right w:val="single" w:color="auto" w:sz="4" w:space="0"/>
            </w:tcBorders>
            <w:vAlign w:val="center"/>
          </w:tcPr>
          <w:p w14:paraId="465E838C">
            <w:pPr>
              <w:spacing w:line="360" w:lineRule="auto"/>
              <w:jc w:val="center"/>
              <w:rPr>
                <w:rFonts w:ascii="仿宋" w:hAnsi="仿宋" w:eastAsia="仿宋" w:cs="仿宋"/>
                <w:color w:val="000000"/>
                <w:sz w:val="8"/>
                <w:szCs w:val="21"/>
              </w:rPr>
            </w:pPr>
          </w:p>
        </w:tc>
      </w:tr>
      <w:tr w14:paraId="2BF28CEC">
        <w:tblPrEx>
          <w:tblCellMar>
            <w:top w:w="0" w:type="dxa"/>
            <w:left w:w="108" w:type="dxa"/>
            <w:bottom w:w="0" w:type="dxa"/>
            <w:right w:w="108" w:type="dxa"/>
          </w:tblCellMar>
        </w:tblPrEx>
        <w:trPr>
          <w:cantSplit/>
          <w:trHeight w:val="74" w:hRule="atLeast"/>
        </w:trPr>
        <w:tc>
          <w:tcPr>
            <w:tcW w:w="648" w:type="dxa"/>
            <w:tcBorders>
              <w:top w:val="single" w:color="auto" w:sz="4" w:space="0"/>
              <w:left w:val="single" w:color="auto" w:sz="4" w:space="0"/>
              <w:bottom w:val="single" w:color="auto" w:sz="4" w:space="0"/>
              <w:right w:val="single" w:color="auto" w:sz="4" w:space="0"/>
            </w:tcBorders>
            <w:vAlign w:val="center"/>
          </w:tcPr>
          <w:p w14:paraId="75A5755F">
            <w:pPr>
              <w:numPr>
                <w:ilvl w:val="0"/>
                <w:numId w:val="5"/>
              </w:numPr>
              <w:spacing w:line="360" w:lineRule="auto"/>
              <w:jc w:val="center"/>
              <w:rPr>
                <w:rFonts w:ascii="仿宋" w:hAnsi="仿宋" w:eastAsia="仿宋" w:cs="仿宋"/>
                <w:color w:val="000000"/>
                <w:sz w:val="8"/>
                <w:szCs w:val="21"/>
              </w:rPr>
            </w:pPr>
          </w:p>
        </w:tc>
        <w:tc>
          <w:tcPr>
            <w:tcW w:w="3374" w:type="dxa"/>
            <w:tcBorders>
              <w:top w:val="single" w:color="auto" w:sz="4" w:space="0"/>
              <w:left w:val="nil"/>
              <w:bottom w:val="single" w:color="auto" w:sz="4" w:space="0"/>
              <w:right w:val="single" w:color="auto" w:sz="4" w:space="0"/>
            </w:tcBorders>
            <w:vAlign w:val="center"/>
          </w:tcPr>
          <w:p w14:paraId="6508D69F">
            <w:pPr>
              <w:spacing w:line="360" w:lineRule="auto"/>
              <w:jc w:val="center"/>
              <w:rPr>
                <w:rFonts w:ascii="仿宋" w:hAnsi="仿宋" w:eastAsia="仿宋" w:cs="仿宋"/>
                <w:color w:val="000000"/>
                <w:sz w:val="8"/>
                <w:szCs w:val="21"/>
              </w:rPr>
            </w:pPr>
          </w:p>
        </w:tc>
        <w:tc>
          <w:tcPr>
            <w:tcW w:w="3670" w:type="dxa"/>
            <w:tcBorders>
              <w:top w:val="single" w:color="auto" w:sz="4" w:space="0"/>
              <w:left w:val="nil"/>
              <w:bottom w:val="single" w:color="auto" w:sz="4" w:space="0"/>
              <w:right w:val="single" w:color="auto" w:sz="4" w:space="0"/>
            </w:tcBorders>
            <w:vAlign w:val="center"/>
          </w:tcPr>
          <w:p w14:paraId="6F22A1C3">
            <w:pPr>
              <w:spacing w:line="360" w:lineRule="auto"/>
              <w:jc w:val="center"/>
              <w:rPr>
                <w:rFonts w:ascii="仿宋" w:hAnsi="仿宋" w:eastAsia="仿宋" w:cs="仿宋"/>
                <w:color w:val="000000"/>
                <w:sz w:val="8"/>
                <w:szCs w:val="21"/>
              </w:rPr>
            </w:pPr>
          </w:p>
        </w:tc>
        <w:tc>
          <w:tcPr>
            <w:tcW w:w="1393" w:type="dxa"/>
            <w:tcBorders>
              <w:top w:val="single" w:color="auto" w:sz="4" w:space="0"/>
              <w:left w:val="nil"/>
              <w:bottom w:val="single" w:color="auto" w:sz="4" w:space="0"/>
              <w:right w:val="single" w:color="auto" w:sz="4" w:space="0"/>
            </w:tcBorders>
            <w:vAlign w:val="center"/>
          </w:tcPr>
          <w:p w14:paraId="70DCC8CF">
            <w:pPr>
              <w:spacing w:line="360" w:lineRule="auto"/>
              <w:jc w:val="center"/>
              <w:rPr>
                <w:rFonts w:ascii="仿宋" w:hAnsi="仿宋" w:eastAsia="仿宋" w:cs="仿宋"/>
                <w:color w:val="000000"/>
                <w:sz w:val="8"/>
                <w:szCs w:val="21"/>
              </w:rPr>
            </w:pPr>
          </w:p>
        </w:tc>
      </w:tr>
    </w:tbl>
    <w:p w14:paraId="3291174D">
      <w:pPr>
        <w:snapToGrid w:val="0"/>
        <w:spacing w:line="360" w:lineRule="auto"/>
        <w:jc w:val="center"/>
        <w:rPr>
          <w:rFonts w:ascii="仿宋" w:hAnsi="仿宋" w:eastAsia="仿宋" w:cs="仿宋"/>
          <w:color w:val="000000"/>
          <w:sz w:val="24"/>
        </w:rPr>
      </w:pPr>
    </w:p>
    <w:p w14:paraId="3516D4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投标人（盖公章）：</w:t>
      </w:r>
    </w:p>
    <w:p w14:paraId="59C993F5">
      <w:pPr>
        <w:snapToGrid w:val="0"/>
        <w:spacing w:line="360" w:lineRule="auto"/>
        <w:ind w:firstLine="480" w:firstLineChars="200"/>
        <w:rPr>
          <w:rFonts w:ascii="仿宋" w:hAnsi="仿宋" w:eastAsia="仿宋" w:cs="仿宋"/>
          <w:sz w:val="24"/>
        </w:rPr>
      </w:pPr>
    </w:p>
    <w:p w14:paraId="44F22FF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14:paraId="216F336E">
      <w:pPr>
        <w:spacing w:line="360" w:lineRule="auto"/>
        <w:jc w:val="center"/>
        <w:rPr>
          <w:rFonts w:ascii="仿宋" w:hAnsi="仿宋" w:eastAsia="仿宋" w:cs="仿宋"/>
          <w:sz w:val="24"/>
        </w:rPr>
      </w:pPr>
    </w:p>
    <w:p w14:paraId="5F663F90">
      <w:pPr>
        <w:snapToGrid w:val="0"/>
        <w:spacing w:line="360" w:lineRule="auto"/>
        <w:rPr>
          <w:rFonts w:ascii="仿宋" w:hAnsi="仿宋" w:eastAsia="仿宋" w:cs="仿宋"/>
          <w:b/>
          <w:bCs/>
          <w:color w:val="000000"/>
          <w:szCs w:val="21"/>
        </w:rPr>
      </w:pPr>
    </w:p>
    <w:p w14:paraId="56407304">
      <w:pPr>
        <w:snapToGrid w:val="0"/>
        <w:spacing w:line="360" w:lineRule="auto"/>
        <w:ind w:firstLine="480" w:firstLineChars="200"/>
        <w:rPr>
          <w:rFonts w:ascii="仿宋" w:hAnsi="仿宋" w:eastAsia="仿宋" w:cs="仿宋"/>
          <w:sz w:val="24"/>
        </w:rPr>
      </w:pPr>
    </w:p>
    <w:p w14:paraId="57D01883">
      <w:pPr>
        <w:spacing w:line="360" w:lineRule="auto"/>
        <w:jc w:val="center"/>
        <w:rPr>
          <w:rFonts w:ascii="仿宋" w:hAnsi="仿宋" w:eastAsia="仿宋" w:cs="仿宋"/>
          <w:sz w:val="24"/>
        </w:rPr>
      </w:pPr>
    </w:p>
    <w:p w14:paraId="1120A1A3">
      <w:pPr>
        <w:spacing w:line="360" w:lineRule="auto"/>
        <w:rPr>
          <w:rFonts w:ascii="仿宋" w:hAnsi="仿宋" w:eastAsia="仿宋" w:cs="仿宋"/>
          <w:b/>
          <w:bCs/>
          <w:szCs w:val="21"/>
        </w:rPr>
      </w:pPr>
      <w:r>
        <w:rPr>
          <w:rFonts w:hint="eastAsia" w:ascii="仿宋" w:hAnsi="仿宋" w:eastAsia="仿宋" w:cs="仿宋"/>
          <w:color w:val="000000"/>
          <w:sz w:val="24"/>
        </w:rPr>
        <w:br w:type="page"/>
      </w:r>
    </w:p>
    <w:p w14:paraId="50C6B489">
      <w:pPr>
        <w:snapToGrid w:val="0"/>
        <w:spacing w:line="360" w:lineRule="auto"/>
        <w:ind w:firstLine="480" w:firstLineChars="200"/>
        <w:rPr>
          <w:rFonts w:ascii="仿宋" w:hAnsi="仿宋" w:eastAsia="仿宋" w:cs="仿宋"/>
          <w:sz w:val="24"/>
        </w:rPr>
      </w:pPr>
    </w:p>
    <w:p w14:paraId="4673A11E">
      <w:pPr>
        <w:jc w:val="center"/>
        <w:rPr>
          <w:rFonts w:ascii="仿宋" w:hAnsi="仿宋" w:eastAsia="仿宋" w:cs="仿宋"/>
          <w:b/>
          <w:kern w:val="0"/>
          <w:sz w:val="32"/>
          <w:szCs w:val="32"/>
        </w:rPr>
      </w:pPr>
    </w:p>
    <w:p w14:paraId="327998C4">
      <w:pPr>
        <w:jc w:val="center"/>
        <w:rPr>
          <w:rFonts w:ascii="仿宋" w:hAnsi="仿宋" w:eastAsia="仿宋" w:cs="仿宋"/>
          <w:b/>
          <w:kern w:val="0"/>
          <w:sz w:val="32"/>
          <w:szCs w:val="32"/>
        </w:rPr>
      </w:pPr>
    </w:p>
    <w:p w14:paraId="7F966146">
      <w:pPr>
        <w:jc w:val="center"/>
        <w:outlineLvl w:val="2"/>
        <w:rPr>
          <w:rFonts w:ascii="仿宋" w:hAnsi="仿宋" w:eastAsia="仿宋" w:cs="仿宋"/>
          <w:b/>
          <w:kern w:val="0"/>
          <w:sz w:val="32"/>
          <w:szCs w:val="32"/>
        </w:rPr>
      </w:pPr>
      <w:r>
        <w:rPr>
          <w:rFonts w:hint="eastAsia" w:ascii="仿宋" w:hAnsi="仿宋" w:eastAsia="仿宋" w:cs="仿宋"/>
          <w:b/>
          <w:kern w:val="0"/>
          <w:sz w:val="32"/>
          <w:szCs w:val="32"/>
        </w:rPr>
        <w:t>四、商务技术偏离表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160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31FC9C05">
            <w:pPr>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center"/>
          </w:tcPr>
          <w:p w14:paraId="60F0C791">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67BB08CC">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1F951C73">
            <w:pPr>
              <w:jc w:val="center"/>
              <w:rPr>
                <w:rFonts w:ascii="仿宋" w:hAnsi="仿宋" w:eastAsia="仿宋" w:cs="仿宋"/>
                <w:b/>
                <w:bCs/>
                <w:sz w:val="24"/>
              </w:rPr>
            </w:pPr>
            <w:r>
              <w:rPr>
                <w:rFonts w:hint="eastAsia" w:ascii="仿宋" w:hAnsi="仿宋" w:eastAsia="仿宋" w:cs="仿宋"/>
                <w:b/>
                <w:bCs/>
                <w:sz w:val="24"/>
              </w:rPr>
              <w:t>偏离说明</w:t>
            </w:r>
          </w:p>
        </w:tc>
      </w:tr>
      <w:tr w14:paraId="45F4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14:paraId="17D9114C">
            <w:pPr>
              <w:jc w:val="center"/>
              <w:rPr>
                <w:rFonts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7B7FBBDC">
            <w:pPr>
              <w:jc w:val="center"/>
              <w:rPr>
                <w:rFonts w:ascii="仿宋" w:hAnsi="仿宋" w:eastAsia="仿宋" w:cs="仿宋"/>
                <w:b/>
                <w:kern w:val="0"/>
                <w:sz w:val="32"/>
                <w:szCs w:val="32"/>
              </w:rPr>
            </w:pPr>
          </w:p>
        </w:tc>
        <w:tc>
          <w:tcPr>
            <w:tcW w:w="3546" w:type="dxa"/>
            <w:vAlign w:val="center"/>
          </w:tcPr>
          <w:p w14:paraId="7EBAA5ED">
            <w:pPr>
              <w:jc w:val="center"/>
              <w:rPr>
                <w:rFonts w:ascii="仿宋" w:hAnsi="仿宋" w:eastAsia="仿宋" w:cs="仿宋"/>
                <w:b/>
                <w:kern w:val="0"/>
                <w:sz w:val="32"/>
                <w:szCs w:val="32"/>
              </w:rPr>
            </w:pPr>
          </w:p>
        </w:tc>
        <w:tc>
          <w:tcPr>
            <w:tcW w:w="1276" w:type="dxa"/>
            <w:vAlign w:val="center"/>
          </w:tcPr>
          <w:p w14:paraId="2F311419">
            <w:pPr>
              <w:jc w:val="center"/>
              <w:rPr>
                <w:rFonts w:ascii="仿宋" w:hAnsi="仿宋" w:eastAsia="仿宋" w:cs="仿宋"/>
                <w:b/>
                <w:kern w:val="0"/>
                <w:sz w:val="32"/>
                <w:szCs w:val="32"/>
              </w:rPr>
            </w:pPr>
          </w:p>
        </w:tc>
      </w:tr>
      <w:tr w14:paraId="50AA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9" w:type="dxa"/>
            <w:vAlign w:val="center"/>
          </w:tcPr>
          <w:p w14:paraId="175116F0">
            <w:pPr>
              <w:jc w:val="center"/>
              <w:rPr>
                <w:rFonts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61E9B8DC">
            <w:pPr>
              <w:jc w:val="center"/>
              <w:rPr>
                <w:rFonts w:ascii="仿宋" w:hAnsi="仿宋" w:eastAsia="仿宋" w:cs="仿宋"/>
                <w:b/>
                <w:kern w:val="0"/>
                <w:sz w:val="32"/>
                <w:szCs w:val="32"/>
              </w:rPr>
            </w:pPr>
          </w:p>
        </w:tc>
        <w:tc>
          <w:tcPr>
            <w:tcW w:w="3546" w:type="dxa"/>
            <w:vAlign w:val="center"/>
          </w:tcPr>
          <w:p w14:paraId="2A7D366B">
            <w:pPr>
              <w:jc w:val="center"/>
              <w:rPr>
                <w:rFonts w:ascii="仿宋" w:hAnsi="仿宋" w:eastAsia="仿宋" w:cs="仿宋"/>
                <w:b/>
                <w:kern w:val="0"/>
                <w:sz w:val="32"/>
                <w:szCs w:val="32"/>
              </w:rPr>
            </w:pPr>
          </w:p>
        </w:tc>
        <w:tc>
          <w:tcPr>
            <w:tcW w:w="1276" w:type="dxa"/>
            <w:vAlign w:val="center"/>
          </w:tcPr>
          <w:p w14:paraId="67ECBBEC">
            <w:pPr>
              <w:jc w:val="center"/>
              <w:rPr>
                <w:rFonts w:ascii="仿宋" w:hAnsi="仿宋" w:eastAsia="仿宋" w:cs="仿宋"/>
                <w:b/>
                <w:kern w:val="0"/>
                <w:sz w:val="32"/>
                <w:szCs w:val="32"/>
              </w:rPr>
            </w:pPr>
          </w:p>
        </w:tc>
      </w:tr>
      <w:tr w14:paraId="7BA7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59" w:type="dxa"/>
            <w:vAlign w:val="center"/>
          </w:tcPr>
          <w:p w14:paraId="1E220EFE">
            <w:pPr>
              <w:jc w:val="center"/>
              <w:rPr>
                <w:rFonts w:ascii="仿宋" w:hAnsi="仿宋" w:eastAsia="仿宋" w:cs="仿宋"/>
                <w:kern w:val="0"/>
                <w:sz w:val="24"/>
              </w:rPr>
            </w:pPr>
            <w:r>
              <w:rPr>
                <w:rFonts w:hint="eastAsia" w:ascii="仿宋" w:hAnsi="仿宋" w:eastAsia="仿宋" w:cs="仿宋"/>
                <w:kern w:val="0"/>
                <w:sz w:val="24"/>
              </w:rPr>
              <w:t>……</w:t>
            </w:r>
          </w:p>
        </w:tc>
        <w:tc>
          <w:tcPr>
            <w:tcW w:w="3683" w:type="dxa"/>
            <w:vAlign w:val="center"/>
          </w:tcPr>
          <w:p w14:paraId="6E80C58B">
            <w:pPr>
              <w:jc w:val="center"/>
              <w:rPr>
                <w:rFonts w:ascii="仿宋" w:hAnsi="仿宋" w:eastAsia="仿宋" w:cs="仿宋"/>
                <w:b/>
                <w:kern w:val="0"/>
                <w:sz w:val="32"/>
                <w:szCs w:val="32"/>
              </w:rPr>
            </w:pPr>
          </w:p>
        </w:tc>
        <w:tc>
          <w:tcPr>
            <w:tcW w:w="3546" w:type="dxa"/>
            <w:vAlign w:val="center"/>
          </w:tcPr>
          <w:p w14:paraId="31F2EA82">
            <w:pPr>
              <w:jc w:val="center"/>
              <w:rPr>
                <w:rFonts w:ascii="仿宋" w:hAnsi="仿宋" w:eastAsia="仿宋" w:cs="仿宋"/>
                <w:b/>
                <w:kern w:val="0"/>
                <w:sz w:val="32"/>
                <w:szCs w:val="32"/>
              </w:rPr>
            </w:pPr>
          </w:p>
        </w:tc>
        <w:tc>
          <w:tcPr>
            <w:tcW w:w="1276" w:type="dxa"/>
            <w:vAlign w:val="center"/>
          </w:tcPr>
          <w:p w14:paraId="2241DCB8">
            <w:pPr>
              <w:jc w:val="center"/>
              <w:rPr>
                <w:rFonts w:ascii="仿宋" w:hAnsi="仿宋" w:eastAsia="仿宋" w:cs="仿宋"/>
                <w:b/>
                <w:kern w:val="0"/>
                <w:sz w:val="32"/>
                <w:szCs w:val="32"/>
              </w:rPr>
            </w:pPr>
          </w:p>
        </w:tc>
      </w:tr>
    </w:tbl>
    <w:p w14:paraId="033103C3">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1694C8B">
      <w:pPr>
        <w:ind w:firstLine="2891" w:firstLineChars="900"/>
        <w:rPr>
          <w:rFonts w:ascii="仿宋" w:hAnsi="仿宋" w:eastAsia="仿宋" w:cs="仿宋"/>
          <w:b/>
          <w:kern w:val="0"/>
          <w:sz w:val="32"/>
          <w:szCs w:val="32"/>
        </w:rPr>
      </w:pPr>
    </w:p>
    <w:p w14:paraId="2773B04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投标人（盖公章）：</w:t>
      </w:r>
    </w:p>
    <w:p w14:paraId="11027403">
      <w:pPr>
        <w:snapToGrid w:val="0"/>
        <w:spacing w:line="360" w:lineRule="auto"/>
        <w:ind w:firstLine="480" w:firstLineChars="200"/>
        <w:rPr>
          <w:rFonts w:ascii="仿宋" w:hAnsi="仿宋" w:eastAsia="仿宋" w:cs="仿宋"/>
          <w:sz w:val="24"/>
        </w:rPr>
      </w:pPr>
    </w:p>
    <w:p w14:paraId="3EA698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日期：  年  月  日</w:t>
      </w:r>
    </w:p>
    <w:p w14:paraId="2EB5DEF0">
      <w:pPr>
        <w:rPr>
          <w:rFonts w:ascii="仿宋" w:hAnsi="仿宋" w:eastAsia="仿宋" w:cs="仿宋"/>
          <w:b/>
          <w:kern w:val="0"/>
          <w:sz w:val="32"/>
          <w:szCs w:val="32"/>
        </w:rPr>
      </w:pPr>
      <w:r>
        <w:rPr>
          <w:rFonts w:hint="eastAsia" w:ascii="仿宋" w:hAnsi="仿宋" w:eastAsia="仿宋" w:cs="仿宋"/>
          <w:b/>
          <w:kern w:val="0"/>
          <w:sz w:val="32"/>
          <w:szCs w:val="32"/>
        </w:rPr>
        <w:br w:type="page"/>
      </w:r>
    </w:p>
    <w:p w14:paraId="7AF3EDA0">
      <w:pPr>
        <w:jc w:val="center"/>
        <w:outlineLvl w:val="2"/>
        <w:rPr>
          <w:rFonts w:ascii="仿宋" w:hAnsi="仿宋" w:eastAsia="仿宋" w:cs="仿宋"/>
          <w:b/>
          <w:kern w:val="0"/>
          <w:sz w:val="32"/>
          <w:szCs w:val="32"/>
        </w:rPr>
      </w:pPr>
      <w:r>
        <w:rPr>
          <w:rFonts w:hint="eastAsia" w:ascii="仿宋" w:hAnsi="仿宋" w:eastAsia="仿宋" w:cs="仿宋"/>
          <w:b/>
          <w:kern w:val="0"/>
          <w:sz w:val="32"/>
          <w:szCs w:val="32"/>
        </w:rPr>
        <w:t>五、</w:t>
      </w:r>
      <w:r>
        <w:rPr>
          <w:rFonts w:hint="eastAsia" w:ascii="仿宋" w:hAnsi="仿宋" w:eastAsia="仿宋" w:cs="仿宋"/>
          <w:b/>
          <w:kern w:val="0"/>
          <w:sz w:val="32"/>
          <w:szCs w:val="32"/>
          <w:lang w:val="zh-CN"/>
        </w:rPr>
        <w:t>投标人廉洁自律承诺书</w:t>
      </w:r>
    </w:p>
    <w:p w14:paraId="5285AFB9">
      <w:pPr>
        <w:snapToGrid w:val="0"/>
        <w:spacing w:line="360" w:lineRule="auto"/>
        <w:rPr>
          <w:rFonts w:ascii="仿宋" w:hAnsi="仿宋" w:eastAsia="仿宋" w:cs="仿宋"/>
          <w:sz w:val="24"/>
        </w:rPr>
      </w:pPr>
    </w:p>
    <w:p w14:paraId="28CDD218">
      <w:pPr>
        <w:snapToGrid w:val="0"/>
        <w:spacing w:line="360" w:lineRule="auto"/>
        <w:rPr>
          <w:rFonts w:ascii="仿宋" w:hAnsi="仿宋" w:eastAsia="仿宋" w:cs="仿宋"/>
          <w:b/>
          <w:bCs/>
          <w:kern w:val="0"/>
          <w:sz w:val="24"/>
          <w:u w:val="single"/>
        </w:rPr>
      </w:pPr>
      <w:r>
        <w:rPr>
          <w:rFonts w:hint="eastAsia" w:ascii="仿宋" w:hAnsi="仿宋" w:eastAsia="仿宋" w:cs="仿宋"/>
          <w:b/>
          <w:bCs/>
          <w:sz w:val="24"/>
          <w:u w:val="single"/>
          <w:lang w:eastAsia="zh-CN"/>
        </w:rPr>
        <w:t>中国计量大学</w:t>
      </w:r>
      <w:r>
        <w:rPr>
          <w:rFonts w:hint="eastAsia" w:ascii="仿宋" w:hAnsi="仿宋" w:eastAsia="仿宋" w:cs="仿宋"/>
          <w:b/>
          <w:bCs/>
          <w:sz w:val="24"/>
          <w:u w:val="single"/>
        </w:rPr>
        <w:t>、浙江国际招投标有限公司</w:t>
      </w:r>
      <w:r>
        <w:rPr>
          <w:rFonts w:hint="eastAsia" w:ascii="仿宋" w:hAnsi="仿宋" w:eastAsia="仿宋" w:cs="仿宋"/>
          <w:b/>
          <w:bCs/>
          <w:kern w:val="0"/>
          <w:sz w:val="24"/>
          <w:u w:val="single"/>
          <w:lang w:val="zh-CN"/>
        </w:rPr>
        <w:t>：</w:t>
      </w:r>
    </w:p>
    <w:p w14:paraId="2D5A108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6EFD23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532DDBA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6EABD33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6E7BFE1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FD23D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599E573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六、严格遵守法律法规，诚实守信，合法经营，坚决抵制各种违法违纪行为。</w:t>
      </w:r>
    </w:p>
    <w:p w14:paraId="0C8C91B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进行项目建设或其他经营活动。由此引起的相应损失均由我单位承担。</w:t>
      </w:r>
    </w:p>
    <w:p w14:paraId="7386C06D">
      <w:pPr>
        <w:autoSpaceDE w:val="0"/>
        <w:autoSpaceDN w:val="0"/>
        <w:spacing w:line="360" w:lineRule="auto"/>
        <w:ind w:left="2"/>
        <w:jc w:val="left"/>
        <w:rPr>
          <w:rFonts w:ascii="仿宋" w:hAnsi="仿宋" w:eastAsia="仿宋" w:cs="仿宋"/>
          <w:kern w:val="0"/>
          <w:sz w:val="24"/>
          <w:lang w:val="zh-CN"/>
        </w:rPr>
      </w:pPr>
    </w:p>
    <w:p w14:paraId="5EB2453B">
      <w:pPr>
        <w:autoSpaceDE w:val="0"/>
        <w:autoSpaceDN w:val="0"/>
        <w:spacing w:line="360" w:lineRule="auto"/>
        <w:ind w:left="2"/>
        <w:jc w:val="left"/>
        <w:rPr>
          <w:rFonts w:ascii="仿宋" w:hAnsi="仿宋" w:eastAsia="仿宋" w:cs="仿宋"/>
          <w:kern w:val="0"/>
          <w:sz w:val="24"/>
          <w:lang w:val="zh-CN"/>
        </w:rPr>
      </w:pPr>
    </w:p>
    <w:p w14:paraId="4BA409D9">
      <w:pPr>
        <w:autoSpaceDE w:val="0"/>
        <w:autoSpaceDN w:val="0"/>
        <w:spacing w:line="360" w:lineRule="auto"/>
        <w:ind w:left="2"/>
        <w:jc w:val="left"/>
        <w:rPr>
          <w:rFonts w:ascii="仿宋" w:hAnsi="仿宋" w:eastAsia="仿宋" w:cs="仿宋"/>
          <w:kern w:val="0"/>
          <w:sz w:val="24"/>
          <w:lang w:val="zh-CN"/>
        </w:rPr>
      </w:pPr>
    </w:p>
    <w:p w14:paraId="3FF678EF">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w:t>
      </w:r>
      <w:r>
        <w:rPr>
          <w:rFonts w:hint="eastAsia" w:ascii="仿宋" w:hAnsi="仿宋" w:eastAsia="仿宋" w:cs="仿宋"/>
          <w:sz w:val="24"/>
        </w:rPr>
        <w:t>盖公章</w:t>
      </w:r>
      <w:r>
        <w:rPr>
          <w:rFonts w:hint="eastAsia" w:ascii="仿宋" w:hAnsi="仿宋" w:eastAsia="仿宋" w:cs="仿宋"/>
          <w:kern w:val="0"/>
          <w:sz w:val="24"/>
          <w:lang w:val="zh-CN"/>
        </w:rPr>
        <w:t>）：</w:t>
      </w:r>
    </w:p>
    <w:p w14:paraId="3F7AC06C">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50E18B1">
      <w:pPr>
        <w:spacing w:line="360" w:lineRule="auto"/>
        <w:jc w:val="center"/>
        <w:rPr>
          <w:rFonts w:ascii="仿宋" w:hAnsi="仿宋" w:eastAsia="仿宋" w:cs="仿宋"/>
          <w:b/>
          <w:bCs/>
          <w:sz w:val="24"/>
        </w:rPr>
      </w:pPr>
    </w:p>
    <w:p w14:paraId="3D688B90">
      <w:pPr>
        <w:spacing w:line="360" w:lineRule="auto"/>
        <w:jc w:val="center"/>
        <w:rPr>
          <w:rFonts w:ascii="仿宋" w:hAnsi="仿宋" w:eastAsia="仿宋" w:cs="仿宋"/>
          <w:b/>
          <w:bCs/>
          <w:sz w:val="24"/>
        </w:rPr>
        <w:sectPr>
          <w:footerReference r:id="rId8" w:type="first"/>
          <w:footerReference r:id="rId7" w:type="default"/>
          <w:pgSz w:w="11906" w:h="16838"/>
          <w:pgMar w:top="1440" w:right="1417" w:bottom="1440" w:left="1701" w:header="851" w:footer="992" w:gutter="0"/>
          <w:cols w:space="720" w:num="1"/>
          <w:titlePg/>
          <w:docGrid w:linePitch="312" w:charSpace="0"/>
        </w:sectPr>
      </w:pPr>
    </w:p>
    <w:p w14:paraId="5BC24C9F">
      <w:pPr>
        <w:jc w:val="center"/>
        <w:outlineLvl w:val="2"/>
        <w:rPr>
          <w:rFonts w:ascii="仿宋" w:hAnsi="仿宋" w:eastAsia="仿宋" w:cs="仿宋"/>
          <w:b/>
          <w:kern w:val="0"/>
          <w:sz w:val="32"/>
          <w:szCs w:val="32"/>
        </w:rPr>
      </w:pPr>
      <w:r>
        <w:rPr>
          <w:rFonts w:hint="eastAsia" w:ascii="仿宋" w:hAnsi="仿宋" w:eastAsia="仿宋" w:cs="仿宋"/>
          <w:b/>
          <w:kern w:val="0"/>
          <w:sz w:val="32"/>
          <w:szCs w:val="32"/>
        </w:rPr>
        <w:t>六、中标服务费结算信息表</w:t>
      </w:r>
    </w:p>
    <w:p w14:paraId="68DC9C82">
      <w:pPr>
        <w:autoSpaceDE w:val="0"/>
        <w:autoSpaceDN w:val="0"/>
        <w:snapToGrid w:val="0"/>
        <w:spacing w:line="360" w:lineRule="auto"/>
        <w:jc w:val="center"/>
        <w:rPr>
          <w:rFonts w:ascii="仿宋" w:hAnsi="仿宋" w:eastAsia="仿宋" w:cs="仿宋"/>
          <w:b/>
          <w:bCs/>
          <w:sz w:val="32"/>
          <w:szCs w:val="32"/>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51F0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2B44105">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投标人名称</w:t>
            </w:r>
          </w:p>
        </w:tc>
        <w:tc>
          <w:tcPr>
            <w:tcW w:w="5598" w:type="dxa"/>
          </w:tcPr>
          <w:p w14:paraId="7A4914EF">
            <w:pPr>
              <w:autoSpaceDE w:val="0"/>
              <w:autoSpaceDN w:val="0"/>
              <w:snapToGrid w:val="0"/>
              <w:spacing w:line="360" w:lineRule="auto"/>
              <w:rPr>
                <w:rFonts w:ascii="仿宋" w:hAnsi="仿宋" w:eastAsia="仿宋" w:cs="仿宋"/>
                <w:b/>
                <w:bCs/>
                <w:sz w:val="24"/>
              </w:rPr>
            </w:pPr>
          </w:p>
        </w:tc>
      </w:tr>
      <w:tr w14:paraId="1A02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6910558">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项目编号</w:t>
            </w:r>
          </w:p>
        </w:tc>
        <w:tc>
          <w:tcPr>
            <w:tcW w:w="5598" w:type="dxa"/>
          </w:tcPr>
          <w:p w14:paraId="54379EB5">
            <w:pPr>
              <w:autoSpaceDE w:val="0"/>
              <w:autoSpaceDN w:val="0"/>
              <w:snapToGrid w:val="0"/>
              <w:spacing w:line="360" w:lineRule="auto"/>
              <w:rPr>
                <w:rFonts w:hint="eastAsia" w:ascii="仿宋" w:hAnsi="仿宋" w:eastAsia="仿宋" w:cs="仿宋"/>
                <w:b/>
                <w:bCs/>
                <w:sz w:val="24"/>
                <w:lang w:eastAsia="zh-CN"/>
              </w:rPr>
            </w:pPr>
            <w:r>
              <w:rPr>
                <w:rFonts w:hint="eastAsia" w:ascii="仿宋" w:hAnsi="仿宋" w:eastAsia="仿宋" w:cs="仿宋"/>
                <w:b/>
                <w:bCs/>
                <w:sz w:val="24"/>
                <w:lang w:eastAsia="zh-CN"/>
              </w:rPr>
              <w:t>ZJ-2541836</w:t>
            </w:r>
          </w:p>
        </w:tc>
      </w:tr>
      <w:tr w14:paraId="27FA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560F287">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若中标，中标服务费发票类型</w:t>
            </w:r>
          </w:p>
        </w:tc>
        <w:tc>
          <w:tcPr>
            <w:tcW w:w="5598" w:type="dxa"/>
          </w:tcPr>
          <w:p w14:paraId="26E16ABA">
            <w:pPr>
              <w:autoSpaceDE w:val="0"/>
              <w:autoSpaceDN w:val="0"/>
              <w:snapToGrid w:val="0"/>
              <w:spacing w:line="360" w:lineRule="auto"/>
              <w:rPr>
                <w:rFonts w:ascii="仿宋" w:hAnsi="仿宋" w:eastAsia="仿宋" w:cs="仿宋"/>
                <w:bCs/>
                <w:sz w:val="24"/>
              </w:rPr>
            </w:pPr>
            <w:r>
              <w:rPr>
                <w:rFonts w:hint="eastAsia" w:ascii="仿宋" w:hAnsi="仿宋" w:eastAsia="仿宋" w:cs="仿宋"/>
                <w:bCs/>
                <w:sz w:val="24"/>
              </w:rPr>
              <w:t>（）增值税普通发票</w:t>
            </w:r>
          </w:p>
          <w:p w14:paraId="2EFCF36A">
            <w:pPr>
              <w:autoSpaceDE w:val="0"/>
              <w:autoSpaceDN w:val="0"/>
              <w:snapToGrid w:val="0"/>
              <w:spacing w:line="360" w:lineRule="auto"/>
              <w:rPr>
                <w:rFonts w:ascii="仿宋" w:hAnsi="仿宋" w:eastAsia="仿宋" w:cs="仿宋"/>
                <w:bCs/>
                <w:sz w:val="24"/>
              </w:rPr>
            </w:pPr>
            <w:r>
              <w:rPr>
                <w:rFonts w:hint="eastAsia" w:ascii="仿宋" w:hAnsi="仿宋" w:eastAsia="仿宋" w:cs="仿宋"/>
                <w:bCs/>
                <w:sz w:val="24"/>
              </w:rPr>
              <w:t>（）增值税专用发票</w:t>
            </w:r>
          </w:p>
        </w:tc>
      </w:tr>
      <w:tr w14:paraId="17D1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20E0671">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开票信息</w:t>
            </w:r>
          </w:p>
          <w:p w14:paraId="798A78C2">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（普通发票只需要提供纳税识别号，专用发票需要财务确认过的开票信息）</w:t>
            </w:r>
          </w:p>
        </w:tc>
        <w:tc>
          <w:tcPr>
            <w:tcW w:w="5598" w:type="dxa"/>
          </w:tcPr>
          <w:p w14:paraId="484B739A">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纳税识别号：</w:t>
            </w:r>
          </w:p>
          <w:p w14:paraId="7059F968">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（税务部门备案的）地址：</w:t>
            </w:r>
          </w:p>
          <w:p w14:paraId="3BF5072F">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（税务部门备案的）电话：</w:t>
            </w:r>
          </w:p>
          <w:p w14:paraId="58079A13">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开户行：</w:t>
            </w:r>
          </w:p>
          <w:p w14:paraId="0BC5F556">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银行账号：</w:t>
            </w:r>
          </w:p>
        </w:tc>
      </w:tr>
      <w:tr w14:paraId="0DC1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62AC154E">
            <w:pPr>
              <w:autoSpaceDE w:val="0"/>
              <w:autoSpaceDN w:val="0"/>
              <w:snapToGrid w:val="0"/>
              <w:spacing w:line="360" w:lineRule="auto"/>
              <w:rPr>
                <w:rFonts w:ascii="仿宋" w:hAnsi="仿宋" w:eastAsia="仿宋" w:cs="仿宋"/>
                <w:bCs/>
                <w:sz w:val="24"/>
              </w:rPr>
            </w:pPr>
            <w:r>
              <w:rPr>
                <w:rFonts w:hint="eastAsia" w:ascii="仿宋" w:hAnsi="仿宋" w:eastAsia="仿宋" w:cs="仿宋"/>
                <w:bCs/>
                <w:sz w:val="24"/>
              </w:rPr>
              <w:t>若中标，中标通知书快递接收地址、联系人、电话</w:t>
            </w:r>
          </w:p>
        </w:tc>
        <w:tc>
          <w:tcPr>
            <w:tcW w:w="5598" w:type="dxa"/>
          </w:tcPr>
          <w:p w14:paraId="5729A73D">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地址：</w:t>
            </w:r>
          </w:p>
          <w:p w14:paraId="6387E7E4">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收件人：</w:t>
            </w:r>
          </w:p>
          <w:p w14:paraId="4860FEA7">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电话：</w:t>
            </w:r>
          </w:p>
        </w:tc>
      </w:tr>
    </w:tbl>
    <w:p w14:paraId="3EDF0213">
      <w:pPr>
        <w:pStyle w:val="23"/>
        <w:rPr>
          <w:rFonts w:ascii="仿宋" w:hAnsi="仿宋" w:eastAsia="仿宋" w:cs="仿宋"/>
        </w:rPr>
        <w:sectPr>
          <w:pgSz w:w="11906" w:h="16838"/>
          <w:pgMar w:top="1440" w:right="1417" w:bottom="1440" w:left="1701" w:header="851" w:footer="992" w:gutter="0"/>
          <w:cols w:space="720" w:num="1"/>
          <w:titlePg/>
          <w:docGrid w:linePitch="312" w:charSpace="0"/>
        </w:sectPr>
      </w:pPr>
      <w:r>
        <w:rPr>
          <w:rFonts w:hint="eastAsia" w:ascii="仿宋" w:hAnsi="仿宋" w:eastAsia="仿宋" w:cs="仿宋"/>
          <w:b/>
          <w:bCs/>
        </w:rPr>
        <w:t>此表内容请放于商务技术响应文件</w:t>
      </w:r>
      <w:r>
        <w:rPr>
          <w:rFonts w:hint="eastAsia" w:ascii="仿宋" w:hAnsi="仿宋" w:eastAsia="仿宋" w:cs="仿宋"/>
          <w:b/>
          <w:bCs/>
          <w:lang w:val="en-US"/>
        </w:rPr>
        <w:t>，</w:t>
      </w:r>
      <w:r>
        <w:rPr>
          <w:rFonts w:hint="eastAsia" w:ascii="仿宋" w:hAnsi="仿宋" w:eastAsia="仿宋" w:cs="仿宋"/>
          <w:b/>
          <w:bCs/>
        </w:rPr>
        <w:t>同时在开标前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t>
      </w:r>
      <w:r>
        <w:rPr>
          <w:rStyle w:val="76"/>
          <w:rFonts w:hint="eastAsia" w:ascii="仿宋" w:hAnsi="仿宋" w:eastAsia="仿宋" w:cs="仿宋"/>
          <w:b/>
          <w:bCs/>
          <w:color w:val="auto"/>
          <w:sz w:val="24"/>
          <w:lang w:val="en-US"/>
        </w:rPr>
        <w:t>word</w:t>
      </w:r>
      <w:r>
        <w:rPr>
          <w:rStyle w:val="76"/>
          <w:rFonts w:hint="eastAsia" w:ascii="仿宋" w:hAnsi="仿宋" w:eastAsia="仿宋" w:cs="仿宋"/>
          <w:b/>
          <w:bCs/>
          <w:color w:val="auto"/>
          <w:sz w:val="24"/>
        </w:rPr>
        <w:t>版电子稿至邮箱</w:t>
      </w:r>
      <w:r>
        <w:rPr>
          <w:rStyle w:val="76"/>
          <w:rFonts w:hint="eastAsia" w:ascii="仿宋" w:hAnsi="仿宋" w:eastAsia="仿宋" w:cs="仿宋"/>
          <w:b/>
          <w:bCs/>
          <w:color w:val="auto"/>
          <w:sz w:val="24"/>
          <w:lang w:val="en-US"/>
        </w:rPr>
        <w:t>laoyaomm@126.com</w:t>
      </w:r>
      <w:r>
        <w:rPr>
          <w:rStyle w:val="76"/>
          <w:rFonts w:hint="eastAsia" w:ascii="仿宋" w:hAnsi="仿宋" w:eastAsia="仿宋" w:cs="仿宋"/>
          <w:b/>
          <w:bCs/>
          <w:color w:val="auto"/>
          <w:sz w:val="24"/>
          <w:lang w:val="en-US"/>
        </w:rPr>
        <w:fldChar w:fldCharType="end"/>
      </w:r>
      <w:r>
        <w:rPr>
          <w:rFonts w:hint="eastAsia" w:ascii="仿宋" w:hAnsi="仿宋" w:eastAsia="仿宋" w:cs="仿宋"/>
          <w:b/>
          <w:bCs/>
        </w:rPr>
        <w:t>。邮件名称为投标人单位名称，以便服务费结算。</w:t>
      </w:r>
    </w:p>
    <w:p w14:paraId="30627B5A">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0FF72895">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579884FD">
      <w:pPr>
        <w:rPr>
          <w:rFonts w:ascii="仿宋" w:hAnsi="仿宋" w:eastAsia="仿宋" w:cs="仿宋"/>
        </w:rPr>
      </w:pPr>
    </w:p>
    <w:p w14:paraId="17AC45C9">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4703CC9A">
      <w:pPr>
        <w:snapToGrid w:val="0"/>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中小企业声明函（如有）</w:t>
      </w:r>
      <w:r>
        <w:rPr>
          <w:rFonts w:hint="eastAsia" w:ascii="仿宋" w:hAnsi="仿宋" w:eastAsia="仿宋" w:cs="仿宋"/>
          <w:sz w:val="24"/>
        </w:rPr>
        <w:t>……………………………………………………（页码）</w:t>
      </w:r>
    </w:p>
    <w:p w14:paraId="6F5DA0FA">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）中标服务费支付承诺书………………………………………………………（页码）</w:t>
      </w:r>
    </w:p>
    <w:p w14:paraId="0D3BB9BC">
      <w:pPr>
        <w:pStyle w:val="23"/>
        <w:rPr>
          <w:rFonts w:ascii="仿宋" w:hAnsi="仿宋" w:eastAsia="仿宋" w:cs="仿宋"/>
        </w:rPr>
      </w:pPr>
    </w:p>
    <w:p w14:paraId="14BF6741">
      <w:pPr>
        <w:snapToGrid w:val="0"/>
        <w:spacing w:line="360" w:lineRule="auto"/>
        <w:ind w:right="480"/>
        <w:jc w:val="center"/>
        <w:rPr>
          <w:rFonts w:ascii="仿宋" w:hAnsi="仿宋" w:eastAsia="仿宋" w:cs="仿宋"/>
          <w:b/>
          <w:kern w:val="0"/>
          <w:sz w:val="32"/>
          <w:szCs w:val="32"/>
        </w:rPr>
      </w:pPr>
    </w:p>
    <w:p w14:paraId="1DC0B0C2">
      <w:pPr>
        <w:snapToGrid w:val="0"/>
        <w:spacing w:line="360" w:lineRule="auto"/>
        <w:ind w:right="480"/>
        <w:jc w:val="center"/>
        <w:rPr>
          <w:rFonts w:ascii="仿宋" w:hAnsi="仿宋" w:eastAsia="仿宋" w:cs="仿宋"/>
          <w:b/>
          <w:kern w:val="0"/>
          <w:sz w:val="32"/>
          <w:szCs w:val="32"/>
        </w:rPr>
      </w:pPr>
    </w:p>
    <w:p w14:paraId="5DF8F517">
      <w:pPr>
        <w:snapToGrid w:val="0"/>
        <w:spacing w:line="360" w:lineRule="auto"/>
        <w:ind w:right="480"/>
        <w:jc w:val="center"/>
        <w:rPr>
          <w:rFonts w:ascii="仿宋" w:hAnsi="仿宋" w:eastAsia="仿宋" w:cs="仿宋"/>
          <w:b/>
          <w:kern w:val="0"/>
          <w:sz w:val="32"/>
          <w:szCs w:val="32"/>
        </w:rPr>
      </w:pPr>
    </w:p>
    <w:p w14:paraId="7563EFA3">
      <w:pPr>
        <w:snapToGrid w:val="0"/>
        <w:spacing w:line="360" w:lineRule="auto"/>
        <w:ind w:right="480"/>
        <w:jc w:val="center"/>
        <w:rPr>
          <w:rFonts w:ascii="仿宋" w:hAnsi="仿宋" w:eastAsia="仿宋" w:cs="仿宋"/>
          <w:b/>
          <w:kern w:val="0"/>
          <w:sz w:val="32"/>
          <w:szCs w:val="32"/>
        </w:rPr>
      </w:pPr>
    </w:p>
    <w:p w14:paraId="0F5FBAE0">
      <w:pPr>
        <w:snapToGrid w:val="0"/>
        <w:spacing w:line="360" w:lineRule="auto"/>
        <w:ind w:right="480"/>
        <w:jc w:val="center"/>
        <w:rPr>
          <w:rFonts w:ascii="仿宋" w:hAnsi="仿宋" w:eastAsia="仿宋" w:cs="仿宋"/>
          <w:b/>
          <w:kern w:val="0"/>
          <w:sz w:val="32"/>
          <w:szCs w:val="32"/>
        </w:rPr>
      </w:pPr>
    </w:p>
    <w:p w14:paraId="17867BA3">
      <w:pPr>
        <w:snapToGrid w:val="0"/>
        <w:spacing w:line="360" w:lineRule="auto"/>
        <w:ind w:right="480"/>
        <w:jc w:val="center"/>
        <w:rPr>
          <w:rFonts w:ascii="仿宋" w:hAnsi="仿宋" w:eastAsia="仿宋" w:cs="仿宋"/>
          <w:b/>
          <w:kern w:val="0"/>
          <w:sz w:val="32"/>
          <w:szCs w:val="32"/>
        </w:rPr>
      </w:pPr>
    </w:p>
    <w:p w14:paraId="5F59EDEE">
      <w:pPr>
        <w:snapToGrid w:val="0"/>
        <w:spacing w:line="360" w:lineRule="auto"/>
        <w:ind w:right="480"/>
        <w:jc w:val="center"/>
        <w:rPr>
          <w:rFonts w:ascii="仿宋" w:hAnsi="仿宋" w:eastAsia="仿宋" w:cs="仿宋"/>
          <w:b/>
          <w:kern w:val="0"/>
          <w:sz w:val="32"/>
          <w:szCs w:val="32"/>
        </w:rPr>
      </w:pPr>
    </w:p>
    <w:p w14:paraId="07E94A86">
      <w:pPr>
        <w:snapToGrid w:val="0"/>
        <w:spacing w:line="360" w:lineRule="auto"/>
        <w:ind w:right="480"/>
        <w:jc w:val="center"/>
        <w:rPr>
          <w:rFonts w:ascii="仿宋" w:hAnsi="仿宋" w:eastAsia="仿宋" w:cs="仿宋"/>
          <w:b/>
          <w:kern w:val="0"/>
          <w:sz w:val="32"/>
          <w:szCs w:val="32"/>
        </w:rPr>
      </w:pPr>
    </w:p>
    <w:p w14:paraId="06575C85">
      <w:pPr>
        <w:snapToGrid w:val="0"/>
        <w:spacing w:line="360" w:lineRule="auto"/>
        <w:ind w:right="480"/>
        <w:jc w:val="center"/>
        <w:rPr>
          <w:rFonts w:ascii="仿宋" w:hAnsi="仿宋" w:eastAsia="仿宋" w:cs="仿宋"/>
          <w:b/>
          <w:kern w:val="0"/>
          <w:sz w:val="32"/>
          <w:szCs w:val="32"/>
        </w:rPr>
      </w:pPr>
    </w:p>
    <w:p w14:paraId="70D6F6C6">
      <w:pPr>
        <w:snapToGrid w:val="0"/>
        <w:spacing w:line="360" w:lineRule="auto"/>
        <w:ind w:right="480"/>
        <w:jc w:val="center"/>
        <w:rPr>
          <w:rFonts w:ascii="仿宋" w:hAnsi="仿宋" w:eastAsia="仿宋" w:cs="仿宋"/>
          <w:b/>
          <w:kern w:val="0"/>
          <w:sz w:val="32"/>
          <w:szCs w:val="32"/>
        </w:rPr>
      </w:pPr>
    </w:p>
    <w:p w14:paraId="5B369BCE">
      <w:pPr>
        <w:snapToGrid w:val="0"/>
        <w:spacing w:line="360" w:lineRule="auto"/>
        <w:ind w:right="480"/>
        <w:jc w:val="center"/>
        <w:rPr>
          <w:rFonts w:ascii="仿宋" w:hAnsi="仿宋" w:eastAsia="仿宋" w:cs="仿宋"/>
          <w:b/>
          <w:kern w:val="0"/>
          <w:sz w:val="32"/>
          <w:szCs w:val="32"/>
        </w:rPr>
      </w:pPr>
    </w:p>
    <w:p w14:paraId="250D3D33">
      <w:pPr>
        <w:snapToGrid w:val="0"/>
        <w:spacing w:line="360" w:lineRule="auto"/>
        <w:ind w:right="480"/>
        <w:jc w:val="center"/>
        <w:rPr>
          <w:rFonts w:ascii="仿宋" w:hAnsi="仿宋" w:eastAsia="仿宋" w:cs="仿宋"/>
          <w:b/>
          <w:kern w:val="0"/>
          <w:sz w:val="32"/>
          <w:szCs w:val="32"/>
        </w:rPr>
      </w:pPr>
    </w:p>
    <w:p w14:paraId="6D05DF00">
      <w:pPr>
        <w:snapToGrid w:val="0"/>
        <w:spacing w:line="360" w:lineRule="auto"/>
        <w:ind w:right="480"/>
        <w:jc w:val="center"/>
        <w:rPr>
          <w:rFonts w:ascii="仿宋" w:hAnsi="仿宋" w:eastAsia="仿宋" w:cs="仿宋"/>
          <w:b/>
          <w:kern w:val="0"/>
          <w:sz w:val="32"/>
          <w:szCs w:val="32"/>
        </w:rPr>
      </w:pPr>
    </w:p>
    <w:p w14:paraId="2E266031">
      <w:pPr>
        <w:snapToGrid w:val="0"/>
        <w:spacing w:line="360" w:lineRule="auto"/>
        <w:ind w:right="480"/>
        <w:jc w:val="center"/>
        <w:rPr>
          <w:rFonts w:ascii="仿宋" w:hAnsi="仿宋" w:eastAsia="仿宋" w:cs="仿宋"/>
          <w:b/>
          <w:kern w:val="0"/>
          <w:sz w:val="32"/>
          <w:szCs w:val="32"/>
        </w:rPr>
      </w:pPr>
    </w:p>
    <w:p w14:paraId="24B3E3EC">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footerReference r:id="rId11" w:type="first"/>
          <w:headerReference r:id="rId9" w:type="default"/>
          <w:footerReference r:id="rId10" w:type="default"/>
          <w:pgSz w:w="11906" w:h="16838"/>
          <w:pgMar w:top="1440" w:right="1417" w:bottom="1440" w:left="1701" w:header="851" w:footer="992" w:gutter="0"/>
          <w:cols w:space="720" w:num="1"/>
          <w:titlePg/>
          <w:docGrid w:linePitch="312" w:charSpace="0"/>
        </w:sectPr>
      </w:pPr>
    </w:p>
    <w:p w14:paraId="3BC8FF68">
      <w:pPr>
        <w:pStyle w:val="694"/>
        <w:keepNext w:val="0"/>
        <w:pageBreakBefore w:val="0"/>
        <w:tabs>
          <w:tab w:val="clear" w:pos="720"/>
        </w:tabs>
        <w:snapToGrid w:val="0"/>
        <w:spacing w:before="120" w:after="120"/>
        <w:outlineLvl w:val="2"/>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7C42B990">
      <w:pPr>
        <w:snapToGrid w:val="0"/>
        <w:spacing w:line="360" w:lineRule="auto"/>
        <w:rPr>
          <w:rFonts w:ascii="仿宋" w:hAnsi="仿宋" w:eastAsia="仿宋" w:cs="仿宋"/>
          <w:b/>
          <w:bCs/>
          <w:kern w:val="0"/>
          <w:sz w:val="24"/>
          <w:u w:val="single"/>
        </w:rPr>
      </w:pPr>
      <w:r>
        <w:rPr>
          <w:rFonts w:hint="eastAsia" w:ascii="仿宋" w:hAnsi="仿宋" w:eastAsia="仿宋" w:cs="仿宋"/>
          <w:b/>
          <w:bCs/>
          <w:sz w:val="24"/>
          <w:u w:val="single"/>
          <w:lang w:eastAsia="zh-CN"/>
        </w:rPr>
        <w:t>中国计量大学</w:t>
      </w:r>
      <w:r>
        <w:rPr>
          <w:rFonts w:hint="eastAsia" w:ascii="仿宋" w:hAnsi="仿宋" w:eastAsia="仿宋" w:cs="仿宋"/>
          <w:b/>
          <w:bCs/>
          <w:sz w:val="24"/>
          <w:u w:val="single"/>
        </w:rPr>
        <w:t>、浙江国际招投标有限公司</w:t>
      </w:r>
      <w:r>
        <w:rPr>
          <w:rFonts w:hint="eastAsia" w:ascii="仿宋" w:hAnsi="仿宋" w:eastAsia="仿宋" w:cs="仿宋"/>
          <w:b/>
          <w:bCs/>
          <w:kern w:val="0"/>
          <w:sz w:val="24"/>
          <w:u w:val="single"/>
          <w:lang w:val="zh-CN"/>
        </w:rPr>
        <w:t>：</w:t>
      </w:r>
    </w:p>
    <w:p w14:paraId="0CB51C77">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智慧后勤系统建设-中国计量大学东生活区道闸系统</w:t>
      </w:r>
      <w:r>
        <w:rPr>
          <w:rFonts w:hint="eastAsia" w:ascii="仿宋" w:hAnsi="仿宋" w:eastAsia="仿宋" w:cs="仿宋"/>
          <w:sz w:val="24"/>
          <w:u w:val="single"/>
        </w:rPr>
        <w:t>项目</w:t>
      </w:r>
      <w:r>
        <w:rPr>
          <w:rFonts w:hint="eastAsia" w:ascii="仿宋" w:hAnsi="仿宋" w:eastAsia="仿宋" w:cs="仿宋"/>
          <w:sz w:val="24"/>
        </w:rPr>
        <w:t>【项目编号：</w:t>
      </w:r>
      <w:r>
        <w:rPr>
          <w:rFonts w:hint="eastAsia" w:ascii="仿宋" w:hAnsi="仿宋" w:eastAsia="仿宋" w:cs="仿宋"/>
          <w:sz w:val="24"/>
          <w:lang w:eastAsia="zh-CN"/>
        </w:rPr>
        <w:t>ZJ-2541836</w:t>
      </w:r>
      <w:r>
        <w:rPr>
          <w:rFonts w:hint="eastAsia" w:ascii="仿宋" w:hAnsi="仿宋" w:eastAsia="仿宋" w:cs="仿宋"/>
          <w:sz w:val="24"/>
        </w:rPr>
        <w:t>】的实施</w:t>
      </w:r>
      <w:r>
        <w:rPr>
          <w:rFonts w:hint="eastAsia" w:ascii="仿宋" w:hAnsi="仿宋" w:eastAsia="仿宋" w:cs="仿宋"/>
          <w:kern w:val="0"/>
          <w:sz w:val="24"/>
          <w:lang w:val="zh-CN"/>
        </w:rPr>
        <w:t>。</w:t>
      </w:r>
    </w:p>
    <w:p w14:paraId="6884BE55">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开标一览表（报价表）</w:t>
      </w:r>
    </w:p>
    <w:tbl>
      <w:tblPr>
        <w:tblStyle w:val="62"/>
        <w:tblW w:w="5312" w:type="pct"/>
        <w:jc w:val="center"/>
        <w:tblLayout w:type="fixed"/>
        <w:tblCellMar>
          <w:top w:w="0" w:type="dxa"/>
          <w:left w:w="108" w:type="dxa"/>
          <w:bottom w:w="0" w:type="dxa"/>
          <w:right w:w="108" w:type="dxa"/>
        </w:tblCellMar>
      </w:tblPr>
      <w:tblGrid>
        <w:gridCol w:w="573"/>
        <w:gridCol w:w="1728"/>
        <w:gridCol w:w="1528"/>
        <w:gridCol w:w="900"/>
        <w:gridCol w:w="750"/>
        <w:gridCol w:w="956"/>
        <w:gridCol w:w="882"/>
        <w:gridCol w:w="825"/>
        <w:gridCol w:w="975"/>
        <w:gridCol w:w="871"/>
      </w:tblGrid>
      <w:tr w14:paraId="57C48C2C">
        <w:tblPrEx>
          <w:tblCellMar>
            <w:top w:w="0" w:type="dxa"/>
            <w:left w:w="108" w:type="dxa"/>
            <w:bottom w:w="0" w:type="dxa"/>
            <w:right w:w="108" w:type="dxa"/>
          </w:tblCellMar>
        </w:tblPrEx>
        <w:trPr>
          <w:trHeight w:val="272"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4900">
            <w:pPr>
              <w:widowControl/>
              <w:ind w:left="0" w:leftChars="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F482">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产品名称</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21D6">
            <w:pPr>
              <w:widowControl/>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类型</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FFC7">
            <w:pPr>
              <w:widowControl/>
              <w:ind w:left="0" w:leftChars="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8816">
            <w:pPr>
              <w:widowControl/>
              <w:ind w:left="0" w:leftChars="0"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478" w:type="pct"/>
            <w:tcBorders>
              <w:top w:val="single" w:color="000000" w:sz="4" w:space="0"/>
              <w:left w:val="single" w:color="000000" w:sz="4" w:space="0"/>
              <w:bottom w:val="single" w:color="000000" w:sz="4" w:space="0"/>
              <w:right w:val="single" w:color="000000" w:sz="4" w:space="0"/>
            </w:tcBorders>
            <w:vAlign w:val="center"/>
          </w:tcPr>
          <w:p w14:paraId="15336E57">
            <w:pPr>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品牌</w:t>
            </w:r>
          </w:p>
        </w:tc>
        <w:tc>
          <w:tcPr>
            <w:tcW w:w="441" w:type="pct"/>
            <w:tcBorders>
              <w:top w:val="single" w:color="000000" w:sz="4" w:space="0"/>
              <w:left w:val="single" w:color="000000" w:sz="4" w:space="0"/>
              <w:bottom w:val="single" w:color="000000" w:sz="4" w:space="0"/>
              <w:right w:val="single" w:color="000000" w:sz="4" w:space="0"/>
            </w:tcBorders>
            <w:vAlign w:val="center"/>
          </w:tcPr>
          <w:p w14:paraId="374C417F">
            <w:pPr>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412" w:type="pct"/>
            <w:tcBorders>
              <w:top w:val="single" w:color="000000" w:sz="4" w:space="0"/>
              <w:left w:val="single" w:color="000000" w:sz="4" w:space="0"/>
              <w:bottom w:val="single" w:color="000000" w:sz="4" w:space="0"/>
              <w:right w:val="single" w:color="000000" w:sz="4" w:space="0"/>
            </w:tcBorders>
            <w:vAlign w:val="center"/>
          </w:tcPr>
          <w:p w14:paraId="508933CC">
            <w:pPr>
              <w:spacing w:line="400" w:lineRule="exact"/>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sz w:val="24"/>
                <w:highlight w:val="none"/>
              </w:rPr>
              <w:t>单价</w:t>
            </w:r>
          </w:p>
        </w:tc>
        <w:tc>
          <w:tcPr>
            <w:tcW w:w="488" w:type="pct"/>
            <w:tcBorders>
              <w:top w:val="single" w:color="000000" w:sz="4" w:space="0"/>
              <w:left w:val="single" w:color="000000" w:sz="4" w:space="0"/>
              <w:bottom w:val="single" w:color="000000" w:sz="4" w:space="0"/>
              <w:right w:val="single" w:color="000000" w:sz="4" w:space="0"/>
            </w:tcBorders>
            <w:vAlign w:val="center"/>
          </w:tcPr>
          <w:p w14:paraId="41E31B88">
            <w:pPr>
              <w:spacing w:line="400" w:lineRule="exact"/>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sz w:val="24"/>
                <w:highlight w:val="none"/>
              </w:rPr>
              <w:t>合计</w:t>
            </w:r>
          </w:p>
        </w:tc>
        <w:tc>
          <w:tcPr>
            <w:tcW w:w="436" w:type="pct"/>
            <w:tcBorders>
              <w:top w:val="single" w:color="000000" w:sz="4" w:space="0"/>
              <w:left w:val="single" w:color="000000" w:sz="4" w:space="0"/>
              <w:bottom w:val="single" w:color="000000" w:sz="4" w:space="0"/>
              <w:right w:val="single" w:color="000000" w:sz="4" w:space="0"/>
            </w:tcBorders>
            <w:vAlign w:val="center"/>
          </w:tcPr>
          <w:p w14:paraId="12502AC5">
            <w:pPr>
              <w:widowControl/>
              <w:ind w:left="0" w:leftChars="0" w:firstLine="0" w:firstLineChars="0"/>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备注</w:t>
            </w:r>
          </w:p>
        </w:tc>
      </w:tr>
      <w:tr w14:paraId="628CEBDB">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B1AA">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16B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公寓道闸系统管理平台</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856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道闸配套软件系统</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192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99C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套</w:t>
            </w:r>
          </w:p>
        </w:tc>
        <w:tc>
          <w:tcPr>
            <w:tcW w:w="478" w:type="pct"/>
            <w:tcBorders>
              <w:top w:val="single" w:color="000000" w:sz="4" w:space="0"/>
              <w:left w:val="single" w:color="000000" w:sz="4" w:space="0"/>
              <w:bottom w:val="single" w:color="000000" w:sz="4" w:space="0"/>
              <w:right w:val="single" w:color="000000" w:sz="4" w:space="0"/>
            </w:tcBorders>
            <w:vAlign w:val="center"/>
          </w:tcPr>
          <w:p w14:paraId="0E230B8E">
            <w:pPr>
              <w:widowControl/>
              <w:ind w:left="0" w:leftChars="0" w:firstLine="0" w:firstLineChars="0"/>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w:t>
            </w:r>
          </w:p>
        </w:tc>
        <w:tc>
          <w:tcPr>
            <w:tcW w:w="441" w:type="pct"/>
            <w:tcBorders>
              <w:top w:val="single" w:color="000000" w:sz="4" w:space="0"/>
              <w:left w:val="single" w:color="000000" w:sz="4" w:space="0"/>
              <w:bottom w:val="single" w:color="000000" w:sz="4" w:space="0"/>
              <w:right w:val="single" w:color="000000" w:sz="4" w:space="0"/>
            </w:tcBorders>
            <w:vAlign w:val="center"/>
          </w:tcPr>
          <w:p w14:paraId="74609D0F">
            <w:pPr>
              <w:widowControl/>
              <w:ind w:left="0" w:leftChars="0" w:firstLine="0" w:firstLineChars="0"/>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w:t>
            </w:r>
          </w:p>
        </w:tc>
        <w:tc>
          <w:tcPr>
            <w:tcW w:w="412" w:type="pct"/>
            <w:tcBorders>
              <w:top w:val="single" w:color="000000" w:sz="4" w:space="0"/>
              <w:left w:val="single" w:color="000000" w:sz="4" w:space="0"/>
              <w:bottom w:val="single" w:color="000000" w:sz="4" w:space="0"/>
              <w:right w:val="single" w:color="000000" w:sz="4" w:space="0"/>
            </w:tcBorders>
            <w:vAlign w:val="center"/>
          </w:tcPr>
          <w:p w14:paraId="3E5DB45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560A605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7E2918D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57061837">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A9FB">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773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无刷通用翼闸左边道</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486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道闸通道硬件设备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E50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61E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478" w:type="pct"/>
            <w:tcBorders>
              <w:top w:val="single" w:color="000000" w:sz="4" w:space="0"/>
              <w:left w:val="single" w:color="000000" w:sz="4" w:space="0"/>
              <w:bottom w:val="single" w:color="000000" w:sz="4" w:space="0"/>
              <w:right w:val="single" w:color="000000" w:sz="4" w:space="0"/>
            </w:tcBorders>
            <w:vAlign w:val="center"/>
          </w:tcPr>
          <w:p w14:paraId="4584117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774CEF45">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12" w:type="pct"/>
            <w:tcBorders>
              <w:top w:val="single" w:color="000000" w:sz="4" w:space="0"/>
              <w:left w:val="single" w:color="000000" w:sz="4" w:space="0"/>
              <w:bottom w:val="single" w:color="000000" w:sz="4" w:space="0"/>
              <w:right w:val="single" w:color="000000" w:sz="4" w:space="0"/>
            </w:tcBorders>
            <w:vAlign w:val="center"/>
          </w:tcPr>
          <w:p w14:paraId="24B72D5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765B6F7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458DD67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6FA08E72">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644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5DF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无刷通用翼闸中间道</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81D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道闸通道硬件设备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AA07">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FD6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478" w:type="pct"/>
            <w:tcBorders>
              <w:top w:val="single" w:color="000000" w:sz="4" w:space="0"/>
              <w:left w:val="single" w:color="000000" w:sz="4" w:space="0"/>
              <w:bottom w:val="single" w:color="000000" w:sz="4" w:space="0"/>
              <w:right w:val="single" w:color="000000" w:sz="4" w:space="0"/>
            </w:tcBorders>
            <w:vAlign w:val="center"/>
          </w:tcPr>
          <w:p w14:paraId="32C6D313">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60DDF145">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12" w:type="pct"/>
            <w:tcBorders>
              <w:top w:val="single" w:color="000000" w:sz="4" w:space="0"/>
              <w:left w:val="single" w:color="000000" w:sz="4" w:space="0"/>
              <w:bottom w:val="single" w:color="000000" w:sz="4" w:space="0"/>
              <w:right w:val="single" w:color="000000" w:sz="4" w:space="0"/>
            </w:tcBorders>
            <w:vAlign w:val="center"/>
          </w:tcPr>
          <w:p w14:paraId="4499B89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3552ECD1">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06ACA14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3E616F3F">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0475">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CAE0B">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无刷通用翼闸右边道</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620F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道闸通道硬件设备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E1C5">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027F">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478" w:type="pct"/>
            <w:tcBorders>
              <w:top w:val="single" w:color="000000" w:sz="4" w:space="0"/>
              <w:left w:val="single" w:color="000000" w:sz="4" w:space="0"/>
              <w:bottom w:val="single" w:color="000000" w:sz="4" w:space="0"/>
              <w:right w:val="single" w:color="000000" w:sz="4" w:space="0"/>
            </w:tcBorders>
            <w:vAlign w:val="center"/>
          </w:tcPr>
          <w:p w14:paraId="071E107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7EFF9C5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12" w:type="pct"/>
            <w:tcBorders>
              <w:top w:val="single" w:color="000000" w:sz="4" w:space="0"/>
              <w:left w:val="single" w:color="000000" w:sz="4" w:space="0"/>
              <w:bottom w:val="single" w:color="000000" w:sz="4" w:space="0"/>
              <w:right w:val="single" w:color="000000" w:sz="4" w:space="0"/>
            </w:tcBorders>
            <w:vAlign w:val="center"/>
          </w:tcPr>
          <w:p w14:paraId="18673A4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43C3E3E7">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32935C4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62988335">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308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621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通道人脸组件</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674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人脸识别硬件设备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5DF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9871">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478" w:type="pct"/>
            <w:tcBorders>
              <w:top w:val="single" w:color="000000" w:sz="4" w:space="0"/>
              <w:left w:val="single" w:color="000000" w:sz="4" w:space="0"/>
              <w:bottom w:val="single" w:color="000000" w:sz="4" w:space="0"/>
              <w:right w:val="single" w:color="000000" w:sz="4" w:space="0"/>
            </w:tcBorders>
            <w:vAlign w:val="center"/>
          </w:tcPr>
          <w:p w14:paraId="3A207C8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0BEF0BF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12" w:type="pct"/>
            <w:tcBorders>
              <w:top w:val="single" w:color="000000" w:sz="4" w:space="0"/>
              <w:left w:val="single" w:color="000000" w:sz="4" w:space="0"/>
              <w:bottom w:val="single" w:color="000000" w:sz="4" w:space="0"/>
              <w:right w:val="single" w:color="000000" w:sz="4" w:space="0"/>
            </w:tcBorders>
            <w:vAlign w:val="center"/>
          </w:tcPr>
          <w:p w14:paraId="38A7801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0AB7484D">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646C4A2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6BC6EC45">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F6B1">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80C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摄像机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123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实时监控通行情况</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34E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29A7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478" w:type="pct"/>
            <w:tcBorders>
              <w:top w:val="single" w:color="000000" w:sz="4" w:space="0"/>
              <w:left w:val="single" w:color="000000" w:sz="4" w:space="0"/>
              <w:bottom w:val="single" w:color="000000" w:sz="4" w:space="0"/>
              <w:right w:val="single" w:color="000000" w:sz="4" w:space="0"/>
            </w:tcBorders>
            <w:vAlign w:val="center"/>
          </w:tcPr>
          <w:p w14:paraId="454CE682">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42736E2B">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12" w:type="pct"/>
            <w:tcBorders>
              <w:top w:val="single" w:color="000000" w:sz="4" w:space="0"/>
              <w:left w:val="single" w:color="000000" w:sz="4" w:space="0"/>
              <w:bottom w:val="single" w:color="000000" w:sz="4" w:space="0"/>
              <w:right w:val="single" w:color="000000" w:sz="4" w:space="0"/>
            </w:tcBorders>
            <w:vAlign w:val="center"/>
          </w:tcPr>
          <w:p w14:paraId="6EDE55E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7EECD9B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5BA2F8B0">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63145642">
        <w:tblPrEx>
          <w:tblCellMar>
            <w:top w:w="0" w:type="dxa"/>
            <w:left w:w="108" w:type="dxa"/>
            <w:bottom w:w="0" w:type="dxa"/>
            <w:right w:w="108" w:type="dxa"/>
          </w:tblCellMar>
        </w:tblPrEx>
        <w:trPr>
          <w:trHeight w:val="567" w:hRule="atLeast"/>
          <w:jc w:val="center"/>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1307">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B816">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硬盘录像机</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1FFE">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储存监控记录视频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047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4CC3">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套</w:t>
            </w:r>
          </w:p>
        </w:tc>
        <w:tc>
          <w:tcPr>
            <w:tcW w:w="478" w:type="pct"/>
            <w:tcBorders>
              <w:top w:val="single" w:color="000000" w:sz="4" w:space="0"/>
              <w:left w:val="single" w:color="000000" w:sz="4" w:space="0"/>
              <w:bottom w:val="single" w:color="000000" w:sz="4" w:space="0"/>
              <w:right w:val="single" w:color="000000" w:sz="4" w:space="0"/>
            </w:tcBorders>
            <w:vAlign w:val="center"/>
          </w:tcPr>
          <w:p w14:paraId="17338EB4">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42F4E2F9">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12" w:type="pct"/>
            <w:tcBorders>
              <w:top w:val="single" w:color="000000" w:sz="4" w:space="0"/>
              <w:left w:val="single" w:color="000000" w:sz="4" w:space="0"/>
              <w:bottom w:val="single" w:color="000000" w:sz="4" w:space="0"/>
              <w:right w:val="single" w:color="000000" w:sz="4" w:space="0"/>
            </w:tcBorders>
            <w:vAlign w:val="center"/>
          </w:tcPr>
          <w:p w14:paraId="4E84820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88" w:type="pct"/>
            <w:tcBorders>
              <w:top w:val="single" w:color="000000" w:sz="4" w:space="0"/>
              <w:left w:val="single" w:color="000000" w:sz="4" w:space="0"/>
              <w:bottom w:val="single" w:color="000000" w:sz="4" w:space="0"/>
              <w:right w:val="single" w:color="000000" w:sz="4" w:space="0"/>
            </w:tcBorders>
            <w:vAlign w:val="center"/>
          </w:tcPr>
          <w:p w14:paraId="2036FD2C">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c>
          <w:tcPr>
            <w:tcW w:w="436" w:type="pct"/>
            <w:tcBorders>
              <w:top w:val="single" w:color="000000" w:sz="4" w:space="0"/>
              <w:left w:val="single" w:color="000000" w:sz="4" w:space="0"/>
              <w:bottom w:val="single" w:color="000000" w:sz="4" w:space="0"/>
              <w:right w:val="single" w:color="000000" w:sz="4" w:space="0"/>
            </w:tcBorders>
            <w:vAlign w:val="center"/>
          </w:tcPr>
          <w:p w14:paraId="72738E01">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24496735">
        <w:tblPrEx>
          <w:tblCellMar>
            <w:top w:w="0" w:type="dxa"/>
            <w:left w:w="108" w:type="dxa"/>
            <w:bottom w:w="0" w:type="dxa"/>
            <w:right w:w="108" w:type="dxa"/>
          </w:tblCellMar>
        </w:tblPrEx>
        <w:trPr>
          <w:trHeight w:val="567" w:hRule="atLeast"/>
          <w:jc w:val="center"/>
        </w:trPr>
        <w:tc>
          <w:tcPr>
            <w:tcW w:w="23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FB2DA">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sz w:val="24"/>
                <w:highlight w:val="none"/>
              </w:rPr>
              <w:t>投标报价（小写）</w:t>
            </w:r>
          </w:p>
        </w:tc>
        <w:tc>
          <w:tcPr>
            <w:tcW w:w="26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D634F">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r w14:paraId="297C3DFC">
        <w:tblPrEx>
          <w:tblCellMar>
            <w:top w:w="0" w:type="dxa"/>
            <w:left w:w="108" w:type="dxa"/>
            <w:bottom w:w="0" w:type="dxa"/>
            <w:right w:w="108" w:type="dxa"/>
          </w:tblCellMar>
        </w:tblPrEx>
        <w:trPr>
          <w:trHeight w:val="567" w:hRule="atLeast"/>
          <w:jc w:val="center"/>
        </w:trPr>
        <w:tc>
          <w:tcPr>
            <w:tcW w:w="23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5961C3">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sz w:val="24"/>
                <w:highlight w:val="none"/>
              </w:rPr>
              <w:t>投标报价（大写）</w:t>
            </w:r>
          </w:p>
        </w:tc>
        <w:tc>
          <w:tcPr>
            <w:tcW w:w="26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FA80B8">
            <w:pPr>
              <w:widowControl/>
              <w:ind w:left="0" w:leftChars="0" w:firstLine="0" w:firstLineChars="0"/>
              <w:jc w:val="center"/>
              <w:rPr>
                <w:rFonts w:hint="eastAsia" w:ascii="仿宋" w:hAnsi="仿宋" w:eastAsia="仿宋" w:cs="仿宋"/>
                <w:b w:val="0"/>
                <w:bCs w:val="0"/>
                <w:color w:val="000000"/>
                <w:kern w:val="0"/>
                <w:sz w:val="24"/>
                <w:szCs w:val="24"/>
                <w:lang w:val="en-US" w:eastAsia="zh-CN"/>
              </w:rPr>
            </w:pPr>
          </w:p>
        </w:tc>
      </w:tr>
    </w:tbl>
    <w:p w14:paraId="770AD2EE">
      <w:pPr>
        <w:snapToGrid w:val="0"/>
        <w:spacing w:before="50" w:after="50" w:line="360" w:lineRule="auto"/>
        <w:jc w:val="left"/>
        <w:rPr>
          <w:rFonts w:ascii="仿宋" w:hAnsi="仿宋" w:eastAsia="仿宋" w:cs="仿宋"/>
          <w:sz w:val="24"/>
          <w:szCs w:val="20"/>
        </w:rPr>
      </w:pPr>
      <w:r>
        <w:rPr>
          <w:rFonts w:hint="eastAsia" w:ascii="仿宋" w:hAnsi="仿宋" w:eastAsia="仿宋" w:cs="仿宋"/>
          <w:sz w:val="24"/>
        </w:rPr>
        <w:t>注：</w:t>
      </w:r>
      <w:r>
        <w:rPr>
          <w:rFonts w:hint="eastAsia" w:ascii="仿宋" w:hAnsi="仿宋" w:eastAsia="仿宋" w:cs="仿宋"/>
          <w:sz w:val="24"/>
          <w:lang w:val="en-US" w:eastAsia="zh-CN"/>
        </w:rPr>
        <w:t>1.</w:t>
      </w:r>
      <w:r>
        <w:rPr>
          <w:rFonts w:hint="eastAsia" w:ascii="仿宋" w:hAnsi="仿宋" w:eastAsia="仿宋" w:cs="仿宋"/>
          <w:sz w:val="24"/>
        </w:rPr>
        <w:t>报价一经涂改，应在涂改处加盖单位公章或者由法定代表人或授权委托人签字或盖章，否则其投标作无效标处理。</w:t>
      </w:r>
    </w:p>
    <w:p w14:paraId="1F921853">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投标报价是履行合同的最终价格。报价为包含运抵使用单位的运输、安装、调试、验收、税金等全部费用的报价。</w:t>
      </w:r>
    </w:p>
    <w:p w14:paraId="5A387A7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pacing w:val="20"/>
          <w:sz w:val="24"/>
        </w:rPr>
      </w:pPr>
    </w:p>
    <w:p w14:paraId="76F51ACD">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spacing w:val="20"/>
          <w:sz w:val="24"/>
        </w:rPr>
      </w:pPr>
      <w:r>
        <w:rPr>
          <w:rFonts w:hint="eastAsia" w:ascii="仿宋" w:hAnsi="仿宋" w:eastAsia="仿宋" w:cs="仿宋"/>
          <w:spacing w:val="20"/>
          <w:sz w:val="24"/>
        </w:rPr>
        <w:t>投标人盖章：</w:t>
      </w:r>
    </w:p>
    <w:p w14:paraId="69322183">
      <w:pPr>
        <w:autoSpaceDE/>
        <w:autoSpaceDN/>
      </w:pPr>
      <w:r>
        <w:rPr>
          <w:rFonts w:hint="eastAsia" w:ascii="仿宋" w:hAnsi="仿宋" w:eastAsia="仿宋" w:cs="仿宋"/>
          <w:spacing w:val="20"/>
          <w:sz w:val="24"/>
        </w:rPr>
        <w:t>日  期：</w:t>
      </w:r>
    </w:p>
    <w:p w14:paraId="58C67F81">
      <w:r>
        <w:br w:type="page"/>
      </w:r>
    </w:p>
    <w:p w14:paraId="17C3F4EC">
      <w:pPr>
        <w:pStyle w:val="694"/>
        <w:keepNext w:val="0"/>
        <w:pageBreakBefore w:val="0"/>
        <w:tabs>
          <w:tab w:val="clear" w:pos="720"/>
        </w:tabs>
        <w:snapToGrid w:val="0"/>
        <w:spacing w:before="120" w:after="120"/>
        <w:outlineLvl w:val="2"/>
        <w:rPr>
          <w:rFonts w:hint="eastAsia" w:ascii="仿宋" w:hAnsi="仿宋" w:eastAsia="仿宋" w:cs="仿宋"/>
          <w:kern w:val="2"/>
          <w:sz w:val="32"/>
          <w:szCs w:val="32"/>
          <w:lang w:eastAsia="zh-CN"/>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中小企业声明函</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如有</w:t>
      </w:r>
      <w:r>
        <w:rPr>
          <w:rFonts w:hint="eastAsia" w:ascii="仿宋" w:hAnsi="仿宋" w:eastAsia="仿宋" w:cs="仿宋"/>
          <w:kern w:val="2"/>
          <w:sz w:val="32"/>
          <w:szCs w:val="32"/>
          <w:lang w:eastAsia="zh-CN"/>
        </w:rPr>
        <w:t>）</w:t>
      </w:r>
    </w:p>
    <w:p w14:paraId="09325B99">
      <w:pPr>
        <w:spacing w:line="360" w:lineRule="auto"/>
        <w:ind w:right="420"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r>
        <w:rPr>
          <w:rFonts w:hint="eastAsia" w:ascii="仿宋" w:hAnsi="仿宋" w:eastAsia="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14:paraId="49E54EBB">
      <w:pPr>
        <w:spacing w:line="360" w:lineRule="auto"/>
        <w:ind w:right="420" w:firstLine="420" w:firstLineChars="200"/>
        <w:rPr>
          <w:rFonts w:hint="eastAsia" w:ascii="仿宋" w:hAnsi="仿宋" w:eastAsia="仿宋" w:cs="仿宋"/>
        </w:rPr>
      </w:pPr>
      <w:r>
        <w:rPr>
          <w:rFonts w:hint="eastAsia" w:ascii="仿宋" w:hAnsi="仿宋" w:eastAsia="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C85EC2">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货物</w:t>
      </w:r>
      <w:r>
        <w:rPr>
          <w:rFonts w:hint="eastAsia" w:ascii="仿宋" w:hAnsi="仿宋" w:eastAsia="仿宋" w:cs="仿宋"/>
          <w:b/>
          <w:sz w:val="32"/>
          <w:szCs w:val="32"/>
          <w:highlight w:val="none"/>
          <w:lang w:eastAsia="zh-CN"/>
        </w:rPr>
        <w:t>）</w:t>
      </w:r>
    </w:p>
    <w:p w14:paraId="671CDCB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 号）的规定，本公司（联合体）参加</w:t>
      </w:r>
      <w:r>
        <w:rPr>
          <w:rFonts w:hint="eastAsia" w:ascii="仿宋" w:hAnsi="仿宋" w:eastAsia="仿宋" w:cs="仿宋"/>
          <w:highlight w:val="none"/>
          <w:u w:val="single"/>
          <w:lang w:val="en-US" w:eastAsia="zh-CN"/>
        </w:rPr>
        <w:t xml:space="preserve"> 中国计量大学 </w:t>
      </w:r>
      <w:r>
        <w:rPr>
          <w:rFonts w:hint="eastAsia" w:ascii="仿宋" w:hAnsi="仿宋" w:eastAsia="仿宋" w:cs="仿宋"/>
          <w:highlight w:val="none"/>
        </w:rPr>
        <w:t>的</w:t>
      </w:r>
      <w:r>
        <w:rPr>
          <w:rFonts w:hint="eastAsia" w:ascii="仿宋" w:hAnsi="仿宋" w:eastAsia="仿宋" w:cs="仿宋"/>
          <w:b/>
          <w:highlight w:val="none"/>
          <w:u w:val="single"/>
        </w:rPr>
        <w:t xml:space="preserve"> </w:t>
      </w:r>
      <w:r>
        <w:rPr>
          <w:rFonts w:hint="eastAsia" w:ascii="仿宋" w:hAnsi="仿宋" w:eastAsia="仿宋" w:cs="仿宋"/>
          <w:b w:val="0"/>
          <w:bCs/>
          <w:highlight w:val="none"/>
          <w:u w:val="single"/>
        </w:rPr>
        <w:t>智慧后勤系统建设-中国计量大学东生活区道闸系统</w:t>
      </w:r>
      <w:r>
        <w:rPr>
          <w:rFonts w:hint="eastAsia" w:ascii="仿宋" w:hAnsi="仿宋" w:eastAsia="仿宋" w:cs="仿宋"/>
          <w:b/>
          <w:highlight w:val="none"/>
          <w:u w:val="single"/>
        </w:rPr>
        <w:t xml:space="preserve"> </w:t>
      </w:r>
      <w:r>
        <w:rPr>
          <w:rFonts w:hint="eastAsia" w:ascii="仿宋" w:hAnsi="仿宋" w:eastAsia="仿宋" w:cs="仿宋"/>
          <w:highlight w:val="none"/>
        </w:rPr>
        <w:t>采购活动，提供的货物全部由符合政策要求的中小企业制造。相关企业（含联合体中的中小企业、签订分包意向协议的中小企业）的具体情况如下：</w:t>
      </w:r>
    </w:p>
    <w:p w14:paraId="498532AF">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highlight w:val="none"/>
          <w:u w:val="single"/>
          <w:vertAlign w:val="baseline"/>
        </w:rPr>
        <w:t>1.公寓道闸系统管理平台</w:t>
      </w:r>
      <w:r>
        <w:rPr>
          <w:rFonts w:hint="eastAsia" w:ascii="仿宋" w:hAnsi="仿宋" w:eastAsia="仿宋" w:cs="仿宋"/>
          <w:i w:val="0"/>
          <w:iCs w:val="0"/>
          <w:caps w:val="0"/>
          <w:color w:val="000000"/>
          <w:spacing w:val="0"/>
          <w:sz w:val="21"/>
          <w:szCs w:val="21"/>
          <w:highlight w:val="none"/>
          <w:vertAlign w:val="baseline"/>
        </w:rPr>
        <w:t>，属于</w:t>
      </w:r>
      <w:r>
        <w:rPr>
          <w:rFonts w:hint="eastAsia" w:ascii="仿宋" w:hAnsi="仿宋" w:eastAsia="仿宋" w:cs="仿宋"/>
          <w:i w:val="0"/>
          <w:iCs w:val="0"/>
          <w:caps w:val="0"/>
          <w:color w:val="000000"/>
          <w:spacing w:val="0"/>
          <w:sz w:val="21"/>
          <w:szCs w:val="21"/>
          <w:highlight w:val="none"/>
          <w:u w:val="single"/>
          <w:vertAlign w:val="baseline"/>
        </w:rPr>
        <w:t xml:space="preserve"> </w:t>
      </w:r>
      <w:r>
        <w:rPr>
          <w:rFonts w:hint="eastAsia" w:ascii="仿宋" w:hAnsi="仿宋" w:eastAsia="仿宋" w:cs="仿宋"/>
          <w:sz w:val="21"/>
          <w:szCs w:val="21"/>
          <w:highlight w:val="none"/>
          <w:u w:val="single"/>
        </w:rPr>
        <w:t>软件和信息技术服务业</w:t>
      </w:r>
      <w:r>
        <w:rPr>
          <w:rFonts w:hint="eastAsia" w:ascii="仿宋" w:hAnsi="仿宋" w:eastAsia="仿宋" w:cs="仿宋"/>
          <w:i w:val="0"/>
          <w:iCs w:val="0"/>
          <w:caps w:val="0"/>
          <w:color w:val="000000"/>
          <w:spacing w:val="0"/>
          <w:sz w:val="21"/>
          <w:szCs w:val="21"/>
          <w:highlight w:val="none"/>
          <w:u w:val="single"/>
          <w:vertAlign w:val="baseline"/>
        </w:rPr>
        <w:t xml:space="preserve"> </w:t>
      </w:r>
      <w:r>
        <w:rPr>
          <w:rFonts w:hint="eastAsia" w:ascii="仿宋" w:hAnsi="仿宋" w:eastAsia="仿宋" w:cs="仿宋"/>
          <w:i w:val="0"/>
          <w:iCs w:val="0"/>
          <w:caps w:val="0"/>
          <w:color w:val="000000"/>
          <w:spacing w:val="0"/>
          <w:sz w:val="21"/>
          <w:szCs w:val="21"/>
          <w:highlight w:val="none"/>
          <w:u w:val="none"/>
          <w:vertAlign w:val="baseline"/>
          <w:lang w:eastAsia="zh-CN"/>
        </w:rPr>
        <w:t>行业</w:t>
      </w:r>
      <w:r>
        <w:rPr>
          <w:rFonts w:hint="eastAsia" w:ascii="仿宋" w:hAnsi="仿宋" w:eastAsia="仿宋" w:cs="仿宋"/>
          <w:i w:val="0"/>
          <w:iCs w:val="0"/>
          <w:caps w:val="0"/>
          <w:color w:val="000000"/>
          <w:spacing w:val="0"/>
          <w:sz w:val="21"/>
          <w:szCs w:val="21"/>
          <w:highlight w:val="none"/>
          <w:vertAlign w:val="baseline"/>
        </w:rPr>
        <w:t xml:space="preserve">；承接企业为 </w:t>
      </w:r>
      <w:r>
        <w:rPr>
          <w:rFonts w:hint="eastAsia" w:ascii="仿宋" w:hAnsi="仿宋" w:eastAsia="仿宋" w:cs="仿宋"/>
          <w:i w:val="0"/>
          <w:iCs w:val="0"/>
          <w:caps w:val="0"/>
          <w:color w:val="000000"/>
          <w:spacing w:val="0"/>
          <w:sz w:val="21"/>
          <w:szCs w:val="21"/>
          <w:highlight w:val="none"/>
          <w:u w:val="single"/>
          <w:vertAlign w:val="baseline"/>
        </w:rPr>
        <w:t>（企业名称）</w:t>
      </w:r>
      <w:r>
        <w:rPr>
          <w:rFonts w:hint="eastAsia" w:ascii="仿宋" w:hAnsi="仿宋" w:eastAsia="仿宋" w:cs="仿宋"/>
          <w:i w:val="0"/>
          <w:iCs w:val="0"/>
          <w:caps w:val="0"/>
          <w:color w:val="000000"/>
          <w:spacing w:val="0"/>
          <w:sz w:val="21"/>
          <w:szCs w:val="21"/>
          <w:highlight w:val="none"/>
          <w:vertAlign w:val="baseline"/>
        </w:rPr>
        <w:t xml:space="preserve"> ，从业人员</w:t>
      </w:r>
      <w:r>
        <w:rPr>
          <w:rFonts w:hint="eastAsia" w:ascii="仿宋" w:hAnsi="仿宋" w:eastAsia="仿宋" w:cs="仿宋"/>
          <w:i w:val="0"/>
          <w:iCs w:val="0"/>
          <w:caps w:val="0"/>
          <w:color w:val="000000"/>
          <w:spacing w:val="0"/>
          <w:sz w:val="21"/>
          <w:szCs w:val="21"/>
          <w:highlight w:val="none"/>
          <w:u w:val="single"/>
          <w:vertAlign w:val="baseline"/>
          <w:lang w:val="en-US" w:eastAsia="zh-CN"/>
        </w:rPr>
        <w:t xml:space="preserve">  </w:t>
      </w:r>
      <w:r>
        <w:rPr>
          <w:rFonts w:hint="eastAsia" w:ascii="仿宋" w:hAnsi="仿宋" w:eastAsia="仿宋" w:cs="仿宋"/>
          <w:i w:val="0"/>
          <w:iCs w:val="0"/>
          <w:caps w:val="0"/>
          <w:color w:val="000000"/>
          <w:spacing w:val="0"/>
          <w:sz w:val="21"/>
          <w:szCs w:val="21"/>
          <w:highlight w:val="none"/>
          <w:u w:val="single"/>
          <w:vertAlign w:val="baseline"/>
        </w:rPr>
        <w:t xml:space="preserve"> </w:t>
      </w:r>
      <w:r>
        <w:rPr>
          <w:rFonts w:hint="eastAsia" w:ascii="仿宋" w:hAnsi="仿宋" w:eastAsia="仿宋" w:cs="仿宋"/>
          <w:i w:val="0"/>
          <w:iCs w:val="0"/>
          <w:caps w:val="0"/>
          <w:color w:val="000000"/>
          <w:spacing w:val="0"/>
          <w:sz w:val="21"/>
          <w:szCs w:val="21"/>
          <w:highlight w:val="none"/>
          <w:vertAlign w:val="baseline"/>
        </w:rPr>
        <w:t>人，营业收入为</w:t>
      </w:r>
      <w:r>
        <w:rPr>
          <w:rFonts w:hint="eastAsia" w:ascii="仿宋" w:hAnsi="仿宋" w:eastAsia="仿宋" w:cs="仿宋"/>
          <w:i w:val="0"/>
          <w:iCs w:val="0"/>
          <w:caps w:val="0"/>
          <w:color w:val="000000"/>
          <w:spacing w:val="0"/>
          <w:sz w:val="21"/>
          <w:szCs w:val="21"/>
          <w:highlight w:val="none"/>
          <w:u w:val="single"/>
          <w:vertAlign w:val="baseline"/>
          <w:lang w:val="en-US" w:eastAsia="zh-CN"/>
        </w:rPr>
        <w:t xml:space="preserve">  </w:t>
      </w:r>
      <w:r>
        <w:rPr>
          <w:rFonts w:hint="eastAsia" w:ascii="仿宋" w:hAnsi="仿宋" w:eastAsia="仿宋" w:cs="仿宋"/>
          <w:i w:val="0"/>
          <w:iCs w:val="0"/>
          <w:caps w:val="0"/>
          <w:color w:val="000000"/>
          <w:spacing w:val="0"/>
          <w:sz w:val="21"/>
          <w:szCs w:val="21"/>
          <w:highlight w:val="none"/>
          <w:u w:val="single"/>
          <w:vertAlign w:val="baseline"/>
        </w:rPr>
        <w:t xml:space="preserve"> </w:t>
      </w:r>
      <w:r>
        <w:rPr>
          <w:rFonts w:hint="eastAsia" w:ascii="仿宋" w:hAnsi="仿宋" w:eastAsia="仿宋" w:cs="仿宋"/>
          <w:i w:val="0"/>
          <w:iCs w:val="0"/>
          <w:caps w:val="0"/>
          <w:color w:val="000000"/>
          <w:spacing w:val="0"/>
          <w:sz w:val="21"/>
          <w:szCs w:val="21"/>
          <w:highlight w:val="none"/>
          <w:vertAlign w:val="baseline"/>
        </w:rPr>
        <w:t>万元，资产</w:t>
      </w:r>
      <w:r>
        <w:rPr>
          <w:rFonts w:hint="eastAsia" w:ascii="仿宋" w:hAnsi="仿宋" w:eastAsia="仿宋" w:cs="仿宋"/>
          <w:i w:val="0"/>
          <w:iCs w:val="0"/>
          <w:caps w:val="0"/>
          <w:color w:val="000000"/>
          <w:spacing w:val="0"/>
          <w:sz w:val="21"/>
          <w:szCs w:val="21"/>
          <w:vertAlign w:val="baseline"/>
        </w:rPr>
        <w:t>总额为</w:t>
      </w:r>
      <w:r>
        <w:rPr>
          <w:rFonts w:hint="eastAsia" w:ascii="仿宋" w:hAnsi="仿宋" w:eastAsia="仿宋" w:cs="仿宋"/>
          <w:i w:val="0"/>
          <w:iCs w:val="0"/>
          <w:caps w:val="0"/>
          <w:color w:val="000000"/>
          <w:spacing w:val="0"/>
          <w:sz w:val="21"/>
          <w:szCs w:val="21"/>
          <w:u w:val="single"/>
          <w:vertAlign w:val="baseline"/>
        </w:rPr>
        <w:t xml:space="preserve"> </w:t>
      </w:r>
      <w:r>
        <w:rPr>
          <w:rFonts w:hint="eastAsia" w:ascii="仿宋" w:hAnsi="仿宋" w:eastAsia="仿宋" w:cs="仿宋"/>
          <w:i w:val="0"/>
          <w:iCs w:val="0"/>
          <w:caps w:val="0"/>
          <w:color w:val="000000"/>
          <w:spacing w:val="0"/>
          <w:sz w:val="21"/>
          <w:szCs w:val="21"/>
          <w:u w:val="single"/>
          <w:vertAlign w:val="baseline"/>
          <w:lang w:val="en-US" w:eastAsia="zh-CN"/>
        </w:rPr>
        <w:t xml:space="preserve"> </w:t>
      </w:r>
      <w:r>
        <w:rPr>
          <w:rFonts w:hint="eastAsia" w:ascii="仿宋" w:hAnsi="仿宋" w:eastAsia="仿宋" w:cs="仿宋"/>
          <w:i w:val="0"/>
          <w:iCs w:val="0"/>
          <w:caps w:val="0"/>
          <w:color w:val="000000"/>
          <w:spacing w:val="0"/>
          <w:sz w:val="21"/>
          <w:szCs w:val="21"/>
          <w:vertAlign w:val="baseline"/>
        </w:rPr>
        <w:t>万元，属于</w:t>
      </w:r>
      <w:r>
        <w:rPr>
          <w:rFonts w:hint="eastAsia" w:ascii="仿宋" w:hAnsi="仿宋" w:eastAsia="仿宋" w:cs="仿宋"/>
          <w:i w:val="0"/>
          <w:iCs w:val="0"/>
          <w:caps w:val="0"/>
          <w:color w:val="000000"/>
          <w:spacing w:val="0"/>
          <w:sz w:val="21"/>
          <w:szCs w:val="21"/>
          <w:u w:val="single"/>
          <w:vertAlign w:val="baseline"/>
        </w:rPr>
        <w:t xml:space="preserve"> （填写中型企业、或者小型企业、或者微型企业的</w:t>
      </w:r>
      <w:r>
        <w:rPr>
          <w:rFonts w:hint="eastAsia" w:ascii="仿宋" w:hAnsi="仿宋" w:eastAsia="仿宋" w:cs="仿宋"/>
          <w:i w:val="0"/>
          <w:iCs w:val="0"/>
          <w:caps w:val="0"/>
          <w:color w:val="000000"/>
          <w:spacing w:val="0"/>
          <w:sz w:val="21"/>
          <w:szCs w:val="21"/>
          <w:highlight w:val="none"/>
          <w:u w:val="single"/>
          <w:vertAlign w:val="baseline"/>
        </w:rPr>
        <w:t>一种）</w:t>
      </w:r>
      <w:r>
        <w:rPr>
          <w:rFonts w:hint="eastAsia" w:ascii="仿宋" w:hAnsi="仿宋" w:eastAsia="仿宋" w:cs="仿宋"/>
          <w:i/>
          <w:w w:val="96"/>
          <w:sz w:val="21"/>
          <w:szCs w:val="21"/>
          <w:highlight w:val="none"/>
          <w:u w:val="single"/>
        </w:rPr>
        <w:t>（</w:t>
      </w:r>
      <w:r>
        <w:rPr>
          <w:rFonts w:hint="eastAsia" w:ascii="仿宋" w:hAnsi="仿宋" w:eastAsia="仿宋" w:cs="仿宋"/>
          <w:b/>
          <w:bCs/>
          <w:i/>
          <w:w w:val="96"/>
          <w:sz w:val="21"/>
          <w:szCs w:val="21"/>
          <w:highlight w:val="none"/>
          <w:u w:val="single"/>
        </w:rPr>
        <w:t>特别提醒：选择其中一种企业类型填写，不要全部写上</w:t>
      </w:r>
      <w:r>
        <w:rPr>
          <w:rFonts w:hint="eastAsia" w:ascii="仿宋" w:hAnsi="仿宋" w:eastAsia="仿宋" w:cs="仿宋"/>
          <w:i/>
          <w:w w:val="96"/>
          <w:sz w:val="21"/>
          <w:szCs w:val="21"/>
          <w:highlight w:val="none"/>
          <w:u w:val="single"/>
        </w:rPr>
        <w:t>）</w:t>
      </w:r>
    </w:p>
    <w:p w14:paraId="254FD576">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lang w:val="en-US" w:eastAsia="zh-CN"/>
        </w:rPr>
        <w:t>2</w:t>
      </w:r>
      <w:r>
        <w:rPr>
          <w:rFonts w:hint="eastAsia" w:ascii="仿宋" w:hAnsi="仿宋" w:eastAsia="仿宋" w:cs="仿宋"/>
          <w:szCs w:val="21"/>
          <w:highlight w:val="none"/>
          <w:u w:val="single"/>
        </w:rPr>
        <w:t>.</w:t>
      </w:r>
      <w:r>
        <w:rPr>
          <w:rFonts w:hint="eastAsia" w:ascii="仿宋" w:hAnsi="仿宋" w:eastAsia="仿宋" w:cs="仿宋"/>
          <w:sz w:val="21"/>
          <w:szCs w:val="21"/>
          <w:u w:val="single"/>
        </w:rPr>
        <w:t>无刷通用翼闸左边道</w:t>
      </w:r>
      <w:r>
        <w:rPr>
          <w:rFonts w:hint="eastAsia" w:ascii="仿宋" w:hAnsi="仿宋" w:eastAsia="仿宋" w:cs="仿宋"/>
          <w:szCs w:val="21"/>
          <w:highlight w:val="none"/>
        </w:rPr>
        <w:t xml:space="preserve">，属于 </w:t>
      </w:r>
      <w:r>
        <w:rPr>
          <w:rFonts w:hint="eastAsia" w:ascii="仿宋" w:hAnsi="仿宋" w:eastAsia="仿宋" w:cs="仿宋"/>
          <w:szCs w:val="21"/>
          <w:highlight w:val="none"/>
          <w:u w:val="single"/>
        </w:rPr>
        <w:t xml:space="preserve">工业 </w:t>
      </w:r>
      <w:r>
        <w:rPr>
          <w:rFonts w:hint="eastAsia" w:ascii="仿宋" w:hAnsi="仿宋" w:eastAsia="仿宋" w:cs="仿宋"/>
          <w:szCs w:val="21"/>
          <w:highlight w:val="none"/>
        </w:rPr>
        <w:t>行业；制造商为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 xml:space="preserve"> ，从业人员【】人，营业收入为【】万元，资产总额为【】万元，属于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r>
        <w:rPr>
          <w:rFonts w:hint="eastAsia" w:ascii="仿宋" w:hAnsi="仿宋" w:eastAsia="仿宋" w:cs="仿宋"/>
          <w:szCs w:val="21"/>
          <w:highlight w:val="none"/>
          <w:u w:val="single"/>
        </w:rPr>
        <w:t>。</w:t>
      </w:r>
    </w:p>
    <w:p w14:paraId="4B63B86C">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3</w:t>
      </w:r>
      <w:r>
        <w:rPr>
          <w:rFonts w:hint="eastAsia" w:ascii="仿宋" w:hAnsi="仿宋" w:eastAsia="仿宋" w:cs="仿宋"/>
          <w:szCs w:val="21"/>
          <w:highlight w:val="none"/>
          <w:u w:val="none"/>
        </w:rPr>
        <w:t>.</w:t>
      </w:r>
      <w:r>
        <w:rPr>
          <w:rFonts w:hint="eastAsia" w:ascii="仿宋" w:hAnsi="仿宋" w:eastAsia="仿宋" w:cs="仿宋"/>
          <w:sz w:val="21"/>
          <w:szCs w:val="21"/>
          <w:u w:val="none"/>
        </w:rPr>
        <w:t>无刷通用翼闸中间道</w:t>
      </w:r>
      <w:r>
        <w:rPr>
          <w:rFonts w:hint="eastAsia" w:ascii="仿宋" w:hAnsi="仿宋" w:eastAsia="仿宋" w:cs="仿宋"/>
          <w:szCs w:val="21"/>
          <w:highlight w:val="none"/>
        </w:rPr>
        <w:t xml:space="preserve">，属于 </w:t>
      </w:r>
      <w:r>
        <w:rPr>
          <w:rFonts w:hint="eastAsia" w:ascii="仿宋" w:hAnsi="仿宋" w:eastAsia="仿宋" w:cs="仿宋"/>
          <w:szCs w:val="21"/>
          <w:highlight w:val="none"/>
          <w:u w:val="single"/>
        </w:rPr>
        <w:t xml:space="preserve">工业 </w:t>
      </w:r>
      <w:r>
        <w:rPr>
          <w:rFonts w:hint="eastAsia" w:ascii="仿宋" w:hAnsi="仿宋" w:eastAsia="仿宋" w:cs="仿宋"/>
          <w:szCs w:val="21"/>
          <w:highlight w:val="none"/>
        </w:rPr>
        <w:t>行业；制造商为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 xml:space="preserve"> ，从业人员【】人，营业收入为【】万元，资产总额为【】万元，属于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r>
        <w:rPr>
          <w:rFonts w:hint="eastAsia" w:ascii="仿宋" w:hAnsi="仿宋" w:eastAsia="仿宋" w:cs="仿宋"/>
          <w:szCs w:val="21"/>
          <w:highlight w:val="none"/>
          <w:u w:val="single"/>
        </w:rPr>
        <w:t>。</w:t>
      </w:r>
    </w:p>
    <w:p w14:paraId="44C8B7D8">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4</w:t>
      </w:r>
      <w:r>
        <w:rPr>
          <w:rFonts w:hint="eastAsia" w:ascii="仿宋" w:hAnsi="仿宋" w:eastAsia="仿宋" w:cs="仿宋"/>
          <w:szCs w:val="21"/>
          <w:highlight w:val="none"/>
          <w:u w:val="none"/>
        </w:rPr>
        <w:t>.</w:t>
      </w:r>
      <w:r>
        <w:rPr>
          <w:rFonts w:hint="eastAsia" w:ascii="仿宋" w:hAnsi="仿宋" w:eastAsia="仿宋" w:cs="仿宋"/>
          <w:sz w:val="21"/>
          <w:szCs w:val="21"/>
          <w:u w:val="none"/>
          <w:lang w:val="en-US" w:eastAsia="zh-CN"/>
        </w:rPr>
        <w:t>无刷通用翼闸右边道</w:t>
      </w:r>
      <w:r>
        <w:rPr>
          <w:rFonts w:hint="eastAsia" w:ascii="仿宋" w:hAnsi="仿宋" w:eastAsia="仿宋" w:cs="仿宋"/>
          <w:szCs w:val="21"/>
          <w:highlight w:val="none"/>
        </w:rPr>
        <w:t xml:space="preserve">，属于 </w:t>
      </w:r>
      <w:r>
        <w:rPr>
          <w:rFonts w:hint="eastAsia" w:ascii="仿宋" w:hAnsi="仿宋" w:eastAsia="仿宋" w:cs="仿宋"/>
          <w:szCs w:val="21"/>
          <w:highlight w:val="none"/>
          <w:u w:val="single"/>
        </w:rPr>
        <w:t xml:space="preserve">工业 </w:t>
      </w:r>
      <w:r>
        <w:rPr>
          <w:rFonts w:hint="eastAsia" w:ascii="仿宋" w:hAnsi="仿宋" w:eastAsia="仿宋" w:cs="仿宋"/>
          <w:szCs w:val="21"/>
          <w:highlight w:val="none"/>
        </w:rPr>
        <w:t>行业；制造商为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 xml:space="preserve"> ，从业人员【】人，营业收入为【】万元，资产总额为【】万元，属于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r>
        <w:rPr>
          <w:rFonts w:hint="eastAsia" w:ascii="仿宋" w:hAnsi="仿宋" w:eastAsia="仿宋" w:cs="仿宋"/>
          <w:szCs w:val="21"/>
          <w:highlight w:val="none"/>
          <w:u w:val="single"/>
        </w:rPr>
        <w:t>。</w:t>
      </w:r>
    </w:p>
    <w:p w14:paraId="0771156E">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lang w:val="en-US" w:eastAsia="zh-CN"/>
        </w:rPr>
        <w:t>5</w:t>
      </w:r>
      <w:r>
        <w:rPr>
          <w:rFonts w:hint="eastAsia" w:ascii="仿宋" w:hAnsi="仿宋" w:eastAsia="仿宋" w:cs="仿宋"/>
          <w:szCs w:val="21"/>
          <w:highlight w:val="none"/>
          <w:u w:val="single"/>
        </w:rPr>
        <w:t>.</w:t>
      </w:r>
      <w:r>
        <w:rPr>
          <w:rFonts w:hint="eastAsia" w:ascii="仿宋" w:hAnsi="仿宋" w:eastAsia="仿宋" w:cs="仿宋"/>
          <w:sz w:val="21"/>
          <w:szCs w:val="21"/>
          <w:u w:val="single"/>
        </w:rPr>
        <w:t>通道人脸组件</w:t>
      </w:r>
      <w:r>
        <w:rPr>
          <w:rFonts w:hint="eastAsia" w:ascii="仿宋" w:hAnsi="仿宋" w:eastAsia="仿宋" w:cs="仿宋"/>
          <w:szCs w:val="21"/>
          <w:highlight w:val="none"/>
        </w:rPr>
        <w:t xml:space="preserve">，属于 </w:t>
      </w:r>
      <w:r>
        <w:rPr>
          <w:rFonts w:hint="eastAsia" w:ascii="仿宋" w:hAnsi="仿宋" w:eastAsia="仿宋" w:cs="仿宋"/>
          <w:szCs w:val="21"/>
          <w:highlight w:val="none"/>
          <w:u w:val="single"/>
        </w:rPr>
        <w:t xml:space="preserve">工业 </w:t>
      </w:r>
      <w:r>
        <w:rPr>
          <w:rFonts w:hint="eastAsia" w:ascii="仿宋" w:hAnsi="仿宋" w:eastAsia="仿宋" w:cs="仿宋"/>
          <w:szCs w:val="21"/>
          <w:highlight w:val="none"/>
        </w:rPr>
        <w:t>行业；制造商为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 xml:space="preserve"> ，从业人员【】人，营业收入为【】万元，资产总额为【】万元，属于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r>
        <w:rPr>
          <w:rFonts w:hint="eastAsia" w:ascii="仿宋" w:hAnsi="仿宋" w:eastAsia="仿宋" w:cs="仿宋"/>
          <w:szCs w:val="21"/>
          <w:highlight w:val="none"/>
          <w:u w:val="single"/>
        </w:rPr>
        <w:t>。</w:t>
      </w:r>
    </w:p>
    <w:p w14:paraId="5A61DCCE">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6</w:t>
      </w:r>
      <w:r>
        <w:rPr>
          <w:rFonts w:hint="eastAsia" w:ascii="仿宋" w:hAnsi="仿宋" w:eastAsia="仿宋" w:cs="仿宋"/>
          <w:szCs w:val="21"/>
          <w:highlight w:val="none"/>
          <w:u w:val="none"/>
        </w:rPr>
        <w:t>.</w:t>
      </w:r>
      <w:r>
        <w:rPr>
          <w:rFonts w:hint="eastAsia" w:ascii="仿宋" w:hAnsi="仿宋" w:eastAsia="仿宋" w:cs="仿宋"/>
          <w:b w:val="0"/>
          <w:bCs w:val="0"/>
          <w:color w:val="000000"/>
          <w:kern w:val="0"/>
          <w:sz w:val="21"/>
          <w:szCs w:val="21"/>
          <w:u w:val="none"/>
          <w:lang w:val="en-US" w:eastAsia="zh-CN"/>
        </w:rPr>
        <w:t>摄像机</w:t>
      </w:r>
      <w:r>
        <w:rPr>
          <w:rFonts w:hint="eastAsia" w:ascii="仿宋" w:hAnsi="仿宋" w:eastAsia="仿宋" w:cs="仿宋"/>
          <w:szCs w:val="21"/>
          <w:highlight w:val="none"/>
        </w:rPr>
        <w:t xml:space="preserve">，属于 </w:t>
      </w:r>
      <w:r>
        <w:rPr>
          <w:rFonts w:hint="eastAsia" w:ascii="仿宋" w:hAnsi="仿宋" w:eastAsia="仿宋" w:cs="仿宋"/>
          <w:szCs w:val="21"/>
          <w:highlight w:val="none"/>
          <w:u w:val="single"/>
        </w:rPr>
        <w:t xml:space="preserve">工业 </w:t>
      </w:r>
      <w:r>
        <w:rPr>
          <w:rFonts w:hint="eastAsia" w:ascii="仿宋" w:hAnsi="仿宋" w:eastAsia="仿宋" w:cs="仿宋"/>
          <w:szCs w:val="21"/>
          <w:highlight w:val="none"/>
        </w:rPr>
        <w:t>行业；制造商为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 xml:space="preserve"> ，从业人员【】人，营业收入为【】万元，资产总额为【】万元，属于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r>
        <w:rPr>
          <w:rFonts w:hint="eastAsia" w:ascii="仿宋" w:hAnsi="仿宋" w:eastAsia="仿宋" w:cs="仿宋"/>
          <w:szCs w:val="21"/>
          <w:highlight w:val="none"/>
          <w:u w:val="single"/>
        </w:rPr>
        <w:t>。</w:t>
      </w:r>
    </w:p>
    <w:p w14:paraId="7BD7DE81">
      <w:pPr>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7</w:t>
      </w:r>
      <w:r>
        <w:rPr>
          <w:rFonts w:hint="eastAsia" w:ascii="仿宋" w:hAnsi="仿宋" w:eastAsia="仿宋" w:cs="仿宋"/>
          <w:szCs w:val="21"/>
          <w:highlight w:val="none"/>
          <w:u w:val="none"/>
        </w:rPr>
        <w:t>.</w:t>
      </w:r>
      <w:r>
        <w:rPr>
          <w:rFonts w:hint="eastAsia" w:ascii="仿宋" w:hAnsi="仿宋" w:eastAsia="仿宋" w:cs="仿宋"/>
          <w:b w:val="0"/>
          <w:bCs w:val="0"/>
          <w:color w:val="000000"/>
          <w:kern w:val="0"/>
          <w:sz w:val="21"/>
          <w:szCs w:val="21"/>
          <w:u w:val="none"/>
          <w:lang w:val="en-US" w:eastAsia="zh-CN"/>
        </w:rPr>
        <w:t>硬盘录像机</w:t>
      </w:r>
      <w:r>
        <w:rPr>
          <w:rFonts w:hint="eastAsia" w:ascii="仿宋" w:hAnsi="仿宋" w:eastAsia="仿宋" w:cs="仿宋"/>
          <w:szCs w:val="21"/>
          <w:highlight w:val="none"/>
        </w:rPr>
        <w:t xml:space="preserve">，属于 </w:t>
      </w:r>
      <w:r>
        <w:rPr>
          <w:rFonts w:hint="eastAsia" w:ascii="仿宋" w:hAnsi="仿宋" w:eastAsia="仿宋" w:cs="仿宋"/>
          <w:szCs w:val="21"/>
          <w:highlight w:val="none"/>
          <w:u w:val="single"/>
        </w:rPr>
        <w:t xml:space="preserve">工业 </w:t>
      </w:r>
      <w:r>
        <w:rPr>
          <w:rFonts w:hint="eastAsia" w:ascii="仿宋" w:hAnsi="仿宋" w:eastAsia="仿宋" w:cs="仿宋"/>
          <w:szCs w:val="21"/>
          <w:highlight w:val="none"/>
        </w:rPr>
        <w:t>行业；制造商为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 xml:space="preserve"> ，从业人员【】人，营业收入为【】万元，资产总额为【】万元，属于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r>
        <w:rPr>
          <w:rFonts w:hint="eastAsia" w:ascii="仿宋" w:hAnsi="仿宋" w:eastAsia="仿宋" w:cs="仿宋"/>
          <w:szCs w:val="21"/>
          <w:highlight w:val="none"/>
          <w:u w:val="single"/>
        </w:rPr>
        <w:t>。</w:t>
      </w:r>
    </w:p>
    <w:p w14:paraId="5E36E4F3">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1"/>
          <w:szCs w:val="21"/>
        </w:rPr>
      </w:pPr>
    </w:p>
    <w:p w14:paraId="38F4FA0E">
      <w:pPr>
        <w:spacing w:line="360" w:lineRule="auto"/>
        <w:ind w:firstLine="420" w:firstLineChars="200"/>
        <w:rPr>
          <w:rFonts w:hint="eastAsia" w:ascii="仿宋" w:hAnsi="仿宋" w:eastAsia="仿宋" w:cs="仿宋"/>
        </w:rPr>
      </w:pPr>
    </w:p>
    <w:p w14:paraId="166AD97E">
      <w:pPr>
        <w:spacing w:line="360" w:lineRule="auto"/>
        <w:ind w:firstLine="42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14:paraId="126FB9A0">
      <w:pPr>
        <w:spacing w:line="360" w:lineRule="auto"/>
        <w:ind w:firstLine="42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14:paraId="2C455464">
      <w:pPr>
        <w:rPr>
          <w:rFonts w:hint="eastAsia" w:ascii="仿宋" w:hAnsi="仿宋" w:eastAsia="仿宋" w:cs="仿宋"/>
        </w:rPr>
      </w:pPr>
    </w:p>
    <w:p w14:paraId="4F6D826E">
      <w:pPr>
        <w:spacing w:line="360" w:lineRule="auto"/>
        <w:ind w:firstLine="4515" w:firstLineChars="2150"/>
        <w:rPr>
          <w:rFonts w:hint="eastAsia" w:ascii="仿宋" w:hAnsi="仿宋" w:eastAsia="仿宋" w:cs="仿宋"/>
          <w:kern w:val="0"/>
        </w:rPr>
      </w:pPr>
      <w:r>
        <w:rPr>
          <w:rFonts w:hint="eastAsia" w:ascii="仿宋" w:hAnsi="仿宋" w:eastAsia="仿宋" w:cs="仿宋"/>
          <w:kern w:val="0"/>
          <w:lang w:val="zh-CN"/>
        </w:rPr>
        <w:t>投标人名称(电子签名)：</w:t>
      </w:r>
    </w:p>
    <w:p w14:paraId="141E9996">
      <w:pPr>
        <w:ind w:right="30" w:firstLine="494"/>
        <w:jc w:val="center"/>
        <w:rPr>
          <w:rFonts w:hint="eastAsia" w:ascii="仿宋" w:hAnsi="仿宋" w:eastAsia="仿宋" w:cs="仿宋"/>
        </w:rPr>
      </w:pPr>
      <w:r>
        <w:rPr>
          <w:rFonts w:hint="eastAsia" w:ascii="仿宋" w:hAnsi="仿宋" w:eastAsia="仿宋" w:cs="仿宋"/>
          <w:kern w:val="0"/>
          <w:lang w:val="zh-CN"/>
        </w:rPr>
        <w:t xml:space="preserve">                                   日期</w:t>
      </w:r>
      <w:r>
        <w:rPr>
          <w:rFonts w:hint="eastAsia" w:ascii="仿宋" w:hAnsi="仿宋" w:eastAsia="仿宋" w:cs="仿宋"/>
          <w:kern w:val="0"/>
        </w:rPr>
        <w:t xml:space="preserve">：    </w:t>
      </w:r>
      <w:r>
        <w:rPr>
          <w:rFonts w:hint="eastAsia" w:ascii="仿宋" w:hAnsi="仿宋" w:eastAsia="仿宋" w:cs="仿宋"/>
        </w:rPr>
        <w:t xml:space="preserve">年   月   </w:t>
      </w:r>
      <w:r>
        <w:rPr>
          <w:rFonts w:hint="eastAsia" w:ascii="仿宋" w:hAnsi="仿宋" w:eastAsia="仿宋" w:cs="仿宋"/>
          <w:lang w:val="en-US" w:eastAsia="zh-CN"/>
        </w:rPr>
        <w:t>日</w:t>
      </w:r>
      <w:r>
        <w:rPr>
          <w:rFonts w:hint="eastAsia" w:ascii="仿宋" w:hAnsi="仿宋" w:eastAsia="仿宋" w:cs="仿宋"/>
        </w:rPr>
        <w:t xml:space="preserve">  </w:t>
      </w:r>
    </w:p>
    <w:p w14:paraId="22597ABB">
      <w:r>
        <w:br w:type="page"/>
      </w:r>
    </w:p>
    <w:p w14:paraId="651C4C50">
      <w:pPr>
        <w:pStyle w:val="26"/>
        <w:sectPr>
          <w:pgSz w:w="11907" w:h="16840"/>
          <w:pgMar w:top="1361" w:right="1361" w:bottom="1361" w:left="1361" w:header="851" w:footer="992" w:gutter="0"/>
          <w:cols w:space="720" w:num="1"/>
          <w:docGrid w:linePitch="312" w:charSpace="0"/>
        </w:sectPr>
      </w:pPr>
    </w:p>
    <w:p w14:paraId="59A0DAF0">
      <w:pPr>
        <w:pStyle w:val="694"/>
        <w:keepNext w:val="0"/>
        <w:pageBreakBefore w:val="0"/>
        <w:tabs>
          <w:tab w:val="clear" w:pos="720"/>
        </w:tabs>
        <w:snapToGrid w:val="0"/>
        <w:spacing w:before="120" w:after="120"/>
        <w:outlineLvl w:val="2"/>
        <w:rPr>
          <w:rFonts w:ascii="仿宋" w:hAnsi="仿宋" w:eastAsia="仿宋" w:cs="仿宋"/>
          <w:kern w:val="2"/>
          <w:sz w:val="32"/>
          <w:szCs w:val="32"/>
        </w:rPr>
      </w:pP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、中标服务费支付承诺书</w:t>
      </w:r>
    </w:p>
    <w:p w14:paraId="437965C2">
      <w:pPr>
        <w:spacing w:line="600" w:lineRule="auto"/>
        <w:jc w:val="center"/>
        <w:rPr>
          <w:rFonts w:ascii="仿宋" w:hAnsi="仿宋" w:eastAsia="仿宋" w:cs="仿宋"/>
          <w:b/>
          <w:sz w:val="28"/>
          <w:szCs w:val="28"/>
        </w:rPr>
      </w:pPr>
    </w:p>
    <w:p w14:paraId="7AD210EB">
      <w:pPr>
        <w:keepNext/>
        <w:keepLines/>
        <w:spacing w:line="600" w:lineRule="auto"/>
        <w:rPr>
          <w:rFonts w:ascii="仿宋" w:hAnsi="仿宋" w:eastAsia="仿宋" w:cs="仿宋"/>
          <w:sz w:val="24"/>
          <w:u w:val="single"/>
        </w:rPr>
      </w:pPr>
      <w:r>
        <w:rPr>
          <w:rFonts w:hint="eastAsia" w:ascii="仿宋" w:hAnsi="仿宋" w:eastAsia="仿宋" w:cs="仿宋"/>
          <w:sz w:val="24"/>
          <w:u w:val="single"/>
        </w:rPr>
        <w:t>浙江国际招投标有限公司：</w:t>
      </w:r>
    </w:p>
    <w:p w14:paraId="286626C3"/>
    <w:p w14:paraId="42412427">
      <w:pPr>
        <w:keepNext/>
        <w:keepLines/>
        <w:snapToGrid w:val="0"/>
        <w:spacing w:line="480" w:lineRule="auto"/>
        <w:ind w:firstLine="480" w:firstLineChars="200"/>
        <w:rPr>
          <w:rFonts w:ascii="仿宋" w:hAnsi="仿宋" w:eastAsia="仿宋" w:cs="仿宋"/>
          <w:sz w:val="24"/>
        </w:rPr>
      </w:pPr>
      <w:r>
        <w:rPr>
          <w:rFonts w:hint="eastAsia" w:ascii="仿宋" w:hAnsi="仿宋" w:eastAsia="仿宋" w:cs="仿宋"/>
          <w:sz w:val="24"/>
        </w:rPr>
        <w:t>本单位在此承诺：如在本项目中标，成交结果公告发布之日起5个工作日之内，向贵公司按采购文件约定支付中标服务费。</w:t>
      </w:r>
    </w:p>
    <w:p w14:paraId="42201183">
      <w:pPr>
        <w:snapToGrid w:val="0"/>
        <w:spacing w:line="480" w:lineRule="auto"/>
        <w:ind w:firstLine="420" w:firstLineChars="200"/>
        <w:rPr>
          <w:rFonts w:ascii="仿宋" w:hAnsi="仿宋" w:eastAsia="仿宋" w:cs="仿宋"/>
        </w:rPr>
      </w:pPr>
    </w:p>
    <w:p w14:paraId="430A9B0D">
      <w:pPr>
        <w:snapToGrid w:val="0"/>
        <w:spacing w:line="480" w:lineRule="auto"/>
        <w:ind w:firstLine="420" w:firstLineChars="200"/>
        <w:rPr>
          <w:rFonts w:ascii="仿宋" w:hAnsi="仿宋" w:eastAsia="仿宋" w:cs="仿宋"/>
        </w:rPr>
      </w:pPr>
    </w:p>
    <w:p w14:paraId="2286B153">
      <w:pPr>
        <w:spacing w:line="360" w:lineRule="auto"/>
        <w:rPr>
          <w:rFonts w:ascii="仿宋" w:hAnsi="仿宋" w:eastAsia="仿宋" w:cs="仿宋"/>
        </w:rPr>
      </w:pPr>
    </w:p>
    <w:p w14:paraId="2259D4B6">
      <w:pPr>
        <w:snapToGrid w:val="0"/>
        <w:spacing w:line="360" w:lineRule="auto"/>
        <w:jc w:val="right"/>
        <w:rPr>
          <w:rFonts w:ascii="仿宋" w:hAnsi="仿宋" w:eastAsia="仿宋" w:cs="仿宋"/>
          <w:spacing w:val="20"/>
          <w:sz w:val="24"/>
          <w:szCs w:val="22"/>
          <w:u w:val="single"/>
        </w:rPr>
      </w:pPr>
      <w:r>
        <w:rPr>
          <w:rFonts w:hint="eastAsia" w:ascii="仿宋" w:hAnsi="仿宋" w:eastAsia="仿宋" w:cs="仿宋"/>
          <w:sz w:val="24"/>
          <w:szCs w:val="22"/>
        </w:rPr>
        <w:t>投标人（盖公章）：</w:t>
      </w:r>
    </w:p>
    <w:p w14:paraId="01A79800">
      <w:pPr>
        <w:pStyle w:val="694"/>
        <w:keepNext w:val="0"/>
        <w:pageBreakBefore w:val="0"/>
        <w:tabs>
          <w:tab w:val="clear" w:pos="720"/>
        </w:tabs>
        <w:snapToGrid w:val="0"/>
        <w:spacing w:before="120" w:after="120"/>
        <w:ind w:firstLine="643"/>
        <w:jc w:val="right"/>
        <w:outlineLvl w:val="9"/>
        <w:rPr>
          <w:rFonts w:ascii="仿宋" w:hAnsi="仿宋" w:eastAsia="仿宋" w:cs="仿宋"/>
          <w:b w:val="0"/>
          <w:bCs/>
          <w:kern w:val="2"/>
          <w:sz w:val="32"/>
          <w:szCs w:val="32"/>
        </w:rPr>
        <w:sectPr>
          <w:pgSz w:w="11906" w:h="16838"/>
          <w:pgMar w:top="1440" w:right="1417" w:bottom="1440" w:left="1701" w:header="851" w:footer="992" w:gutter="0"/>
          <w:cols w:space="720" w:num="1"/>
          <w:titlePg/>
          <w:docGrid w:linePitch="312" w:charSpace="0"/>
        </w:sectPr>
      </w:pPr>
      <w:r>
        <w:rPr>
          <w:rFonts w:hint="eastAsia" w:ascii="仿宋" w:hAnsi="仿宋" w:eastAsia="仿宋" w:cs="仿宋"/>
          <w:b w:val="0"/>
          <w:bCs/>
          <w:spacing w:val="20"/>
          <w:sz w:val="24"/>
          <w:szCs w:val="22"/>
        </w:rPr>
        <w:t xml:space="preserve">日期：  </w:t>
      </w:r>
      <w:r>
        <w:rPr>
          <w:rFonts w:hint="eastAsia" w:ascii="仿宋" w:hAnsi="仿宋" w:eastAsia="仿宋" w:cs="仿宋"/>
          <w:b w:val="0"/>
          <w:bCs/>
          <w:sz w:val="24"/>
          <w:szCs w:val="22"/>
        </w:rPr>
        <w:t>年  月  日</w:t>
      </w:r>
    </w:p>
    <w:p w14:paraId="3BD221F5">
      <w:pPr>
        <w:pStyle w:val="2"/>
        <w:keepNext w:val="0"/>
        <w:keepLines w:val="0"/>
        <w:pageBreakBefore/>
        <w:widowControl/>
        <w:spacing w:before="100" w:beforeAutospacing="1" w:after="100" w:afterAutospacing="1" w:line="360" w:lineRule="auto"/>
        <w:ind w:left="1293" w:firstLine="3092" w:firstLineChars="700"/>
        <w:rPr>
          <w:rFonts w:ascii="仿宋" w:hAnsi="仿宋" w:eastAsia="仿宋" w:cs="仿宋"/>
        </w:rPr>
      </w:pPr>
      <w:bookmarkStart w:id="399" w:name="_Toc465665161"/>
      <w:r>
        <w:rPr>
          <w:rFonts w:hint="eastAsia" w:ascii="仿宋" w:hAnsi="仿宋" w:eastAsia="仿宋" w:cs="仿宋"/>
        </w:rPr>
        <w:t>附件</w:t>
      </w:r>
      <w:bookmarkEnd w:id="399"/>
    </w:p>
    <w:p w14:paraId="07A048B0">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48A55B5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77E8E41">
      <w:pPr>
        <w:snapToGrid w:val="0"/>
        <w:spacing w:beforeLines="100" w:line="360" w:lineRule="auto"/>
        <w:rPr>
          <w:rFonts w:ascii="仿宋" w:hAnsi="仿宋" w:eastAsia="仿宋" w:cs="仿宋"/>
          <w:bCs/>
          <w:sz w:val="24"/>
        </w:rPr>
      </w:pPr>
      <w:r>
        <w:rPr>
          <w:rFonts w:hint="eastAsia" w:ascii="仿宋" w:hAnsi="仿宋" w:eastAsia="仿宋" w:cs="仿宋"/>
          <w:bCs/>
          <w:sz w:val="24"/>
        </w:rPr>
        <w:t>一、质疑投标人基本信息</w:t>
      </w:r>
    </w:p>
    <w:p w14:paraId="561A4A7F">
      <w:pPr>
        <w:snapToGrid w:val="0"/>
        <w:spacing w:line="360" w:lineRule="auto"/>
        <w:rPr>
          <w:rFonts w:ascii="仿宋" w:hAnsi="仿宋" w:eastAsia="仿宋" w:cs="仿宋"/>
          <w:sz w:val="24"/>
          <w:u w:val="dotted"/>
        </w:rPr>
      </w:pPr>
      <w:r>
        <w:rPr>
          <w:rFonts w:hint="eastAsia" w:ascii="仿宋" w:hAnsi="仿宋" w:eastAsia="仿宋" w:cs="仿宋"/>
          <w:sz w:val="24"/>
        </w:rPr>
        <w:t>质疑投标人：</w:t>
      </w:r>
    </w:p>
    <w:p w14:paraId="5BDD3C83">
      <w:pPr>
        <w:snapToGrid w:val="0"/>
        <w:spacing w:line="360" w:lineRule="auto"/>
        <w:rPr>
          <w:rFonts w:ascii="仿宋" w:hAnsi="仿宋" w:eastAsia="仿宋" w:cs="仿宋"/>
          <w:sz w:val="24"/>
        </w:rPr>
      </w:pPr>
      <w:r>
        <w:rPr>
          <w:rFonts w:hint="eastAsia" w:ascii="仿宋" w:hAnsi="仿宋" w:eastAsia="仿宋" w:cs="仿宋"/>
          <w:sz w:val="24"/>
        </w:rPr>
        <w:t>地址：邮编：</w:t>
      </w:r>
    </w:p>
    <w:p w14:paraId="7B0C8779">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737CB29F">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584F10E">
      <w:pPr>
        <w:snapToGrid w:val="0"/>
        <w:spacing w:line="360" w:lineRule="auto"/>
        <w:rPr>
          <w:rFonts w:ascii="仿宋" w:hAnsi="仿宋" w:eastAsia="仿宋" w:cs="仿宋"/>
          <w:sz w:val="24"/>
        </w:rPr>
      </w:pPr>
      <w:r>
        <w:rPr>
          <w:rFonts w:hint="eastAsia" w:ascii="仿宋" w:hAnsi="仿宋" w:eastAsia="仿宋" w:cs="仿宋"/>
          <w:sz w:val="24"/>
        </w:rPr>
        <w:t>联系电话：</w:t>
      </w:r>
    </w:p>
    <w:p w14:paraId="27A9AF78">
      <w:pPr>
        <w:snapToGrid w:val="0"/>
        <w:spacing w:line="360" w:lineRule="auto"/>
        <w:rPr>
          <w:rFonts w:ascii="仿宋" w:hAnsi="仿宋" w:eastAsia="仿宋" w:cs="仿宋"/>
          <w:sz w:val="24"/>
        </w:rPr>
      </w:pPr>
      <w:r>
        <w:rPr>
          <w:rFonts w:hint="eastAsia" w:ascii="仿宋" w:hAnsi="仿宋" w:eastAsia="仿宋" w:cs="仿宋"/>
          <w:sz w:val="24"/>
        </w:rPr>
        <w:t>地址：邮编：</w:t>
      </w:r>
    </w:p>
    <w:p w14:paraId="42D752D2">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4B5465D9">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2446C49B">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899490F">
      <w:pPr>
        <w:snapToGrid w:val="0"/>
        <w:spacing w:line="360" w:lineRule="auto"/>
        <w:rPr>
          <w:rFonts w:ascii="仿宋" w:hAnsi="仿宋" w:eastAsia="仿宋" w:cs="仿宋"/>
          <w:sz w:val="24"/>
          <w:u w:val="dotted"/>
        </w:rPr>
      </w:pPr>
      <w:r>
        <w:rPr>
          <w:rFonts w:hint="eastAsia" w:ascii="仿宋" w:hAnsi="仿宋" w:eastAsia="仿宋" w:cs="仿宋"/>
          <w:sz w:val="24"/>
          <w:lang w:eastAsia="zh-CN"/>
        </w:rPr>
        <w:t>采购人</w:t>
      </w:r>
      <w:r>
        <w:rPr>
          <w:rFonts w:hint="eastAsia" w:ascii="仿宋" w:hAnsi="仿宋" w:eastAsia="仿宋" w:cs="仿宋"/>
          <w:sz w:val="24"/>
        </w:rPr>
        <w:t>名称：</w:t>
      </w:r>
    </w:p>
    <w:p w14:paraId="59352350">
      <w:pPr>
        <w:snapToGrid w:val="0"/>
        <w:spacing w:line="360" w:lineRule="auto"/>
        <w:rPr>
          <w:rFonts w:ascii="仿宋" w:hAnsi="仿宋" w:eastAsia="仿宋" w:cs="仿宋"/>
          <w:sz w:val="24"/>
        </w:rPr>
      </w:pPr>
      <w:r>
        <w:rPr>
          <w:rFonts w:hint="eastAsia" w:ascii="仿宋" w:hAnsi="仿宋" w:eastAsia="仿宋" w:cs="仿宋"/>
          <w:sz w:val="24"/>
        </w:rPr>
        <w:t>招标文件获取日期：</w:t>
      </w:r>
    </w:p>
    <w:p w14:paraId="7993821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2B3CBD2">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768FAADD">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6D41573E">
      <w:pPr>
        <w:snapToGrid w:val="0"/>
        <w:spacing w:line="360" w:lineRule="auto"/>
        <w:rPr>
          <w:rFonts w:ascii="仿宋" w:hAnsi="仿宋" w:eastAsia="仿宋" w:cs="仿宋"/>
          <w:sz w:val="24"/>
        </w:rPr>
      </w:pPr>
    </w:p>
    <w:p w14:paraId="2A4896FD">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58BE0EF8">
      <w:pPr>
        <w:snapToGrid w:val="0"/>
        <w:spacing w:line="360" w:lineRule="auto"/>
        <w:rPr>
          <w:rFonts w:ascii="仿宋" w:hAnsi="仿宋" w:eastAsia="仿宋" w:cs="仿宋"/>
          <w:sz w:val="24"/>
          <w:u w:val="dotted"/>
        </w:rPr>
      </w:pPr>
    </w:p>
    <w:p w14:paraId="667AC605">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F8954FE">
      <w:pPr>
        <w:snapToGrid w:val="0"/>
        <w:spacing w:line="360" w:lineRule="auto"/>
        <w:rPr>
          <w:rFonts w:ascii="仿宋" w:hAnsi="仿宋" w:eastAsia="仿宋" w:cs="仿宋"/>
          <w:sz w:val="24"/>
        </w:rPr>
      </w:pPr>
      <w:r>
        <w:rPr>
          <w:rFonts w:hint="eastAsia" w:ascii="仿宋" w:hAnsi="仿宋" w:eastAsia="仿宋" w:cs="仿宋"/>
          <w:sz w:val="24"/>
        </w:rPr>
        <w:t>……</w:t>
      </w:r>
    </w:p>
    <w:p w14:paraId="67597AB5">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B1B8AEC">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4C541F07">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EE83AB3">
      <w:pPr>
        <w:spacing w:line="360" w:lineRule="auto"/>
        <w:rPr>
          <w:rFonts w:ascii="仿宋" w:hAnsi="仿宋" w:eastAsia="仿宋" w:cs="仿宋"/>
          <w:sz w:val="24"/>
        </w:rPr>
      </w:pPr>
      <w:r>
        <w:rPr>
          <w:rFonts w:hint="eastAsia" w:ascii="仿宋" w:hAnsi="仿宋" w:eastAsia="仿宋" w:cs="仿宋"/>
          <w:sz w:val="24"/>
        </w:rPr>
        <w:t>日期：</w:t>
      </w:r>
    </w:p>
    <w:p w14:paraId="568BD012">
      <w:pPr>
        <w:spacing w:line="360" w:lineRule="auto"/>
        <w:jc w:val="center"/>
        <w:rPr>
          <w:rFonts w:ascii="仿宋" w:hAnsi="仿宋" w:eastAsia="仿宋" w:cs="仿宋"/>
          <w:b/>
          <w:bCs/>
          <w:sz w:val="24"/>
        </w:rPr>
      </w:pPr>
    </w:p>
    <w:p w14:paraId="5955150A">
      <w:pPr>
        <w:spacing w:line="360" w:lineRule="auto"/>
        <w:rPr>
          <w:rFonts w:ascii="仿宋" w:hAnsi="仿宋" w:eastAsia="仿宋" w:cs="仿宋"/>
          <w:b/>
          <w:sz w:val="24"/>
        </w:rPr>
      </w:pPr>
    </w:p>
    <w:p w14:paraId="020BCB2D">
      <w:pPr>
        <w:spacing w:line="360" w:lineRule="auto"/>
        <w:rPr>
          <w:rFonts w:ascii="仿宋" w:hAnsi="仿宋" w:eastAsia="仿宋" w:cs="仿宋"/>
          <w:b/>
          <w:sz w:val="24"/>
        </w:rPr>
      </w:pPr>
    </w:p>
    <w:p w14:paraId="65604EBE">
      <w:pPr>
        <w:spacing w:line="360" w:lineRule="auto"/>
        <w:rPr>
          <w:rFonts w:ascii="仿宋" w:hAnsi="仿宋" w:eastAsia="仿宋" w:cs="仿宋"/>
          <w:b/>
          <w:sz w:val="24"/>
        </w:rPr>
      </w:pPr>
    </w:p>
    <w:p w14:paraId="3518D321">
      <w:pPr>
        <w:spacing w:line="360" w:lineRule="auto"/>
        <w:rPr>
          <w:rFonts w:ascii="仿宋" w:hAnsi="仿宋" w:eastAsia="仿宋" w:cs="仿宋"/>
          <w:b/>
          <w:sz w:val="24"/>
        </w:rPr>
      </w:pPr>
      <w:r>
        <w:rPr>
          <w:rFonts w:hint="eastAsia" w:ascii="仿宋" w:hAnsi="仿宋" w:eastAsia="仿宋" w:cs="仿宋"/>
          <w:b/>
          <w:sz w:val="24"/>
        </w:rPr>
        <w:t>质疑函制作说明：</w:t>
      </w:r>
    </w:p>
    <w:p w14:paraId="44C3656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1.投标人提出质疑时，应提交质疑函和必要的证明材料。</w:t>
      </w:r>
    </w:p>
    <w:p w14:paraId="772A889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2.质疑投标人若委托代理人进行质疑的，质疑函应按要求列明“授权代表”的有关内容，并在附件中提交由质疑</w:t>
      </w:r>
      <w:r>
        <w:rPr>
          <w:rFonts w:hint="eastAsia" w:ascii="仿宋" w:hAnsi="仿宋" w:eastAsia="仿宋" w:cs="仿宋"/>
          <w:kern w:val="0"/>
          <w:sz w:val="24"/>
        </w:rPr>
        <w:t>投标人签署的授权委托书。授权委托书应载明代理人的姓名或者名称、代理事项、具体权限、期限和相关事项。</w:t>
      </w:r>
    </w:p>
    <w:p w14:paraId="12368A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3.质疑投标人若对项目的某一分包进行质疑，质疑函中应列明具体分包号。</w:t>
      </w:r>
    </w:p>
    <w:p w14:paraId="14DBC21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53B14F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6BDD28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6.质疑投标人为自然人的，质疑函应由本人签字；质疑投标人为法人或者其他组织的，质疑函应由法定代表人、主要负责人，或者其授权代表签字或者盖章，并加盖公章。</w:t>
      </w:r>
    </w:p>
    <w:p w14:paraId="610C8611">
      <w:pPr>
        <w:widowControl/>
        <w:spacing w:line="360" w:lineRule="auto"/>
        <w:ind w:firstLine="600" w:firstLineChars="200"/>
        <w:jc w:val="left"/>
        <w:rPr>
          <w:rFonts w:ascii="仿宋" w:hAnsi="仿宋" w:eastAsia="仿宋" w:cs="仿宋"/>
          <w:sz w:val="30"/>
          <w:szCs w:val="30"/>
        </w:rPr>
      </w:pPr>
    </w:p>
    <w:p w14:paraId="3A030225">
      <w:pPr>
        <w:spacing w:line="360" w:lineRule="auto"/>
        <w:jc w:val="center"/>
        <w:rPr>
          <w:rFonts w:ascii="仿宋" w:hAnsi="仿宋" w:eastAsia="仿宋" w:cs="仿宋"/>
          <w:b/>
          <w:spacing w:val="6"/>
          <w:sz w:val="32"/>
          <w:szCs w:val="32"/>
        </w:rPr>
      </w:pPr>
    </w:p>
    <w:p w14:paraId="76038487">
      <w:pPr>
        <w:spacing w:line="360" w:lineRule="auto"/>
        <w:jc w:val="center"/>
        <w:rPr>
          <w:rFonts w:ascii="仿宋" w:hAnsi="仿宋" w:eastAsia="仿宋" w:cs="仿宋"/>
          <w:b/>
          <w:spacing w:val="6"/>
          <w:sz w:val="32"/>
          <w:szCs w:val="32"/>
        </w:rPr>
      </w:pPr>
    </w:p>
    <w:p w14:paraId="57DEB905">
      <w:pPr>
        <w:spacing w:line="360" w:lineRule="auto"/>
        <w:jc w:val="center"/>
        <w:rPr>
          <w:rFonts w:ascii="仿宋" w:hAnsi="仿宋" w:eastAsia="仿宋" w:cs="仿宋"/>
          <w:b/>
          <w:spacing w:val="6"/>
          <w:sz w:val="32"/>
          <w:szCs w:val="32"/>
        </w:rPr>
      </w:pPr>
    </w:p>
    <w:p w14:paraId="50B0417B">
      <w:pPr>
        <w:spacing w:line="360" w:lineRule="auto"/>
        <w:jc w:val="center"/>
        <w:rPr>
          <w:rFonts w:ascii="仿宋" w:hAnsi="仿宋" w:eastAsia="仿宋" w:cs="仿宋"/>
          <w:b/>
          <w:spacing w:val="6"/>
          <w:sz w:val="32"/>
          <w:szCs w:val="32"/>
        </w:rPr>
      </w:pPr>
    </w:p>
    <w:p w14:paraId="3C197888">
      <w:pPr>
        <w:spacing w:line="360" w:lineRule="auto"/>
        <w:jc w:val="center"/>
        <w:rPr>
          <w:rFonts w:ascii="仿宋" w:hAnsi="仿宋" w:eastAsia="仿宋" w:cs="仿宋"/>
          <w:b/>
          <w:spacing w:val="6"/>
          <w:sz w:val="32"/>
          <w:szCs w:val="32"/>
        </w:rPr>
      </w:pPr>
    </w:p>
    <w:p w14:paraId="1C9EFEFD">
      <w:pPr>
        <w:spacing w:line="360" w:lineRule="auto"/>
        <w:jc w:val="center"/>
        <w:rPr>
          <w:rFonts w:ascii="仿宋" w:hAnsi="仿宋" w:eastAsia="仿宋" w:cs="仿宋"/>
          <w:b/>
          <w:spacing w:val="6"/>
          <w:sz w:val="32"/>
          <w:szCs w:val="32"/>
        </w:rPr>
      </w:pPr>
    </w:p>
    <w:p w14:paraId="669D1353">
      <w:pPr>
        <w:spacing w:line="360" w:lineRule="auto"/>
        <w:jc w:val="center"/>
        <w:rPr>
          <w:rFonts w:ascii="仿宋" w:hAnsi="仿宋" w:eastAsia="仿宋" w:cs="仿宋"/>
          <w:b/>
          <w:spacing w:val="6"/>
          <w:sz w:val="32"/>
          <w:szCs w:val="32"/>
        </w:rPr>
      </w:pPr>
    </w:p>
    <w:p w14:paraId="253ADFA8">
      <w:pPr>
        <w:spacing w:line="360" w:lineRule="auto"/>
        <w:jc w:val="center"/>
        <w:rPr>
          <w:rFonts w:ascii="仿宋" w:hAnsi="仿宋" w:eastAsia="仿宋" w:cs="仿宋"/>
          <w:b/>
          <w:spacing w:val="6"/>
          <w:sz w:val="32"/>
          <w:szCs w:val="32"/>
        </w:rPr>
      </w:pPr>
    </w:p>
    <w:p w14:paraId="700A6399">
      <w:pPr>
        <w:spacing w:line="360" w:lineRule="auto"/>
        <w:jc w:val="center"/>
        <w:rPr>
          <w:rFonts w:ascii="仿宋" w:hAnsi="仿宋" w:eastAsia="仿宋" w:cs="仿宋"/>
          <w:b/>
          <w:spacing w:val="6"/>
          <w:sz w:val="32"/>
          <w:szCs w:val="32"/>
        </w:rPr>
      </w:pPr>
    </w:p>
    <w:p w14:paraId="3133EE01">
      <w:pPr>
        <w:spacing w:line="360" w:lineRule="auto"/>
        <w:jc w:val="center"/>
        <w:rPr>
          <w:rFonts w:ascii="仿宋" w:hAnsi="仿宋" w:eastAsia="仿宋" w:cs="仿宋"/>
          <w:b/>
          <w:spacing w:val="6"/>
          <w:sz w:val="32"/>
          <w:szCs w:val="32"/>
        </w:rPr>
      </w:pPr>
    </w:p>
    <w:p w14:paraId="04249CD0">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1C8DC71D">
      <w:pPr>
        <w:spacing w:line="360" w:lineRule="auto"/>
        <w:jc w:val="center"/>
        <w:rPr>
          <w:rFonts w:ascii="仿宋" w:hAnsi="仿宋" w:eastAsia="仿宋" w:cs="仿宋"/>
          <w:b/>
          <w:sz w:val="24"/>
        </w:rPr>
      </w:pPr>
    </w:p>
    <w:p w14:paraId="28E1B28E">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353F2A2">
      <w:pPr>
        <w:spacing w:line="360" w:lineRule="auto"/>
        <w:rPr>
          <w:rFonts w:ascii="仿宋" w:hAnsi="仿宋" w:eastAsia="仿宋" w:cs="仿宋"/>
          <w:sz w:val="24"/>
        </w:rPr>
      </w:pPr>
      <w:r>
        <w:rPr>
          <w:rFonts w:hint="eastAsia" w:ascii="仿宋" w:hAnsi="仿宋" w:eastAsia="仿宋" w:cs="仿宋"/>
          <w:sz w:val="24"/>
        </w:rPr>
        <w:t>一、投诉相关主体基本情况</w:t>
      </w:r>
    </w:p>
    <w:p w14:paraId="39F5E93A">
      <w:pPr>
        <w:spacing w:line="360" w:lineRule="auto"/>
        <w:rPr>
          <w:rFonts w:ascii="仿宋" w:hAnsi="仿宋" w:eastAsia="仿宋" w:cs="仿宋"/>
          <w:sz w:val="24"/>
          <w:u w:val="dotted"/>
        </w:rPr>
      </w:pPr>
      <w:r>
        <w:rPr>
          <w:rFonts w:hint="eastAsia" w:ascii="仿宋" w:hAnsi="仿宋" w:eastAsia="仿宋" w:cs="仿宋"/>
          <w:sz w:val="24"/>
        </w:rPr>
        <w:t>投诉人：</w:t>
      </w:r>
    </w:p>
    <w:p w14:paraId="2AC3C239">
      <w:pPr>
        <w:spacing w:line="360" w:lineRule="auto"/>
        <w:rPr>
          <w:rFonts w:ascii="仿宋" w:hAnsi="仿宋" w:eastAsia="仿宋" w:cs="仿宋"/>
          <w:sz w:val="24"/>
          <w:u w:val="single"/>
        </w:rPr>
      </w:pPr>
      <w:r>
        <w:rPr>
          <w:rFonts w:hint="eastAsia" w:ascii="仿宋" w:hAnsi="仿宋" w:eastAsia="仿宋" w:cs="仿宋"/>
          <w:sz w:val="24"/>
        </w:rPr>
        <w:t>地址：邮编：</w:t>
      </w:r>
    </w:p>
    <w:p w14:paraId="73ED08C0">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6EADEC5E">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66BA01AC">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24BD7C70">
      <w:pPr>
        <w:spacing w:line="360" w:lineRule="auto"/>
        <w:rPr>
          <w:rFonts w:ascii="仿宋" w:hAnsi="仿宋" w:eastAsia="仿宋" w:cs="仿宋"/>
          <w:sz w:val="24"/>
          <w:u w:val="dotted"/>
        </w:rPr>
      </w:pPr>
      <w:r>
        <w:rPr>
          <w:rFonts w:hint="eastAsia" w:ascii="仿宋" w:hAnsi="仿宋" w:eastAsia="仿宋" w:cs="仿宋"/>
          <w:sz w:val="24"/>
        </w:rPr>
        <w:t>地址：邮编：</w:t>
      </w:r>
    </w:p>
    <w:p w14:paraId="333FF0D5">
      <w:pPr>
        <w:spacing w:line="360" w:lineRule="auto"/>
        <w:rPr>
          <w:rFonts w:ascii="仿宋" w:hAnsi="仿宋" w:eastAsia="仿宋" w:cs="仿宋"/>
          <w:sz w:val="24"/>
          <w:u w:val="single"/>
        </w:rPr>
      </w:pPr>
      <w:r>
        <w:rPr>
          <w:rFonts w:hint="eastAsia" w:ascii="仿宋" w:hAnsi="仿宋" w:eastAsia="仿宋" w:cs="仿宋"/>
          <w:sz w:val="24"/>
        </w:rPr>
        <w:t>被投诉人1：</w:t>
      </w:r>
    </w:p>
    <w:p w14:paraId="3C61AEDD">
      <w:pPr>
        <w:spacing w:line="360" w:lineRule="auto"/>
        <w:rPr>
          <w:rFonts w:ascii="仿宋" w:hAnsi="仿宋" w:eastAsia="仿宋" w:cs="仿宋"/>
          <w:sz w:val="24"/>
          <w:u w:val="single"/>
        </w:rPr>
      </w:pPr>
      <w:r>
        <w:rPr>
          <w:rFonts w:hint="eastAsia" w:ascii="仿宋" w:hAnsi="仿宋" w:eastAsia="仿宋" w:cs="仿宋"/>
          <w:sz w:val="24"/>
        </w:rPr>
        <w:t>地址：邮编：</w:t>
      </w:r>
    </w:p>
    <w:p w14:paraId="260F3B3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8060C8C">
      <w:pPr>
        <w:spacing w:line="360" w:lineRule="auto"/>
        <w:rPr>
          <w:rFonts w:ascii="仿宋" w:hAnsi="仿宋" w:eastAsia="仿宋" w:cs="仿宋"/>
          <w:sz w:val="24"/>
        </w:rPr>
      </w:pPr>
      <w:r>
        <w:rPr>
          <w:rFonts w:hint="eastAsia" w:ascii="仿宋" w:hAnsi="仿宋" w:eastAsia="仿宋" w:cs="仿宋"/>
          <w:sz w:val="24"/>
        </w:rPr>
        <w:t>被投诉人2</w:t>
      </w:r>
    </w:p>
    <w:p w14:paraId="11AD677A">
      <w:pPr>
        <w:spacing w:line="360" w:lineRule="auto"/>
        <w:rPr>
          <w:rFonts w:ascii="仿宋" w:hAnsi="仿宋" w:eastAsia="仿宋" w:cs="仿宋"/>
          <w:sz w:val="24"/>
          <w:u w:val="dotted"/>
        </w:rPr>
      </w:pPr>
      <w:r>
        <w:rPr>
          <w:rFonts w:hint="eastAsia" w:ascii="仿宋" w:hAnsi="仿宋" w:eastAsia="仿宋" w:cs="仿宋"/>
          <w:sz w:val="24"/>
        </w:rPr>
        <w:t>……</w:t>
      </w:r>
    </w:p>
    <w:p w14:paraId="303170F2">
      <w:pPr>
        <w:spacing w:line="360" w:lineRule="auto"/>
        <w:rPr>
          <w:rFonts w:ascii="仿宋" w:hAnsi="仿宋" w:eastAsia="仿宋" w:cs="仿宋"/>
          <w:sz w:val="24"/>
          <w:u w:val="single"/>
        </w:rPr>
      </w:pPr>
      <w:r>
        <w:rPr>
          <w:rFonts w:hint="eastAsia" w:ascii="仿宋" w:hAnsi="仿宋" w:eastAsia="仿宋" w:cs="仿宋"/>
          <w:sz w:val="24"/>
        </w:rPr>
        <w:t>相关投标人：</w:t>
      </w:r>
    </w:p>
    <w:p w14:paraId="583AAB27">
      <w:pPr>
        <w:spacing w:line="360" w:lineRule="auto"/>
        <w:rPr>
          <w:rFonts w:ascii="仿宋" w:hAnsi="仿宋" w:eastAsia="仿宋" w:cs="仿宋"/>
          <w:sz w:val="24"/>
          <w:u w:val="single"/>
        </w:rPr>
      </w:pPr>
      <w:r>
        <w:rPr>
          <w:rFonts w:hint="eastAsia" w:ascii="仿宋" w:hAnsi="仿宋" w:eastAsia="仿宋" w:cs="仿宋"/>
          <w:sz w:val="24"/>
        </w:rPr>
        <w:t>地址：邮编：</w:t>
      </w:r>
    </w:p>
    <w:p w14:paraId="572FA163">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309A133">
      <w:pPr>
        <w:spacing w:line="360" w:lineRule="auto"/>
        <w:rPr>
          <w:rFonts w:ascii="仿宋" w:hAnsi="仿宋" w:eastAsia="仿宋" w:cs="仿宋"/>
          <w:sz w:val="24"/>
        </w:rPr>
      </w:pPr>
      <w:r>
        <w:rPr>
          <w:rFonts w:hint="eastAsia" w:ascii="仿宋" w:hAnsi="仿宋" w:eastAsia="仿宋" w:cs="仿宋"/>
          <w:sz w:val="24"/>
        </w:rPr>
        <w:t>二、投诉项目基本情况</w:t>
      </w:r>
    </w:p>
    <w:p w14:paraId="25C35D4A">
      <w:pPr>
        <w:spacing w:line="360" w:lineRule="auto"/>
        <w:rPr>
          <w:rFonts w:ascii="仿宋" w:hAnsi="仿宋" w:eastAsia="仿宋" w:cs="仿宋"/>
          <w:sz w:val="24"/>
          <w:u w:val="dotted"/>
        </w:rPr>
      </w:pPr>
      <w:r>
        <w:rPr>
          <w:rFonts w:hint="eastAsia" w:ascii="仿宋" w:hAnsi="仿宋" w:eastAsia="仿宋" w:cs="仿宋"/>
          <w:sz w:val="24"/>
        </w:rPr>
        <w:t>采购项目名称：</w:t>
      </w:r>
    </w:p>
    <w:p w14:paraId="12CC66DB">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E43EE90">
      <w:pPr>
        <w:spacing w:line="360" w:lineRule="auto"/>
        <w:rPr>
          <w:rFonts w:ascii="仿宋" w:hAnsi="仿宋" w:eastAsia="仿宋" w:cs="仿宋"/>
          <w:sz w:val="24"/>
        </w:rPr>
      </w:pPr>
      <w:r>
        <w:rPr>
          <w:rFonts w:hint="eastAsia" w:ascii="仿宋" w:hAnsi="仿宋" w:eastAsia="仿宋" w:cs="仿宋"/>
          <w:sz w:val="24"/>
          <w:lang w:eastAsia="zh-CN"/>
        </w:rPr>
        <w:t>采购人</w:t>
      </w:r>
      <w:r>
        <w:rPr>
          <w:rFonts w:hint="eastAsia" w:ascii="仿宋" w:hAnsi="仿宋" w:eastAsia="仿宋" w:cs="仿宋"/>
          <w:sz w:val="24"/>
        </w:rPr>
        <w:t>名称：</w:t>
      </w:r>
    </w:p>
    <w:p w14:paraId="6FAA6FEA">
      <w:pPr>
        <w:spacing w:line="360" w:lineRule="auto"/>
        <w:rPr>
          <w:rFonts w:ascii="仿宋" w:hAnsi="仿宋" w:eastAsia="仿宋" w:cs="仿宋"/>
          <w:sz w:val="24"/>
          <w:u w:val="single"/>
        </w:rPr>
      </w:pPr>
      <w:r>
        <w:rPr>
          <w:rFonts w:hint="eastAsia" w:ascii="仿宋" w:hAnsi="仿宋" w:eastAsia="仿宋" w:cs="仿宋"/>
          <w:sz w:val="24"/>
        </w:rPr>
        <w:t>代理机构名称：</w:t>
      </w:r>
    </w:p>
    <w:p w14:paraId="059D6470">
      <w:pPr>
        <w:spacing w:line="360" w:lineRule="auto"/>
        <w:rPr>
          <w:rFonts w:ascii="仿宋" w:hAnsi="仿宋" w:eastAsia="仿宋" w:cs="仿宋"/>
          <w:sz w:val="24"/>
          <w:u w:val="dotted"/>
        </w:rPr>
      </w:pPr>
      <w:r>
        <w:rPr>
          <w:rFonts w:hint="eastAsia" w:ascii="仿宋" w:hAnsi="仿宋" w:eastAsia="仿宋" w:cs="仿宋"/>
          <w:sz w:val="24"/>
        </w:rPr>
        <w:t>招标文件公告: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60AFDC9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DA35F98">
      <w:pPr>
        <w:spacing w:line="360" w:lineRule="auto"/>
        <w:rPr>
          <w:rFonts w:ascii="仿宋" w:hAnsi="仿宋" w:eastAsia="仿宋" w:cs="仿宋"/>
          <w:sz w:val="24"/>
        </w:rPr>
      </w:pPr>
      <w:r>
        <w:rPr>
          <w:rFonts w:hint="eastAsia" w:ascii="仿宋" w:hAnsi="仿宋" w:eastAsia="仿宋" w:cs="仿宋"/>
          <w:sz w:val="24"/>
        </w:rPr>
        <w:t>三、质疑基本情况</w:t>
      </w:r>
    </w:p>
    <w:p w14:paraId="2EABCBC1">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2B112870">
      <w:pPr>
        <w:spacing w:line="360" w:lineRule="auto"/>
        <w:rPr>
          <w:rFonts w:ascii="仿宋" w:hAnsi="仿宋" w:eastAsia="仿宋" w:cs="仿宋"/>
          <w:sz w:val="24"/>
          <w:u w:val="dotted"/>
        </w:rPr>
      </w:pPr>
    </w:p>
    <w:p w14:paraId="13EB5CAD">
      <w:pPr>
        <w:spacing w:line="360" w:lineRule="auto"/>
        <w:ind w:firstLine="360" w:firstLineChars="150"/>
        <w:rPr>
          <w:rFonts w:ascii="仿宋" w:hAnsi="仿宋" w:eastAsia="仿宋" w:cs="仿宋"/>
          <w:sz w:val="24"/>
        </w:rPr>
      </w:pPr>
      <w:r>
        <w:rPr>
          <w:rFonts w:hint="eastAsia" w:ascii="仿宋" w:hAnsi="仿宋" w:eastAsia="仿宋" w:cs="仿宋"/>
          <w:sz w:val="24"/>
          <w:u w:val="dotted"/>
          <w:lang w:eastAsia="zh-CN"/>
        </w:rPr>
        <w:t>采购人</w:t>
      </w:r>
      <w:r>
        <w:rPr>
          <w:rFonts w:hint="eastAsia" w:ascii="仿宋" w:hAnsi="仿宋" w:eastAsia="仿宋" w:cs="仿宋"/>
          <w:sz w:val="24"/>
          <w:u w:val="dotted"/>
        </w:rPr>
        <w:t>/代理机构</w:t>
      </w:r>
      <w:r>
        <w:rPr>
          <w:rFonts w:hint="eastAsia" w:ascii="仿宋" w:hAnsi="仿宋" w:eastAsia="仿宋" w:cs="仿宋"/>
          <w:sz w:val="24"/>
        </w:rPr>
        <w:t>于年月日,就质疑事项作出了答复/没有在法定期限内作出答复。</w:t>
      </w:r>
    </w:p>
    <w:p w14:paraId="7A4756C0">
      <w:pPr>
        <w:spacing w:line="360" w:lineRule="auto"/>
        <w:rPr>
          <w:rFonts w:ascii="仿宋" w:hAnsi="仿宋" w:eastAsia="仿宋" w:cs="仿宋"/>
          <w:sz w:val="24"/>
        </w:rPr>
      </w:pPr>
      <w:r>
        <w:rPr>
          <w:rFonts w:hint="eastAsia" w:ascii="仿宋" w:hAnsi="仿宋" w:eastAsia="仿宋" w:cs="仿宋"/>
          <w:sz w:val="24"/>
        </w:rPr>
        <w:t>四、投诉事项具体内容</w:t>
      </w:r>
    </w:p>
    <w:p w14:paraId="33213E0A">
      <w:pPr>
        <w:spacing w:line="360" w:lineRule="auto"/>
        <w:rPr>
          <w:rFonts w:ascii="仿宋" w:hAnsi="仿宋" w:eastAsia="仿宋" w:cs="仿宋"/>
          <w:sz w:val="24"/>
          <w:u w:val="single"/>
        </w:rPr>
      </w:pPr>
      <w:r>
        <w:rPr>
          <w:rFonts w:hint="eastAsia" w:ascii="仿宋" w:hAnsi="仿宋" w:eastAsia="仿宋" w:cs="仿宋"/>
          <w:sz w:val="24"/>
        </w:rPr>
        <w:t>投诉事项 1：</w:t>
      </w:r>
    </w:p>
    <w:p w14:paraId="2D89A1F6">
      <w:pPr>
        <w:spacing w:line="360" w:lineRule="auto"/>
        <w:rPr>
          <w:rFonts w:ascii="仿宋" w:hAnsi="仿宋" w:eastAsia="仿宋" w:cs="仿宋"/>
          <w:sz w:val="24"/>
        </w:rPr>
      </w:pPr>
      <w:r>
        <w:rPr>
          <w:rFonts w:hint="eastAsia" w:ascii="仿宋" w:hAnsi="仿宋" w:eastAsia="仿宋" w:cs="仿宋"/>
          <w:sz w:val="24"/>
        </w:rPr>
        <w:t>事实依据：</w:t>
      </w:r>
    </w:p>
    <w:p w14:paraId="507342AE">
      <w:pPr>
        <w:spacing w:line="360" w:lineRule="auto"/>
        <w:rPr>
          <w:rFonts w:ascii="仿宋" w:hAnsi="仿宋" w:eastAsia="仿宋" w:cs="仿宋"/>
          <w:sz w:val="24"/>
          <w:u w:val="dotted"/>
        </w:rPr>
      </w:pPr>
    </w:p>
    <w:p w14:paraId="31EDDAAF">
      <w:pPr>
        <w:spacing w:line="360" w:lineRule="auto"/>
        <w:rPr>
          <w:rFonts w:ascii="仿宋" w:hAnsi="仿宋" w:eastAsia="仿宋" w:cs="仿宋"/>
          <w:sz w:val="24"/>
          <w:u w:val="single"/>
        </w:rPr>
      </w:pPr>
      <w:r>
        <w:rPr>
          <w:rFonts w:hint="eastAsia" w:ascii="仿宋" w:hAnsi="仿宋" w:eastAsia="仿宋" w:cs="仿宋"/>
          <w:sz w:val="24"/>
        </w:rPr>
        <w:t>法律依据：</w:t>
      </w:r>
    </w:p>
    <w:p w14:paraId="3D646B34">
      <w:pPr>
        <w:spacing w:line="360" w:lineRule="auto"/>
        <w:rPr>
          <w:rFonts w:ascii="仿宋" w:hAnsi="仿宋" w:eastAsia="仿宋" w:cs="仿宋"/>
          <w:sz w:val="24"/>
          <w:u w:val="dotted"/>
        </w:rPr>
      </w:pPr>
    </w:p>
    <w:p w14:paraId="68565969">
      <w:pPr>
        <w:spacing w:line="360" w:lineRule="auto"/>
        <w:rPr>
          <w:rFonts w:ascii="仿宋" w:hAnsi="仿宋" w:eastAsia="仿宋" w:cs="仿宋"/>
          <w:sz w:val="24"/>
        </w:rPr>
      </w:pPr>
      <w:r>
        <w:rPr>
          <w:rFonts w:hint="eastAsia" w:ascii="仿宋" w:hAnsi="仿宋" w:eastAsia="仿宋" w:cs="仿宋"/>
          <w:sz w:val="24"/>
        </w:rPr>
        <w:t>投诉事项2</w:t>
      </w:r>
    </w:p>
    <w:p w14:paraId="761DABE1">
      <w:pPr>
        <w:spacing w:line="360" w:lineRule="auto"/>
        <w:rPr>
          <w:rFonts w:ascii="仿宋" w:hAnsi="仿宋" w:eastAsia="仿宋" w:cs="仿宋"/>
          <w:sz w:val="24"/>
          <w:u w:val="dotted"/>
        </w:rPr>
      </w:pPr>
      <w:r>
        <w:rPr>
          <w:rFonts w:hint="eastAsia" w:ascii="仿宋" w:hAnsi="仿宋" w:eastAsia="仿宋" w:cs="仿宋"/>
          <w:sz w:val="24"/>
        </w:rPr>
        <w:t>……</w:t>
      </w:r>
    </w:p>
    <w:p w14:paraId="46CD2A7D">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3FB476CA">
      <w:pPr>
        <w:spacing w:line="360" w:lineRule="auto"/>
        <w:rPr>
          <w:rFonts w:ascii="仿宋" w:hAnsi="仿宋" w:eastAsia="仿宋" w:cs="仿宋"/>
          <w:sz w:val="24"/>
        </w:rPr>
      </w:pPr>
      <w:r>
        <w:rPr>
          <w:rFonts w:hint="eastAsia" w:ascii="仿宋" w:hAnsi="仿宋" w:eastAsia="仿宋" w:cs="仿宋"/>
          <w:sz w:val="24"/>
        </w:rPr>
        <w:t>请求：</w:t>
      </w:r>
    </w:p>
    <w:p w14:paraId="43F0168F">
      <w:pPr>
        <w:spacing w:line="360" w:lineRule="auto"/>
        <w:rPr>
          <w:rFonts w:ascii="仿宋" w:hAnsi="仿宋" w:eastAsia="仿宋" w:cs="仿宋"/>
          <w:sz w:val="24"/>
          <w:u w:val="single"/>
        </w:rPr>
      </w:pPr>
    </w:p>
    <w:p w14:paraId="319A8D7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515CF44">
      <w:pPr>
        <w:spacing w:line="360" w:lineRule="auto"/>
        <w:rPr>
          <w:rFonts w:ascii="仿宋" w:hAnsi="仿宋" w:eastAsia="仿宋" w:cs="仿宋"/>
          <w:sz w:val="24"/>
        </w:rPr>
      </w:pPr>
      <w:r>
        <w:rPr>
          <w:rFonts w:hint="eastAsia" w:ascii="仿宋" w:hAnsi="仿宋" w:eastAsia="仿宋" w:cs="仿宋"/>
          <w:sz w:val="24"/>
        </w:rPr>
        <w:t>日期：</w:t>
      </w:r>
    </w:p>
    <w:p w14:paraId="55A2BEC0">
      <w:pPr>
        <w:spacing w:line="360" w:lineRule="auto"/>
        <w:rPr>
          <w:rFonts w:ascii="仿宋" w:hAnsi="仿宋" w:eastAsia="仿宋" w:cs="仿宋"/>
          <w:b/>
          <w:sz w:val="24"/>
        </w:rPr>
      </w:pPr>
    </w:p>
    <w:p w14:paraId="40D2D7F6">
      <w:pPr>
        <w:spacing w:line="360" w:lineRule="auto"/>
        <w:rPr>
          <w:rFonts w:ascii="仿宋" w:hAnsi="仿宋" w:eastAsia="仿宋" w:cs="仿宋"/>
          <w:b/>
          <w:sz w:val="24"/>
        </w:rPr>
      </w:pPr>
      <w:r>
        <w:rPr>
          <w:rFonts w:hint="eastAsia" w:ascii="仿宋" w:hAnsi="仿宋" w:eastAsia="仿宋" w:cs="仿宋"/>
          <w:b/>
          <w:sz w:val="24"/>
        </w:rPr>
        <w:t>投诉书制作说明：</w:t>
      </w:r>
    </w:p>
    <w:p w14:paraId="0EFCEAD6">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1.投诉人提起投诉时，应当提交投诉书和必要的证明材料，并按照被投诉人和与投诉事项有关的投标人数量提供投诉书副本。</w:t>
      </w:r>
    </w:p>
    <w:p w14:paraId="4491742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614815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81AF4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F75AC2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F899E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6656C696">
      <w:pPr>
        <w:widowControl/>
        <w:spacing w:line="360" w:lineRule="auto"/>
        <w:ind w:firstLine="480" w:firstLineChars="200"/>
        <w:jc w:val="left"/>
        <w:rPr>
          <w:rFonts w:ascii="仿宋" w:hAnsi="仿宋" w:eastAsia="仿宋" w:cs="仿宋"/>
          <w:b/>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sectPr>
      <w:headerReference r:id="rId13" w:type="first"/>
      <w:footerReference r:id="rId16" w:type="first"/>
      <w:headerReference r:id="rId12" w:type="default"/>
      <w:footerReference r:id="rId14" w:type="default"/>
      <w:footerReference r:id="rId15" w:type="even"/>
      <w:pgSz w:w="11906" w:h="16838"/>
      <w:pgMar w:top="1440" w:right="1417"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84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66E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bookmarkStart w:id="400" w:name="_Toc131845147"/>
    <w:bookmarkStart w:id="401" w:name="_Toc91899912"/>
    <w:bookmarkStart w:id="402" w:name="_Toc3611018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BED3">
    <w:pPr>
      <w:pStyle w:val="41"/>
      <w:framePr w:wrap="around" w:vAnchor="text" w:hAnchor="margin" w:xAlign="right" w:y="1"/>
      <w:rPr>
        <w:rStyle w:val="72"/>
      </w:rPr>
    </w:pPr>
    <w:r>
      <w:fldChar w:fldCharType="begin"/>
    </w:r>
    <w:r>
      <w:rPr>
        <w:rStyle w:val="72"/>
      </w:rPr>
      <w:instrText xml:space="preserve">PAGE  </w:instrText>
    </w:r>
    <w:r>
      <w:fldChar w:fldCharType="end"/>
    </w:r>
  </w:p>
  <w:p w14:paraId="3579A97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95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78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1F834B9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FF0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26CC772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6D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1EFCDA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99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1699B3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186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4384">
    <w:pPr>
      <w:pStyle w:val="41"/>
      <w:framePr w:wrap="around" w:vAnchor="text" w:hAnchor="margin" w:xAlign="right" w:y="1"/>
      <w:rPr>
        <w:rStyle w:val="72"/>
      </w:rPr>
    </w:pPr>
    <w:r>
      <w:fldChar w:fldCharType="begin"/>
    </w:r>
    <w:r>
      <w:rPr>
        <w:rStyle w:val="72"/>
      </w:rPr>
      <w:instrText xml:space="preserve">PAGE  </w:instrText>
    </w:r>
    <w:r>
      <w:fldChar w:fldCharType="end"/>
    </w:r>
  </w:p>
  <w:p w14:paraId="03DAAEDD">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2EEA">
    <w:pPr>
      <w:pStyle w:val="4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BD00">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CF59">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766E">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600F"/>
    <w:multiLevelType w:val="singleLevel"/>
    <w:tmpl w:val="9C31600F"/>
    <w:lvl w:ilvl="0" w:tentative="0">
      <w:start w:val="1"/>
      <w:numFmt w:val="decimal"/>
      <w:suff w:val="nothing"/>
      <w:lvlText w:val="（%1）"/>
      <w:lvlJc w:val="left"/>
    </w:lvl>
  </w:abstractNum>
  <w:abstractNum w:abstractNumId="1">
    <w:nsid w:val="F34A2DC0"/>
    <w:multiLevelType w:val="singleLevel"/>
    <w:tmpl w:val="F34A2DC0"/>
    <w:lvl w:ilvl="0" w:tentative="0">
      <w:start w:val="3"/>
      <w:numFmt w:val="chineseCounting"/>
      <w:suff w:val="space"/>
      <w:lvlText w:val="第%1部分"/>
      <w:lvlJc w:val="left"/>
      <w:rPr>
        <w:rFonts w:hint="eastAsia"/>
      </w:rPr>
    </w:lvl>
  </w:abstractNum>
  <w:abstractNum w:abstractNumId="2">
    <w:nsid w:val="1739F775"/>
    <w:multiLevelType w:val="singleLevel"/>
    <w:tmpl w:val="1739F775"/>
    <w:lvl w:ilvl="0" w:tentative="0">
      <w:start w:val="8"/>
      <w:numFmt w:val="chineseCounting"/>
      <w:suff w:val="nothing"/>
      <w:lvlText w:val="%1、"/>
      <w:lvlJc w:val="left"/>
      <w:rPr>
        <w:rFonts w:hint="eastAsia"/>
      </w:rPr>
    </w:lvl>
  </w:abstractNum>
  <w:abstractNum w:abstractNumId="3">
    <w:nsid w:val="33B306ED"/>
    <w:multiLevelType w:val="multilevel"/>
    <w:tmpl w:val="33B306ED"/>
    <w:lvl w:ilvl="0" w:tentative="0">
      <w:start w:val="1"/>
      <w:numFmt w:val="decimal"/>
      <w:lvlText w:val="%1"/>
      <w:lvlJc w:val="left"/>
      <w:pPr>
        <w:tabs>
          <w:tab w:val="left" w:pos="600"/>
        </w:tabs>
        <w:ind w:left="600" w:hanging="420"/>
      </w:pPr>
      <w:rPr>
        <w:rFonts w:hint="eastAsia" w:ascii="宋体" w:hAnsi="宋体" w:eastAsia="宋体"/>
        <w:sz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55D8F85B"/>
    <w:multiLevelType w:val="singleLevel"/>
    <w:tmpl w:val="55D8F85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孔一空">
    <w15:presenceInfo w15:providerId="WPS Office" w15:userId="3230098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1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29db8bae-2647-4567-b742-91956b7548a1"/>
  </w:docVars>
  <w:rsids>
    <w:rsidRoot w:val="00172A27"/>
    <w:rsid w:val="00000451"/>
    <w:rsid w:val="00000756"/>
    <w:rsid w:val="0000108B"/>
    <w:rsid w:val="0000133D"/>
    <w:rsid w:val="00001509"/>
    <w:rsid w:val="000032B2"/>
    <w:rsid w:val="0000363B"/>
    <w:rsid w:val="000058BD"/>
    <w:rsid w:val="00006109"/>
    <w:rsid w:val="00006150"/>
    <w:rsid w:val="000063E8"/>
    <w:rsid w:val="00006421"/>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0E84"/>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241"/>
    <w:rsid w:val="0003206A"/>
    <w:rsid w:val="000326A7"/>
    <w:rsid w:val="00032EA0"/>
    <w:rsid w:val="000331B0"/>
    <w:rsid w:val="000336D4"/>
    <w:rsid w:val="00034FA7"/>
    <w:rsid w:val="0003533D"/>
    <w:rsid w:val="000357E4"/>
    <w:rsid w:val="00035ACA"/>
    <w:rsid w:val="00036D06"/>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8D0"/>
    <w:rsid w:val="000665C4"/>
    <w:rsid w:val="00067821"/>
    <w:rsid w:val="0006785E"/>
    <w:rsid w:val="00067F92"/>
    <w:rsid w:val="00067FA7"/>
    <w:rsid w:val="0007038E"/>
    <w:rsid w:val="0007077C"/>
    <w:rsid w:val="00070825"/>
    <w:rsid w:val="00070A0E"/>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4DD"/>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616"/>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521"/>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312"/>
    <w:rsid w:val="000C64CC"/>
    <w:rsid w:val="000C6688"/>
    <w:rsid w:val="000C692E"/>
    <w:rsid w:val="000C6B28"/>
    <w:rsid w:val="000C7BEB"/>
    <w:rsid w:val="000D0124"/>
    <w:rsid w:val="000D11E5"/>
    <w:rsid w:val="000D19E8"/>
    <w:rsid w:val="000D1E91"/>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027"/>
    <w:rsid w:val="000E6AE1"/>
    <w:rsid w:val="000E7142"/>
    <w:rsid w:val="000E7632"/>
    <w:rsid w:val="000E7737"/>
    <w:rsid w:val="000E7739"/>
    <w:rsid w:val="000E77EE"/>
    <w:rsid w:val="000F0AB7"/>
    <w:rsid w:val="000F1604"/>
    <w:rsid w:val="000F1EBD"/>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47B"/>
    <w:rsid w:val="0012153F"/>
    <w:rsid w:val="0012159D"/>
    <w:rsid w:val="00121804"/>
    <w:rsid w:val="00121EC9"/>
    <w:rsid w:val="001224FE"/>
    <w:rsid w:val="001231D3"/>
    <w:rsid w:val="001232A7"/>
    <w:rsid w:val="0012372B"/>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1CC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6EB"/>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4E8"/>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5C"/>
    <w:rsid w:val="001923D5"/>
    <w:rsid w:val="00192991"/>
    <w:rsid w:val="00193470"/>
    <w:rsid w:val="00193B94"/>
    <w:rsid w:val="001940A7"/>
    <w:rsid w:val="00194BB1"/>
    <w:rsid w:val="00194BC6"/>
    <w:rsid w:val="00195070"/>
    <w:rsid w:val="00195245"/>
    <w:rsid w:val="0019526D"/>
    <w:rsid w:val="0019553F"/>
    <w:rsid w:val="001956BE"/>
    <w:rsid w:val="00195CAC"/>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3F5C"/>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235"/>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B89"/>
    <w:rsid w:val="001E7F81"/>
    <w:rsid w:val="001F0FD1"/>
    <w:rsid w:val="001F1526"/>
    <w:rsid w:val="001F19D1"/>
    <w:rsid w:val="001F1CB9"/>
    <w:rsid w:val="001F1F18"/>
    <w:rsid w:val="001F2F92"/>
    <w:rsid w:val="001F43D0"/>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6F"/>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F15"/>
    <w:rsid w:val="0023079F"/>
    <w:rsid w:val="00231135"/>
    <w:rsid w:val="00231B0B"/>
    <w:rsid w:val="002320B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6AE"/>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2CA"/>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65B"/>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97"/>
    <w:rsid w:val="002876D2"/>
    <w:rsid w:val="00287936"/>
    <w:rsid w:val="00287B43"/>
    <w:rsid w:val="00287BB7"/>
    <w:rsid w:val="002903C5"/>
    <w:rsid w:val="0029041B"/>
    <w:rsid w:val="00290A99"/>
    <w:rsid w:val="00290EAF"/>
    <w:rsid w:val="0029159A"/>
    <w:rsid w:val="00291CF1"/>
    <w:rsid w:val="0029276C"/>
    <w:rsid w:val="00292AA1"/>
    <w:rsid w:val="00294012"/>
    <w:rsid w:val="002941E6"/>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F8"/>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99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BD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0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BC1"/>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888"/>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AB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8DD"/>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E03"/>
    <w:rsid w:val="00407FCC"/>
    <w:rsid w:val="0041035A"/>
    <w:rsid w:val="00410732"/>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9C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292"/>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238"/>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51F"/>
    <w:rsid w:val="004965AF"/>
    <w:rsid w:val="00496CCE"/>
    <w:rsid w:val="004978C1"/>
    <w:rsid w:val="00497AAD"/>
    <w:rsid w:val="00497BD7"/>
    <w:rsid w:val="00497D1A"/>
    <w:rsid w:val="004A00C9"/>
    <w:rsid w:val="004A03D0"/>
    <w:rsid w:val="004A1049"/>
    <w:rsid w:val="004A1AFA"/>
    <w:rsid w:val="004A1EA7"/>
    <w:rsid w:val="004A256B"/>
    <w:rsid w:val="004A26F5"/>
    <w:rsid w:val="004A2EF8"/>
    <w:rsid w:val="004A3A21"/>
    <w:rsid w:val="004A407A"/>
    <w:rsid w:val="004A4E3B"/>
    <w:rsid w:val="004A52ED"/>
    <w:rsid w:val="004A6110"/>
    <w:rsid w:val="004A61B8"/>
    <w:rsid w:val="004A6415"/>
    <w:rsid w:val="004A64F9"/>
    <w:rsid w:val="004A65F4"/>
    <w:rsid w:val="004A6D2C"/>
    <w:rsid w:val="004A6E8C"/>
    <w:rsid w:val="004A788A"/>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49"/>
    <w:rsid w:val="004C27CF"/>
    <w:rsid w:val="004C2CA7"/>
    <w:rsid w:val="004C3592"/>
    <w:rsid w:val="004C45C8"/>
    <w:rsid w:val="004C4F8F"/>
    <w:rsid w:val="004C5627"/>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39"/>
    <w:rsid w:val="004F2CB6"/>
    <w:rsid w:val="004F2E6E"/>
    <w:rsid w:val="004F3015"/>
    <w:rsid w:val="004F313F"/>
    <w:rsid w:val="004F367F"/>
    <w:rsid w:val="004F3EEF"/>
    <w:rsid w:val="004F43A7"/>
    <w:rsid w:val="004F447B"/>
    <w:rsid w:val="004F48C2"/>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E3E"/>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B96"/>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5F3"/>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25"/>
    <w:rsid w:val="00544F05"/>
    <w:rsid w:val="00544FCC"/>
    <w:rsid w:val="005454B8"/>
    <w:rsid w:val="00545ACB"/>
    <w:rsid w:val="00545DB9"/>
    <w:rsid w:val="005462ED"/>
    <w:rsid w:val="00546585"/>
    <w:rsid w:val="0054680A"/>
    <w:rsid w:val="00546BF8"/>
    <w:rsid w:val="00547BA2"/>
    <w:rsid w:val="0055006F"/>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617"/>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7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32"/>
    <w:rsid w:val="005904DB"/>
    <w:rsid w:val="005905B2"/>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746"/>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C0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56C"/>
    <w:rsid w:val="00637F27"/>
    <w:rsid w:val="006405EC"/>
    <w:rsid w:val="00640893"/>
    <w:rsid w:val="00640A4D"/>
    <w:rsid w:val="006410A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BA2"/>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637"/>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0FB"/>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2CB"/>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7F4"/>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1F3"/>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C19"/>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E70"/>
    <w:rsid w:val="0077710B"/>
    <w:rsid w:val="0077765A"/>
    <w:rsid w:val="00780032"/>
    <w:rsid w:val="00780636"/>
    <w:rsid w:val="007807E4"/>
    <w:rsid w:val="00780E86"/>
    <w:rsid w:val="0078108C"/>
    <w:rsid w:val="00781257"/>
    <w:rsid w:val="00781727"/>
    <w:rsid w:val="007823E8"/>
    <w:rsid w:val="00782CF3"/>
    <w:rsid w:val="007831A9"/>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386"/>
    <w:rsid w:val="00795479"/>
    <w:rsid w:val="00795FF9"/>
    <w:rsid w:val="00796292"/>
    <w:rsid w:val="007965D9"/>
    <w:rsid w:val="00796BA2"/>
    <w:rsid w:val="007972D5"/>
    <w:rsid w:val="0079778D"/>
    <w:rsid w:val="00797D73"/>
    <w:rsid w:val="00797EE9"/>
    <w:rsid w:val="007A006C"/>
    <w:rsid w:val="007A0789"/>
    <w:rsid w:val="007A130E"/>
    <w:rsid w:val="007A18B1"/>
    <w:rsid w:val="007A1BBD"/>
    <w:rsid w:val="007A1F08"/>
    <w:rsid w:val="007A2555"/>
    <w:rsid w:val="007A25FA"/>
    <w:rsid w:val="007A2DB8"/>
    <w:rsid w:val="007A2FCB"/>
    <w:rsid w:val="007A3520"/>
    <w:rsid w:val="007A3604"/>
    <w:rsid w:val="007A3878"/>
    <w:rsid w:val="007A3948"/>
    <w:rsid w:val="007A3D85"/>
    <w:rsid w:val="007A3E0D"/>
    <w:rsid w:val="007A436D"/>
    <w:rsid w:val="007A54F6"/>
    <w:rsid w:val="007A55FE"/>
    <w:rsid w:val="007A582C"/>
    <w:rsid w:val="007A5950"/>
    <w:rsid w:val="007A62D8"/>
    <w:rsid w:val="007A6D91"/>
    <w:rsid w:val="007A7618"/>
    <w:rsid w:val="007A7D7C"/>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80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1A1"/>
    <w:rsid w:val="007D3D74"/>
    <w:rsid w:val="007D40E6"/>
    <w:rsid w:val="007D445F"/>
    <w:rsid w:val="007D4DED"/>
    <w:rsid w:val="007D5BA2"/>
    <w:rsid w:val="007D5ED3"/>
    <w:rsid w:val="007D682F"/>
    <w:rsid w:val="007D6FB9"/>
    <w:rsid w:val="007D7211"/>
    <w:rsid w:val="007D73C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52B"/>
    <w:rsid w:val="007E79CC"/>
    <w:rsid w:val="007E7FF4"/>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FE4"/>
    <w:rsid w:val="0080348B"/>
    <w:rsid w:val="00803D82"/>
    <w:rsid w:val="00803D98"/>
    <w:rsid w:val="008052CE"/>
    <w:rsid w:val="008058D0"/>
    <w:rsid w:val="00805BC8"/>
    <w:rsid w:val="00806A4C"/>
    <w:rsid w:val="0080705B"/>
    <w:rsid w:val="0080723C"/>
    <w:rsid w:val="00807F71"/>
    <w:rsid w:val="0081000F"/>
    <w:rsid w:val="00812657"/>
    <w:rsid w:val="00812A1A"/>
    <w:rsid w:val="00812DFF"/>
    <w:rsid w:val="0081362F"/>
    <w:rsid w:val="008136FA"/>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FB0"/>
    <w:rsid w:val="00830052"/>
    <w:rsid w:val="008300D0"/>
    <w:rsid w:val="008308D8"/>
    <w:rsid w:val="008320D2"/>
    <w:rsid w:val="008321CE"/>
    <w:rsid w:val="0083257C"/>
    <w:rsid w:val="0083261B"/>
    <w:rsid w:val="00832B44"/>
    <w:rsid w:val="00832EC9"/>
    <w:rsid w:val="00833307"/>
    <w:rsid w:val="00833583"/>
    <w:rsid w:val="0083361F"/>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C37"/>
    <w:rsid w:val="00846D25"/>
    <w:rsid w:val="00847BBC"/>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7D"/>
    <w:rsid w:val="008576B0"/>
    <w:rsid w:val="00860296"/>
    <w:rsid w:val="008602E3"/>
    <w:rsid w:val="00860DA4"/>
    <w:rsid w:val="00861146"/>
    <w:rsid w:val="00861761"/>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620"/>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33F"/>
    <w:rsid w:val="00881D59"/>
    <w:rsid w:val="00882991"/>
    <w:rsid w:val="00882EC1"/>
    <w:rsid w:val="0088324E"/>
    <w:rsid w:val="0088434F"/>
    <w:rsid w:val="00884371"/>
    <w:rsid w:val="008848E2"/>
    <w:rsid w:val="00884B7A"/>
    <w:rsid w:val="00884D47"/>
    <w:rsid w:val="008856C5"/>
    <w:rsid w:val="00886112"/>
    <w:rsid w:val="00886B63"/>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A1"/>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9A8"/>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715"/>
    <w:rsid w:val="009000F2"/>
    <w:rsid w:val="0090079D"/>
    <w:rsid w:val="0090086A"/>
    <w:rsid w:val="00900A62"/>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3207"/>
    <w:rsid w:val="00913714"/>
    <w:rsid w:val="0091472C"/>
    <w:rsid w:val="00914DC9"/>
    <w:rsid w:val="00915351"/>
    <w:rsid w:val="00915679"/>
    <w:rsid w:val="009159C2"/>
    <w:rsid w:val="0091627F"/>
    <w:rsid w:val="00916772"/>
    <w:rsid w:val="00916E45"/>
    <w:rsid w:val="0092077A"/>
    <w:rsid w:val="00920DC0"/>
    <w:rsid w:val="009219F3"/>
    <w:rsid w:val="009221CB"/>
    <w:rsid w:val="00922320"/>
    <w:rsid w:val="00923643"/>
    <w:rsid w:val="00923E1A"/>
    <w:rsid w:val="009245CC"/>
    <w:rsid w:val="0092490A"/>
    <w:rsid w:val="0092550C"/>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396"/>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C2"/>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A40"/>
    <w:rsid w:val="00964F5A"/>
    <w:rsid w:val="0096527F"/>
    <w:rsid w:val="009653ED"/>
    <w:rsid w:val="00966A21"/>
    <w:rsid w:val="00966AD2"/>
    <w:rsid w:val="009708C9"/>
    <w:rsid w:val="00971415"/>
    <w:rsid w:val="009716D8"/>
    <w:rsid w:val="00971F54"/>
    <w:rsid w:val="00972057"/>
    <w:rsid w:val="0097227B"/>
    <w:rsid w:val="0097262E"/>
    <w:rsid w:val="0097293F"/>
    <w:rsid w:val="00973103"/>
    <w:rsid w:val="00974022"/>
    <w:rsid w:val="009743E8"/>
    <w:rsid w:val="009745D8"/>
    <w:rsid w:val="0097472B"/>
    <w:rsid w:val="00974F3B"/>
    <w:rsid w:val="0097552A"/>
    <w:rsid w:val="0097564A"/>
    <w:rsid w:val="0097565A"/>
    <w:rsid w:val="00975974"/>
    <w:rsid w:val="00975D06"/>
    <w:rsid w:val="00975D63"/>
    <w:rsid w:val="00975DAE"/>
    <w:rsid w:val="00976438"/>
    <w:rsid w:val="00976BBE"/>
    <w:rsid w:val="0098055B"/>
    <w:rsid w:val="00980B30"/>
    <w:rsid w:val="009810BE"/>
    <w:rsid w:val="009814AC"/>
    <w:rsid w:val="009817BC"/>
    <w:rsid w:val="009819A7"/>
    <w:rsid w:val="0098220A"/>
    <w:rsid w:val="00982E75"/>
    <w:rsid w:val="00983337"/>
    <w:rsid w:val="009836AA"/>
    <w:rsid w:val="009846BF"/>
    <w:rsid w:val="009851F5"/>
    <w:rsid w:val="0098534B"/>
    <w:rsid w:val="00986019"/>
    <w:rsid w:val="00986281"/>
    <w:rsid w:val="00986A12"/>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007"/>
    <w:rsid w:val="009A4066"/>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59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841"/>
    <w:rsid w:val="009E2EDC"/>
    <w:rsid w:val="009E38D1"/>
    <w:rsid w:val="009E3DF1"/>
    <w:rsid w:val="009E514A"/>
    <w:rsid w:val="009E5177"/>
    <w:rsid w:val="009E5701"/>
    <w:rsid w:val="009E5711"/>
    <w:rsid w:val="009E758E"/>
    <w:rsid w:val="009E7BFB"/>
    <w:rsid w:val="009E7D6B"/>
    <w:rsid w:val="009E7E81"/>
    <w:rsid w:val="009F020A"/>
    <w:rsid w:val="009F05AD"/>
    <w:rsid w:val="009F0659"/>
    <w:rsid w:val="009F0783"/>
    <w:rsid w:val="009F1109"/>
    <w:rsid w:val="009F143E"/>
    <w:rsid w:val="009F1DE8"/>
    <w:rsid w:val="009F2186"/>
    <w:rsid w:val="009F227C"/>
    <w:rsid w:val="009F28DC"/>
    <w:rsid w:val="009F2962"/>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5A"/>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ABE"/>
    <w:rsid w:val="00A14F81"/>
    <w:rsid w:val="00A1535F"/>
    <w:rsid w:val="00A15479"/>
    <w:rsid w:val="00A15CB1"/>
    <w:rsid w:val="00A15DCC"/>
    <w:rsid w:val="00A15E7D"/>
    <w:rsid w:val="00A15E84"/>
    <w:rsid w:val="00A16021"/>
    <w:rsid w:val="00A16961"/>
    <w:rsid w:val="00A16BCA"/>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227"/>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844"/>
    <w:rsid w:val="00A81AEB"/>
    <w:rsid w:val="00A82D32"/>
    <w:rsid w:val="00A82EAE"/>
    <w:rsid w:val="00A82FC7"/>
    <w:rsid w:val="00A835B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6F97"/>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E6F"/>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C44"/>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FB9"/>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088"/>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1AD"/>
    <w:rsid w:val="00BA4399"/>
    <w:rsid w:val="00BA4452"/>
    <w:rsid w:val="00BA46C6"/>
    <w:rsid w:val="00BA4ACF"/>
    <w:rsid w:val="00BA5039"/>
    <w:rsid w:val="00BA583B"/>
    <w:rsid w:val="00BA5DF2"/>
    <w:rsid w:val="00BA5EC7"/>
    <w:rsid w:val="00BA6319"/>
    <w:rsid w:val="00BA63CE"/>
    <w:rsid w:val="00BA676E"/>
    <w:rsid w:val="00BA6980"/>
    <w:rsid w:val="00BA6BFF"/>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7A0"/>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17"/>
    <w:rsid w:val="00BD5624"/>
    <w:rsid w:val="00BD62E6"/>
    <w:rsid w:val="00BD6B0E"/>
    <w:rsid w:val="00BD734D"/>
    <w:rsid w:val="00BD7941"/>
    <w:rsid w:val="00BE0591"/>
    <w:rsid w:val="00BE0C55"/>
    <w:rsid w:val="00BE0F03"/>
    <w:rsid w:val="00BE11A2"/>
    <w:rsid w:val="00BE1CF2"/>
    <w:rsid w:val="00BE1EF0"/>
    <w:rsid w:val="00BE246C"/>
    <w:rsid w:val="00BE2657"/>
    <w:rsid w:val="00BE2FD2"/>
    <w:rsid w:val="00BE377A"/>
    <w:rsid w:val="00BE37AE"/>
    <w:rsid w:val="00BE3B14"/>
    <w:rsid w:val="00BE3C65"/>
    <w:rsid w:val="00BE4222"/>
    <w:rsid w:val="00BE472D"/>
    <w:rsid w:val="00BE4C03"/>
    <w:rsid w:val="00BE531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87B"/>
    <w:rsid w:val="00C12ECB"/>
    <w:rsid w:val="00C136CE"/>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EED"/>
    <w:rsid w:val="00C332D4"/>
    <w:rsid w:val="00C33A66"/>
    <w:rsid w:val="00C33E51"/>
    <w:rsid w:val="00C34C45"/>
    <w:rsid w:val="00C34C47"/>
    <w:rsid w:val="00C34FCE"/>
    <w:rsid w:val="00C35411"/>
    <w:rsid w:val="00C355C6"/>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D76"/>
    <w:rsid w:val="00C4602B"/>
    <w:rsid w:val="00C46564"/>
    <w:rsid w:val="00C46BFA"/>
    <w:rsid w:val="00C46DDF"/>
    <w:rsid w:val="00C500A1"/>
    <w:rsid w:val="00C50147"/>
    <w:rsid w:val="00C50A02"/>
    <w:rsid w:val="00C5108F"/>
    <w:rsid w:val="00C51149"/>
    <w:rsid w:val="00C5117E"/>
    <w:rsid w:val="00C512D1"/>
    <w:rsid w:val="00C51856"/>
    <w:rsid w:val="00C51B04"/>
    <w:rsid w:val="00C51DB5"/>
    <w:rsid w:val="00C53CE9"/>
    <w:rsid w:val="00C53EE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D6"/>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7C2"/>
    <w:rsid w:val="00C832CB"/>
    <w:rsid w:val="00C84085"/>
    <w:rsid w:val="00C852DC"/>
    <w:rsid w:val="00C854A8"/>
    <w:rsid w:val="00C85677"/>
    <w:rsid w:val="00C85A11"/>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4D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51"/>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A7"/>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7E7"/>
    <w:rsid w:val="00CD3CAB"/>
    <w:rsid w:val="00CD44FF"/>
    <w:rsid w:val="00CD46A7"/>
    <w:rsid w:val="00CD47BC"/>
    <w:rsid w:val="00CD4E50"/>
    <w:rsid w:val="00CD54DA"/>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752"/>
    <w:rsid w:val="00CF029C"/>
    <w:rsid w:val="00CF0AF0"/>
    <w:rsid w:val="00CF157E"/>
    <w:rsid w:val="00CF1631"/>
    <w:rsid w:val="00CF1834"/>
    <w:rsid w:val="00CF1AAA"/>
    <w:rsid w:val="00CF1EC2"/>
    <w:rsid w:val="00CF2ACF"/>
    <w:rsid w:val="00CF3448"/>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CDF"/>
    <w:rsid w:val="00D0404A"/>
    <w:rsid w:val="00D04F01"/>
    <w:rsid w:val="00D04F8B"/>
    <w:rsid w:val="00D054EF"/>
    <w:rsid w:val="00D05637"/>
    <w:rsid w:val="00D05BA9"/>
    <w:rsid w:val="00D05EB1"/>
    <w:rsid w:val="00D0645C"/>
    <w:rsid w:val="00D0650B"/>
    <w:rsid w:val="00D068AA"/>
    <w:rsid w:val="00D06AC5"/>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555"/>
    <w:rsid w:val="00D25676"/>
    <w:rsid w:val="00D25793"/>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DCF"/>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EC7"/>
    <w:rsid w:val="00D5674B"/>
    <w:rsid w:val="00D56B56"/>
    <w:rsid w:val="00D56BF5"/>
    <w:rsid w:val="00D56F99"/>
    <w:rsid w:val="00D5743F"/>
    <w:rsid w:val="00D5794D"/>
    <w:rsid w:val="00D57F1F"/>
    <w:rsid w:val="00D60065"/>
    <w:rsid w:val="00D60270"/>
    <w:rsid w:val="00D605C2"/>
    <w:rsid w:val="00D60733"/>
    <w:rsid w:val="00D60C60"/>
    <w:rsid w:val="00D61E1D"/>
    <w:rsid w:val="00D629A4"/>
    <w:rsid w:val="00D62BDF"/>
    <w:rsid w:val="00D62EEE"/>
    <w:rsid w:val="00D6322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BE0"/>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E7"/>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C40"/>
    <w:rsid w:val="00E07F19"/>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DA"/>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7E"/>
    <w:rsid w:val="00E5448E"/>
    <w:rsid w:val="00E54E0D"/>
    <w:rsid w:val="00E55247"/>
    <w:rsid w:val="00E558E5"/>
    <w:rsid w:val="00E55B3C"/>
    <w:rsid w:val="00E56795"/>
    <w:rsid w:val="00E57932"/>
    <w:rsid w:val="00E606C4"/>
    <w:rsid w:val="00E60811"/>
    <w:rsid w:val="00E60AB8"/>
    <w:rsid w:val="00E6103E"/>
    <w:rsid w:val="00E6185F"/>
    <w:rsid w:val="00E61D32"/>
    <w:rsid w:val="00E6255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2FDA"/>
    <w:rsid w:val="00EB3268"/>
    <w:rsid w:val="00EB3298"/>
    <w:rsid w:val="00EB3939"/>
    <w:rsid w:val="00EB3CE6"/>
    <w:rsid w:val="00EB3E92"/>
    <w:rsid w:val="00EB54AB"/>
    <w:rsid w:val="00EB5A3C"/>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A50"/>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BD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194"/>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E55"/>
    <w:rsid w:val="00F0187E"/>
    <w:rsid w:val="00F01BE6"/>
    <w:rsid w:val="00F01F75"/>
    <w:rsid w:val="00F02051"/>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4A0"/>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1D38"/>
    <w:rsid w:val="00F3265C"/>
    <w:rsid w:val="00F32C4A"/>
    <w:rsid w:val="00F33262"/>
    <w:rsid w:val="00F343EE"/>
    <w:rsid w:val="00F353F4"/>
    <w:rsid w:val="00F35494"/>
    <w:rsid w:val="00F35607"/>
    <w:rsid w:val="00F359AB"/>
    <w:rsid w:val="00F35DBA"/>
    <w:rsid w:val="00F3619D"/>
    <w:rsid w:val="00F36DDE"/>
    <w:rsid w:val="00F36ECD"/>
    <w:rsid w:val="00F3722A"/>
    <w:rsid w:val="00F37366"/>
    <w:rsid w:val="00F37C99"/>
    <w:rsid w:val="00F37FCC"/>
    <w:rsid w:val="00F419B8"/>
    <w:rsid w:val="00F41A22"/>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26"/>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9E"/>
    <w:rsid w:val="00F60C7E"/>
    <w:rsid w:val="00F60E0A"/>
    <w:rsid w:val="00F61606"/>
    <w:rsid w:val="00F61918"/>
    <w:rsid w:val="00F62151"/>
    <w:rsid w:val="00F62CA8"/>
    <w:rsid w:val="00F62DF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E62"/>
    <w:rsid w:val="00FA35B6"/>
    <w:rsid w:val="00FA3EBC"/>
    <w:rsid w:val="00FA423C"/>
    <w:rsid w:val="00FA44D0"/>
    <w:rsid w:val="00FA4590"/>
    <w:rsid w:val="00FA55A2"/>
    <w:rsid w:val="00FA672F"/>
    <w:rsid w:val="00FA718E"/>
    <w:rsid w:val="00FA775E"/>
    <w:rsid w:val="00FA7792"/>
    <w:rsid w:val="00FA7AA8"/>
    <w:rsid w:val="00FA7F1D"/>
    <w:rsid w:val="00FB011C"/>
    <w:rsid w:val="00FB0D60"/>
    <w:rsid w:val="00FB18FD"/>
    <w:rsid w:val="00FB2BF5"/>
    <w:rsid w:val="00FB2C3F"/>
    <w:rsid w:val="00FB2F8E"/>
    <w:rsid w:val="00FB2FB6"/>
    <w:rsid w:val="00FB30C3"/>
    <w:rsid w:val="00FB39B0"/>
    <w:rsid w:val="00FB4547"/>
    <w:rsid w:val="00FB5138"/>
    <w:rsid w:val="00FB547F"/>
    <w:rsid w:val="00FB5A71"/>
    <w:rsid w:val="00FB63F6"/>
    <w:rsid w:val="00FB7823"/>
    <w:rsid w:val="00FC05B2"/>
    <w:rsid w:val="00FC08B3"/>
    <w:rsid w:val="00FC09D7"/>
    <w:rsid w:val="00FC0ABE"/>
    <w:rsid w:val="00FC1269"/>
    <w:rsid w:val="00FC22D0"/>
    <w:rsid w:val="00FC2FCD"/>
    <w:rsid w:val="00FC3060"/>
    <w:rsid w:val="00FC38D4"/>
    <w:rsid w:val="00FC391E"/>
    <w:rsid w:val="00FC39B3"/>
    <w:rsid w:val="00FC3BB7"/>
    <w:rsid w:val="00FC4345"/>
    <w:rsid w:val="00FC444A"/>
    <w:rsid w:val="00FC453D"/>
    <w:rsid w:val="00FC4732"/>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FE"/>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9A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651D9"/>
    <w:rsid w:val="01086C64"/>
    <w:rsid w:val="011F6449"/>
    <w:rsid w:val="01211AD4"/>
    <w:rsid w:val="01236AFB"/>
    <w:rsid w:val="01413E5F"/>
    <w:rsid w:val="01527EDF"/>
    <w:rsid w:val="01540F6D"/>
    <w:rsid w:val="015679D0"/>
    <w:rsid w:val="01583748"/>
    <w:rsid w:val="016D6AC7"/>
    <w:rsid w:val="019A0A26"/>
    <w:rsid w:val="019F7441"/>
    <w:rsid w:val="01AE15BA"/>
    <w:rsid w:val="01B37585"/>
    <w:rsid w:val="01D55165"/>
    <w:rsid w:val="01DF6BF8"/>
    <w:rsid w:val="01E23011"/>
    <w:rsid w:val="01EC2C57"/>
    <w:rsid w:val="01FE5971"/>
    <w:rsid w:val="021358C1"/>
    <w:rsid w:val="02186A33"/>
    <w:rsid w:val="021D04ED"/>
    <w:rsid w:val="024B6E08"/>
    <w:rsid w:val="025A34EF"/>
    <w:rsid w:val="026B2E25"/>
    <w:rsid w:val="02810A7C"/>
    <w:rsid w:val="02824D4D"/>
    <w:rsid w:val="02900CBF"/>
    <w:rsid w:val="02906F11"/>
    <w:rsid w:val="02A46519"/>
    <w:rsid w:val="02A75D6F"/>
    <w:rsid w:val="02C1356F"/>
    <w:rsid w:val="02D432A2"/>
    <w:rsid w:val="02DA6184"/>
    <w:rsid w:val="02DC4B10"/>
    <w:rsid w:val="02DD76CE"/>
    <w:rsid w:val="02DE5ECF"/>
    <w:rsid w:val="02F36323"/>
    <w:rsid w:val="02F5619C"/>
    <w:rsid w:val="030B26F9"/>
    <w:rsid w:val="030D0562"/>
    <w:rsid w:val="03157416"/>
    <w:rsid w:val="031F1457"/>
    <w:rsid w:val="0326446A"/>
    <w:rsid w:val="032D5555"/>
    <w:rsid w:val="03321D76"/>
    <w:rsid w:val="03327FC8"/>
    <w:rsid w:val="033755DF"/>
    <w:rsid w:val="0337738D"/>
    <w:rsid w:val="03404493"/>
    <w:rsid w:val="03522419"/>
    <w:rsid w:val="03595555"/>
    <w:rsid w:val="036634D2"/>
    <w:rsid w:val="036A1510"/>
    <w:rsid w:val="03716D43"/>
    <w:rsid w:val="03912F41"/>
    <w:rsid w:val="03922815"/>
    <w:rsid w:val="03936CB9"/>
    <w:rsid w:val="039842CF"/>
    <w:rsid w:val="03A26EFC"/>
    <w:rsid w:val="03DB240E"/>
    <w:rsid w:val="03DD35E4"/>
    <w:rsid w:val="03EB2A44"/>
    <w:rsid w:val="03EE2141"/>
    <w:rsid w:val="04001E75"/>
    <w:rsid w:val="04003C23"/>
    <w:rsid w:val="04073203"/>
    <w:rsid w:val="04076900"/>
    <w:rsid w:val="041A5A3B"/>
    <w:rsid w:val="042311BA"/>
    <w:rsid w:val="042461F1"/>
    <w:rsid w:val="04251DC9"/>
    <w:rsid w:val="0429647D"/>
    <w:rsid w:val="042B157A"/>
    <w:rsid w:val="04506958"/>
    <w:rsid w:val="04542BA1"/>
    <w:rsid w:val="04781A0B"/>
    <w:rsid w:val="04814D63"/>
    <w:rsid w:val="04844854"/>
    <w:rsid w:val="048F763B"/>
    <w:rsid w:val="04974587"/>
    <w:rsid w:val="049F330E"/>
    <w:rsid w:val="04A627C2"/>
    <w:rsid w:val="04AA775C"/>
    <w:rsid w:val="04AF1889"/>
    <w:rsid w:val="04BC5E62"/>
    <w:rsid w:val="04E7258C"/>
    <w:rsid w:val="04F10B06"/>
    <w:rsid w:val="04F512AE"/>
    <w:rsid w:val="04F66F48"/>
    <w:rsid w:val="04FC43EA"/>
    <w:rsid w:val="05092FAB"/>
    <w:rsid w:val="051D5AE6"/>
    <w:rsid w:val="05251E14"/>
    <w:rsid w:val="05257DE5"/>
    <w:rsid w:val="05283431"/>
    <w:rsid w:val="053A4F12"/>
    <w:rsid w:val="054E09BE"/>
    <w:rsid w:val="05524952"/>
    <w:rsid w:val="055A77A6"/>
    <w:rsid w:val="057C552B"/>
    <w:rsid w:val="05816FE5"/>
    <w:rsid w:val="058F34B0"/>
    <w:rsid w:val="05924D4E"/>
    <w:rsid w:val="059A70EE"/>
    <w:rsid w:val="05A056BD"/>
    <w:rsid w:val="05A16594"/>
    <w:rsid w:val="05A625A8"/>
    <w:rsid w:val="05A76A4C"/>
    <w:rsid w:val="05A7762D"/>
    <w:rsid w:val="05B80C59"/>
    <w:rsid w:val="05CD5D86"/>
    <w:rsid w:val="05E13F00"/>
    <w:rsid w:val="05F81055"/>
    <w:rsid w:val="05F94DCD"/>
    <w:rsid w:val="06023C82"/>
    <w:rsid w:val="060766D6"/>
    <w:rsid w:val="060E5941"/>
    <w:rsid w:val="06110FAF"/>
    <w:rsid w:val="0619721E"/>
    <w:rsid w:val="062F5C19"/>
    <w:rsid w:val="06304C93"/>
    <w:rsid w:val="063D2F0C"/>
    <w:rsid w:val="06493CA7"/>
    <w:rsid w:val="064C75F3"/>
    <w:rsid w:val="065A3ABE"/>
    <w:rsid w:val="065A6178"/>
    <w:rsid w:val="066F1CF3"/>
    <w:rsid w:val="06744454"/>
    <w:rsid w:val="068C3E93"/>
    <w:rsid w:val="06930BB8"/>
    <w:rsid w:val="06A36544"/>
    <w:rsid w:val="06A75C97"/>
    <w:rsid w:val="06BA27AF"/>
    <w:rsid w:val="06BF0E58"/>
    <w:rsid w:val="06D05B2E"/>
    <w:rsid w:val="06E60815"/>
    <w:rsid w:val="06E8731C"/>
    <w:rsid w:val="0705522E"/>
    <w:rsid w:val="07097292"/>
    <w:rsid w:val="070B300A"/>
    <w:rsid w:val="07161BE8"/>
    <w:rsid w:val="07245D42"/>
    <w:rsid w:val="07264C62"/>
    <w:rsid w:val="07302A71"/>
    <w:rsid w:val="0779354C"/>
    <w:rsid w:val="079C0106"/>
    <w:rsid w:val="07A1571D"/>
    <w:rsid w:val="07A62D33"/>
    <w:rsid w:val="07AA2823"/>
    <w:rsid w:val="07B0770E"/>
    <w:rsid w:val="07D57174"/>
    <w:rsid w:val="07D653C6"/>
    <w:rsid w:val="07E31891"/>
    <w:rsid w:val="07EC4BEA"/>
    <w:rsid w:val="07FC2953"/>
    <w:rsid w:val="07FE2B6F"/>
    <w:rsid w:val="08061376"/>
    <w:rsid w:val="0845254C"/>
    <w:rsid w:val="08452D77"/>
    <w:rsid w:val="085F360E"/>
    <w:rsid w:val="086401F8"/>
    <w:rsid w:val="0865674A"/>
    <w:rsid w:val="08751CAA"/>
    <w:rsid w:val="087E4C40"/>
    <w:rsid w:val="088F67AC"/>
    <w:rsid w:val="08965BB6"/>
    <w:rsid w:val="08AF64EC"/>
    <w:rsid w:val="08B1198F"/>
    <w:rsid w:val="08BA6B97"/>
    <w:rsid w:val="08D37B58"/>
    <w:rsid w:val="08D66AD6"/>
    <w:rsid w:val="08DA33A3"/>
    <w:rsid w:val="08DC4C5E"/>
    <w:rsid w:val="08E21B49"/>
    <w:rsid w:val="08E72B68"/>
    <w:rsid w:val="08E80F13"/>
    <w:rsid w:val="08F16230"/>
    <w:rsid w:val="08F24482"/>
    <w:rsid w:val="091268D2"/>
    <w:rsid w:val="092B1742"/>
    <w:rsid w:val="09335624"/>
    <w:rsid w:val="09336848"/>
    <w:rsid w:val="093700E7"/>
    <w:rsid w:val="09412D13"/>
    <w:rsid w:val="0944690F"/>
    <w:rsid w:val="094D16B8"/>
    <w:rsid w:val="09535675"/>
    <w:rsid w:val="09542D6E"/>
    <w:rsid w:val="0958005D"/>
    <w:rsid w:val="095A5B83"/>
    <w:rsid w:val="095F057D"/>
    <w:rsid w:val="09642282"/>
    <w:rsid w:val="09733572"/>
    <w:rsid w:val="09772C16"/>
    <w:rsid w:val="097A7FD3"/>
    <w:rsid w:val="098353B5"/>
    <w:rsid w:val="0983549B"/>
    <w:rsid w:val="09905A49"/>
    <w:rsid w:val="09A92330"/>
    <w:rsid w:val="09B06B87"/>
    <w:rsid w:val="09B71227"/>
    <w:rsid w:val="09BC3F89"/>
    <w:rsid w:val="09C13146"/>
    <w:rsid w:val="09CA2D09"/>
    <w:rsid w:val="09CA3331"/>
    <w:rsid w:val="09D5345C"/>
    <w:rsid w:val="09DF42DA"/>
    <w:rsid w:val="09E04166"/>
    <w:rsid w:val="09E069EE"/>
    <w:rsid w:val="0A00497C"/>
    <w:rsid w:val="0A165F4E"/>
    <w:rsid w:val="0A1C0718"/>
    <w:rsid w:val="0A3E7710"/>
    <w:rsid w:val="0A5B7E63"/>
    <w:rsid w:val="0A621193"/>
    <w:rsid w:val="0A6A0048"/>
    <w:rsid w:val="0A7333A0"/>
    <w:rsid w:val="0A9B46A5"/>
    <w:rsid w:val="0AA374A5"/>
    <w:rsid w:val="0AA417AC"/>
    <w:rsid w:val="0AA7129C"/>
    <w:rsid w:val="0AA74DF8"/>
    <w:rsid w:val="0AA96DC2"/>
    <w:rsid w:val="0AAB7649"/>
    <w:rsid w:val="0AB241FB"/>
    <w:rsid w:val="0AB614DF"/>
    <w:rsid w:val="0ABC5606"/>
    <w:rsid w:val="0ABD461B"/>
    <w:rsid w:val="0AC31846"/>
    <w:rsid w:val="0ACC0D02"/>
    <w:rsid w:val="0AD11E75"/>
    <w:rsid w:val="0AD55E09"/>
    <w:rsid w:val="0AEA1189"/>
    <w:rsid w:val="0AEB0BF0"/>
    <w:rsid w:val="0AF033DB"/>
    <w:rsid w:val="0B0F784B"/>
    <w:rsid w:val="0B260413"/>
    <w:rsid w:val="0B2C17A1"/>
    <w:rsid w:val="0B30404E"/>
    <w:rsid w:val="0B330D82"/>
    <w:rsid w:val="0B3C7C36"/>
    <w:rsid w:val="0B4C6C14"/>
    <w:rsid w:val="0B5605CC"/>
    <w:rsid w:val="0B631A88"/>
    <w:rsid w:val="0B683D45"/>
    <w:rsid w:val="0B7E024F"/>
    <w:rsid w:val="0B7F3F11"/>
    <w:rsid w:val="0B81389B"/>
    <w:rsid w:val="0B884417"/>
    <w:rsid w:val="0BBC48D3"/>
    <w:rsid w:val="0BD065D0"/>
    <w:rsid w:val="0BE3053F"/>
    <w:rsid w:val="0BF6188C"/>
    <w:rsid w:val="0BF73C91"/>
    <w:rsid w:val="0C0149DC"/>
    <w:rsid w:val="0C170175"/>
    <w:rsid w:val="0C4D19CF"/>
    <w:rsid w:val="0C571A41"/>
    <w:rsid w:val="0C584AE4"/>
    <w:rsid w:val="0C5C1171"/>
    <w:rsid w:val="0C5E1CBC"/>
    <w:rsid w:val="0C615B50"/>
    <w:rsid w:val="0C7B653C"/>
    <w:rsid w:val="0C8445DA"/>
    <w:rsid w:val="0C87121B"/>
    <w:rsid w:val="0C915D60"/>
    <w:rsid w:val="0CA710DF"/>
    <w:rsid w:val="0CC007F7"/>
    <w:rsid w:val="0CC7352F"/>
    <w:rsid w:val="0CE642FD"/>
    <w:rsid w:val="0CEE4F60"/>
    <w:rsid w:val="0CFE707A"/>
    <w:rsid w:val="0D063BDA"/>
    <w:rsid w:val="0D08375F"/>
    <w:rsid w:val="0D18022F"/>
    <w:rsid w:val="0D184CFB"/>
    <w:rsid w:val="0D4A7419"/>
    <w:rsid w:val="0D4C612B"/>
    <w:rsid w:val="0D58687D"/>
    <w:rsid w:val="0D655714"/>
    <w:rsid w:val="0D827401"/>
    <w:rsid w:val="0D84094E"/>
    <w:rsid w:val="0D870F11"/>
    <w:rsid w:val="0D8A00E9"/>
    <w:rsid w:val="0D8B27AF"/>
    <w:rsid w:val="0D8D589E"/>
    <w:rsid w:val="0D9378B6"/>
    <w:rsid w:val="0DA01C73"/>
    <w:rsid w:val="0DB066B9"/>
    <w:rsid w:val="0DB622DF"/>
    <w:rsid w:val="0DC161D1"/>
    <w:rsid w:val="0DC43F13"/>
    <w:rsid w:val="0DD07675"/>
    <w:rsid w:val="0DD63300"/>
    <w:rsid w:val="0DF26CD2"/>
    <w:rsid w:val="0DF50604"/>
    <w:rsid w:val="0DF702FE"/>
    <w:rsid w:val="0E0407B3"/>
    <w:rsid w:val="0E060E51"/>
    <w:rsid w:val="0E1B7FD7"/>
    <w:rsid w:val="0E2449B2"/>
    <w:rsid w:val="0E35096D"/>
    <w:rsid w:val="0E3C1CFB"/>
    <w:rsid w:val="0E5604B2"/>
    <w:rsid w:val="0E67321C"/>
    <w:rsid w:val="0E6C4D05"/>
    <w:rsid w:val="0E6D5D79"/>
    <w:rsid w:val="0E7347D2"/>
    <w:rsid w:val="0E825B5E"/>
    <w:rsid w:val="0E8813E4"/>
    <w:rsid w:val="0E8F7B00"/>
    <w:rsid w:val="0E9D0089"/>
    <w:rsid w:val="0EAF6971"/>
    <w:rsid w:val="0EB51830"/>
    <w:rsid w:val="0EB7714F"/>
    <w:rsid w:val="0EB803EE"/>
    <w:rsid w:val="0EBC4BEA"/>
    <w:rsid w:val="0EBE6BB4"/>
    <w:rsid w:val="0ECC7523"/>
    <w:rsid w:val="0ECF491D"/>
    <w:rsid w:val="0EDE2B66"/>
    <w:rsid w:val="0EF94D4B"/>
    <w:rsid w:val="0F205179"/>
    <w:rsid w:val="0F4148B2"/>
    <w:rsid w:val="0F4958DC"/>
    <w:rsid w:val="0F503CB0"/>
    <w:rsid w:val="0F515DF7"/>
    <w:rsid w:val="0F596BA8"/>
    <w:rsid w:val="0F6248D2"/>
    <w:rsid w:val="0F693536"/>
    <w:rsid w:val="0F73073F"/>
    <w:rsid w:val="0F751969"/>
    <w:rsid w:val="0F7A00BD"/>
    <w:rsid w:val="0F7B0511"/>
    <w:rsid w:val="0F7B76D9"/>
    <w:rsid w:val="0F7F4595"/>
    <w:rsid w:val="0F816ACD"/>
    <w:rsid w:val="0F9832DB"/>
    <w:rsid w:val="0FAC4C5F"/>
    <w:rsid w:val="0FBF3FD2"/>
    <w:rsid w:val="0FBF7FF3"/>
    <w:rsid w:val="0FDF1FE4"/>
    <w:rsid w:val="0FE8038D"/>
    <w:rsid w:val="0FFD5F35"/>
    <w:rsid w:val="0FFF7484"/>
    <w:rsid w:val="10094290"/>
    <w:rsid w:val="10115F87"/>
    <w:rsid w:val="102B64CB"/>
    <w:rsid w:val="10346CA0"/>
    <w:rsid w:val="103510F8"/>
    <w:rsid w:val="103A670E"/>
    <w:rsid w:val="1051028C"/>
    <w:rsid w:val="10624209"/>
    <w:rsid w:val="10646583"/>
    <w:rsid w:val="10686DD7"/>
    <w:rsid w:val="10710382"/>
    <w:rsid w:val="10767DE9"/>
    <w:rsid w:val="107D4B15"/>
    <w:rsid w:val="108A3C80"/>
    <w:rsid w:val="10A02A15"/>
    <w:rsid w:val="10A560DD"/>
    <w:rsid w:val="10B028F0"/>
    <w:rsid w:val="10B71B0D"/>
    <w:rsid w:val="10C26171"/>
    <w:rsid w:val="10D51B29"/>
    <w:rsid w:val="10D821AF"/>
    <w:rsid w:val="10D95F27"/>
    <w:rsid w:val="10E30B54"/>
    <w:rsid w:val="10F33360"/>
    <w:rsid w:val="10FC16EA"/>
    <w:rsid w:val="11017275"/>
    <w:rsid w:val="11072A94"/>
    <w:rsid w:val="110F1D40"/>
    <w:rsid w:val="11266F33"/>
    <w:rsid w:val="116E48C1"/>
    <w:rsid w:val="118963A1"/>
    <w:rsid w:val="119105B0"/>
    <w:rsid w:val="119333A6"/>
    <w:rsid w:val="119836EC"/>
    <w:rsid w:val="11A24443"/>
    <w:rsid w:val="11A55E09"/>
    <w:rsid w:val="11B322D4"/>
    <w:rsid w:val="11BF511D"/>
    <w:rsid w:val="11C6522A"/>
    <w:rsid w:val="11CB1D14"/>
    <w:rsid w:val="11CB3AC2"/>
    <w:rsid w:val="11E104CC"/>
    <w:rsid w:val="11E20309"/>
    <w:rsid w:val="11F548F4"/>
    <w:rsid w:val="11FC3C7B"/>
    <w:rsid w:val="11FF376C"/>
    <w:rsid w:val="12015736"/>
    <w:rsid w:val="12046FD4"/>
    <w:rsid w:val="12072620"/>
    <w:rsid w:val="121216F1"/>
    <w:rsid w:val="12137217"/>
    <w:rsid w:val="12255233"/>
    <w:rsid w:val="12530213"/>
    <w:rsid w:val="1255782F"/>
    <w:rsid w:val="12597320"/>
    <w:rsid w:val="125C471A"/>
    <w:rsid w:val="125F245C"/>
    <w:rsid w:val="12753A2E"/>
    <w:rsid w:val="127723A9"/>
    <w:rsid w:val="127777A6"/>
    <w:rsid w:val="12842655"/>
    <w:rsid w:val="1285380E"/>
    <w:rsid w:val="12862074"/>
    <w:rsid w:val="12883966"/>
    <w:rsid w:val="1288550F"/>
    <w:rsid w:val="128E0979"/>
    <w:rsid w:val="12984552"/>
    <w:rsid w:val="129E45B4"/>
    <w:rsid w:val="12B10F0A"/>
    <w:rsid w:val="12C50511"/>
    <w:rsid w:val="12D81596"/>
    <w:rsid w:val="12E56E05"/>
    <w:rsid w:val="12FE3A23"/>
    <w:rsid w:val="13072A44"/>
    <w:rsid w:val="132D60B6"/>
    <w:rsid w:val="133C3984"/>
    <w:rsid w:val="13581385"/>
    <w:rsid w:val="135F4BE2"/>
    <w:rsid w:val="1363267F"/>
    <w:rsid w:val="136C4E31"/>
    <w:rsid w:val="13734411"/>
    <w:rsid w:val="1376180B"/>
    <w:rsid w:val="139525D9"/>
    <w:rsid w:val="139B1A0A"/>
    <w:rsid w:val="139C3DB6"/>
    <w:rsid w:val="139D25C7"/>
    <w:rsid w:val="13AC16D1"/>
    <w:rsid w:val="13BF3CE4"/>
    <w:rsid w:val="13EE3F4D"/>
    <w:rsid w:val="141008D8"/>
    <w:rsid w:val="14103A0E"/>
    <w:rsid w:val="14107EB2"/>
    <w:rsid w:val="14125FE6"/>
    <w:rsid w:val="141379A2"/>
    <w:rsid w:val="141A663B"/>
    <w:rsid w:val="141B23B3"/>
    <w:rsid w:val="14297784"/>
    <w:rsid w:val="143040B0"/>
    <w:rsid w:val="143516C6"/>
    <w:rsid w:val="14353475"/>
    <w:rsid w:val="1455356B"/>
    <w:rsid w:val="146D271E"/>
    <w:rsid w:val="14902DA1"/>
    <w:rsid w:val="14982588"/>
    <w:rsid w:val="149A5AD9"/>
    <w:rsid w:val="14A01236"/>
    <w:rsid w:val="14A32AD4"/>
    <w:rsid w:val="14A7619D"/>
    <w:rsid w:val="14C33176"/>
    <w:rsid w:val="14D40EDF"/>
    <w:rsid w:val="14D56A06"/>
    <w:rsid w:val="14DB04C0"/>
    <w:rsid w:val="14EA0703"/>
    <w:rsid w:val="15023C9F"/>
    <w:rsid w:val="150536C3"/>
    <w:rsid w:val="150712B5"/>
    <w:rsid w:val="150C1963"/>
    <w:rsid w:val="15121A08"/>
    <w:rsid w:val="151447A0"/>
    <w:rsid w:val="15202377"/>
    <w:rsid w:val="15227E9D"/>
    <w:rsid w:val="152F4368"/>
    <w:rsid w:val="15325C06"/>
    <w:rsid w:val="15477903"/>
    <w:rsid w:val="154A6454"/>
    <w:rsid w:val="15695ACC"/>
    <w:rsid w:val="156A53A0"/>
    <w:rsid w:val="15762120"/>
    <w:rsid w:val="15856ED9"/>
    <w:rsid w:val="15882F8B"/>
    <w:rsid w:val="159F5B7E"/>
    <w:rsid w:val="15A136FE"/>
    <w:rsid w:val="15AE7982"/>
    <w:rsid w:val="15B36D47"/>
    <w:rsid w:val="16161084"/>
    <w:rsid w:val="163D0D06"/>
    <w:rsid w:val="164147AE"/>
    <w:rsid w:val="167456AF"/>
    <w:rsid w:val="167E2A4B"/>
    <w:rsid w:val="16921052"/>
    <w:rsid w:val="16A8729C"/>
    <w:rsid w:val="16A941F4"/>
    <w:rsid w:val="16B33777"/>
    <w:rsid w:val="16BC2F6A"/>
    <w:rsid w:val="16BC70A7"/>
    <w:rsid w:val="16BF796D"/>
    <w:rsid w:val="16C6339E"/>
    <w:rsid w:val="16D9519F"/>
    <w:rsid w:val="16E3540A"/>
    <w:rsid w:val="16ED5C2D"/>
    <w:rsid w:val="1713320F"/>
    <w:rsid w:val="171750B3"/>
    <w:rsid w:val="171B2DF6"/>
    <w:rsid w:val="1720665E"/>
    <w:rsid w:val="172F2D79"/>
    <w:rsid w:val="173D173B"/>
    <w:rsid w:val="17557BEF"/>
    <w:rsid w:val="17780248"/>
    <w:rsid w:val="178D1819"/>
    <w:rsid w:val="17CC0594"/>
    <w:rsid w:val="17D349C1"/>
    <w:rsid w:val="17DD454F"/>
    <w:rsid w:val="17EA27C8"/>
    <w:rsid w:val="17FF44C5"/>
    <w:rsid w:val="180A2E6A"/>
    <w:rsid w:val="181038C4"/>
    <w:rsid w:val="18117D55"/>
    <w:rsid w:val="1830729E"/>
    <w:rsid w:val="183121A5"/>
    <w:rsid w:val="18316649"/>
    <w:rsid w:val="1833416F"/>
    <w:rsid w:val="184E0FA9"/>
    <w:rsid w:val="18544ABD"/>
    <w:rsid w:val="18581E27"/>
    <w:rsid w:val="1870062C"/>
    <w:rsid w:val="18817102"/>
    <w:rsid w:val="18830A15"/>
    <w:rsid w:val="18852B28"/>
    <w:rsid w:val="18866995"/>
    <w:rsid w:val="188B5321"/>
    <w:rsid w:val="18A4506D"/>
    <w:rsid w:val="18A8690B"/>
    <w:rsid w:val="18B51028"/>
    <w:rsid w:val="18C27F65"/>
    <w:rsid w:val="18D86AC4"/>
    <w:rsid w:val="18DF60A5"/>
    <w:rsid w:val="18F02060"/>
    <w:rsid w:val="19006747"/>
    <w:rsid w:val="1901426D"/>
    <w:rsid w:val="19015AE5"/>
    <w:rsid w:val="19067AD5"/>
    <w:rsid w:val="19140A8A"/>
    <w:rsid w:val="19160809"/>
    <w:rsid w:val="191E4E1F"/>
    <w:rsid w:val="193835EC"/>
    <w:rsid w:val="19397563"/>
    <w:rsid w:val="195C520F"/>
    <w:rsid w:val="195C76F5"/>
    <w:rsid w:val="19622F5E"/>
    <w:rsid w:val="19662322"/>
    <w:rsid w:val="19685425"/>
    <w:rsid w:val="197113F3"/>
    <w:rsid w:val="19834C82"/>
    <w:rsid w:val="198F3B7A"/>
    <w:rsid w:val="19932372"/>
    <w:rsid w:val="199E7D0E"/>
    <w:rsid w:val="19A20DD5"/>
    <w:rsid w:val="19A5109C"/>
    <w:rsid w:val="19A90B8D"/>
    <w:rsid w:val="19AE03F1"/>
    <w:rsid w:val="19BE5CBA"/>
    <w:rsid w:val="19C37774"/>
    <w:rsid w:val="19C85E05"/>
    <w:rsid w:val="19CF1C75"/>
    <w:rsid w:val="19D76D7C"/>
    <w:rsid w:val="19F17E3E"/>
    <w:rsid w:val="19FD67E3"/>
    <w:rsid w:val="1A023D5D"/>
    <w:rsid w:val="1A071A03"/>
    <w:rsid w:val="1A1F16AE"/>
    <w:rsid w:val="1A3B5C77"/>
    <w:rsid w:val="1A55661F"/>
    <w:rsid w:val="1A5F74B3"/>
    <w:rsid w:val="1A622AE9"/>
    <w:rsid w:val="1A6525DA"/>
    <w:rsid w:val="1A6E5932"/>
    <w:rsid w:val="1A766595"/>
    <w:rsid w:val="1A984BAD"/>
    <w:rsid w:val="1AA90718"/>
    <w:rsid w:val="1AAB26E2"/>
    <w:rsid w:val="1AB8220E"/>
    <w:rsid w:val="1ABC044C"/>
    <w:rsid w:val="1AC61568"/>
    <w:rsid w:val="1AE4166C"/>
    <w:rsid w:val="1AF06CFB"/>
    <w:rsid w:val="1AF11B8D"/>
    <w:rsid w:val="1AF37BE5"/>
    <w:rsid w:val="1AF75928"/>
    <w:rsid w:val="1AF86BE5"/>
    <w:rsid w:val="1B11359C"/>
    <w:rsid w:val="1B2017F0"/>
    <w:rsid w:val="1B285AE1"/>
    <w:rsid w:val="1B2A271F"/>
    <w:rsid w:val="1B2D759B"/>
    <w:rsid w:val="1B300E3A"/>
    <w:rsid w:val="1B373F76"/>
    <w:rsid w:val="1B530544"/>
    <w:rsid w:val="1B713184"/>
    <w:rsid w:val="1B7176AC"/>
    <w:rsid w:val="1B7927E1"/>
    <w:rsid w:val="1BA209CF"/>
    <w:rsid w:val="1BB4777D"/>
    <w:rsid w:val="1BCF30F0"/>
    <w:rsid w:val="1BD75AB8"/>
    <w:rsid w:val="1BEA723A"/>
    <w:rsid w:val="1BFD51C0"/>
    <w:rsid w:val="1C0459C2"/>
    <w:rsid w:val="1C112A19"/>
    <w:rsid w:val="1C1B3B4A"/>
    <w:rsid w:val="1C1C4F1A"/>
    <w:rsid w:val="1C1E0C92"/>
    <w:rsid w:val="1C2344FA"/>
    <w:rsid w:val="1C3D55BC"/>
    <w:rsid w:val="1C41355E"/>
    <w:rsid w:val="1C6E5776"/>
    <w:rsid w:val="1C6E7E6B"/>
    <w:rsid w:val="1C744D56"/>
    <w:rsid w:val="1C850D11"/>
    <w:rsid w:val="1C88086E"/>
    <w:rsid w:val="1C9A2A0F"/>
    <w:rsid w:val="1CA76EDA"/>
    <w:rsid w:val="1CAC44F0"/>
    <w:rsid w:val="1CBE56D0"/>
    <w:rsid w:val="1CC25AC1"/>
    <w:rsid w:val="1CC57360"/>
    <w:rsid w:val="1CF10155"/>
    <w:rsid w:val="1CF739BD"/>
    <w:rsid w:val="1D01483C"/>
    <w:rsid w:val="1D0B1216"/>
    <w:rsid w:val="1D101228"/>
    <w:rsid w:val="1D156539"/>
    <w:rsid w:val="1D2633F0"/>
    <w:rsid w:val="1D266CE1"/>
    <w:rsid w:val="1D28626C"/>
    <w:rsid w:val="1D2D5631"/>
    <w:rsid w:val="1D344C11"/>
    <w:rsid w:val="1D385D84"/>
    <w:rsid w:val="1D3963AF"/>
    <w:rsid w:val="1D4E55A7"/>
    <w:rsid w:val="1D530ED5"/>
    <w:rsid w:val="1D5F77B4"/>
    <w:rsid w:val="1D6A673C"/>
    <w:rsid w:val="1D7019C1"/>
    <w:rsid w:val="1D743260"/>
    <w:rsid w:val="1D882867"/>
    <w:rsid w:val="1D9247AE"/>
    <w:rsid w:val="1D9B4C90"/>
    <w:rsid w:val="1DB567EC"/>
    <w:rsid w:val="1DED3012"/>
    <w:rsid w:val="1DED4DC0"/>
    <w:rsid w:val="1DF51A98"/>
    <w:rsid w:val="1E124827"/>
    <w:rsid w:val="1E1806C7"/>
    <w:rsid w:val="1E1D38F7"/>
    <w:rsid w:val="1E2A6014"/>
    <w:rsid w:val="1E2C3B3A"/>
    <w:rsid w:val="1E3D060F"/>
    <w:rsid w:val="1E3F7D2E"/>
    <w:rsid w:val="1E4134E4"/>
    <w:rsid w:val="1E5062B3"/>
    <w:rsid w:val="1E523514"/>
    <w:rsid w:val="1E5B7F7C"/>
    <w:rsid w:val="1E6037E4"/>
    <w:rsid w:val="1E714A66"/>
    <w:rsid w:val="1E7828DC"/>
    <w:rsid w:val="1E802593"/>
    <w:rsid w:val="1EA703CC"/>
    <w:rsid w:val="1EAE09F3"/>
    <w:rsid w:val="1EB107C7"/>
    <w:rsid w:val="1EB7330C"/>
    <w:rsid w:val="1EB73779"/>
    <w:rsid w:val="1EC41FC5"/>
    <w:rsid w:val="1ED85A70"/>
    <w:rsid w:val="1EE12B77"/>
    <w:rsid w:val="1EE96E50"/>
    <w:rsid w:val="1EF04B68"/>
    <w:rsid w:val="1EF253D1"/>
    <w:rsid w:val="1EF26B32"/>
    <w:rsid w:val="1EFD1033"/>
    <w:rsid w:val="1F0A0FF3"/>
    <w:rsid w:val="1F1B770B"/>
    <w:rsid w:val="1F1D7927"/>
    <w:rsid w:val="1F3031B6"/>
    <w:rsid w:val="1F36788E"/>
    <w:rsid w:val="1F3C1626"/>
    <w:rsid w:val="1F446C62"/>
    <w:rsid w:val="1F5771FF"/>
    <w:rsid w:val="1F596413"/>
    <w:rsid w:val="1F623BDB"/>
    <w:rsid w:val="1F645556"/>
    <w:rsid w:val="1F704B7C"/>
    <w:rsid w:val="1FB21E1D"/>
    <w:rsid w:val="1FB43DE7"/>
    <w:rsid w:val="1FCA6C08"/>
    <w:rsid w:val="1FCD6C57"/>
    <w:rsid w:val="1FD9384E"/>
    <w:rsid w:val="1FE346CD"/>
    <w:rsid w:val="1FE868A9"/>
    <w:rsid w:val="20034907"/>
    <w:rsid w:val="20051ABD"/>
    <w:rsid w:val="20087CAB"/>
    <w:rsid w:val="20173E4B"/>
    <w:rsid w:val="20176124"/>
    <w:rsid w:val="20370574"/>
    <w:rsid w:val="203B1E13"/>
    <w:rsid w:val="204C2272"/>
    <w:rsid w:val="204D34CB"/>
    <w:rsid w:val="204E48BC"/>
    <w:rsid w:val="20511636"/>
    <w:rsid w:val="205904EB"/>
    <w:rsid w:val="205E47E3"/>
    <w:rsid w:val="206770AC"/>
    <w:rsid w:val="207215AC"/>
    <w:rsid w:val="208337BA"/>
    <w:rsid w:val="20847C5E"/>
    <w:rsid w:val="208921B3"/>
    <w:rsid w:val="209314D4"/>
    <w:rsid w:val="20971013"/>
    <w:rsid w:val="20973DEB"/>
    <w:rsid w:val="20976CDE"/>
    <w:rsid w:val="20AA6F98"/>
    <w:rsid w:val="20B26522"/>
    <w:rsid w:val="20B44310"/>
    <w:rsid w:val="20CE2C87"/>
    <w:rsid w:val="20E95D13"/>
    <w:rsid w:val="20EF09AB"/>
    <w:rsid w:val="210643C7"/>
    <w:rsid w:val="210F4CB8"/>
    <w:rsid w:val="211116EB"/>
    <w:rsid w:val="2120725A"/>
    <w:rsid w:val="212270B3"/>
    <w:rsid w:val="21332ED2"/>
    <w:rsid w:val="215E4271"/>
    <w:rsid w:val="216133FC"/>
    <w:rsid w:val="21627873"/>
    <w:rsid w:val="21667363"/>
    <w:rsid w:val="216E7FC6"/>
    <w:rsid w:val="21A67760"/>
    <w:rsid w:val="21B005DE"/>
    <w:rsid w:val="21B77BBF"/>
    <w:rsid w:val="21D56769"/>
    <w:rsid w:val="21E12E8E"/>
    <w:rsid w:val="21E52EF3"/>
    <w:rsid w:val="21E62252"/>
    <w:rsid w:val="21FB5D7B"/>
    <w:rsid w:val="21FE759C"/>
    <w:rsid w:val="22001566"/>
    <w:rsid w:val="220A23E4"/>
    <w:rsid w:val="220B1C3D"/>
    <w:rsid w:val="221768AF"/>
    <w:rsid w:val="221B2546"/>
    <w:rsid w:val="221D1D20"/>
    <w:rsid w:val="22284619"/>
    <w:rsid w:val="223236E9"/>
    <w:rsid w:val="22334A87"/>
    <w:rsid w:val="225E7918"/>
    <w:rsid w:val="22723AE6"/>
    <w:rsid w:val="22833F45"/>
    <w:rsid w:val="22853819"/>
    <w:rsid w:val="229879F0"/>
    <w:rsid w:val="229B303C"/>
    <w:rsid w:val="22A7378F"/>
    <w:rsid w:val="22AA3280"/>
    <w:rsid w:val="22B934C3"/>
    <w:rsid w:val="22B97967"/>
    <w:rsid w:val="22BE6801"/>
    <w:rsid w:val="22C2681B"/>
    <w:rsid w:val="231D7EF5"/>
    <w:rsid w:val="23272B22"/>
    <w:rsid w:val="232D5A50"/>
    <w:rsid w:val="23337719"/>
    <w:rsid w:val="233500BF"/>
    <w:rsid w:val="23377FF7"/>
    <w:rsid w:val="23386ADD"/>
    <w:rsid w:val="233F4B8C"/>
    <w:rsid w:val="23502079"/>
    <w:rsid w:val="2366189C"/>
    <w:rsid w:val="23663488"/>
    <w:rsid w:val="23696C97"/>
    <w:rsid w:val="236B425F"/>
    <w:rsid w:val="23700025"/>
    <w:rsid w:val="23836192"/>
    <w:rsid w:val="238E494F"/>
    <w:rsid w:val="23901F29"/>
    <w:rsid w:val="23922691"/>
    <w:rsid w:val="239B0E1A"/>
    <w:rsid w:val="239C0061"/>
    <w:rsid w:val="239D4B92"/>
    <w:rsid w:val="23B32608"/>
    <w:rsid w:val="23B908A4"/>
    <w:rsid w:val="23C16AD3"/>
    <w:rsid w:val="23DD1433"/>
    <w:rsid w:val="23E17175"/>
    <w:rsid w:val="23E95BEF"/>
    <w:rsid w:val="23EE3640"/>
    <w:rsid w:val="23F073B8"/>
    <w:rsid w:val="23F5677C"/>
    <w:rsid w:val="23F635E7"/>
    <w:rsid w:val="23FD0064"/>
    <w:rsid w:val="24106E92"/>
    <w:rsid w:val="242008EB"/>
    <w:rsid w:val="245375B0"/>
    <w:rsid w:val="24642C0A"/>
    <w:rsid w:val="247B55C5"/>
    <w:rsid w:val="24AA57B9"/>
    <w:rsid w:val="24B22173"/>
    <w:rsid w:val="24B44889"/>
    <w:rsid w:val="24B95AD9"/>
    <w:rsid w:val="24BE24DA"/>
    <w:rsid w:val="24C50845"/>
    <w:rsid w:val="24CE44A2"/>
    <w:rsid w:val="24CF5825"/>
    <w:rsid w:val="24D663E6"/>
    <w:rsid w:val="24D77F2B"/>
    <w:rsid w:val="24E46F1D"/>
    <w:rsid w:val="24E76A0D"/>
    <w:rsid w:val="24F71821"/>
    <w:rsid w:val="25201F1F"/>
    <w:rsid w:val="25336A5A"/>
    <w:rsid w:val="2536529E"/>
    <w:rsid w:val="25455E14"/>
    <w:rsid w:val="255E2002"/>
    <w:rsid w:val="25783B09"/>
    <w:rsid w:val="257C6770"/>
    <w:rsid w:val="257D4C7B"/>
    <w:rsid w:val="25867FD4"/>
    <w:rsid w:val="258B00E2"/>
    <w:rsid w:val="259E6509"/>
    <w:rsid w:val="25A16BBC"/>
    <w:rsid w:val="25A917A6"/>
    <w:rsid w:val="25BE27CC"/>
    <w:rsid w:val="25DA0F4E"/>
    <w:rsid w:val="25DA20CE"/>
    <w:rsid w:val="25DF65C7"/>
    <w:rsid w:val="25F34F3E"/>
    <w:rsid w:val="25F74A5C"/>
    <w:rsid w:val="25FC2044"/>
    <w:rsid w:val="26235823"/>
    <w:rsid w:val="2628662C"/>
    <w:rsid w:val="262B46D7"/>
    <w:rsid w:val="262D45DE"/>
    <w:rsid w:val="263A491A"/>
    <w:rsid w:val="264D6D44"/>
    <w:rsid w:val="26551754"/>
    <w:rsid w:val="2659313B"/>
    <w:rsid w:val="26720558"/>
    <w:rsid w:val="26726622"/>
    <w:rsid w:val="26962499"/>
    <w:rsid w:val="269B185D"/>
    <w:rsid w:val="26A53EF9"/>
    <w:rsid w:val="26A94201"/>
    <w:rsid w:val="26AC274F"/>
    <w:rsid w:val="26AE6F18"/>
    <w:rsid w:val="26B152EF"/>
    <w:rsid w:val="26B65C63"/>
    <w:rsid w:val="26CA2142"/>
    <w:rsid w:val="26DE799C"/>
    <w:rsid w:val="26E50D2A"/>
    <w:rsid w:val="27044A29"/>
    <w:rsid w:val="270A0791"/>
    <w:rsid w:val="271433BD"/>
    <w:rsid w:val="271D34C8"/>
    <w:rsid w:val="272E2274"/>
    <w:rsid w:val="273F349B"/>
    <w:rsid w:val="27400656"/>
    <w:rsid w:val="274E4B21"/>
    <w:rsid w:val="275B43C5"/>
    <w:rsid w:val="276142BF"/>
    <w:rsid w:val="27652431"/>
    <w:rsid w:val="27680B7B"/>
    <w:rsid w:val="27783712"/>
    <w:rsid w:val="2778394C"/>
    <w:rsid w:val="27907362"/>
    <w:rsid w:val="279F712B"/>
    <w:rsid w:val="27D35027"/>
    <w:rsid w:val="27E45486"/>
    <w:rsid w:val="27E72880"/>
    <w:rsid w:val="27E86D24"/>
    <w:rsid w:val="27E9484A"/>
    <w:rsid w:val="2802590C"/>
    <w:rsid w:val="28094EEC"/>
    <w:rsid w:val="282E1A90"/>
    <w:rsid w:val="28333E1D"/>
    <w:rsid w:val="28357A8F"/>
    <w:rsid w:val="28441A80"/>
    <w:rsid w:val="28454BD6"/>
    <w:rsid w:val="28455253"/>
    <w:rsid w:val="28551971"/>
    <w:rsid w:val="285B1C53"/>
    <w:rsid w:val="28612632"/>
    <w:rsid w:val="286914E7"/>
    <w:rsid w:val="28707D1C"/>
    <w:rsid w:val="287700A8"/>
    <w:rsid w:val="288307FB"/>
    <w:rsid w:val="28940C5A"/>
    <w:rsid w:val="289572DB"/>
    <w:rsid w:val="289C366A"/>
    <w:rsid w:val="289F7086"/>
    <w:rsid w:val="28B430AA"/>
    <w:rsid w:val="28B866EE"/>
    <w:rsid w:val="28C32028"/>
    <w:rsid w:val="28C64B8B"/>
    <w:rsid w:val="28CC490F"/>
    <w:rsid w:val="28DE40AA"/>
    <w:rsid w:val="28F214DC"/>
    <w:rsid w:val="29115E06"/>
    <w:rsid w:val="29192F0D"/>
    <w:rsid w:val="291B0A33"/>
    <w:rsid w:val="291C47AB"/>
    <w:rsid w:val="291E22D1"/>
    <w:rsid w:val="29211421"/>
    <w:rsid w:val="29345E77"/>
    <w:rsid w:val="294A1318"/>
    <w:rsid w:val="294C5091"/>
    <w:rsid w:val="294C65AD"/>
    <w:rsid w:val="295909E9"/>
    <w:rsid w:val="296A3082"/>
    <w:rsid w:val="296F6FD1"/>
    <w:rsid w:val="297D3CA3"/>
    <w:rsid w:val="29806583"/>
    <w:rsid w:val="298B3C4C"/>
    <w:rsid w:val="298F4F7D"/>
    <w:rsid w:val="29915199"/>
    <w:rsid w:val="29B0437B"/>
    <w:rsid w:val="29B6075C"/>
    <w:rsid w:val="29BF5862"/>
    <w:rsid w:val="29CA2459"/>
    <w:rsid w:val="29CE5AA6"/>
    <w:rsid w:val="29D62BAC"/>
    <w:rsid w:val="29F26D24"/>
    <w:rsid w:val="29F319B0"/>
    <w:rsid w:val="29F6324E"/>
    <w:rsid w:val="2A135BAE"/>
    <w:rsid w:val="2A15033F"/>
    <w:rsid w:val="2A151926"/>
    <w:rsid w:val="2A1662C1"/>
    <w:rsid w:val="2A1C7367"/>
    <w:rsid w:val="2A241B69"/>
    <w:rsid w:val="2A2815FA"/>
    <w:rsid w:val="2A44045E"/>
    <w:rsid w:val="2A461AE0"/>
    <w:rsid w:val="2A4D4911"/>
    <w:rsid w:val="2A4F55C4"/>
    <w:rsid w:val="2A59336C"/>
    <w:rsid w:val="2A6B1546"/>
    <w:rsid w:val="2A6D6092"/>
    <w:rsid w:val="2A7D76B4"/>
    <w:rsid w:val="2A7F527C"/>
    <w:rsid w:val="2A8F62DB"/>
    <w:rsid w:val="2AB21C7A"/>
    <w:rsid w:val="2AB54EB7"/>
    <w:rsid w:val="2ABA24CE"/>
    <w:rsid w:val="2AD03A9F"/>
    <w:rsid w:val="2AE01F34"/>
    <w:rsid w:val="2AEA4B61"/>
    <w:rsid w:val="2AFB6D6E"/>
    <w:rsid w:val="2B0674C1"/>
    <w:rsid w:val="2B1A4D1A"/>
    <w:rsid w:val="2B287437"/>
    <w:rsid w:val="2B2A31B0"/>
    <w:rsid w:val="2B2D2106"/>
    <w:rsid w:val="2B437463"/>
    <w:rsid w:val="2B4C1378"/>
    <w:rsid w:val="2B593A95"/>
    <w:rsid w:val="2B7803BF"/>
    <w:rsid w:val="2B7807EE"/>
    <w:rsid w:val="2B82123D"/>
    <w:rsid w:val="2B9068E8"/>
    <w:rsid w:val="2B9351F9"/>
    <w:rsid w:val="2B980F11"/>
    <w:rsid w:val="2B9E76FA"/>
    <w:rsid w:val="2BA32F62"/>
    <w:rsid w:val="2BAF1907"/>
    <w:rsid w:val="2BB676E2"/>
    <w:rsid w:val="2BBF00EC"/>
    <w:rsid w:val="2BC37CFD"/>
    <w:rsid w:val="2BC517DF"/>
    <w:rsid w:val="2BD515B4"/>
    <w:rsid w:val="2BD5237F"/>
    <w:rsid w:val="2BD5366E"/>
    <w:rsid w:val="2BE536CE"/>
    <w:rsid w:val="2BE758D9"/>
    <w:rsid w:val="2BEC4909"/>
    <w:rsid w:val="2BEC4978"/>
    <w:rsid w:val="2BF832AE"/>
    <w:rsid w:val="2C076718"/>
    <w:rsid w:val="2C09049E"/>
    <w:rsid w:val="2C0A653C"/>
    <w:rsid w:val="2C0F23A5"/>
    <w:rsid w:val="2C1300E8"/>
    <w:rsid w:val="2C191F85"/>
    <w:rsid w:val="2C2916B9"/>
    <w:rsid w:val="2C414C55"/>
    <w:rsid w:val="2C4D184B"/>
    <w:rsid w:val="2C4E7372"/>
    <w:rsid w:val="2C8573E5"/>
    <w:rsid w:val="2C8B2374"/>
    <w:rsid w:val="2C901738"/>
    <w:rsid w:val="2CD07D87"/>
    <w:rsid w:val="2CDF621C"/>
    <w:rsid w:val="2CE82D6F"/>
    <w:rsid w:val="2CF972DD"/>
    <w:rsid w:val="2D0619FA"/>
    <w:rsid w:val="2D23435A"/>
    <w:rsid w:val="2D265BF9"/>
    <w:rsid w:val="2D2A393B"/>
    <w:rsid w:val="2D2C76B3"/>
    <w:rsid w:val="2D343236"/>
    <w:rsid w:val="2D40315E"/>
    <w:rsid w:val="2D46629B"/>
    <w:rsid w:val="2D5552B6"/>
    <w:rsid w:val="2D564730"/>
    <w:rsid w:val="2D5E35E4"/>
    <w:rsid w:val="2DA27975"/>
    <w:rsid w:val="2DA82AB1"/>
    <w:rsid w:val="2DD15014"/>
    <w:rsid w:val="2DDB2E87"/>
    <w:rsid w:val="2DF31018"/>
    <w:rsid w:val="2DF72DE4"/>
    <w:rsid w:val="2E0220AF"/>
    <w:rsid w:val="2E026666"/>
    <w:rsid w:val="2E100D83"/>
    <w:rsid w:val="2E165C6D"/>
    <w:rsid w:val="2E2C5491"/>
    <w:rsid w:val="2E4B082A"/>
    <w:rsid w:val="2E5D4E86"/>
    <w:rsid w:val="2E5D790B"/>
    <w:rsid w:val="2E6C1D31"/>
    <w:rsid w:val="2E717347"/>
    <w:rsid w:val="2E7A26A0"/>
    <w:rsid w:val="2E9A3C18"/>
    <w:rsid w:val="2EAB6DE2"/>
    <w:rsid w:val="2EAD1B4C"/>
    <w:rsid w:val="2EB12023"/>
    <w:rsid w:val="2EBA7950"/>
    <w:rsid w:val="2EBB0FEE"/>
    <w:rsid w:val="2EC63002"/>
    <w:rsid w:val="2EFB550E"/>
    <w:rsid w:val="2F065CE2"/>
    <w:rsid w:val="2F0A6B38"/>
    <w:rsid w:val="2F1E7049"/>
    <w:rsid w:val="2F320885"/>
    <w:rsid w:val="2F3C1703"/>
    <w:rsid w:val="2F6A2714"/>
    <w:rsid w:val="2F7E3ACA"/>
    <w:rsid w:val="2F946CCB"/>
    <w:rsid w:val="2F9C21A2"/>
    <w:rsid w:val="2FA21EAE"/>
    <w:rsid w:val="2FAE65EC"/>
    <w:rsid w:val="2FD25781"/>
    <w:rsid w:val="2FFD7934"/>
    <w:rsid w:val="3011649E"/>
    <w:rsid w:val="301D32E3"/>
    <w:rsid w:val="303625F7"/>
    <w:rsid w:val="303D1BD7"/>
    <w:rsid w:val="303E14AB"/>
    <w:rsid w:val="304C1E1A"/>
    <w:rsid w:val="304C5976"/>
    <w:rsid w:val="305E56A9"/>
    <w:rsid w:val="30733ACD"/>
    <w:rsid w:val="30745478"/>
    <w:rsid w:val="3075311F"/>
    <w:rsid w:val="3082583C"/>
    <w:rsid w:val="3084126D"/>
    <w:rsid w:val="308C3862"/>
    <w:rsid w:val="309379D8"/>
    <w:rsid w:val="309C4841"/>
    <w:rsid w:val="309D2676"/>
    <w:rsid w:val="30A270F7"/>
    <w:rsid w:val="30A27C8C"/>
    <w:rsid w:val="30A43A04"/>
    <w:rsid w:val="30A6777C"/>
    <w:rsid w:val="30AD5BDF"/>
    <w:rsid w:val="30C45E54"/>
    <w:rsid w:val="30DB6CFA"/>
    <w:rsid w:val="30DF1478"/>
    <w:rsid w:val="30EC586F"/>
    <w:rsid w:val="30FA39AB"/>
    <w:rsid w:val="311566B0"/>
    <w:rsid w:val="31230DCD"/>
    <w:rsid w:val="312366B1"/>
    <w:rsid w:val="314174A5"/>
    <w:rsid w:val="314D5E4A"/>
    <w:rsid w:val="315947EF"/>
    <w:rsid w:val="316B4522"/>
    <w:rsid w:val="318D6246"/>
    <w:rsid w:val="319C0B7F"/>
    <w:rsid w:val="319C292D"/>
    <w:rsid w:val="319C6071"/>
    <w:rsid w:val="31AC537E"/>
    <w:rsid w:val="31B859B9"/>
    <w:rsid w:val="31BB0CC6"/>
    <w:rsid w:val="31BB7257"/>
    <w:rsid w:val="31C03256"/>
    <w:rsid w:val="31C75BFC"/>
    <w:rsid w:val="31E3230A"/>
    <w:rsid w:val="31E3679B"/>
    <w:rsid w:val="31E367AE"/>
    <w:rsid w:val="31E63BA8"/>
    <w:rsid w:val="31E732FD"/>
    <w:rsid w:val="31E81AEB"/>
    <w:rsid w:val="32035418"/>
    <w:rsid w:val="320C360F"/>
    <w:rsid w:val="322A2B73"/>
    <w:rsid w:val="324E00CB"/>
    <w:rsid w:val="32517576"/>
    <w:rsid w:val="325E0E12"/>
    <w:rsid w:val="32601BAD"/>
    <w:rsid w:val="3264169D"/>
    <w:rsid w:val="327A0EC0"/>
    <w:rsid w:val="32A41A99"/>
    <w:rsid w:val="32BB5035"/>
    <w:rsid w:val="32BE5C2C"/>
    <w:rsid w:val="32E7407C"/>
    <w:rsid w:val="32FB6478"/>
    <w:rsid w:val="330E785B"/>
    <w:rsid w:val="33182487"/>
    <w:rsid w:val="33263B3F"/>
    <w:rsid w:val="33294694"/>
    <w:rsid w:val="33466FF4"/>
    <w:rsid w:val="335C6818"/>
    <w:rsid w:val="336963EB"/>
    <w:rsid w:val="33812D79"/>
    <w:rsid w:val="33816EEB"/>
    <w:rsid w:val="33927FA5"/>
    <w:rsid w:val="33AA7583"/>
    <w:rsid w:val="33C85C5B"/>
    <w:rsid w:val="33CD3272"/>
    <w:rsid w:val="33D20888"/>
    <w:rsid w:val="33DC1707"/>
    <w:rsid w:val="33EB55CD"/>
    <w:rsid w:val="33EC4C02"/>
    <w:rsid w:val="340B78F6"/>
    <w:rsid w:val="340D2360"/>
    <w:rsid w:val="3410665D"/>
    <w:rsid w:val="341449FD"/>
    <w:rsid w:val="34211214"/>
    <w:rsid w:val="34296EAD"/>
    <w:rsid w:val="342E63AB"/>
    <w:rsid w:val="3431735D"/>
    <w:rsid w:val="34880F47"/>
    <w:rsid w:val="348F22D5"/>
    <w:rsid w:val="34950E68"/>
    <w:rsid w:val="34963664"/>
    <w:rsid w:val="34986E94"/>
    <w:rsid w:val="34A044E2"/>
    <w:rsid w:val="34A2025B"/>
    <w:rsid w:val="34AC10D9"/>
    <w:rsid w:val="34AF62C9"/>
    <w:rsid w:val="34BE18EB"/>
    <w:rsid w:val="34CB4388"/>
    <w:rsid w:val="34CC0924"/>
    <w:rsid w:val="34CE54F3"/>
    <w:rsid w:val="34DA5C46"/>
    <w:rsid w:val="34E76DA2"/>
    <w:rsid w:val="34FA6E12"/>
    <w:rsid w:val="350C18BC"/>
    <w:rsid w:val="351F7AFD"/>
    <w:rsid w:val="353500A4"/>
    <w:rsid w:val="35380BBF"/>
    <w:rsid w:val="3538471B"/>
    <w:rsid w:val="35633E8E"/>
    <w:rsid w:val="35634982"/>
    <w:rsid w:val="356E2833"/>
    <w:rsid w:val="357D65D2"/>
    <w:rsid w:val="357F059C"/>
    <w:rsid w:val="3589141A"/>
    <w:rsid w:val="358D5588"/>
    <w:rsid w:val="35A8673E"/>
    <w:rsid w:val="35BE2E72"/>
    <w:rsid w:val="35C67F79"/>
    <w:rsid w:val="35CA7990"/>
    <w:rsid w:val="35D5640E"/>
    <w:rsid w:val="35DC59EE"/>
    <w:rsid w:val="362D1DA6"/>
    <w:rsid w:val="363A3B40"/>
    <w:rsid w:val="36407D2B"/>
    <w:rsid w:val="36497DC9"/>
    <w:rsid w:val="365302AE"/>
    <w:rsid w:val="36533F02"/>
    <w:rsid w:val="36607A0A"/>
    <w:rsid w:val="36681030"/>
    <w:rsid w:val="366E227C"/>
    <w:rsid w:val="366F2E0D"/>
    <w:rsid w:val="36721EAF"/>
    <w:rsid w:val="367B5207"/>
    <w:rsid w:val="367B6A5C"/>
    <w:rsid w:val="367F4CF7"/>
    <w:rsid w:val="36877708"/>
    <w:rsid w:val="36910587"/>
    <w:rsid w:val="36A74ADA"/>
    <w:rsid w:val="36AA33F6"/>
    <w:rsid w:val="36AD60D5"/>
    <w:rsid w:val="36B224F9"/>
    <w:rsid w:val="36B83D65"/>
    <w:rsid w:val="36C3270A"/>
    <w:rsid w:val="36D71997"/>
    <w:rsid w:val="36EC0CC9"/>
    <w:rsid w:val="36F00C86"/>
    <w:rsid w:val="36F17277"/>
    <w:rsid w:val="36F86858"/>
    <w:rsid w:val="372413FB"/>
    <w:rsid w:val="37335AE2"/>
    <w:rsid w:val="373A09E5"/>
    <w:rsid w:val="373B6744"/>
    <w:rsid w:val="373F410B"/>
    <w:rsid w:val="374455F9"/>
    <w:rsid w:val="375A6BCB"/>
    <w:rsid w:val="375B20B8"/>
    <w:rsid w:val="37666BBC"/>
    <w:rsid w:val="37757EA8"/>
    <w:rsid w:val="37977E1F"/>
    <w:rsid w:val="37A10C9D"/>
    <w:rsid w:val="37A20571"/>
    <w:rsid w:val="37A61E10"/>
    <w:rsid w:val="37A87909"/>
    <w:rsid w:val="37AB5678"/>
    <w:rsid w:val="37BD53AB"/>
    <w:rsid w:val="37C8447C"/>
    <w:rsid w:val="37DA5F5D"/>
    <w:rsid w:val="37EE7094"/>
    <w:rsid w:val="37F039D3"/>
    <w:rsid w:val="380B4369"/>
    <w:rsid w:val="38196A86"/>
    <w:rsid w:val="38296C89"/>
    <w:rsid w:val="383002EB"/>
    <w:rsid w:val="38311C83"/>
    <w:rsid w:val="383C4522"/>
    <w:rsid w:val="383E473E"/>
    <w:rsid w:val="38451629"/>
    <w:rsid w:val="38547ABE"/>
    <w:rsid w:val="38586797"/>
    <w:rsid w:val="386341A5"/>
    <w:rsid w:val="3875059D"/>
    <w:rsid w:val="388A1731"/>
    <w:rsid w:val="38B93DC5"/>
    <w:rsid w:val="38BC0149"/>
    <w:rsid w:val="38D87D1C"/>
    <w:rsid w:val="38EB319B"/>
    <w:rsid w:val="38FB43DD"/>
    <w:rsid w:val="39017475"/>
    <w:rsid w:val="390F7E89"/>
    <w:rsid w:val="39184F8F"/>
    <w:rsid w:val="39186D3D"/>
    <w:rsid w:val="39194863"/>
    <w:rsid w:val="392576AC"/>
    <w:rsid w:val="392C2723"/>
    <w:rsid w:val="393D0552"/>
    <w:rsid w:val="39406294"/>
    <w:rsid w:val="39636459"/>
    <w:rsid w:val="396B3311"/>
    <w:rsid w:val="396B7F6C"/>
    <w:rsid w:val="396C0E37"/>
    <w:rsid w:val="397228F1"/>
    <w:rsid w:val="39754190"/>
    <w:rsid w:val="39785A2E"/>
    <w:rsid w:val="397D3044"/>
    <w:rsid w:val="398C4099"/>
    <w:rsid w:val="398E0DAD"/>
    <w:rsid w:val="39A64349"/>
    <w:rsid w:val="39A90A0D"/>
    <w:rsid w:val="39B417A9"/>
    <w:rsid w:val="39B50A30"/>
    <w:rsid w:val="39DD777F"/>
    <w:rsid w:val="39E82BB3"/>
    <w:rsid w:val="39FC5695"/>
    <w:rsid w:val="3A006D8E"/>
    <w:rsid w:val="3A10210A"/>
    <w:rsid w:val="3A15327D"/>
    <w:rsid w:val="3A184B1B"/>
    <w:rsid w:val="3A26189D"/>
    <w:rsid w:val="3A282DE3"/>
    <w:rsid w:val="3A3651E5"/>
    <w:rsid w:val="3A3B11A3"/>
    <w:rsid w:val="3A451DB4"/>
    <w:rsid w:val="3A500759"/>
    <w:rsid w:val="3A744481"/>
    <w:rsid w:val="3A7B3A28"/>
    <w:rsid w:val="3A8C7BEF"/>
    <w:rsid w:val="3A906246"/>
    <w:rsid w:val="3A922B1F"/>
    <w:rsid w:val="3AAD3593"/>
    <w:rsid w:val="3AB6680E"/>
    <w:rsid w:val="3AB94550"/>
    <w:rsid w:val="3AB962FE"/>
    <w:rsid w:val="3ABD5DEE"/>
    <w:rsid w:val="3ACA4067"/>
    <w:rsid w:val="3AE30103"/>
    <w:rsid w:val="3AE35129"/>
    <w:rsid w:val="3AE52FAC"/>
    <w:rsid w:val="3B2349B7"/>
    <w:rsid w:val="3B3D2A8B"/>
    <w:rsid w:val="3B4135C0"/>
    <w:rsid w:val="3B563B4D"/>
    <w:rsid w:val="3B616CFF"/>
    <w:rsid w:val="3B6259F6"/>
    <w:rsid w:val="3B673FAC"/>
    <w:rsid w:val="3B6A75F8"/>
    <w:rsid w:val="3B84690C"/>
    <w:rsid w:val="3B974891"/>
    <w:rsid w:val="3B976654"/>
    <w:rsid w:val="3BC01EFC"/>
    <w:rsid w:val="3BCA786A"/>
    <w:rsid w:val="3BD31E2F"/>
    <w:rsid w:val="3BD57167"/>
    <w:rsid w:val="3BF15831"/>
    <w:rsid w:val="3BF53366"/>
    <w:rsid w:val="3BF75330"/>
    <w:rsid w:val="3C065573"/>
    <w:rsid w:val="3C105946"/>
    <w:rsid w:val="3C2105FF"/>
    <w:rsid w:val="3C2B4FD9"/>
    <w:rsid w:val="3C471448"/>
    <w:rsid w:val="3C5A6CCA"/>
    <w:rsid w:val="3C5F759A"/>
    <w:rsid w:val="3C601127"/>
    <w:rsid w:val="3C6501E8"/>
    <w:rsid w:val="3C667DC0"/>
    <w:rsid w:val="3C6C525A"/>
    <w:rsid w:val="3C793F97"/>
    <w:rsid w:val="3C85043D"/>
    <w:rsid w:val="3C9012E0"/>
    <w:rsid w:val="3CB04152"/>
    <w:rsid w:val="3CB21257"/>
    <w:rsid w:val="3CBE7BFC"/>
    <w:rsid w:val="3CCE23CB"/>
    <w:rsid w:val="3CCF1E09"/>
    <w:rsid w:val="3CD17D17"/>
    <w:rsid w:val="3CD70CBD"/>
    <w:rsid w:val="3CE7504D"/>
    <w:rsid w:val="3D007C14"/>
    <w:rsid w:val="3D067FED"/>
    <w:rsid w:val="3D257C7B"/>
    <w:rsid w:val="3D265B1F"/>
    <w:rsid w:val="3D2C725B"/>
    <w:rsid w:val="3D3305EA"/>
    <w:rsid w:val="3D390006"/>
    <w:rsid w:val="3D3C7F39"/>
    <w:rsid w:val="3D42082D"/>
    <w:rsid w:val="3D4225DB"/>
    <w:rsid w:val="3D440F09"/>
    <w:rsid w:val="3D4504A0"/>
    <w:rsid w:val="3D540560"/>
    <w:rsid w:val="3D8734BB"/>
    <w:rsid w:val="3D8F1598"/>
    <w:rsid w:val="3D9A11D4"/>
    <w:rsid w:val="3D9B1CEB"/>
    <w:rsid w:val="3DA16D89"/>
    <w:rsid w:val="3DA364BE"/>
    <w:rsid w:val="3DA60DBB"/>
    <w:rsid w:val="3DE041CB"/>
    <w:rsid w:val="3DF53C01"/>
    <w:rsid w:val="3E0930F8"/>
    <w:rsid w:val="3E0C4997"/>
    <w:rsid w:val="3E0D48F6"/>
    <w:rsid w:val="3E0E16D0"/>
    <w:rsid w:val="3E173A67"/>
    <w:rsid w:val="3E1868B4"/>
    <w:rsid w:val="3E18714F"/>
    <w:rsid w:val="3E1B2971"/>
    <w:rsid w:val="3E377251"/>
    <w:rsid w:val="3E42664B"/>
    <w:rsid w:val="3E43485C"/>
    <w:rsid w:val="3E4F6EB9"/>
    <w:rsid w:val="3E52684D"/>
    <w:rsid w:val="3E5A7334"/>
    <w:rsid w:val="3E606BA3"/>
    <w:rsid w:val="3E732FE1"/>
    <w:rsid w:val="3E772758"/>
    <w:rsid w:val="3E7B5D6B"/>
    <w:rsid w:val="3E843E66"/>
    <w:rsid w:val="3E8C540C"/>
    <w:rsid w:val="3E8F51FE"/>
    <w:rsid w:val="3E926F87"/>
    <w:rsid w:val="3E9450B8"/>
    <w:rsid w:val="3E9A59DE"/>
    <w:rsid w:val="3EA01CAF"/>
    <w:rsid w:val="3EAF4836"/>
    <w:rsid w:val="3EC33DFA"/>
    <w:rsid w:val="3EC3774B"/>
    <w:rsid w:val="3ED25BE0"/>
    <w:rsid w:val="3ED41958"/>
    <w:rsid w:val="3EE4532B"/>
    <w:rsid w:val="3EF43DA9"/>
    <w:rsid w:val="3F060E16"/>
    <w:rsid w:val="3F1D1096"/>
    <w:rsid w:val="3F1E4982"/>
    <w:rsid w:val="3F246385"/>
    <w:rsid w:val="3F2F0234"/>
    <w:rsid w:val="3F6363FE"/>
    <w:rsid w:val="3F756B8F"/>
    <w:rsid w:val="3F850EA5"/>
    <w:rsid w:val="3F870779"/>
    <w:rsid w:val="3F95482B"/>
    <w:rsid w:val="3F9B5FD2"/>
    <w:rsid w:val="3FBD23EC"/>
    <w:rsid w:val="3FC714BD"/>
    <w:rsid w:val="3FCA4B09"/>
    <w:rsid w:val="3FCE0156"/>
    <w:rsid w:val="3FD04BF9"/>
    <w:rsid w:val="3FD6525C"/>
    <w:rsid w:val="3FF1653A"/>
    <w:rsid w:val="3FFF2A05"/>
    <w:rsid w:val="4013025E"/>
    <w:rsid w:val="4019356B"/>
    <w:rsid w:val="402266F3"/>
    <w:rsid w:val="40251D40"/>
    <w:rsid w:val="40322DDA"/>
    <w:rsid w:val="403A3A3D"/>
    <w:rsid w:val="40550877"/>
    <w:rsid w:val="40592157"/>
    <w:rsid w:val="406D3E12"/>
    <w:rsid w:val="406E1CAE"/>
    <w:rsid w:val="408A49C4"/>
    <w:rsid w:val="408B1BA4"/>
    <w:rsid w:val="40A0133A"/>
    <w:rsid w:val="40A435AC"/>
    <w:rsid w:val="40A9471F"/>
    <w:rsid w:val="40C31A53"/>
    <w:rsid w:val="40D043A1"/>
    <w:rsid w:val="40EB11DB"/>
    <w:rsid w:val="40F938F8"/>
    <w:rsid w:val="40FF545D"/>
    <w:rsid w:val="410067C8"/>
    <w:rsid w:val="410302D3"/>
    <w:rsid w:val="411A62AB"/>
    <w:rsid w:val="411D1C8D"/>
    <w:rsid w:val="41250249"/>
    <w:rsid w:val="41344930"/>
    <w:rsid w:val="41362456"/>
    <w:rsid w:val="4148218A"/>
    <w:rsid w:val="415512BE"/>
    <w:rsid w:val="41586871"/>
    <w:rsid w:val="417411D1"/>
    <w:rsid w:val="418103E9"/>
    <w:rsid w:val="4182569C"/>
    <w:rsid w:val="41872CB2"/>
    <w:rsid w:val="418F0D2A"/>
    <w:rsid w:val="41AA4BF2"/>
    <w:rsid w:val="41AE040C"/>
    <w:rsid w:val="41CA0DF1"/>
    <w:rsid w:val="41D01505"/>
    <w:rsid w:val="42162288"/>
    <w:rsid w:val="42204EB5"/>
    <w:rsid w:val="42417305"/>
    <w:rsid w:val="42474939"/>
    <w:rsid w:val="42474BD5"/>
    <w:rsid w:val="424C3C57"/>
    <w:rsid w:val="42613FF3"/>
    <w:rsid w:val="426254CD"/>
    <w:rsid w:val="42641245"/>
    <w:rsid w:val="42660D96"/>
    <w:rsid w:val="42723962"/>
    <w:rsid w:val="428667D2"/>
    <w:rsid w:val="42CD1CE0"/>
    <w:rsid w:val="42D068DB"/>
    <w:rsid w:val="42E1381E"/>
    <w:rsid w:val="42ED6459"/>
    <w:rsid w:val="42F9198D"/>
    <w:rsid w:val="42FE58DD"/>
    <w:rsid w:val="43097E84"/>
    <w:rsid w:val="43174B3D"/>
    <w:rsid w:val="432D1637"/>
    <w:rsid w:val="433805EC"/>
    <w:rsid w:val="434B790E"/>
    <w:rsid w:val="435272F0"/>
    <w:rsid w:val="4360274F"/>
    <w:rsid w:val="436438EC"/>
    <w:rsid w:val="436F39FE"/>
    <w:rsid w:val="43707776"/>
    <w:rsid w:val="438A6A89"/>
    <w:rsid w:val="43915248"/>
    <w:rsid w:val="43977AB6"/>
    <w:rsid w:val="43996B53"/>
    <w:rsid w:val="43A15B81"/>
    <w:rsid w:val="43A3342B"/>
    <w:rsid w:val="43A7763B"/>
    <w:rsid w:val="43AC6A00"/>
    <w:rsid w:val="43B104BA"/>
    <w:rsid w:val="43BF2BD7"/>
    <w:rsid w:val="43C24475"/>
    <w:rsid w:val="43C77C27"/>
    <w:rsid w:val="43CC0E50"/>
    <w:rsid w:val="43D11B70"/>
    <w:rsid w:val="43DE09EE"/>
    <w:rsid w:val="44002FAD"/>
    <w:rsid w:val="44013D6C"/>
    <w:rsid w:val="440A1978"/>
    <w:rsid w:val="440E5C9C"/>
    <w:rsid w:val="442567B2"/>
    <w:rsid w:val="442C5D93"/>
    <w:rsid w:val="443F7874"/>
    <w:rsid w:val="44417B9E"/>
    <w:rsid w:val="445552E9"/>
    <w:rsid w:val="446948F1"/>
    <w:rsid w:val="44780FD8"/>
    <w:rsid w:val="449101DD"/>
    <w:rsid w:val="44B518E4"/>
    <w:rsid w:val="44DE1391"/>
    <w:rsid w:val="45011830"/>
    <w:rsid w:val="451B225C"/>
    <w:rsid w:val="452410C9"/>
    <w:rsid w:val="45294080"/>
    <w:rsid w:val="45294212"/>
    <w:rsid w:val="45317DFB"/>
    <w:rsid w:val="456D3CE4"/>
    <w:rsid w:val="457277D5"/>
    <w:rsid w:val="4579042C"/>
    <w:rsid w:val="457F0571"/>
    <w:rsid w:val="458138DD"/>
    <w:rsid w:val="45851176"/>
    <w:rsid w:val="45B44292"/>
    <w:rsid w:val="45B85B30"/>
    <w:rsid w:val="45C63B94"/>
    <w:rsid w:val="45DE20F7"/>
    <w:rsid w:val="45EC3A2B"/>
    <w:rsid w:val="46027693"/>
    <w:rsid w:val="460E7DA5"/>
    <w:rsid w:val="462036D5"/>
    <w:rsid w:val="4622744D"/>
    <w:rsid w:val="462C207A"/>
    <w:rsid w:val="4637784D"/>
    <w:rsid w:val="46422483"/>
    <w:rsid w:val="4642364B"/>
    <w:rsid w:val="465313B5"/>
    <w:rsid w:val="4659254A"/>
    <w:rsid w:val="465B0637"/>
    <w:rsid w:val="465E3F0D"/>
    <w:rsid w:val="46603AD2"/>
    <w:rsid w:val="466A16E6"/>
    <w:rsid w:val="46737CA9"/>
    <w:rsid w:val="46856540"/>
    <w:rsid w:val="46893F2B"/>
    <w:rsid w:val="468C0D6B"/>
    <w:rsid w:val="46A61E2C"/>
    <w:rsid w:val="46A9191C"/>
    <w:rsid w:val="46C4686E"/>
    <w:rsid w:val="46F030A7"/>
    <w:rsid w:val="470152B5"/>
    <w:rsid w:val="470923BB"/>
    <w:rsid w:val="4712301E"/>
    <w:rsid w:val="471843AC"/>
    <w:rsid w:val="47213261"/>
    <w:rsid w:val="472B0583"/>
    <w:rsid w:val="473E02B7"/>
    <w:rsid w:val="474653BD"/>
    <w:rsid w:val="475E2707"/>
    <w:rsid w:val="47633879"/>
    <w:rsid w:val="476448D0"/>
    <w:rsid w:val="47777520"/>
    <w:rsid w:val="477B778F"/>
    <w:rsid w:val="478203EC"/>
    <w:rsid w:val="478B4B7E"/>
    <w:rsid w:val="47B025FA"/>
    <w:rsid w:val="47B16CDB"/>
    <w:rsid w:val="47B44C26"/>
    <w:rsid w:val="47B50431"/>
    <w:rsid w:val="47C562E2"/>
    <w:rsid w:val="47D209FF"/>
    <w:rsid w:val="47FB1D04"/>
    <w:rsid w:val="47FE7A46"/>
    <w:rsid w:val="4809698F"/>
    <w:rsid w:val="4811697D"/>
    <w:rsid w:val="481D611E"/>
    <w:rsid w:val="48323081"/>
    <w:rsid w:val="483B65A4"/>
    <w:rsid w:val="48621D83"/>
    <w:rsid w:val="48693111"/>
    <w:rsid w:val="486D5AAA"/>
    <w:rsid w:val="48711FC6"/>
    <w:rsid w:val="487126BB"/>
    <w:rsid w:val="487A3E25"/>
    <w:rsid w:val="488B5503"/>
    <w:rsid w:val="48937E21"/>
    <w:rsid w:val="48967C7F"/>
    <w:rsid w:val="489A0361"/>
    <w:rsid w:val="489D2DBB"/>
    <w:rsid w:val="489F6B33"/>
    <w:rsid w:val="48B40105"/>
    <w:rsid w:val="48B94FF3"/>
    <w:rsid w:val="48D662CD"/>
    <w:rsid w:val="48DF33D4"/>
    <w:rsid w:val="48E37AAB"/>
    <w:rsid w:val="48F0738F"/>
    <w:rsid w:val="48F30C2D"/>
    <w:rsid w:val="48F60662"/>
    <w:rsid w:val="48F92E5B"/>
    <w:rsid w:val="48FD4B4C"/>
    <w:rsid w:val="49066BB2"/>
    <w:rsid w:val="490A68E0"/>
    <w:rsid w:val="491055FE"/>
    <w:rsid w:val="491C090A"/>
    <w:rsid w:val="493059DD"/>
    <w:rsid w:val="493556E9"/>
    <w:rsid w:val="493C7BF1"/>
    <w:rsid w:val="495F5B3E"/>
    <w:rsid w:val="495F62C2"/>
    <w:rsid w:val="496C0E76"/>
    <w:rsid w:val="496F77D7"/>
    <w:rsid w:val="497654FD"/>
    <w:rsid w:val="49900B72"/>
    <w:rsid w:val="49B64211"/>
    <w:rsid w:val="49C10D2B"/>
    <w:rsid w:val="49CB1BAA"/>
    <w:rsid w:val="49CF3448"/>
    <w:rsid w:val="49DF5F58"/>
    <w:rsid w:val="49EA0282"/>
    <w:rsid w:val="49F6167F"/>
    <w:rsid w:val="49F96717"/>
    <w:rsid w:val="4A064FA0"/>
    <w:rsid w:val="4A1277D9"/>
    <w:rsid w:val="4A1452FF"/>
    <w:rsid w:val="4A16615C"/>
    <w:rsid w:val="4A1A3CF6"/>
    <w:rsid w:val="4A2319E6"/>
    <w:rsid w:val="4A301A0D"/>
    <w:rsid w:val="4A372D9B"/>
    <w:rsid w:val="4A4424D7"/>
    <w:rsid w:val="4A4721FB"/>
    <w:rsid w:val="4A4F19B0"/>
    <w:rsid w:val="4A563B69"/>
    <w:rsid w:val="4A7D10F6"/>
    <w:rsid w:val="4A834233"/>
    <w:rsid w:val="4A8E3303"/>
    <w:rsid w:val="4A8F1D3E"/>
    <w:rsid w:val="4A9D70A2"/>
    <w:rsid w:val="4AAA5C63"/>
    <w:rsid w:val="4AB64608"/>
    <w:rsid w:val="4AB82D0F"/>
    <w:rsid w:val="4ABD7744"/>
    <w:rsid w:val="4AC24D5B"/>
    <w:rsid w:val="4AC72371"/>
    <w:rsid w:val="4AD11442"/>
    <w:rsid w:val="4AD14F9E"/>
    <w:rsid w:val="4AD84DFA"/>
    <w:rsid w:val="4ADB5E1D"/>
    <w:rsid w:val="4AEB7664"/>
    <w:rsid w:val="4AF07B1A"/>
    <w:rsid w:val="4AFD7C19"/>
    <w:rsid w:val="4B045373"/>
    <w:rsid w:val="4B0567D1"/>
    <w:rsid w:val="4B184290"/>
    <w:rsid w:val="4B236AAE"/>
    <w:rsid w:val="4B2D6097"/>
    <w:rsid w:val="4B46598C"/>
    <w:rsid w:val="4B707271"/>
    <w:rsid w:val="4B902037"/>
    <w:rsid w:val="4B9739F7"/>
    <w:rsid w:val="4BA34B8C"/>
    <w:rsid w:val="4BA91A77"/>
    <w:rsid w:val="4BB548C0"/>
    <w:rsid w:val="4BB63126"/>
    <w:rsid w:val="4BC3600B"/>
    <w:rsid w:val="4BCC3C85"/>
    <w:rsid w:val="4BD72A88"/>
    <w:rsid w:val="4BE24643"/>
    <w:rsid w:val="4BE331DB"/>
    <w:rsid w:val="4BE876A5"/>
    <w:rsid w:val="4BEE2503"/>
    <w:rsid w:val="4C0F1E75"/>
    <w:rsid w:val="4C172E84"/>
    <w:rsid w:val="4C245A30"/>
    <w:rsid w:val="4C3323E3"/>
    <w:rsid w:val="4C3752D5"/>
    <w:rsid w:val="4C453E95"/>
    <w:rsid w:val="4C675BBA"/>
    <w:rsid w:val="4C6F4A6E"/>
    <w:rsid w:val="4C820C46"/>
    <w:rsid w:val="4CA67B29"/>
    <w:rsid w:val="4CA706AC"/>
    <w:rsid w:val="4CB06A56"/>
    <w:rsid w:val="4CB6685F"/>
    <w:rsid w:val="4CBD2037"/>
    <w:rsid w:val="4CC367FE"/>
    <w:rsid w:val="4CC4300C"/>
    <w:rsid w:val="4CC823D1"/>
    <w:rsid w:val="4CD55219"/>
    <w:rsid w:val="4CF02D63"/>
    <w:rsid w:val="4D07114B"/>
    <w:rsid w:val="4D077F3C"/>
    <w:rsid w:val="4D0E072B"/>
    <w:rsid w:val="4D0F7FFF"/>
    <w:rsid w:val="4D123355"/>
    <w:rsid w:val="4D233F9A"/>
    <w:rsid w:val="4D2643F9"/>
    <w:rsid w:val="4D2A3B31"/>
    <w:rsid w:val="4D302450"/>
    <w:rsid w:val="4D312C52"/>
    <w:rsid w:val="4D3B0DF4"/>
    <w:rsid w:val="4D3E04AD"/>
    <w:rsid w:val="4D537EEC"/>
    <w:rsid w:val="4D57223F"/>
    <w:rsid w:val="4D671BE9"/>
    <w:rsid w:val="4D695962"/>
    <w:rsid w:val="4D783DF7"/>
    <w:rsid w:val="4D812262"/>
    <w:rsid w:val="4D8E53C8"/>
    <w:rsid w:val="4D905305"/>
    <w:rsid w:val="4D964A72"/>
    <w:rsid w:val="4D994499"/>
    <w:rsid w:val="4D9C1254"/>
    <w:rsid w:val="4DAE5A6A"/>
    <w:rsid w:val="4DC4703C"/>
    <w:rsid w:val="4DF47921"/>
    <w:rsid w:val="4E094A4F"/>
    <w:rsid w:val="4E2A50F1"/>
    <w:rsid w:val="4E404914"/>
    <w:rsid w:val="4E636855"/>
    <w:rsid w:val="4E6B74B7"/>
    <w:rsid w:val="4E766588"/>
    <w:rsid w:val="4E793892"/>
    <w:rsid w:val="4E800872"/>
    <w:rsid w:val="4E860129"/>
    <w:rsid w:val="4E881E17"/>
    <w:rsid w:val="4EA12ED9"/>
    <w:rsid w:val="4EBD41B7"/>
    <w:rsid w:val="4EC05A55"/>
    <w:rsid w:val="4EC569ED"/>
    <w:rsid w:val="4EC6368B"/>
    <w:rsid w:val="4EC85307"/>
    <w:rsid w:val="4ED50EA1"/>
    <w:rsid w:val="4EEC050C"/>
    <w:rsid w:val="4F104EC3"/>
    <w:rsid w:val="4F1162B1"/>
    <w:rsid w:val="4F195165"/>
    <w:rsid w:val="4F204746"/>
    <w:rsid w:val="4F2C4E99"/>
    <w:rsid w:val="4F47354A"/>
    <w:rsid w:val="4F630091"/>
    <w:rsid w:val="4F6A776F"/>
    <w:rsid w:val="4F911C54"/>
    <w:rsid w:val="4FA75971"/>
    <w:rsid w:val="4FAC5493"/>
    <w:rsid w:val="4FAD3644"/>
    <w:rsid w:val="4FB931F8"/>
    <w:rsid w:val="4FC82E13"/>
    <w:rsid w:val="4FCC3F86"/>
    <w:rsid w:val="4FE43A21"/>
    <w:rsid w:val="4FE625E0"/>
    <w:rsid w:val="4FFC0352"/>
    <w:rsid w:val="500965F6"/>
    <w:rsid w:val="500A171F"/>
    <w:rsid w:val="5021480F"/>
    <w:rsid w:val="503A35E5"/>
    <w:rsid w:val="50414974"/>
    <w:rsid w:val="504601DC"/>
    <w:rsid w:val="50697A27"/>
    <w:rsid w:val="506B7A5F"/>
    <w:rsid w:val="507B60D8"/>
    <w:rsid w:val="507B7E86"/>
    <w:rsid w:val="507C775A"/>
    <w:rsid w:val="507D04FB"/>
    <w:rsid w:val="50962ECB"/>
    <w:rsid w:val="509D1F3A"/>
    <w:rsid w:val="50A42E38"/>
    <w:rsid w:val="50A4577F"/>
    <w:rsid w:val="50B05655"/>
    <w:rsid w:val="50B73D1F"/>
    <w:rsid w:val="50BD5BC9"/>
    <w:rsid w:val="50C11EEE"/>
    <w:rsid w:val="50C735A9"/>
    <w:rsid w:val="50DD7A88"/>
    <w:rsid w:val="50E97CFC"/>
    <w:rsid w:val="50EA500B"/>
    <w:rsid w:val="50EF2622"/>
    <w:rsid w:val="50F639B0"/>
    <w:rsid w:val="50FA4028"/>
    <w:rsid w:val="510D65B7"/>
    <w:rsid w:val="511157AB"/>
    <w:rsid w:val="511B6F73"/>
    <w:rsid w:val="512B6AE9"/>
    <w:rsid w:val="5142540C"/>
    <w:rsid w:val="514A7858"/>
    <w:rsid w:val="51600E2A"/>
    <w:rsid w:val="516A7EFA"/>
    <w:rsid w:val="51714DE5"/>
    <w:rsid w:val="51736DAF"/>
    <w:rsid w:val="517D7C2E"/>
    <w:rsid w:val="518832C8"/>
    <w:rsid w:val="51962A9D"/>
    <w:rsid w:val="519D5BDA"/>
    <w:rsid w:val="51A0432A"/>
    <w:rsid w:val="51A4340C"/>
    <w:rsid w:val="51A86090"/>
    <w:rsid w:val="51B7396D"/>
    <w:rsid w:val="51D05FAF"/>
    <w:rsid w:val="51D6733E"/>
    <w:rsid w:val="51D830B6"/>
    <w:rsid w:val="52153D74"/>
    <w:rsid w:val="5217598C"/>
    <w:rsid w:val="521A722A"/>
    <w:rsid w:val="522B58DB"/>
    <w:rsid w:val="522E4CC3"/>
    <w:rsid w:val="5244713B"/>
    <w:rsid w:val="524910DF"/>
    <w:rsid w:val="52615633"/>
    <w:rsid w:val="52802B3E"/>
    <w:rsid w:val="52880638"/>
    <w:rsid w:val="52923265"/>
    <w:rsid w:val="52976ACD"/>
    <w:rsid w:val="52977FD4"/>
    <w:rsid w:val="52A01E26"/>
    <w:rsid w:val="52A1794C"/>
    <w:rsid w:val="52A25790"/>
    <w:rsid w:val="52A96B6F"/>
    <w:rsid w:val="52B458D1"/>
    <w:rsid w:val="52B45975"/>
    <w:rsid w:val="52C94D8F"/>
    <w:rsid w:val="52CF270B"/>
    <w:rsid w:val="52CF6267"/>
    <w:rsid w:val="52D94AA4"/>
    <w:rsid w:val="52DC6BD6"/>
    <w:rsid w:val="52EA3A62"/>
    <w:rsid w:val="52ED493F"/>
    <w:rsid w:val="52F50BB8"/>
    <w:rsid w:val="53042F77"/>
    <w:rsid w:val="53097272"/>
    <w:rsid w:val="530A54F1"/>
    <w:rsid w:val="530D7AD5"/>
    <w:rsid w:val="531243A6"/>
    <w:rsid w:val="532A16EF"/>
    <w:rsid w:val="532C36B9"/>
    <w:rsid w:val="53312A7E"/>
    <w:rsid w:val="53337CEA"/>
    <w:rsid w:val="5337092C"/>
    <w:rsid w:val="53544462"/>
    <w:rsid w:val="537F5EDF"/>
    <w:rsid w:val="53807561"/>
    <w:rsid w:val="538E7ED0"/>
    <w:rsid w:val="538F3C48"/>
    <w:rsid w:val="53964FD7"/>
    <w:rsid w:val="5397158E"/>
    <w:rsid w:val="539768A6"/>
    <w:rsid w:val="539D0113"/>
    <w:rsid w:val="53A41E7A"/>
    <w:rsid w:val="53AA2830"/>
    <w:rsid w:val="53C437E8"/>
    <w:rsid w:val="53EE096F"/>
    <w:rsid w:val="53FA5565"/>
    <w:rsid w:val="54013861"/>
    <w:rsid w:val="54297BF9"/>
    <w:rsid w:val="542B1BC3"/>
    <w:rsid w:val="54336CC9"/>
    <w:rsid w:val="5435659E"/>
    <w:rsid w:val="543A01A2"/>
    <w:rsid w:val="54487265"/>
    <w:rsid w:val="544D6070"/>
    <w:rsid w:val="54596730"/>
    <w:rsid w:val="54605E1E"/>
    <w:rsid w:val="546E2342"/>
    <w:rsid w:val="546E385E"/>
    <w:rsid w:val="548337AD"/>
    <w:rsid w:val="548553F0"/>
    <w:rsid w:val="548D4036"/>
    <w:rsid w:val="54920484"/>
    <w:rsid w:val="549534E0"/>
    <w:rsid w:val="54A705A4"/>
    <w:rsid w:val="54B3506A"/>
    <w:rsid w:val="54BB2F47"/>
    <w:rsid w:val="54C0055D"/>
    <w:rsid w:val="54C53DC5"/>
    <w:rsid w:val="54CA0D16"/>
    <w:rsid w:val="54DD4057"/>
    <w:rsid w:val="54E7490F"/>
    <w:rsid w:val="54FE72D7"/>
    <w:rsid w:val="55055F70"/>
    <w:rsid w:val="550764A4"/>
    <w:rsid w:val="550B2BF6"/>
    <w:rsid w:val="55110DB9"/>
    <w:rsid w:val="55114F72"/>
    <w:rsid w:val="55140F66"/>
    <w:rsid w:val="5519204F"/>
    <w:rsid w:val="551E34D6"/>
    <w:rsid w:val="55214EB5"/>
    <w:rsid w:val="55364EFD"/>
    <w:rsid w:val="553920BD"/>
    <w:rsid w:val="555022AE"/>
    <w:rsid w:val="555146E8"/>
    <w:rsid w:val="555D4828"/>
    <w:rsid w:val="5560764A"/>
    <w:rsid w:val="55652EB2"/>
    <w:rsid w:val="557A4C8B"/>
    <w:rsid w:val="558931E1"/>
    <w:rsid w:val="558B3240"/>
    <w:rsid w:val="55923347"/>
    <w:rsid w:val="55925180"/>
    <w:rsid w:val="55983B1B"/>
    <w:rsid w:val="55A8376B"/>
    <w:rsid w:val="55AF2380"/>
    <w:rsid w:val="55BE25C3"/>
    <w:rsid w:val="55DC29B6"/>
    <w:rsid w:val="55DD4241"/>
    <w:rsid w:val="55E66EAF"/>
    <w:rsid w:val="55F935FB"/>
    <w:rsid w:val="560E52F8"/>
    <w:rsid w:val="56310FE7"/>
    <w:rsid w:val="56312D95"/>
    <w:rsid w:val="563665FD"/>
    <w:rsid w:val="56496330"/>
    <w:rsid w:val="566B6D1E"/>
    <w:rsid w:val="56772E9D"/>
    <w:rsid w:val="56B45E9F"/>
    <w:rsid w:val="56BC6B02"/>
    <w:rsid w:val="56ED74A9"/>
    <w:rsid w:val="57032A2C"/>
    <w:rsid w:val="570F5219"/>
    <w:rsid w:val="57133082"/>
    <w:rsid w:val="571921A6"/>
    <w:rsid w:val="571B7CCD"/>
    <w:rsid w:val="572D17AE"/>
    <w:rsid w:val="572D7A00"/>
    <w:rsid w:val="57351B7E"/>
    <w:rsid w:val="5740094B"/>
    <w:rsid w:val="574D1E50"/>
    <w:rsid w:val="575925A3"/>
    <w:rsid w:val="575D12B5"/>
    <w:rsid w:val="57610A87"/>
    <w:rsid w:val="5765719A"/>
    <w:rsid w:val="57672F12"/>
    <w:rsid w:val="576A47B0"/>
    <w:rsid w:val="577B1140"/>
    <w:rsid w:val="577B7F21"/>
    <w:rsid w:val="577F181B"/>
    <w:rsid w:val="57921984"/>
    <w:rsid w:val="579737F0"/>
    <w:rsid w:val="57AB7B30"/>
    <w:rsid w:val="57AF5251"/>
    <w:rsid w:val="57B26373"/>
    <w:rsid w:val="57B63F04"/>
    <w:rsid w:val="57C739B1"/>
    <w:rsid w:val="57CD20C2"/>
    <w:rsid w:val="57D32355"/>
    <w:rsid w:val="57D675AB"/>
    <w:rsid w:val="57D95FDD"/>
    <w:rsid w:val="57E02CC4"/>
    <w:rsid w:val="57E9515D"/>
    <w:rsid w:val="57F95B34"/>
    <w:rsid w:val="581110D0"/>
    <w:rsid w:val="58164938"/>
    <w:rsid w:val="5818245E"/>
    <w:rsid w:val="582B2191"/>
    <w:rsid w:val="58564D34"/>
    <w:rsid w:val="585C67EF"/>
    <w:rsid w:val="5872242E"/>
    <w:rsid w:val="587A0A23"/>
    <w:rsid w:val="587B479B"/>
    <w:rsid w:val="58917D2F"/>
    <w:rsid w:val="5894085C"/>
    <w:rsid w:val="5898359F"/>
    <w:rsid w:val="589870FB"/>
    <w:rsid w:val="589A2D3E"/>
    <w:rsid w:val="58A957AC"/>
    <w:rsid w:val="58AE4F0C"/>
    <w:rsid w:val="58B85899"/>
    <w:rsid w:val="58C46142"/>
    <w:rsid w:val="58DA5965"/>
    <w:rsid w:val="58DE60A4"/>
    <w:rsid w:val="58E363A9"/>
    <w:rsid w:val="58E6255C"/>
    <w:rsid w:val="58E93DFA"/>
    <w:rsid w:val="58EB7B73"/>
    <w:rsid w:val="58F06F37"/>
    <w:rsid w:val="59030A18"/>
    <w:rsid w:val="59125193"/>
    <w:rsid w:val="59126EAD"/>
    <w:rsid w:val="59170968"/>
    <w:rsid w:val="591E3AA4"/>
    <w:rsid w:val="592A4453"/>
    <w:rsid w:val="593E4146"/>
    <w:rsid w:val="593E7CA2"/>
    <w:rsid w:val="595E1678"/>
    <w:rsid w:val="5967505D"/>
    <w:rsid w:val="596D5BD4"/>
    <w:rsid w:val="597E3DD8"/>
    <w:rsid w:val="59940142"/>
    <w:rsid w:val="59952A47"/>
    <w:rsid w:val="599678C9"/>
    <w:rsid w:val="59A10231"/>
    <w:rsid w:val="59B87AEE"/>
    <w:rsid w:val="59E545C2"/>
    <w:rsid w:val="59F80043"/>
    <w:rsid w:val="5A09252F"/>
    <w:rsid w:val="5A0B2778"/>
    <w:rsid w:val="5A1B7FE4"/>
    <w:rsid w:val="5A2A7C7B"/>
    <w:rsid w:val="5A3E2560"/>
    <w:rsid w:val="5A455061"/>
    <w:rsid w:val="5A56726E"/>
    <w:rsid w:val="5A5B2AD6"/>
    <w:rsid w:val="5A5D3B6E"/>
    <w:rsid w:val="5A637A76"/>
    <w:rsid w:val="5A6D33BA"/>
    <w:rsid w:val="5A785436"/>
    <w:rsid w:val="5A792B1F"/>
    <w:rsid w:val="5A874767"/>
    <w:rsid w:val="5A89071A"/>
    <w:rsid w:val="5A9164F8"/>
    <w:rsid w:val="5A963B0E"/>
    <w:rsid w:val="5AAB75B9"/>
    <w:rsid w:val="5AAD6F28"/>
    <w:rsid w:val="5AD63A24"/>
    <w:rsid w:val="5ADD34EB"/>
    <w:rsid w:val="5AE623A0"/>
    <w:rsid w:val="5AF26F96"/>
    <w:rsid w:val="5AF74B28"/>
    <w:rsid w:val="5B0D5B7E"/>
    <w:rsid w:val="5B162BAD"/>
    <w:rsid w:val="5B1F3B03"/>
    <w:rsid w:val="5B2D6220"/>
    <w:rsid w:val="5B2E1A1D"/>
    <w:rsid w:val="5B5C6B06"/>
    <w:rsid w:val="5B843A1C"/>
    <w:rsid w:val="5B873E3F"/>
    <w:rsid w:val="5B8878FB"/>
    <w:rsid w:val="5B8F47E5"/>
    <w:rsid w:val="5BAC183B"/>
    <w:rsid w:val="5BAD55B3"/>
    <w:rsid w:val="5C02690E"/>
    <w:rsid w:val="5C0C556E"/>
    <w:rsid w:val="5C0F3B78"/>
    <w:rsid w:val="5C196DA7"/>
    <w:rsid w:val="5C291CD9"/>
    <w:rsid w:val="5C2A048C"/>
    <w:rsid w:val="5C3A23FF"/>
    <w:rsid w:val="5C403D31"/>
    <w:rsid w:val="5C4E28F2"/>
    <w:rsid w:val="5C563555"/>
    <w:rsid w:val="5C606182"/>
    <w:rsid w:val="5C64278E"/>
    <w:rsid w:val="5C78171D"/>
    <w:rsid w:val="5C7D7EF9"/>
    <w:rsid w:val="5C7E485A"/>
    <w:rsid w:val="5C80234E"/>
    <w:rsid w:val="5C8A680C"/>
    <w:rsid w:val="5CD10E2D"/>
    <w:rsid w:val="5CF1327E"/>
    <w:rsid w:val="5D0B7BEB"/>
    <w:rsid w:val="5D0C4701"/>
    <w:rsid w:val="5D0F0395"/>
    <w:rsid w:val="5D1458EA"/>
    <w:rsid w:val="5D221076"/>
    <w:rsid w:val="5D335644"/>
    <w:rsid w:val="5D3867C9"/>
    <w:rsid w:val="5D397964"/>
    <w:rsid w:val="5D3A2E77"/>
    <w:rsid w:val="5D467A6D"/>
    <w:rsid w:val="5D4822AF"/>
    <w:rsid w:val="5D4B0BE0"/>
    <w:rsid w:val="5D5757D7"/>
    <w:rsid w:val="5D5A391C"/>
    <w:rsid w:val="5D5E0913"/>
    <w:rsid w:val="5D5F10C0"/>
    <w:rsid w:val="5D69550A"/>
    <w:rsid w:val="5D720862"/>
    <w:rsid w:val="5D7305FF"/>
    <w:rsid w:val="5D7A3273"/>
    <w:rsid w:val="5D7A7717"/>
    <w:rsid w:val="5D7E2D63"/>
    <w:rsid w:val="5D891B7B"/>
    <w:rsid w:val="5DA327CA"/>
    <w:rsid w:val="5DAD38EE"/>
    <w:rsid w:val="5DBB5D65"/>
    <w:rsid w:val="5DC015CE"/>
    <w:rsid w:val="5DCF35BF"/>
    <w:rsid w:val="5DDD691E"/>
    <w:rsid w:val="5E006862"/>
    <w:rsid w:val="5E0207B9"/>
    <w:rsid w:val="5E023994"/>
    <w:rsid w:val="5E1834A1"/>
    <w:rsid w:val="5E1B5A0D"/>
    <w:rsid w:val="5E261785"/>
    <w:rsid w:val="5E3E7357"/>
    <w:rsid w:val="5E483371"/>
    <w:rsid w:val="5E4A7017"/>
    <w:rsid w:val="5E4D0988"/>
    <w:rsid w:val="5E4F64AE"/>
    <w:rsid w:val="5E552BBA"/>
    <w:rsid w:val="5E611C10"/>
    <w:rsid w:val="5EB01642"/>
    <w:rsid w:val="5EB84053"/>
    <w:rsid w:val="5EE035AA"/>
    <w:rsid w:val="5EE4753E"/>
    <w:rsid w:val="5EEA6A0D"/>
    <w:rsid w:val="5EFC7377"/>
    <w:rsid w:val="5F0279C4"/>
    <w:rsid w:val="5F06174D"/>
    <w:rsid w:val="5F166FCB"/>
    <w:rsid w:val="5F182D44"/>
    <w:rsid w:val="5F1F0576"/>
    <w:rsid w:val="5F261904"/>
    <w:rsid w:val="5F27742B"/>
    <w:rsid w:val="5F3A3602"/>
    <w:rsid w:val="5F3B5693"/>
    <w:rsid w:val="5F3D556B"/>
    <w:rsid w:val="5F463D55"/>
    <w:rsid w:val="5F4B136B"/>
    <w:rsid w:val="5F571ABE"/>
    <w:rsid w:val="5F5C0E82"/>
    <w:rsid w:val="5F6277C6"/>
    <w:rsid w:val="5F6D0B1D"/>
    <w:rsid w:val="5F72149E"/>
    <w:rsid w:val="5F80076F"/>
    <w:rsid w:val="5F88611B"/>
    <w:rsid w:val="5F887EC9"/>
    <w:rsid w:val="5F8D0B82"/>
    <w:rsid w:val="5F9F5213"/>
    <w:rsid w:val="5FBA204D"/>
    <w:rsid w:val="5FBF7663"/>
    <w:rsid w:val="5FCA04E2"/>
    <w:rsid w:val="5FCC5339"/>
    <w:rsid w:val="5FD90725"/>
    <w:rsid w:val="5FE34A5B"/>
    <w:rsid w:val="5FFE1E36"/>
    <w:rsid w:val="600A6B30"/>
    <w:rsid w:val="600F05EB"/>
    <w:rsid w:val="601E082E"/>
    <w:rsid w:val="60232584"/>
    <w:rsid w:val="60285208"/>
    <w:rsid w:val="60341DFF"/>
    <w:rsid w:val="604A517F"/>
    <w:rsid w:val="604E2987"/>
    <w:rsid w:val="605424A1"/>
    <w:rsid w:val="60566219"/>
    <w:rsid w:val="605E6E7C"/>
    <w:rsid w:val="60641EE0"/>
    <w:rsid w:val="606463D6"/>
    <w:rsid w:val="607330CE"/>
    <w:rsid w:val="60825176"/>
    <w:rsid w:val="6085265B"/>
    <w:rsid w:val="60873FCD"/>
    <w:rsid w:val="60956D42"/>
    <w:rsid w:val="609E371C"/>
    <w:rsid w:val="609F2AC4"/>
    <w:rsid w:val="60A056E7"/>
    <w:rsid w:val="60A800F7"/>
    <w:rsid w:val="60AE1BB1"/>
    <w:rsid w:val="60BA67A8"/>
    <w:rsid w:val="60BF5B6D"/>
    <w:rsid w:val="60DA29A7"/>
    <w:rsid w:val="60E47381"/>
    <w:rsid w:val="60E6759D"/>
    <w:rsid w:val="60FA2EE8"/>
    <w:rsid w:val="60FA4DF7"/>
    <w:rsid w:val="60FA6BA5"/>
    <w:rsid w:val="60FD0443"/>
    <w:rsid w:val="60FF065F"/>
    <w:rsid w:val="61054A27"/>
    <w:rsid w:val="610A52BC"/>
    <w:rsid w:val="610E7BD3"/>
    <w:rsid w:val="611D2366"/>
    <w:rsid w:val="612C6F7A"/>
    <w:rsid w:val="61421856"/>
    <w:rsid w:val="615227C4"/>
    <w:rsid w:val="61654E3F"/>
    <w:rsid w:val="61693D2A"/>
    <w:rsid w:val="617526CF"/>
    <w:rsid w:val="6182292A"/>
    <w:rsid w:val="618659C7"/>
    <w:rsid w:val="619F14FA"/>
    <w:rsid w:val="619F7F92"/>
    <w:rsid w:val="61A938F5"/>
    <w:rsid w:val="61AE115F"/>
    <w:rsid w:val="61BC02FE"/>
    <w:rsid w:val="61C15914"/>
    <w:rsid w:val="61C40F61"/>
    <w:rsid w:val="61C84EF5"/>
    <w:rsid w:val="61DC44FC"/>
    <w:rsid w:val="61E138C1"/>
    <w:rsid w:val="61E64C2D"/>
    <w:rsid w:val="61E85C28"/>
    <w:rsid w:val="61F94C26"/>
    <w:rsid w:val="61FB4D93"/>
    <w:rsid w:val="62000E56"/>
    <w:rsid w:val="620852F1"/>
    <w:rsid w:val="620A72BB"/>
    <w:rsid w:val="621303AC"/>
    <w:rsid w:val="62312A9A"/>
    <w:rsid w:val="62397BA1"/>
    <w:rsid w:val="6247406C"/>
    <w:rsid w:val="624F3E49"/>
    <w:rsid w:val="62632286"/>
    <w:rsid w:val="626A5FAC"/>
    <w:rsid w:val="626D15F8"/>
    <w:rsid w:val="627806C9"/>
    <w:rsid w:val="62885958"/>
    <w:rsid w:val="629E7A04"/>
    <w:rsid w:val="62AC3ECF"/>
    <w:rsid w:val="62F40B65"/>
    <w:rsid w:val="62FC2CFE"/>
    <w:rsid w:val="62FF66F4"/>
    <w:rsid w:val="63024505"/>
    <w:rsid w:val="631A352E"/>
    <w:rsid w:val="6353259C"/>
    <w:rsid w:val="63544355"/>
    <w:rsid w:val="635B1DB5"/>
    <w:rsid w:val="6367429A"/>
    <w:rsid w:val="636F7DBB"/>
    <w:rsid w:val="6370314E"/>
    <w:rsid w:val="63711FED"/>
    <w:rsid w:val="63716EC6"/>
    <w:rsid w:val="637349EC"/>
    <w:rsid w:val="63862972"/>
    <w:rsid w:val="638766EA"/>
    <w:rsid w:val="63880DDC"/>
    <w:rsid w:val="638D750D"/>
    <w:rsid w:val="638E1826"/>
    <w:rsid w:val="639153B7"/>
    <w:rsid w:val="63A225D7"/>
    <w:rsid w:val="63AC6CC0"/>
    <w:rsid w:val="63B514A9"/>
    <w:rsid w:val="63B76FCF"/>
    <w:rsid w:val="63CB4828"/>
    <w:rsid w:val="63E37DC4"/>
    <w:rsid w:val="63EB0A27"/>
    <w:rsid w:val="64055776"/>
    <w:rsid w:val="640E4733"/>
    <w:rsid w:val="641D6E84"/>
    <w:rsid w:val="641F6922"/>
    <w:rsid w:val="64240056"/>
    <w:rsid w:val="64395C36"/>
    <w:rsid w:val="643E143A"/>
    <w:rsid w:val="64406FC4"/>
    <w:rsid w:val="6445282D"/>
    <w:rsid w:val="64587DDF"/>
    <w:rsid w:val="645A2077"/>
    <w:rsid w:val="645E569D"/>
    <w:rsid w:val="646A4041"/>
    <w:rsid w:val="6470717E"/>
    <w:rsid w:val="647924D6"/>
    <w:rsid w:val="648B6EEF"/>
    <w:rsid w:val="64A70DF2"/>
    <w:rsid w:val="64B27796"/>
    <w:rsid w:val="64C158BF"/>
    <w:rsid w:val="64CE2EAA"/>
    <w:rsid w:val="64D140C0"/>
    <w:rsid w:val="64D4770D"/>
    <w:rsid w:val="64DB4F3F"/>
    <w:rsid w:val="64F733FB"/>
    <w:rsid w:val="653C3090"/>
    <w:rsid w:val="65442AE4"/>
    <w:rsid w:val="655820EC"/>
    <w:rsid w:val="655D3BA6"/>
    <w:rsid w:val="656F7435"/>
    <w:rsid w:val="657B5DDA"/>
    <w:rsid w:val="65854376"/>
    <w:rsid w:val="658767BE"/>
    <w:rsid w:val="65892531"/>
    <w:rsid w:val="65905D2A"/>
    <w:rsid w:val="6596684A"/>
    <w:rsid w:val="659A0956"/>
    <w:rsid w:val="659A6BA8"/>
    <w:rsid w:val="65A50295"/>
    <w:rsid w:val="65AE61B0"/>
    <w:rsid w:val="65BF216B"/>
    <w:rsid w:val="65C47B38"/>
    <w:rsid w:val="65D04378"/>
    <w:rsid w:val="65D33E68"/>
    <w:rsid w:val="65E676F8"/>
    <w:rsid w:val="660D2ED6"/>
    <w:rsid w:val="66195831"/>
    <w:rsid w:val="66212E26"/>
    <w:rsid w:val="662E75B1"/>
    <w:rsid w:val="66342C2E"/>
    <w:rsid w:val="663E5786"/>
    <w:rsid w:val="663E784C"/>
    <w:rsid w:val="666F593F"/>
    <w:rsid w:val="667411A7"/>
    <w:rsid w:val="667B3E2D"/>
    <w:rsid w:val="668B6A45"/>
    <w:rsid w:val="668F1B3D"/>
    <w:rsid w:val="66903B07"/>
    <w:rsid w:val="669B2BD8"/>
    <w:rsid w:val="66AA4BC9"/>
    <w:rsid w:val="66B617C0"/>
    <w:rsid w:val="66C57C55"/>
    <w:rsid w:val="66DD4F9F"/>
    <w:rsid w:val="66E75E1D"/>
    <w:rsid w:val="66ED0F5A"/>
    <w:rsid w:val="672F3F24"/>
    <w:rsid w:val="673E055F"/>
    <w:rsid w:val="67551CE3"/>
    <w:rsid w:val="67801DCE"/>
    <w:rsid w:val="67A22552"/>
    <w:rsid w:val="67B13D35"/>
    <w:rsid w:val="67B22DCC"/>
    <w:rsid w:val="67BE71AA"/>
    <w:rsid w:val="67C223E6"/>
    <w:rsid w:val="67C61D1E"/>
    <w:rsid w:val="67D90273"/>
    <w:rsid w:val="67DE5875"/>
    <w:rsid w:val="67E55852"/>
    <w:rsid w:val="67E66902"/>
    <w:rsid w:val="67EB1AB4"/>
    <w:rsid w:val="67EC2FBF"/>
    <w:rsid w:val="67FA1285"/>
    <w:rsid w:val="680F2A47"/>
    <w:rsid w:val="681D761D"/>
    <w:rsid w:val="685079F2"/>
    <w:rsid w:val="68541BAC"/>
    <w:rsid w:val="68551F4F"/>
    <w:rsid w:val="687C07E7"/>
    <w:rsid w:val="687C10C9"/>
    <w:rsid w:val="687C2595"/>
    <w:rsid w:val="68817BAC"/>
    <w:rsid w:val="68840C16"/>
    <w:rsid w:val="68876EFB"/>
    <w:rsid w:val="68880489"/>
    <w:rsid w:val="68884654"/>
    <w:rsid w:val="688D6550"/>
    <w:rsid w:val="689B6EBF"/>
    <w:rsid w:val="689F444F"/>
    <w:rsid w:val="68A51AEC"/>
    <w:rsid w:val="68A65864"/>
    <w:rsid w:val="68B41D2F"/>
    <w:rsid w:val="68B96DBB"/>
    <w:rsid w:val="68BB30BE"/>
    <w:rsid w:val="68BE2BAE"/>
    <w:rsid w:val="68C0772B"/>
    <w:rsid w:val="68CA2805"/>
    <w:rsid w:val="68D20407"/>
    <w:rsid w:val="68D4417F"/>
    <w:rsid w:val="68D72322"/>
    <w:rsid w:val="68E1689C"/>
    <w:rsid w:val="68E707BF"/>
    <w:rsid w:val="68E937A3"/>
    <w:rsid w:val="691C78D4"/>
    <w:rsid w:val="69320EA6"/>
    <w:rsid w:val="693410C2"/>
    <w:rsid w:val="693E15D3"/>
    <w:rsid w:val="69483D6B"/>
    <w:rsid w:val="69627681"/>
    <w:rsid w:val="69766FE4"/>
    <w:rsid w:val="6977531D"/>
    <w:rsid w:val="69821E2D"/>
    <w:rsid w:val="698536CB"/>
    <w:rsid w:val="699A7177"/>
    <w:rsid w:val="69A47FF6"/>
    <w:rsid w:val="69C441F4"/>
    <w:rsid w:val="69CC2BFF"/>
    <w:rsid w:val="69D87C9F"/>
    <w:rsid w:val="69F525FF"/>
    <w:rsid w:val="69FB056C"/>
    <w:rsid w:val="69FD55B8"/>
    <w:rsid w:val="6A0942FC"/>
    <w:rsid w:val="6A0960AB"/>
    <w:rsid w:val="6A0B1C62"/>
    <w:rsid w:val="6A2406C8"/>
    <w:rsid w:val="6A4175F2"/>
    <w:rsid w:val="6A564726"/>
    <w:rsid w:val="6A641533"/>
    <w:rsid w:val="6A6432E1"/>
    <w:rsid w:val="6A696223"/>
    <w:rsid w:val="6A6B28C1"/>
    <w:rsid w:val="6A7379C8"/>
    <w:rsid w:val="6A935974"/>
    <w:rsid w:val="6AC975E8"/>
    <w:rsid w:val="6ADE0BD1"/>
    <w:rsid w:val="6AE508C6"/>
    <w:rsid w:val="6AE96859"/>
    <w:rsid w:val="6B147746"/>
    <w:rsid w:val="6B217424"/>
    <w:rsid w:val="6B24787C"/>
    <w:rsid w:val="6B573233"/>
    <w:rsid w:val="6B5B6274"/>
    <w:rsid w:val="6B935D53"/>
    <w:rsid w:val="6B940F63"/>
    <w:rsid w:val="6BE24E05"/>
    <w:rsid w:val="6BEE7306"/>
    <w:rsid w:val="6C00528B"/>
    <w:rsid w:val="6C0C59DE"/>
    <w:rsid w:val="6C1571CF"/>
    <w:rsid w:val="6C196F71"/>
    <w:rsid w:val="6C226FCB"/>
    <w:rsid w:val="6C2947E2"/>
    <w:rsid w:val="6C2B2308"/>
    <w:rsid w:val="6C31226F"/>
    <w:rsid w:val="6C336F12"/>
    <w:rsid w:val="6C552F0B"/>
    <w:rsid w:val="6C7F2654"/>
    <w:rsid w:val="6C8C67B7"/>
    <w:rsid w:val="6C983716"/>
    <w:rsid w:val="6C9D744C"/>
    <w:rsid w:val="6CA420BB"/>
    <w:rsid w:val="6CA70AE1"/>
    <w:rsid w:val="6CB75419"/>
    <w:rsid w:val="6CE34991"/>
    <w:rsid w:val="6CF03552"/>
    <w:rsid w:val="6CFC27FE"/>
    <w:rsid w:val="6D061E46"/>
    <w:rsid w:val="6D0A4613"/>
    <w:rsid w:val="6D1032D8"/>
    <w:rsid w:val="6D167928"/>
    <w:rsid w:val="6D1F68DF"/>
    <w:rsid w:val="6D200A44"/>
    <w:rsid w:val="6D26299B"/>
    <w:rsid w:val="6D321474"/>
    <w:rsid w:val="6D4772EC"/>
    <w:rsid w:val="6D851EEC"/>
    <w:rsid w:val="6D8B018B"/>
    <w:rsid w:val="6D9078AF"/>
    <w:rsid w:val="6DA5433C"/>
    <w:rsid w:val="6DAA3FEF"/>
    <w:rsid w:val="6DAA54AF"/>
    <w:rsid w:val="6DB1683D"/>
    <w:rsid w:val="6DBD400B"/>
    <w:rsid w:val="6DC0172B"/>
    <w:rsid w:val="6DCB690C"/>
    <w:rsid w:val="6DD41A5B"/>
    <w:rsid w:val="6DD531CE"/>
    <w:rsid w:val="6DDF490B"/>
    <w:rsid w:val="6DE54A49"/>
    <w:rsid w:val="6DF43C2E"/>
    <w:rsid w:val="6DF51CA3"/>
    <w:rsid w:val="6DF80910"/>
    <w:rsid w:val="6DF91447"/>
    <w:rsid w:val="6E0A419F"/>
    <w:rsid w:val="6E13574A"/>
    <w:rsid w:val="6E162B44"/>
    <w:rsid w:val="6E217E67"/>
    <w:rsid w:val="6E3E6135"/>
    <w:rsid w:val="6E4771A1"/>
    <w:rsid w:val="6E4B4445"/>
    <w:rsid w:val="6E542517"/>
    <w:rsid w:val="6E58315D"/>
    <w:rsid w:val="6E5B2C4D"/>
    <w:rsid w:val="6E5F273D"/>
    <w:rsid w:val="6E677844"/>
    <w:rsid w:val="6E6D76CF"/>
    <w:rsid w:val="6E82467D"/>
    <w:rsid w:val="6E8335BD"/>
    <w:rsid w:val="6E8E12EF"/>
    <w:rsid w:val="6E972936"/>
    <w:rsid w:val="6EB21025"/>
    <w:rsid w:val="6EB32A89"/>
    <w:rsid w:val="6ED0363B"/>
    <w:rsid w:val="6ED22F0F"/>
    <w:rsid w:val="6ED446C5"/>
    <w:rsid w:val="6EDF387E"/>
    <w:rsid w:val="6EE844E0"/>
    <w:rsid w:val="6EEA46FD"/>
    <w:rsid w:val="6EFB233F"/>
    <w:rsid w:val="6F06705D"/>
    <w:rsid w:val="6F196D90"/>
    <w:rsid w:val="6F2319BD"/>
    <w:rsid w:val="6F2A7D94"/>
    <w:rsid w:val="6F321C00"/>
    <w:rsid w:val="6F433E0D"/>
    <w:rsid w:val="6F4A519B"/>
    <w:rsid w:val="6F4B5849"/>
    <w:rsid w:val="6F607489"/>
    <w:rsid w:val="6F7A7A05"/>
    <w:rsid w:val="6F8331F1"/>
    <w:rsid w:val="6F997ED1"/>
    <w:rsid w:val="6FAA3E8C"/>
    <w:rsid w:val="6FAE1A09"/>
    <w:rsid w:val="6FC0545D"/>
    <w:rsid w:val="6FC565D0"/>
    <w:rsid w:val="6FC7059A"/>
    <w:rsid w:val="6FD75BF8"/>
    <w:rsid w:val="6FEA1B35"/>
    <w:rsid w:val="6FFB0243"/>
    <w:rsid w:val="70052E70"/>
    <w:rsid w:val="70390D6C"/>
    <w:rsid w:val="707723D0"/>
    <w:rsid w:val="70814BED"/>
    <w:rsid w:val="70912956"/>
    <w:rsid w:val="70967F6C"/>
    <w:rsid w:val="70A9313E"/>
    <w:rsid w:val="70A94143"/>
    <w:rsid w:val="70BE2206"/>
    <w:rsid w:val="70C25205"/>
    <w:rsid w:val="70F5661B"/>
    <w:rsid w:val="711315BD"/>
    <w:rsid w:val="71155335"/>
    <w:rsid w:val="71171E1A"/>
    <w:rsid w:val="711C66C3"/>
    <w:rsid w:val="71211AEC"/>
    <w:rsid w:val="71360107"/>
    <w:rsid w:val="713752AB"/>
    <w:rsid w:val="713B688E"/>
    <w:rsid w:val="714125CE"/>
    <w:rsid w:val="715916C6"/>
    <w:rsid w:val="715B1366"/>
    <w:rsid w:val="71640436"/>
    <w:rsid w:val="717842D3"/>
    <w:rsid w:val="717A6480"/>
    <w:rsid w:val="718B3849"/>
    <w:rsid w:val="71924BD7"/>
    <w:rsid w:val="71940950"/>
    <w:rsid w:val="71982A4B"/>
    <w:rsid w:val="719905DF"/>
    <w:rsid w:val="719A1112"/>
    <w:rsid w:val="71A010A2"/>
    <w:rsid w:val="71A60683"/>
    <w:rsid w:val="71C34D91"/>
    <w:rsid w:val="71CF53A1"/>
    <w:rsid w:val="71D43752"/>
    <w:rsid w:val="71E26430"/>
    <w:rsid w:val="71F1796A"/>
    <w:rsid w:val="71F72C8D"/>
    <w:rsid w:val="71F907B3"/>
    <w:rsid w:val="71FE226D"/>
    <w:rsid w:val="72023B0B"/>
    <w:rsid w:val="72154626"/>
    <w:rsid w:val="721B697B"/>
    <w:rsid w:val="722577FA"/>
    <w:rsid w:val="72262B5D"/>
    <w:rsid w:val="72283FF7"/>
    <w:rsid w:val="722E7212"/>
    <w:rsid w:val="723827B5"/>
    <w:rsid w:val="723932A5"/>
    <w:rsid w:val="723A0474"/>
    <w:rsid w:val="724539F8"/>
    <w:rsid w:val="725923E4"/>
    <w:rsid w:val="72864BF7"/>
    <w:rsid w:val="729023FC"/>
    <w:rsid w:val="72936E59"/>
    <w:rsid w:val="72EE0533"/>
    <w:rsid w:val="72F153E5"/>
    <w:rsid w:val="72F571CC"/>
    <w:rsid w:val="73104006"/>
    <w:rsid w:val="731955B0"/>
    <w:rsid w:val="732D4BB8"/>
    <w:rsid w:val="73397A01"/>
    <w:rsid w:val="734737A0"/>
    <w:rsid w:val="73474EBB"/>
    <w:rsid w:val="735C27F1"/>
    <w:rsid w:val="735D77C9"/>
    <w:rsid w:val="73682094"/>
    <w:rsid w:val="73683E42"/>
    <w:rsid w:val="736D76AA"/>
    <w:rsid w:val="73821A52"/>
    <w:rsid w:val="738B5D82"/>
    <w:rsid w:val="739369E5"/>
    <w:rsid w:val="73B703A7"/>
    <w:rsid w:val="73C0646E"/>
    <w:rsid w:val="73E3796C"/>
    <w:rsid w:val="74082F2F"/>
    <w:rsid w:val="742222F5"/>
    <w:rsid w:val="7423420D"/>
    <w:rsid w:val="74235FBB"/>
    <w:rsid w:val="743E2DF5"/>
    <w:rsid w:val="74476126"/>
    <w:rsid w:val="7452064E"/>
    <w:rsid w:val="74706664"/>
    <w:rsid w:val="747F3682"/>
    <w:rsid w:val="747F76E1"/>
    <w:rsid w:val="74850A24"/>
    <w:rsid w:val="749C4185"/>
    <w:rsid w:val="749E5641"/>
    <w:rsid w:val="74BB2697"/>
    <w:rsid w:val="74BB4E13"/>
    <w:rsid w:val="74BE7A92"/>
    <w:rsid w:val="74C07CAE"/>
    <w:rsid w:val="74D13C69"/>
    <w:rsid w:val="74D774D1"/>
    <w:rsid w:val="74DA7EF7"/>
    <w:rsid w:val="74F71921"/>
    <w:rsid w:val="74FF07D6"/>
    <w:rsid w:val="75067759"/>
    <w:rsid w:val="750951B1"/>
    <w:rsid w:val="750C4CA1"/>
    <w:rsid w:val="751D2A0A"/>
    <w:rsid w:val="752E6DCD"/>
    <w:rsid w:val="754601B3"/>
    <w:rsid w:val="7551380D"/>
    <w:rsid w:val="75600BE5"/>
    <w:rsid w:val="7564475C"/>
    <w:rsid w:val="756920F3"/>
    <w:rsid w:val="756E71C3"/>
    <w:rsid w:val="7583797F"/>
    <w:rsid w:val="759251A6"/>
    <w:rsid w:val="759E6804"/>
    <w:rsid w:val="75CD3EB8"/>
    <w:rsid w:val="75CD606C"/>
    <w:rsid w:val="75D20F1D"/>
    <w:rsid w:val="75D44DFB"/>
    <w:rsid w:val="75DA2C18"/>
    <w:rsid w:val="75F54412"/>
    <w:rsid w:val="76004806"/>
    <w:rsid w:val="761D08E0"/>
    <w:rsid w:val="761E2EDE"/>
    <w:rsid w:val="762B7A54"/>
    <w:rsid w:val="76373F9F"/>
    <w:rsid w:val="76426BCC"/>
    <w:rsid w:val="76515061"/>
    <w:rsid w:val="765D347C"/>
    <w:rsid w:val="766C1795"/>
    <w:rsid w:val="767228B7"/>
    <w:rsid w:val="76815978"/>
    <w:rsid w:val="76826699"/>
    <w:rsid w:val="76856AB9"/>
    <w:rsid w:val="76880357"/>
    <w:rsid w:val="769136B0"/>
    <w:rsid w:val="76AF1D88"/>
    <w:rsid w:val="76B13D52"/>
    <w:rsid w:val="76C87133"/>
    <w:rsid w:val="76CA582B"/>
    <w:rsid w:val="76CD08D5"/>
    <w:rsid w:val="76DB4B92"/>
    <w:rsid w:val="76F2777E"/>
    <w:rsid w:val="76F31C74"/>
    <w:rsid w:val="76F81981"/>
    <w:rsid w:val="76FB6D7B"/>
    <w:rsid w:val="77052AA4"/>
    <w:rsid w:val="77136511"/>
    <w:rsid w:val="77170059"/>
    <w:rsid w:val="771F2A69"/>
    <w:rsid w:val="77244524"/>
    <w:rsid w:val="77340A39"/>
    <w:rsid w:val="77351FD0"/>
    <w:rsid w:val="77366005"/>
    <w:rsid w:val="77472422"/>
    <w:rsid w:val="775060E4"/>
    <w:rsid w:val="77512E3F"/>
    <w:rsid w:val="775A1CF3"/>
    <w:rsid w:val="7769498F"/>
    <w:rsid w:val="777F31F2"/>
    <w:rsid w:val="77A94A29"/>
    <w:rsid w:val="77AC5212"/>
    <w:rsid w:val="77C66463"/>
    <w:rsid w:val="77D0645A"/>
    <w:rsid w:val="77D1700D"/>
    <w:rsid w:val="77E837A3"/>
    <w:rsid w:val="77E872FF"/>
    <w:rsid w:val="77EC04CC"/>
    <w:rsid w:val="78014865"/>
    <w:rsid w:val="781A76D5"/>
    <w:rsid w:val="7826607A"/>
    <w:rsid w:val="783B73A9"/>
    <w:rsid w:val="786848E4"/>
    <w:rsid w:val="78745037"/>
    <w:rsid w:val="78775729"/>
    <w:rsid w:val="788039DC"/>
    <w:rsid w:val="788D7EA7"/>
    <w:rsid w:val="78A42DB0"/>
    <w:rsid w:val="78A656AB"/>
    <w:rsid w:val="78B2245C"/>
    <w:rsid w:val="78C42189"/>
    <w:rsid w:val="78D6184E"/>
    <w:rsid w:val="78E172CC"/>
    <w:rsid w:val="78E24696"/>
    <w:rsid w:val="78EA1D1F"/>
    <w:rsid w:val="78F16688"/>
    <w:rsid w:val="7904172F"/>
    <w:rsid w:val="790F7E27"/>
    <w:rsid w:val="79132AA2"/>
    <w:rsid w:val="792A231A"/>
    <w:rsid w:val="792E3438"/>
    <w:rsid w:val="79316829"/>
    <w:rsid w:val="79377378"/>
    <w:rsid w:val="79464C25"/>
    <w:rsid w:val="795863A0"/>
    <w:rsid w:val="795A5FDB"/>
    <w:rsid w:val="795F5CE7"/>
    <w:rsid w:val="79654980"/>
    <w:rsid w:val="79725A1A"/>
    <w:rsid w:val="797E66A9"/>
    <w:rsid w:val="79815C5D"/>
    <w:rsid w:val="79A11E5C"/>
    <w:rsid w:val="79A96857"/>
    <w:rsid w:val="79A97383"/>
    <w:rsid w:val="79B62F3A"/>
    <w:rsid w:val="79D73ACF"/>
    <w:rsid w:val="79D815F5"/>
    <w:rsid w:val="79E27E8B"/>
    <w:rsid w:val="79E32474"/>
    <w:rsid w:val="79E85CDC"/>
    <w:rsid w:val="79F44681"/>
    <w:rsid w:val="79F850CE"/>
    <w:rsid w:val="79FD443C"/>
    <w:rsid w:val="7A055193"/>
    <w:rsid w:val="7A1D1975"/>
    <w:rsid w:val="7A1E16FE"/>
    <w:rsid w:val="7A2405F1"/>
    <w:rsid w:val="7A2F7467"/>
    <w:rsid w:val="7A3E5150"/>
    <w:rsid w:val="7A4670D6"/>
    <w:rsid w:val="7A4D5B40"/>
    <w:rsid w:val="7A523156"/>
    <w:rsid w:val="7A534B63"/>
    <w:rsid w:val="7A590988"/>
    <w:rsid w:val="7A5944E4"/>
    <w:rsid w:val="7A5E5F9F"/>
    <w:rsid w:val="7A615382"/>
    <w:rsid w:val="7A652E89"/>
    <w:rsid w:val="7A67303B"/>
    <w:rsid w:val="7A6D1D3E"/>
    <w:rsid w:val="7A6F3D08"/>
    <w:rsid w:val="7AA17C39"/>
    <w:rsid w:val="7AAA2F92"/>
    <w:rsid w:val="7AAB1D04"/>
    <w:rsid w:val="7ABA4368"/>
    <w:rsid w:val="7ACE4ED2"/>
    <w:rsid w:val="7AD05746"/>
    <w:rsid w:val="7B257FFD"/>
    <w:rsid w:val="7B343476"/>
    <w:rsid w:val="7B3665D4"/>
    <w:rsid w:val="7B3D3E06"/>
    <w:rsid w:val="7B4231CA"/>
    <w:rsid w:val="7B4E3D80"/>
    <w:rsid w:val="7B5178B1"/>
    <w:rsid w:val="7B584026"/>
    <w:rsid w:val="7B5A2978"/>
    <w:rsid w:val="7B5A7E4C"/>
    <w:rsid w:val="7B667AF9"/>
    <w:rsid w:val="7B7468F8"/>
    <w:rsid w:val="7B75534E"/>
    <w:rsid w:val="7BBA7205"/>
    <w:rsid w:val="7BBD6CF5"/>
    <w:rsid w:val="7BC63DFB"/>
    <w:rsid w:val="7BCC0CE6"/>
    <w:rsid w:val="7BEE0103"/>
    <w:rsid w:val="7C030BAC"/>
    <w:rsid w:val="7C0A0FE4"/>
    <w:rsid w:val="7C134B67"/>
    <w:rsid w:val="7C254906"/>
    <w:rsid w:val="7C2E7339"/>
    <w:rsid w:val="7C3C382D"/>
    <w:rsid w:val="7C3F595C"/>
    <w:rsid w:val="7C4116D4"/>
    <w:rsid w:val="7C490589"/>
    <w:rsid w:val="7C590818"/>
    <w:rsid w:val="7C5E4034"/>
    <w:rsid w:val="7C686C61"/>
    <w:rsid w:val="7C7C10F6"/>
    <w:rsid w:val="7C853BEA"/>
    <w:rsid w:val="7C881368"/>
    <w:rsid w:val="7C95557C"/>
    <w:rsid w:val="7CCA00D0"/>
    <w:rsid w:val="7CD24A22"/>
    <w:rsid w:val="7CD8371D"/>
    <w:rsid w:val="7CD95DB0"/>
    <w:rsid w:val="7CE043DA"/>
    <w:rsid w:val="7CE27788"/>
    <w:rsid w:val="7CE7227B"/>
    <w:rsid w:val="7CE87DA1"/>
    <w:rsid w:val="7D0C32F1"/>
    <w:rsid w:val="7D0F408D"/>
    <w:rsid w:val="7D226E2B"/>
    <w:rsid w:val="7D4274B2"/>
    <w:rsid w:val="7D470F6C"/>
    <w:rsid w:val="7D491C6C"/>
    <w:rsid w:val="7D4A0A5C"/>
    <w:rsid w:val="7D513B99"/>
    <w:rsid w:val="7D5429C0"/>
    <w:rsid w:val="7D5D078F"/>
    <w:rsid w:val="7D6E6D43"/>
    <w:rsid w:val="7D845D1C"/>
    <w:rsid w:val="7D87580C"/>
    <w:rsid w:val="7D9341B1"/>
    <w:rsid w:val="7D961D9E"/>
    <w:rsid w:val="7DB163E5"/>
    <w:rsid w:val="7DB57A34"/>
    <w:rsid w:val="7DBB1012"/>
    <w:rsid w:val="7DC10D1E"/>
    <w:rsid w:val="7DE60973"/>
    <w:rsid w:val="7DEF0916"/>
    <w:rsid w:val="7E1E5218"/>
    <w:rsid w:val="7E2117BD"/>
    <w:rsid w:val="7E3037AE"/>
    <w:rsid w:val="7E4454AB"/>
    <w:rsid w:val="7E503E50"/>
    <w:rsid w:val="7E786F03"/>
    <w:rsid w:val="7E8D6E52"/>
    <w:rsid w:val="7E9A331D"/>
    <w:rsid w:val="7E9A4E1F"/>
    <w:rsid w:val="7EA7723A"/>
    <w:rsid w:val="7EB51F05"/>
    <w:rsid w:val="7EC9775F"/>
    <w:rsid w:val="7ECD36F3"/>
    <w:rsid w:val="7EE822DB"/>
    <w:rsid w:val="7EF04CF2"/>
    <w:rsid w:val="7EF56FBB"/>
    <w:rsid w:val="7F0768EB"/>
    <w:rsid w:val="7F143BEC"/>
    <w:rsid w:val="7F15031C"/>
    <w:rsid w:val="7F1629A4"/>
    <w:rsid w:val="7F2257ED"/>
    <w:rsid w:val="7F235036"/>
    <w:rsid w:val="7F2E0034"/>
    <w:rsid w:val="7F3B1883"/>
    <w:rsid w:val="7F4A6AF1"/>
    <w:rsid w:val="7F4F5EB6"/>
    <w:rsid w:val="7F5437BD"/>
    <w:rsid w:val="7F572BD0"/>
    <w:rsid w:val="7F5931D8"/>
    <w:rsid w:val="7F6F6558"/>
    <w:rsid w:val="7F710522"/>
    <w:rsid w:val="7F715AF2"/>
    <w:rsid w:val="7F8248B5"/>
    <w:rsid w:val="7F886E69"/>
    <w:rsid w:val="7F983D01"/>
    <w:rsid w:val="7FAF4BA7"/>
    <w:rsid w:val="7FB64187"/>
    <w:rsid w:val="7FBB08D3"/>
    <w:rsid w:val="7FBB354B"/>
    <w:rsid w:val="7FCD1284"/>
    <w:rsid w:val="7FDA60C7"/>
    <w:rsid w:val="7FDF36DE"/>
    <w:rsid w:val="7FE5681A"/>
    <w:rsid w:val="7FF72EC6"/>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9"/>
    <w:pPr>
      <w:keepNext/>
      <w:keepLines/>
      <w:tabs>
        <w:tab w:val="left" w:pos="432"/>
      </w:tabs>
      <w:spacing w:before="340" w:after="330" w:line="578" w:lineRule="auto"/>
      <w:ind w:left="432" w:hanging="432"/>
      <w:outlineLvl w:val="0"/>
    </w:pPr>
    <w:rPr>
      <w:rFonts w:ascii="Calibri" w:hAnsi="Calibri"/>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0"/>
    <w:qFormat/>
    <w:uiPriority w:val="9"/>
    <w:pPr>
      <w:keepNext/>
      <w:keepLines/>
      <w:tabs>
        <w:tab w:val="left" w:pos="1008"/>
      </w:tabs>
      <w:spacing w:before="280" w:after="290" w:line="376" w:lineRule="auto"/>
      <w:ind w:left="1008" w:hanging="1008"/>
      <w:outlineLvl w:val="4"/>
    </w:pPr>
    <w:rPr>
      <w:rFonts w:ascii="Calibri" w:hAnsi="Calibri"/>
      <w:b/>
      <w:bCs/>
      <w:sz w:val="28"/>
      <w:szCs w:val="28"/>
    </w:rPr>
  </w:style>
  <w:style w:type="paragraph" w:styleId="7">
    <w:name w:val="heading 6"/>
    <w:basedOn w:val="1"/>
    <w:next w:val="1"/>
    <w:link w:val="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92"/>
    <w:qFormat/>
    <w:uiPriority w:val="0"/>
    <w:pPr>
      <w:keepNext/>
      <w:keepLines/>
      <w:tabs>
        <w:tab w:val="left" w:pos="1296"/>
      </w:tabs>
      <w:spacing w:before="240" w:after="64" w:line="320" w:lineRule="auto"/>
      <w:ind w:left="1296" w:hanging="1296"/>
      <w:outlineLvl w:val="6"/>
    </w:pPr>
    <w:rPr>
      <w:rFonts w:ascii="Calibri" w:hAnsi="Calibri"/>
      <w:b/>
      <w:bCs/>
      <w:sz w:val="24"/>
    </w:rPr>
  </w:style>
  <w:style w:type="paragraph" w:styleId="9">
    <w:name w:val="heading 8"/>
    <w:basedOn w:val="1"/>
    <w:next w:val="1"/>
    <w:link w:val="9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95"/>
    <w:qFormat/>
    <w:uiPriority w:val="0"/>
    <w:pPr>
      <w:widowControl/>
      <w:snapToGrid w:val="0"/>
      <w:spacing w:line="480" w:lineRule="exact"/>
      <w:ind w:firstLine="567"/>
    </w:pPr>
    <w:rPr>
      <w:rFonts w:ascii="宋体" w:hAnsi="Calibri"/>
      <w:snapToGrid w:val="0"/>
      <w:color w:val="000000"/>
      <w:kern w:val="28"/>
      <w:sz w:val="28"/>
      <w:szCs w:val="20"/>
    </w:rPr>
  </w:style>
  <w:style w:type="paragraph" w:styleId="16">
    <w:name w:val="caption"/>
    <w:basedOn w:val="1"/>
    <w:next w:val="1"/>
    <w:link w:val="96"/>
    <w:qFormat/>
    <w:uiPriority w:val="0"/>
    <w:rPr>
      <w:rFonts w:ascii="Calibri" w:hAnsi="Calibri"/>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7"/>
    <w:qFormat/>
    <w:uiPriority w:val="0"/>
    <w:pPr>
      <w:shd w:val="clear" w:color="auto" w:fill="000080"/>
    </w:pPr>
    <w:rPr>
      <w:rFonts w:ascii="Calibri" w:hAnsi="Calibri"/>
    </w:rPr>
  </w:style>
  <w:style w:type="paragraph" w:styleId="19">
    <w:name w:val="annotation text"/>
    <w:basedOn w:val="1"/>
    <w:link w:val="98"/>
    <w:qFormat/>
    <w:uiPriority w:val="0"/>
    <w:pPr>
      <w:jc w:val="left"/>
    </w:pPr>
    <w:rPr>
      <w:rFonts w:ascii="Calibri" w:hAnsi="Calibri"/>
    </w:rPr>
  </w:style>
  <w:style w:type="paragraph" w:styleId="20">
    <w:name w:val="Salutation"/>
    <w:basedOn w:val="1"/>
    <w:next w:val="1"/>
    <w:link w:val="99"/>
    <w:qFormat/>
    <w:uiPriority w:val="0"/>
    <w:rPr>
      <w:rFonts w:ascii="仿宋_GB2312" w:hAnsi="Calibri" w:eastAsia="仿宋_GB2312"/>
      <w:sz w:val="28"/>
      <w:szCs w:val="20"/>
    </w:rPr>
  </w:style>
  <w:style w:type="paragraph" w:styleId="21">
    <w:name w:val="Body Text 3"/>
    <w:basedOn w:val="1"/>
    <w:link w:val="100"/>
    <w:qFormat/>
    <w:uiPriority w:val="0"/>
    <w:pPr>
      <w:jc w:val="center"/>
    </w:pPr>
    <w:rPr>
      <w:rFonts w:ascii="Calibri" w:hAnsi="Calibri"/>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8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101"/>
    <w:qFormat/>
    <w:uiPriority w:val="0"/>
    <w:pPr>
      <w:spacing w:line="480" w:lineRule="exact"/>
      <w:ind w:firstLine="480" w:firstLineChars="200"/>
    </w:pPr>
    <w:rPr>
      <w:rFonts w:ascii="宋体" w:hAnsi="宋体"/>
      <w:sz w:val="24"/>
    </w:rPr>
  </w:style>
  <w:style w:type="paragraph" w:styleId="25">
    <w:name w:val="Body Text First Indent 2"/>
    <w:basedOn w:val="24"/>
    <w:next w:val="26"/>
    <w:link w:val="119"/>
    <w:qFormat/>
    <w:uiPriority w:val="0"/>
    <w:pPr>
      <w:adjustRightInd/>
      <w:spacing w:after="120" w:line="240" w:lineRule="auto"/>
      <w:ind w:left="420" w:leftChars="200" w:firstLine="210"/>
    </w:pPr>
    <w:rPr>
      <w:sz w:val="21"/>
    </w:rPr>
  </w:style>
  <w:style w:type="paragraph" w:styleId="26">
    <w:name w:val="Body Text First Indent"/>
    <w:basedOn w:val="23"/>
    <w:next w:val="25"/>
    <w:link w:val="118"/>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0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04"/>
    <w:qFormat/>
    <w:uiPriority w:val="0"/>
    <w:pPr>
      <w:ind w:left="100" w:leftChars="2500"/>
    </w:pPr>
    <w:rPr>
      <w:rFonts w:ascii="宋体" w:hAnsi="Calibri"/>
      <w:sz w:val="24"/>
      <w:szCs w:val="21"/>
      <w:lang w:val="zh-CN"/>
    </w:rPr>
  </w:style>
  <w:style w:type="paragraph" w:styleId="38">
    <w:name w:val="Body Text Indent 2"/>
    <w:basedOn w:val="1"/>
    <w:link w:val="105"/>
    <w:qFormat/>
    <w:uiPriority w:val="0"/>
    <w:pPr>
      <w:spacing w:line="360" w:lineRule="auto"/>
      <w:ind w:firstLine="601"/>
      <w:textAlignment w:val="baseline"/>
    </w:pPr>
    <w:rPr>
      <w:rFonts w:ascii="宋体" w:hAnsi="Calibri"/>
      <w:kern w:val="0"/>
      <w:sz w:val="28"/>
      <w:szCs w:val="20"/>
    </w:rPr>
  </w:style>
  <w:style w:type="paragraph" w:styleId="39">
    <w:name w:val="endnote text"/>
    <w:basedOn w:val="1"/>
    <w:link w:val="106"/>
    <w:qFormat/>
    <w:uiPriority w:val="0"/>
    <w:rPr>
      <w:rFonts w:ascii="Calibri" w:hAnsi="Calibri"/>
      <w:lang w:val="zh-CN"/>
    </w:rPr>
  </w:style>
  <w:style w:type="paragraph" w:styleId="40">
    <w:name w:val="Balloon Text"/>
    <w:basedOn w:val="1"/>
    <w:link w:val="107"/>
    <w:qFormat/>
    <w:uiPriority w:val="0"/>
    <w:rPr>
      <w:rFonts w:ascii="Calibri" w:hAnsi="Calibri"/>
      <w:sz w:val="18"/>
      <w:szCs w:val="18"/>
    </w:rPr>
  </w:style>
  <w:style w:type="paragraph" w:styleId="41">
    <w:name w:val="footer"/>
    <w:basedOn w:val="1"/>
    <w:link w:val="108"/>
    <w:qFormat/>
    <w:uiPriority w:val="99"/>
    <w:pPr>
      <w:tabs>
        <w:tab w:val="center" w:pos="4153"/>
        <w:tab w:val="right" w:pos="8306"/>
      </w:tabs>
      <w:snapToGrid w:val="0"/>
      <w:jc w:val="left"/>
    </w:pPr>
    <w:rPr>
      <w:rFonts w:ascii="Calibri" w:hAnsi="Calibri"/>
      <w:sz w:val="18"/>
      <w:szCs w:val="18"/>
    </w:rPr>
  </w:style>
  <w:style w:type="paragraph" w:styleId="42">
    <w:name w:val="header"/>
    <w:basedOn w:val="1"/>
    <w:link w:val="10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3">
    <w:name w:val="Signature"/>
    <w:basedOn w:val="1"/>
    <w:link w:val="110"/>
    <w:qFormat/>
    <w:uiPriority w:val="0"/>
    <w:pPr>
      <w:spacing w:after="600" w:line="312" w:lineRule="atLeast"/>
      <w:jc w:val="center"/>
      <w:textAlignment w:val="baseline"/>
    </w:pPr>
    <w:rPr>
      <w:rFonts w:ascii="Calibri" w:hAnsi="Calibri"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1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1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13"/>
    <w:qFormat/>
    <w:uiPriority w:val="0"/>
    <w:pPr>
      <w:spacing w:line="360" w:lineRule="auto"/>
      <w:ind w:firstLine="420"/>
    </w:pPr>
    <w:rPr>
      <w:rFonts w:ascii="Calibri" w:hAnsi="Calibri"/>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14"/>
    <w:qFormat/>
    <w:uiPriority w:val="0"/>
    <w:pPr>
      <w:spacing w:after="120" w:line="480" w:lineRule="auto"/>
    </w:pPr>
    <w:rPr>
      <w:rFonts w:ascii="Calibri" w:hAnsi="Calibri"/>
    </w:rPr>
  </w:style>
  <w:style w:type="paragraph" w:styleId="58">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116"/>
    <w:qFormat/>
    <w:uiPriority w:val="10"/>
    <w:pPr>
      <w:widowControl/>
      <w:overflowPunct w:val="0"/>
      <w:autoSpaceDE w:val="0"/>
      <w:autoSpaceDN w:val="0"/>
      <w:jc w:val="center"/>
      <w:textAlignment w:val="baseline"/>
    </w:pPr>
    <w:rPr>
      <w:rFonts w:ascii="Calibri" w:hAnsi="Calibri"/>
      <w:b/>
      <w:kern w:val="0"/>
      <w:sz w:val="24"/>
      <w:szCs w:val="20"/>
      <w:lang w:val="en-GB"/>
    </w:rPr>
  </w:style>
  <w:style w:type="paragraph" w:styleId="61">
    <w:name w:val="annotation subject"/>
    <w:basedOn w:val="19"/>
    <w:next w:val="19"/>
    <w:link w:val="11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Default"/>
    <w:next w:val="85"/>
    <w:link w:val="8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87">
    <w:name w:val="Default Char"/>
    <w:link w:val="84"/>
    <w:qFormat/>
    <w:uiPriority w:val="0"/>
    <w:rPr>
      <w:rFonts w:ascii="仿宋_GB2312" w:hAnsi="Times New Roman" w:eastAsia="仿宋_GB2312" w:cs="仿宋_GB2312"/>
      <w:color w:val="000000"/>
      <w:sz w:val="24"/>
      <w:szCs w:val="24"/>
      <w:lang w:val="en-US" w:eastAsia="zh-CN" w:bidi="ar-SA"/>
    </w:rPr>
  </w:style>
  <w:style w:type="character" w:customStyle="1" w:styleId="88">
    <w:name w:val="标题 1 Char"/>
    <w:link w:val="2"/>
    <w:qFormat/>
    <w:uiPriority w:val="9"/>
    <w:rPr>
      <w:b/>
      <w:bCs/>
      <w:kern w:val="44"/>
      <w:sz w:val="44"/>
      <w:szCs w:val="44"/>
    </w:rPr>
  </w:style>
  <w:style w:type="character" w:customStyle="1" w:styleId="89">
    <w:name w:val="标题 4 Char2"/>
    <w:link w:val="5"/>
    <w:qFormat/>
    <w:uiPriority w:val="9"/>
    <w:rPr>
      <w:rFonts w:ascii="Arial" w:hAnsi="Arial" w:eastAsia="黑体"/>
      <w:b/>
      <w:bCs/>
      <w:kern w:val="2"/>
      <w:sz w:val="28"/>
      <w:szCs w:val="28"/>
      <w:lang w:val="zh-CN"/>
    </w:rPr>
  </w:style>
  <w:style w:type="character" w:customStyle="1" w:styleId="90">
    <w:name w:val="标题 5 Char"/>
    <w:link w:val="6"/>
    <w:qFormat/>
    <w:uiPriority w:val="9"/>
    <w:rPr>
      <w:b/>
      <w:bCs/>
      <w:kern w:val="2"/>
      <w:sz w:val="28"/>
      <w:szCs w:val="28"/>
    </w:rPr>
  </w:style>
  <w:style w:type="character" w:customStyle="1" w:styleId="91">
    <w:name w:val="标题 6 Char"/>
    <w:link w:val="7"/>
    <w:qFormat/>
    <w:uiPriority w:val="0"/>
    <w:rPr>
      <w:rFonts w:ascii="Arial" w:hAnsi="Arial" w:eastAsia="黑体"/>
      <w:b/>
      <w:bCs/>
      <w:kern w:val="2"/>
      <w:sz w:val="24"/>
      <w:szCs w:val="24"/>
    </w:rPr>
  </w:style>
  <w:style w:type="character" w:customStyle="1" w:styleId="92">
    <w:name w:val="标题 7 Char"/>
    <w:link w:val="8"/>
    <w:qFormat/>
    <w:uiPriority w:val="0"/>
    <w:rPr>
      <w:b/>
      <w:bCs/>
      <w:kern w:val="2"/>
      <w:sz w:val="24"/>
      <w:szCs w:val="24"/>
    </w:rPr>
  </w:style>
  <w:style w:type="character" w:customStyle="1" w:styleId="93">
    <w:name w:val="标题 8 Char"/>
    <w:link w:val="9"/>
    <w:qFormat/>
    <w:uiPriority w:val="0"/>
    <w:rPr>
      <w:rFonts w:ascii="Arial" w:hAnsi="Arial" w:eastAsia="黑体"/>
      <w:kern w:val="2"/>
      <w:sz w:val="24"/>
      <w:szCs w:val="24"/>
    </w:rPr>
  </w:style>
  <w:style w:type="character" w:customStyle="1" w:styleId="94">
    <w:name w:val="标题 9 Char"/>
    <w:link w:val="10"/>
    <w:qFormat/>
    <w:uiPriority w:val="0"/>
    <w:rPr>
      <w:rFonts w:ascii="Arial" w:hAnsi="Arial" w:eastAsia="黑体"/>
      <w:kern w:val="2"/>
      <w:sz w:val="21"/>
      <w:szCs w:val="21"/>
    </w:rPr>
  </w:style>
  <w:style w:type="character" w:customStyle="1" w:styleId="95">
    <w:name w:val="正文缩进 Char2"/>
    <w:link w:val="15"/>
    <w:qFormat/>
    <w:uiPriority w:val="0"/>
    <w:rPr>
      <w:rFonts w:ascii="宋体" w:eastAsia="宋体"/>
      <w:snapToGrid w:val="0"/>
      <w:color w:val="000000"/>
      <w:kern w:val="28"/>
      <w:sz w:val="28"/>
      <w:lang w:val="en-US" w:eastAsia="zh-CN" w:bidi="ar-SA"/>
    </w:rPr>
  </w:style>
  <w:style w:type="character" w:customStyle="1" w:styleId="96">
    <w:name w:val="题注 Char"/>
    <w:link w:val="16"/>
    <w:qFormat/>
    <w:uiPriority w:val="0"/>
    <w:rPr>
      <w:b/>
      <w:kern w:val="2"/>
      <w:sz w:val="28"/>
    </w:rPr>
  </w:style>
  <w:style w:type="character" w:customStyle="1" w:styleId="97">
    <w:name w:val="文档结构图 Char1"/>
    <w:link w:val="18"/>
    <w:qFormat/>
    <w:uiPriority w:val="0"/>
    <w:rPr>
      <w:kern w:val="2"/>
      <w:sz w:val="21"/>
      <w:szCs w:val="24"/>
      <w:shd w:val="clear" w:color="auto" w:fill="000080"/>
    </w:rPr>
  </w:style>
  <w:style w:type="character" w:customStyle="1" w:styleId="98">
    <w:name w:val="批注文字 Char1"/>
    <w:link w:val="19"/>
    <w:qFormat/>
    <w:uiPriority w:val="0"/>
    <w:rPr>
      <w:kern w:val="2"/>
      <w:sz w:val="21"/>
      <w:szCs w:val="24"/>
    </w:rPr>
  </w:style>
  <w:style w:type="character" w:customStyle="1" w:styleId="99">
    <w:name w:val="称呼 Char"/>
    <w:link w:val="20"/>
    <w:qFormat/>
    <w:uiPriority w:val="0"/>
    <w:rPr>
      <w:rFonts w:ascii="仿宋_GB2312" w:eastAsia="仿宋_GB2312"/>
      <w:kern w:val="2"/>
      <w:sz w:val="28"/>
    </w:rPr>
  </w:style>
  <w:style w:type="character" w:customStyle="1" w:styleId="100">
    <w:name w:val="正文文本 3 Char"/>
    <w:link w:val="21"/>
    <w:qFormat/>
    <w:uiPriority w:val="0"/>
    <w:rPr>
      <w:kern w:val="2"/>
      <w:sz w:val="21"/>
    </w:rPr>
  </w:style>
  <w:style w:type="character" w:customStyle="1" w:styleId="101">
    <w:name w:val="正文文本缩进 Char3"/>
    <w:link w:val="24"/>
    <w:qFormat/>
    <w:uiPriority w:val="0"/>
    <w:rPr>
      <w:rFonts w:ascii="宋体" w:hAnsi="宋体"/>
      <w:kern w:val="2"/>
      <w:sz w:val="24"/>
      <w:szCs w:val="24"/>
    </w:rPr>
  </w:style>
  <w:style w:type="character" w:customStyle="1" w:styleId="102">
    <w:name w:val="HTML 地址 Char"/>
    <w:link w:val="31"/>
    <w:qFormat/>
    <w:uiPriority w:val="0"/>
    <w:rPr>
      <w:rFonts w:ascii="宋体" w:hAnsi="宋体"/>
      <w:i/>
      <w:iCs/>
      <w:sz w:val="24"/>
      <w:szCs w:val="24"/>
    </w:rPr>
  </w:style>
  <w:style w:type="character" w:customStyle="1" w:styleId="10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04">
    <w:name w:val="日期 Char"/>
    <w:link w:val="37"/>
    <w:qFormat/>
    <w:uiPriority w:val="0"/>
    <w:rPr>
      <w:rFonts w:ascii="宋体"/>
      <w:kern w:val="2"/>
      <w:sz w:val="24"/>
      <w:szCs w:val="21"/>
      <w:lang w:val="zh-CN"/>
    </w:rPr>
  </w:style>
  <w:style w:type="character" w:customStyle="1" w:styleId="105">
    <w:name w:val="正文文本缩进 2 Char"/>
    <w:link w:val="38"/>
    <w:qFormat/>
    <w:uiPriority w:val="0"/>
    <w:rPr>
      <w:rFonts w:ascii="宋体"/>
      <w:sz w:val="28"/>
    </w:rPr>
  </w:style>
  <w:style w:type="character" w:customStyle="1" w:styleId="106">
    <w:name w:val="尾注文本 Char"/>
    <w:link w:val="39"/>
    <w:qFormat/>
    <w:uiPriority w:val="0"/>
    <w:rPr>
      <w:kern w:val="2"/>
      <w:sz w:val="21"/>
      <w:szCs w:val="24"/>
      <w:lang w:val="zh-CN"/>
    </w:rPr>
  </w:style>
  <w:style w:type="character" w:customStyle="1" w:styleId="107">
    <w:name w:val="批注框文本 Char"/>
    <w:link w:val="40"/>
    <w:qFormat/>
    <w:uiPriority w:val="0"/>
    <w:rPr>
      <w:kern w:val="2"/>
      <w:sz w:val="18"/>
      <w:szCs w:val="18"/>
    </w:rPr>
  </w:style>
  <w:style w:type="character" w:customStyle="1" w:styleId="108">
    <w:name w:val="页脚 Char2"/>
    <w:link w:val="41"/>
    <w:qFormat/>
    <w:locked/>
    <w:uiPriority w:val="99"/>
    <w:rPr>
      <w:kern w:val="2"/>
      <w:sz w:val="18"/>
      <w:szCs w:val="18"/>
    </w:rPr>
  </w:style>
  <w:style w:type="character" w:customStyle="1" w:styleId="109">
    <w:name w:val="页眉 Char2"/>
    <w:link w:val="42"/>
    <w:qFormat/>
    <w:uiPriority w:val="99"/>
    <w:rPr>
      <w:kern w:val="2"/>
      <w:sz w:val="18"/>
      <w:szCs w:val="18"/>
    </w:rPr>
  </w:style>
  <w:style w:type="character" w:customStyle="1" w:styleId="110">
    <w:name w:val="签名 Char"/>
    <w:link w:val="43"/>
    <w:qFormat/>
    <w:uiPriority w:val="0"/>
    <w:rPr>
      <w:rFonts w:eastAsia="仿宋_GB2312"/>
      <w:sz w:val="24"/>
    </w:rPr>
  </w:style>
  <w:style w:type="character" w:customStyle="1" w:styleId="111">
    <w:name w:val="副标题 Char"/>
    <w:link w:val="48"/>
    <w:qFormat/>
    <w:uiPriority w:val="0"/>
    <w:rPr>
      <w:rFonts w:ascii="Arial" w:hAnsi="Arial" w:eastAsia="隶书"/>
      <w:b/>
      <w:bCs/>
      <w:kern w:val="28"/>
      <w:sz w:val="44"/>
      <w:szCs w:val="32"/>
      <w:lang w:val="en-US" w:eastAsia="zh-CN" w:bidi="ar-SA"/>
    </w:rPr>
  </w:style>
  <w:style w:type="character" w:customStyle="1" w:styleId="112">
    <w:name w:val="脚注文本 Char"/>
    <w:link w:val="51"/>
    <w:qFormat/>
    <w:uiPriority w:val="0"/>
    <w:rPr>
      <w:color w:val="0000FF"/>
      <w:sz w:val="21"/>
    </w:rPr>
  </w:style>
  <w:style w:type="character" w:customStyle="1" w:styleId="113">
    <w:name w:val="正文文本缩进 3 Char"/>
    <w:link w:val="54"/>
    <w:qFormat/>
    <w:uiPriority w:val="0"/>
    <w:rPr>
      <w:kern w:val="2"/>
      <w:sz w:val="24"/>
    </w:rPr>
  </w:style>
  <w:style w:type="character" w:customStyle="1" w:styleId="114">
    <w:name w:val="正文文本 2 Char1"/>
    <w:link w:val="57"/>
    <w:qFormat/>
    <w:uiPriority w:val="0"/>
    <w:rPr>
      <w:kern w:val="2"/>
      <w:sz w:val="21"/>
      <w:szCs w:val="24"/>
    </w:rPr>
  </w:style>
  <w:style w:type="character" w:customStyle="1" w:styleId="115">
    <w:name w:val="HTML 预设格式 Char"/>
    <w:link w:val="58"/>
    <w:qFormat/>
    <w:uiPriority w:val="0"/>
    <w:rPr>
      <w:rFonts w:ascii="黑体" w:hAnsi="Courier New" w:eastAsia="黑体"/>
    </w:rPr>
  </w:style>
  <w:style w:type="character" w:customStyle="1" w:styleId="116">
    <w:name w:val="标题 Char2"/>
    <w:link w:val="60"/>
    <w:qFormat/>
    <w:uiPriority w:val="10"/>
    <w:rPr>
      <w:b/>
      <w:sz w:val="24"/>
      <w:lang w:val="en-GB"/>
    </w:rPr>
  </w:style>
  <w:style w:type="character" w:customStyle="1" w:styleId="117">
    <w:name w:val="批注主题 Char1"/>
    <w:link w:val="61"/>
    <w:qFormat/>
    <w:uiPriority w:val="0"/>
    <w:rPr>
      <w:b/>
      <w:bCs/>
      <w:kern w:val="2"/>
      <w:sz w:val="21"/>
      <w:szCs w:val="24"/>
    </w:rPr>
  </w:style>
  <w:style w:type="character" w:customStyle="1" w:styleId="118">
    <w:name w:val="正文首行缩进 Char"/>
    <w:link w:val="26"/>
    <w:qFormat/>
    <w:uiPriority w:val="0"/>
    <w:rPr>
      <w:rFonts w:ascii="宋体"/>
      <w:kern w:val="2"/>
      <w:sz w:val="24"/>
      <w:lang w:val="zh-CN"/>
    </w:rPr>
  </w:style>
  <w:style w:type="character" w:customStyle="1" w:styleId="119">
    <w:name w:val="正文首行缩进 2 Char"/>
    <w:link w:val="25"/>
    <w:qFormat/>
    <w:uiPriority w:val="0"/>
    <w:rPr>
      <w:rFonts w:ascii="宋体" w:hAnsi="宋体"/>
      <w:kern w:val="2"/>
      <w:sz w:val="21"/>
      <w:szCs w:val="24"/>
    </w:rPr>
  </w:style>
  <w:style w:type="paragraph" w:customStyle="1" w:styleId="120">
    <w:name w:val="样式6"/>
    <w:basedOn w:val="34"/>
    <w:next w:val="23"/>
    <w:qFormat/>
    <w:uiPriority w:val="0"/>
    <w:pPr>
      <w:spacing w:line="460" w:lineRule="exact"/>
      <w:outlineLvl w:val="2"/>
    </w:pPr>
    <w:rPr>
      <w:rFonts w:ascii="仿宋_GB2312" w:hAnsi="宋体" w:eastAsia="仿宋_GB2312"/>
      <w:b/>
      <w:bCs/>
      <w:sz w:val="24"/>
      <w:szCs w:val="24"/>
    </w:rPr>
  </w:style>
  <w:style w:type="character" w:customStyle="1" w:styleId="121">
    <w:name w:val="标题 1 字符"/>
    <w:qFormat/>
    <w:uiPriority w:val="9"/>
    <w:rPr>
      <w:rFonts w:ascii="Arial" w:hAnsi="Arial" w:eastAsia="黑体" w:cs="Arial"/>
      <w:b/>
      <w:bCs/>
      <w:snapToGrid w:val="0"/>
      <w:kern w:val="44"/>
      <w:sz w:val="44"/>
      <w:szCs w:val="44"/>
    </w:rPr>
  </w:style>
  <w:style w:type="paragraph" w:customStyle="1" w:styleId="1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3">
    <w:name w:val="标题 3 字符"/>
    <w:qFormat/>
    <w:uiPriority w:val="9"/>
    <w:rPr>
      <w:b/>
      <w:bCs/>
      <w:kern w:val="2"/>
      <w:sz w:val="32"/>
      <w:szCs w:val="32"/>
    </w:rPr>
  </w:style>
  <w:style w:type="character" w:customStyle="1" w:styleId="124">
    <w:name w:val="表格非标题文字 Char"/>
    <w:link w:val="125"/>
    <w:qFormat/>
    <w:uiPriority w:val="0"/>
    <w:rPr>
      <w:rFonts w:ascii="Futura Bk" w:hAnsi="Futura Bk" w:eastAsia="宋体" w:cs="Times New Roman"/>
      <w:kern w:val="2"/>
      <w:sz w:val="18"/>
      <w:szCs w:val="21"/>
      <w:lang w:val="en-US" w:eastAsia="zh-CN" w:bidi="ar-SA"/>
    </w:rPr>
  </w:style>
  <w:style w:type="paragraph" w:customStyle="1" w:styleId="125">
    <w:name w:val="表格非标题文字"/>
    <w:link w:val="12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qFormat/>
    <w:locked/>
    <w:uiPriority w:val="0"/>
    <w:rPr>
      <w:rFonts w:ascii="宋体" w:hAnsi="宋体"/>
      <w:sz w:val="24"/>
    </w:rPr>
  </w:style>
  <w:style w:type="paragraph" w:customStyle="1" w:styleId="127">
    <w:name w:val="*正文"/>
    <w:basedOn w:val="1"/>
    <w:link w:val="126"/>
    <w:qFormat/>
    <w:uiPriority w:val="0"/>
    <w:pPr>
      <w:snapToGrid w:val="0"/>
      <w:spacing w:line="360" w:lineRule="auto"/>
      <w:ind w:firstLine="482"/>
      <w:jc w:val="left"/>
    </w:pPr>
    <w:rPr>
      <w:rFonts w:ascii="宋体" w:hAnsi="宋体"/>
      <w:kern w:val="0"/>
      <w:sz w:val="24"/>
      <w:szCs w:val="20"/>
    </w:rPr>
  </w:style>
  <w:style w:type="character" w:customStyle="1" w:styleId="128">
    <w:name w:val="Char Char71"/>
    <w:semiHidden/>
    <w:qFormat/>
    <w:uiPriority w:val="0"/>
    <w:rPr>
      <w:rFonts w:eastAsia="宋体"/>
      <w:kern w:val="2"/>
      <w:sz w:val="21"/>
      <w:szCs w:val="24"/>
      <w:lang w:val="en-US" w:eastAsia="zh-CN" w:bidi="ar-SA"/>
    </w:rPr>
  </w:style>
  <w:style w:type="character" w:customStyle="1" w:styleId="129">
    <w:name w:val="Char Char6"/>
    <w:qFormat/>
    <w:uiPriority w:val="0"/>
    <w:rPr>
      <w:rFonts w:eastAsia="宋体"/>
      <w:kern w:val="2"/>
      <w:sz w:val="21"/>
      <w:szCs w:val="24"/>
      <w:lang w:val="en-US" w:eastAsia="zh-CN" w:bidi="ar-SA"/>
    </w:rPr>
  </w:style>
  <w:style w:type="character" w:customStyle="1" w:styleId="130">
    <w:name w:val="正文缩进 Char"/>
    <w:qFormat/>
    <w:uiPriority w:val="0"/>
    <w:rPr>
      <w:rFonts w:eastAsia="宋体"/>
      <w:kern w:val="2"/>
      <w:sz w:val="21"/>
      <w:lang w:val="en-US" w:eastAsia="zh-CN"/>
    </w:rPr>
  </w:style>
  <w:style w:type="character" w:customStyle="1" w:styleId="131">
    <w:name w:val="正文首行缩进 Char1"/>
    <w:qFormat/>
    <w:uiPriority w:val="0"/>
    <w:rPr>
      <w:rFonts w:ascii="宋体" w:hAnsi="Times New Roman" w:eastAsia="宋体" w:cs="Times New Roman"/>
      <w:snapToGrid w:val="0"/>
      <w:kern w:val="2"/>
      <w:sz w:val="24"/>
      <w:szCs w:val="21"/>
      <w:lang w:val="zh-CN"/>
    </w:rPr>
  </w:style>
  <w:style w:type="character" w:customStyle="1" w:styleId="132">
    <w:name w:val="Char Char28"/>
    <w:qFormat/>
    <w:uiPriority w:val="6"/>
    <w:rPr>
      <w:rFonts w:ascii="仿宋_GB2312" w:hAnsi="仿宋_GB2312" w:eastAsia="仿宋_GB2312"/>
      <w:kern w:val="1"/>
      <w:sz w:val="28"/>
    </w:rPr>
  </w:style>
  <w:style w:type="character" w:customStyle="1" w:styleId="1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4">
    <w:name w:val="Heading 1 Char"/>
    <w:qFormat/>
    <w:uiPriority w:val="6"/>
    <w:rPr>
      <w:rFonts w:ascii="Times New Roman" w:hAnsi="Times New Roman" w:eastAsia="黑体" w:cs="Times New Roman"/>
      <w:b/>
      <w:kern w:val="0"/>
      <w:sz w:val="24"/>
      <w:szCs w:val="24"/>
    </w:rPr>
  </w:style>
  <w:style w:type="character" w:customStyle="1" w:styleId="135">
    <w:name w:val="U_正文 Char"/>
    <w:link w:val="136"/>
    <w:qFormat/>
    <w:uiPriority w:val="0"/>
    <w:rPr>
      <w:sz w:val="24"/>
      <w:szCs w:val="24"/>
    </w:rPr>
  </w:style>
  <w:style w:type="paragraph" w:customStyle="1" w:styleId="136">
    <w:name w:val="U_正文"/>
    <w:basedOn w:val="1"/>
    <w:link w:val="135"/>
    <w:qFormat/>
    <w:uiPriority w:val="0"/>
    <w:pPr>
      <w:adjustRightInd/>
      <w:spacing w:beforeLines="20" w:afterLines="20" w:line="300" w:lineRule="auto"/>
      <w:ind w:firstLine="200" w:firstLineChars="200"/>
    </w:pPr>
    <w:rPr>
      <w:rFonts w:ascii="Calibri" w:hAnsi="Calibri"/>
      <w:kern w:val="0"/>
      <w:sz w:val="24"/>
    </w:rPr>
  </w:style>
  <w:style w:type="character" w:customStyle="1" w:styleId="137">
    <w:name w:val="HTML 地址 Char1"/>
    <w:qFormat/>
    <w:uiPriority w:val="0"/>
    <w:rPr>
      <w:rFonts w:ascii="Times New Roman" w:hAnsi="Times New Roman" w:eastAsia="宋体" w:cs="Times New Roman"/>
      <w:i/>
      <w:iCs/>
      <w:szCs w:val="24"/>
    </w:rPr>
  </w:style>
  <w:style w:type="character" w:customStyle="1" w:styleId="138">
    <w:name w:val="Char Char51"/>
    <w:qFormat/>
    <w:uiPriority w:val="0"/>
    <w:rPr>
      <w:rFonts w:ascii="宋体" w:hAnsi="Courier New" w:eastAsia="宋体"/>
      <w:kern w:val="2"/>
      <w:sz w:val="21"/>
      <w:lang w:val="en-US" w:eastAsia="zh-CN"/>
    </w:rPr>
  </w:style>
  <w:style w:type="character" w:customStyle="1" w:styleId="139">
    <w:name w:val="表正文 Char"/>
    <w:qFormat/>
    <w:uiPriority w:val="0"/>
    <w:rPr>
      <w:rFonts w:ascii="宋体" w:eastAsia="宋体"/>
      <w:snapToGrid w:val="0"/>
      <w:color w:val="000000"/>
      <w:kern w:val="28"/>
      <w:sz w:val="28"/>
      <w:lang w:val="en-US" w:eastAsia="zh-CN" w:bidi="ar-SA"/>
    </w:rPr>
  </w:style>
  <w:style w:type="character" w:customStyle="1" w:styleId="140">
    <w:name w:val="Char Char34"/>
    <w:qFormat/>
    <w:uiPriority w:val="6"/>
    <w:rPr>
      <w:b/>
      <w:kern w:val="1"/>
      <w:sz w:val="28"/>
      <w:szCs w:val="28"/>
    </w:rPr>
  </w:style>
  <w:style w:type="character" w:customStyle="1" w:styleId="1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42">
    <w:name w:val="哈哈正文 Char"/>
    <w:link w:val="143"/>
    <w:qFormat/>
    <w:uiPriority w:val="0"/>
    <w:rPr>
      <w:rFonts w:ascii="宋体" w:hAnsi="宋体" w:eastAsia="宋体"/>
      <w:kern w:val="2"/>
      <w:sz w:val="24"/>
      <w:lang w:bidi="ar-SA"/>
    </w:rPr>
  </w:style>
  <w:style w:type="paragraph" w:customStyle="1" w:styleId="143">
    <w:name w:val="哈哈正文"/>
    <w:basedOn w:val="1"/>
    <w:link w:val="142"/>
    <w:qFormat/>
    <w:uiPriority w:val="0"/>
    <w:pPr>
      <w:adjustRightInd/>
      <w:spacing w:line="360" w:lineRule="auto"/>
      <w:ind w:firstLine="200" w:firstLineChars="200"/>
    </w:pPr>
    <w:rPr>
      <w:rFonts w:ascii="宋体" w:hAnsi="宋体"/>
      <w:sz w:val="24"/>
      <w:szCs w:val="20"/>
    </w:rPr>
  </w:style>
  <w:style w:type="character" w:customStyle="1" w:styleId="144">
    <w:name w:val="未处理的提及1"/>
    <w:qFormat/>
    <w:uiPriority w:val="0"/>
    <w:rPr>
      <w:color w:val="808080"/>
      <w:shd w:val="clear" w:color="auto" w:fill="E6E6E6"/>
    </w:rPr>
  </w:style>
  <w:style w:type="character" w:customStyle="1" w:styleId="145">
    <w:name w:val="txt"/>
    <w:qFormat/>
    <w:uiPriority w:val="0"/>
    <w:rPr>
      <w:rFonts w:ascii="仿宋_GB2312" w:eastAsia="微软雅黑"/>
      <w:b/>
      <w:kern w:val="2"/>
      <w:sz w:val="32"/>
      <w:szCs w:val="32"/>
      <w:lang w:val="en-US" w:eastAsia="zh-CN" w:bidi="ar-SA"/>
    </w:rPr>
  </w:style>
  <w:style w:type="character" w:customStyle="1" w:styleId="146">
    <w:name w:val="二级标题 Char Char"/>
    <w:qFormat/>
    <w:uiPriority w:val="0"/>
    <w:rPr>
      <w:rFonts w:ascii="宋体" w:hAnsi="宋体" w:eastAsia="宋体"/>
      <w:b/>
      <w:snapToGrid w:val="0"/>
      <w:kern w:val="2"/>
      <w:sz w:val="24"/>
      <w:szCs w:val="24"/>
      <w:lang w:val="en-US" w:eastAsia="zh-CN" w:bidi="ar-SA"/>
    </w:rPr>
  </w:style>
  <w:style w:type="character" w:customStyle="1" w:styleId="147">
    <w:name w:val="Char Char32"/>
    <w:qFormat/>
    <w:uiPriority w:val="6"/>
    <w:rPr>
      <w:b/>
      <w:kern w:val="1"/>
      <w:sz w:val="24"/>
      <w:szCs w:val="24"/>
    </w:rPr>
  </w:style>
  <w:style w:type="character" w:customStyle="1" w:styleId="148">
    <w:name w:val="PI Char1"/>
    <w:qFormat/>
    <w:uiPriority w:val="0"/>
    <w:rPr>
      <w:rFonts w:ascii="宋体" w:hAnsi="宋体"/>
      <w:kern w:val="2"/>
      <w:sz w:val="24"/>
      <w:szCs w:val="24"/>
    </w:rPr>
  </w:style>
  <w:style w:type="character" w:customStyle="1" w:styleId="149">
    <w:name w:val="tw4winTerm"/>
    <w:qFormat/>
    <w:uiPriority w:val="0"/>
    <w:rPr>
      <w:color w:val="0000FF"/>
    </w:rPr>
  </w:style>
  <w:style w:type="character" w:customStyle="1" w:styleId="150">
    <w:name w:val="Footer Char"/>
    <w:qFormat/>
    <w:locked/>
    <w:uiPriority w:val="0"/>
    <w:rPr>
      <w:rFonts w:eastAsia="宋体"/>
      <w:kern w:val="2"/>
      <w:sz w:val="18"/>
      <w:lang w:val="en-US" w:eastAsia="zh-CN" w:bidi="ar-SA"/>
    </w:rPr>
  </w:style>
  <w:style w:type="character" w:customStyle="1" w:styleId="151">
    <w:name w:val="普通文字 Char Char1"/>
    <w:qFormat/>
    <w:uiPriority w:val="0"/>
    <w:rPr>
      <w:rFonts w:ascii="宋体" w:hAnsi="Courier New"/>
      <w:kern w:val="2"/>
      <w:sz w:val="21"/>
    </w:rPr>
  </w:style>
  <w:style w:type="character" w:customStyle="1" w:styleId="152">
    <w:name w:val="Char Char101"/>
    <w:qFormat/>
    <w:uiPriority w:val="6"/>
    <w:rPr>
      <w:rFonts w:ascii="宋体" w:hAnsi="宋体"/>
      <w:kern w:val="2"/>
      <w:sz w:val="21"/>
      <w:szCs w:val="24"/>
      <w:lang w:val="en-US" w:eastAsia="zh-CN"/>
    </w:rPr>
  </w:style>
  <w:style w:type="character" w:customStyle="1" w:styleId="153">
    <w:name w:val="标题 4 Char"/>
    <w:qFormat/>
    <w:uiPriority w:val="0"/>
    <w:rPr>
      <w:rFonts w:ascii="Arial" w:hAnsi="Arial" w:eastAsia="黑体"/>
      <w:b/>
      <w:kern w:val="2"/>
      <w:sz w:val="28"/>
    </w:rPr>
  </w:style>
  <w:style w:type="character" w:customStyle="1" w:styleId="154">
    <w:name w:val="链接"/>
    <w:qFormat/>
    <w:uiPriority w:val="0"/>
    <w:rPr>
      <w:color w:val="0000FF"/>
      <w:sz w:val="21"/>
      <w:szCs w:val="21"/>
      <w:u w:val="single"/>
    </w:rPr>
  </w:style>
  <w:style w:type="character" w:customStyle="1" w:styleId="155">
    <w:name w:val="h4 Char"/>
    <w:qFormat/>
    <w:uiPriority w:val="0"/>
    <w:rPr>
      <w:rFonts w:ascii="Arial" w:hAnsi="Arial" w:eastAsia="黑体"/>
      <w:b/>
      <w:bCs/>
      <w:kern w:val="2"/>
      <w:sz w:val="28"/>
      <w:szCs w:val="28"/>
      <w:lang w:val="zh-CN" w:eastAsia="zh-CN" w:bidi="ar-SA"/>
    </w:rPr>
  </w:style>
  <w:style w:type="character" w:customStyle="1" w:styleId="156">
    <w:name w:val="5正文 Char"/>
    <w:link w:val="157"/>
    <w:qFormat/>
    <w:uiPriority w:val="0"/>
    <w:rPr>
      <w:rFonts w:ascii="仿宋_GB2312" w:hAnsi="微软雅黑" w:eastAsia="仿宋_GB2312"/>
      <w:sz w:val="28"/>
      <w:szCs w:val="21"/>
    </w:rPr>
  </w:style>
  <w:style w:type="paragraph" w:customStyle="1" w:styleId="157">
    <w:name w:val="5正文"/>
    <w:basedOn w:val="1"/>
    <w:link w:val="15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8">
    <w:name w:val="样式6 Char"/>
    <w:qFormat/>
    <w:uiPriority w:val="0"/>
    <w:rPr>
      <w:rFonts w:ascii="仿宋_GB2312" w:hAnsi="宋体" w:eastAsia="仿宋_GB2312"/>
      <w:b/>
      <w:bCs/>
      <w:kern w:val="2"/>
      <w:sz w:val="24"/>
      <w:szCs w:val="24"/>
      <w:lang w:val="en-US" w:eastAsia="zh-CN" w:bidi="ar-SA"/>
    </w:rPr>
  </w:style>
  <w:style w:type="character" w:customStyle="1" w:styleId="159">
    <w:name w:val="Char Char14"/>
    <w:qFormat/>
    <w:uiPriority w:val="6"/>
    <w:rPr>
      <w:rFonts w:ascii="黑体" w:hAnsi="黑体" w:eastAsia="黑体"/>
    </w:rPr>
  </w:style>
  <w:style w:type="character" w:customStyle="1" w:styleId="160">
    <w:name w:val="Heading 2 Hidden Char"/>
    <w:qFormat/>
    <w:uiPriority w:val="0"/>
    <w:rPr>
      <w:rFonts w:ascii="仿宋_GB2312" w:eastAsia="仿宋_GB2312"/>
      <w:b/>
      <w:bCs/>
      <w:kern w:val="2"/>
      <w:sz w:val="24"/>
      <w:szCs w:val="24"/>
      <w:lang w:val="zh-CN" w:eastAsia="zh-CN" w:bidi="ar-SA"/>
    </w:rPr>
  </w:style>
  <w:style w:type="character" w:customStyle="1" w:styleId="161">
    <w:name w:val="font11"/>
    <w:qFormat/>
    <w:uiPriority w:val="0"/>
    <w:rPr>
      <w:rFonts w:hint="default" w:ascii="Times New Roman" w:hAnsi="Times New Roman" w:cs="Times New Roman"/>
      <w:color w:val="000000"/>
      <w:sz w:val="22"/>
      <w:szCs w:val="22"/>
      <w:u w:val="none"/>
    </w:rPr>
  </w:style>
  <w:style w:type="character" w:customStyle="1" w:styleId="162">
    <w:name w:val="表正文 Char1"/>
    <w:qFormat/>
    <w:uiPriority w:val="0"/>
    <w:rPr>
      <w:rFonts w:ascii="宋体" w:eastAsia="宋体"/>
      <w:snapToGrid w:val="0"/>
      <w:color w:val="000000"/>
      <w:kern w:val="28"/>
      <w:sz w:val="28"/>
    </w:rPr>
  </w:style>
  <w:style w:type="character" w:customStyle="1" w:styleId="163">
    <w:name w:val="blue1"/>
    <w:qFormat/>
    <w:uiPriority w:val="0"/>
    <w:rPr>
      <w:rFonts w:ascii="Arial" w:hAnsi="Arial" w:eastAsia="黑体" w:cs="Arial"/>
      <w:snapToGrid w:val="0"/>
      <w:kern w:val="0"/>
      <w:szCs w:val="21"/>
    </w:rPr>
  </w:style>
  <w:style w:type="character" w:customStyle="1" w:styleId="164">
    <w:name w:val="标书1 Char"/>
    <w:qFormat/>
    <w:uiPriority w:val="0"/>
    <w:rPr>
      <w:rFonts w:eastAsia="宋体"/>
      <w:b/>
      <w:bCs/>
      <w:kern w:val="44"/>
      <w:sz w:val="44"/>
      <w:szCs w:val="44"/>
      <w:lang w:val="en-US" w:eastAsia="zh-CN" w:bidi="ar-SA"/>
    </w:rPr>
  </w:style>
  <w:style w:type="character" w:customStyle="1" w:styleId="165">
    <w:name w:val="样式5 Char"/>
    <w:qFormat/>
    <w:uiPriority w:val="0"/>
    <w:rPr>
      <w:rFonts w:ascii="仿宋_GB2312" w:hAnsi="仿宋" w:eastAsia="仿宋_GB2312"/>
      <w:kern w:val="2"/>
      <w:sz w:val="24"/>
      <w:szCs w:val="24"/>
    </w:rPr>
  </w:style>
  <w:style w:type="character" w:customStyle="1" w:styleId="166">
    <w:name w:val="样式4 Char"/>
    <w:qFormat/>
    <w:uiPriority w:val="0"/>
    <w:rPr>
      <w:rFonts w:ascii="仿宋_GB2312" w:hAnsi="仿宋" w:eastAsia="仿宋_GB2312"/>
      <w:b/>
      <w:kern w:val="2"/>
      <w:sz w:val="32"/>
      <w:szCs w:val="32"/>
      <w:lang w:bidi="ar-SA"/>
    </w:rPr>
  </w:style>
  <w:style w:type="character" w:customStyle="1" w:styleId="167">
    <w:name w:val="插图说明 Char"/>
    <w:qFormat/>
    <w:uiPriority w:val="0"/>
    <w:rPr>
      <w:rFonts w:eastAsia="黑体"/>
      <w:sz w:val="24"/>
      <w:lang w:val="en-US" w:eastAsia="zh-CN"/>
    </w:rPr>
  </w:style>
  <w:style w:type="character" w:customStyle="1" w:styleId="168">
    <w:name w:val="正文2 Char Char"/>
    <w:link w:val="169"/>
    <w:qFormat/>
    <w:uiPriority w:val="0"/>
    <w:rPr>
      <w:rFonts w:eastAsia="宋体"/>
      <w:kern w:val="2"/>
      <w:sz w:val="24"/>
      <w:lang w:val="en-US" w:eastAsia="zh-CN" w:bidi="ar-SA"/>
    </w:rPr>
  </w:style>
  <w:style w:type="paragraph" w:customStyle="1" w:styleId="169">
    <w:name w:val="正文2"/>
    <w:basedOn w:val="1"/>
    <w:link w:val="168"/>
    <w:qFormat/>
    <w:uiPriority w:val="0"/>
    <w:pPr>
      <w:spacing w:before="156" w:line="360" w:lineRule="auto"/>
      <w:ind w:firstLine="510" w:firstLineChars="200"/>
    </w:pPr>
    <w:rPr>
      <w:rFonts w:ascii="Calibri" w:hAnsi="Calibri"/>
      <w:sz w:val="24"/>
      <w:szCs w:val="20"/>
    </w:rPr>
  </w:style>
  <w:style w:type="character" w:customStyle="1" w:styleId="170">
    <w:name w:val="Char Char24"/>
    <w:qFormat/>
    <w:uiPriority w:val="6"/>
    <w:rPr>
      <w:kern w:val="1"/>
      <w:sz w:val="21"/>
    </w:rPr>
  </w:style>
  <w:style w:type="character" w:customStyle="1" w:styleId="171">
    <w:name w:val="普通文字 Char1 Char"/>
    <w:qFormat/>
    <w:uiPriority w:val="0"/>
    <w:rPr>
      <w:rFonts w:ascii="宋体" w:hAnsi="Courier New" w:eastAsia="宋体"/>
      <w:kern w:val="2"/>
      <w:sz w:val="21"/>
      <w:szCs w:val="24"/>
      <w:lang w:val="en-US" w:eastAsia="zh-CN" w:bidi="ar-SA"/>
    </w:rPr>
  </w:style>
  <w:style w:type="character" w:customStyle="1" w:styleId="172">
    <w:name w:val="h3 Char1"/>
    <w:qFormat/>
    <w:uiPriority w:val="0"/>
    <w:rPr>
      <w:rFonts w:eastAsia="宋体"/>
      <w:b/>
      <w:bCs/>
      <w:kern w:val="2"/>
      <w:sz w:val="32"/>
      <w:szCs w:val="32"/>
      <w:lang w:bidi="ar-SA"/>
    </w:rPr>
  </w:style>
  <w:style w:type="character" w:customStyle="1" w:styleId="173">
    <w:name w:val="标题 Char1"/>
    <w:qFormat/>
    <w:uiPriority w:val="0"/>
    <w:rPr>
      <w:rFonts w:ascii="Cambria" w:hAnsi="Cambria" w:eastAsia="宋体" w:cs="Times New Roman"/>
      <w:b/>
      <w:bCs/>
      <w:sz w:val="32"/>
      <w:szCs w:val="32"/>
      <w:lang w:bidi="ar-SA"/>
    </w:rPr>
  </w:style>
  <w:style w:type="character" w:customStyle="1" w:styleId="174">
    <w:name w:val="gf正文1 Char"/>
    <w:qFormat/>
    <w:uiPriority w:val="0"/>
    <w:rPr>
      <w:rFonts w:ascii="宋体" w:hAnsi="宋体" w:eastAsia="宋体" w:cs="宋体"/>
      <w:kern w:val="2"/>
      <w:sz w:val="24"/>
      <w:szCs w:val="24"/>
      <w:lang w:val="en-US" w:eastAsia="zh-CN" w:bidi="ar-SA"/>
    </w:rPr>
  </w:style>
  <w:style w:type="character" w:customStyle="1" w:styleId="175">
    <w:name w:val="正文文本缩进 Char1"/>
    <w:qFormat/>
    <w:uiPriority w:val="0"/>
    <w:rPr>
      <w:rFonts w:ascii="Calibri" w:hAnsi="Calibri"/>
      <w:sz w:val="28"/>
    </w:rPr>
  </w:style>
  <w:style w:type="character" w:customStyle="1" w:styleId="176">
    <w:name w:val="No Spacing Char"/>
    <w:link w:val="177"/>
    <w:qFormat/>
    <w:uiPriority w:val="1"/>
    <w:rPr>
      <w:rFonts w:ascii="Times New Roman" w:hAnsi="Times New Roman" w:eastAsia="宋体" w:cs="Times New Roman"/>
      <w:sz w:val="22"/>
      <w:szCs w:val="22"/>
      <w:lang w:val="en-US" w:eastAsia="zh-CN" w:bidi="ar-SA"/>
    </w:rPr>
  </w:style>
  <w:style w:type="paragraph" w:customStyle="1" w:styleId="177">
    <w:name w:val="无间隔1"/>
    <w:link w:val="176"/>
    <w:qFormat/>
    <w:uiPriority w:val="1"/>
    <w:rPr>
      <w:rFonts w:ascii="Times New Roman" w:hAnsi="Times New Roman" w:eastAsia="宋体" w:cs="Times New Roman"/>
      <w:sz w:val="22"/>
      <w:szCs w:val="22"/>
      <w:lang w:val="en-US" w:eastAsia="zh-CN" w:bidi="ar-SA"/>
    </w:rPr>
  </w:style>
  <w:style w:type="character" w:customStyle="1" w:styleId="178">
    <w:name w:val="样式7 Char"/>
    <w:qFormat/>
    <w:uiPriority w:val="0"/>
    <w:rPr>
      <w:rFonts w:ascii="仿宋_GB2312" w:hAnsi="仿宋" w:eastAsia="仿宋_GB2312"/>
      <w:b/>
      <w:kern w:val="2"/>
      <w:sz w:val="24"/>
      <w:szCs w:val="24"/>
    </w:rPr>
  </w:style>
  <w:style w:type="character" w:customStyle="1" w:styleId="179">
    <w:name w:val="font12gray1"/>
    <w:qFormat/>
    <w:uiPriority w:val="0"/>
    <w:rPr>
      <w:rFonts w:ascii="仿宋_GB2312" w:eastAsia="微软雅黑"/>
      <w:b/>
      <w:spacing w:val="300"/>
      <w:kern w:val="2"/>
      <w:sz w:val="18"/>
      <w:szCs w:val="18"/>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表名 Char"/>
    <w:qFormat/>
    <w:uiPriority w:val="0"/>
    <w:rPr>
      <w:rFonts w:eastAsia="宋体"/>
      <w:b/>
      <w:bCs/>
      <w:kern w:val="2"/>
      <w:sz w:val="24"/>
      <w:szCs w:val="24"/>
      <w:lang w:val="en-US" w:eastAsia="zh-CN" w:bidi="ar-SA"/>
    </w:rPr>
  </w:style>
  <w:style w:type="character" w:customStyle="1" w:styleId="182">
    <w:name w:val="Document Map Char"/>
    <w:qFormat/>
    <w:locked/>
    <w:uiPriority w:val="0"/>
    <w:rPr>
      <w:rFonts w:eastAsia="宋体"/>
      <w:kern w:val="2"/>
      <w:sz w:val="21"/>
      <w:szCs w:val="24"/>
      <w:lang w:val="en-US" w:eastAsia="zh-CN" w:bidi="ar-SA"/>
    </w:rPr>
  </w:style>
  <w:style w:type="character" w:customStyle="1" w:styleId="183">
    <w:name w:val="font41"/>
    <w:qFormat/>
    <w:uiPriority w:val="0"/>
    <w:rPr>
      <w:rFonts w:hint="eastAsia" w:ascii="仿宋_GB2312" w:eastAsia="仿宋_GB2312" w:cs="仿宋_GB2312"/>
      <w:color w:val="000000"/>
      <w:sz w:val="22"/>
      <w:szCs w:val="22"/>
      <w:u w:val="none"/>
    </w:rPr>
  </w:style>
  <w:style w:type="character" w:customStyle="1" w:styleId="184">
    <w:name w:val="纯文本 Char_0"/>
    <w:link w:val="185"/>
    <w:qFormat/>
    <w:uiPriority w:val="0"/>
    <w:rPr>
      <w:rFonts w:ascii="宋体" w:hAnsi="Courier New"/>
      <w:kern w:val="2"/>
      <w:sz w:val="21"/>
      <w:szCs w:val="21"/>
      <w:lang w:val="en-US" w:eastAsia="zh-CN"/>
    </w:rPr>
  </w:style>
  <w:style w:type="paragraph" w:customStyle="1" w:styleId="185">
    <w:name w:val="纯文本_0_0"/>
    <w:basedOn w:val="186"/>
    <w:link w:val="184"/>
    <w:qFormat/>
    <w:uiPriority w:val="0"/>
    <w:rPr>
      <w:rFonts w:ascii="宋体" w:hAnsi="Courier New"/>
      <w:szCs w:val="21"/>
    </w:rPr>
  </w:style>
  <w:style w:type="paragraph" w:customStyle="1" w:styleId="1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Balloon Text Char"/>
    <w:qFormat/>
    <w:locked/>
    <w:uiPriority w:val="0"/>
    <w:rPr>
      <w:rFonts w:eastAsia="宋体"/>
      <w:kern w:val="2"/>
      <w:sz w:val="18"/>
      <w:szCs w:val="18"/>
      <w:lang w:val="en-US" w:eastAsia="zh-CN" w:bidi="ar-SA"/>
    </w:rPr>
  </w:style>
  <w:style w:type="character" w:customStyle="1" w:styleId="188">
    <w:name w:val="正文 项目2 Char"/>
    <w:qFormat/>
    <w:uiPriority w:val="0"/>
    <w:rPr>
      <w:rFonts w:ascii="仿宋_GB2312" w:hAnsi="仿宋_GB2312" w:eastAsia="仿宋_GB2312"/>
      <w:kern w:val="2"/>
      <w:sz w:val="24"/>
      <w:lang w:bidi="ar-SA"/>
    </w:rPr>
  </w:style>
  <w:style w:type="character" w:customStyle="1" w:styleId="189">
    <w:name w:val="正文 项目 Char"/>
    <w:qFormat/>
    <w:uiPriority w:val="0"/>
    <w:rPr>
      <w:rFonts w:ascii="仿宋_GB2312" w:hAnsi="仿宋_GB2312" w:eastAsia="仿宋_GB2312"/>
      <w:kern w:val="2"/>
      <w:sz w:val="24"/>
      <w:lang w:bidi="ar-SA"/>
    </w:rPr>
  </w:style>
  <w:style w:type="character" w:customStyle="1" w:styleId="190">
    <w:name w:val="h Char Char1"/>
    <w:qFormat/>
    <w:uiPriority w:val="0"/>
    <w:rPr>
      <w:rFonts w:eastAsia="宋体"/>
      <w:kern w:val="2"/>
      <w:sz w:val="18"/>
      <w:szCs w:val="18"/>
      <w:lang w:val="en-US" w:eastAsia="zh-CN" w:bidi="ar-SA"/>
    </w:rPr>
  </w:style>
  <w:style w:type="character" w:customStyle="1" w:styleId="191">
    <w:name w:val="Char Char27"/>
    <w:qFormat/>
    <w:uiPriority w:val="6"/>
    <w:rPr>
      <w:rFonts w:ascii="宋体" w:hAnsi="宋体" w:eastAsia="宋体"/>
      <w:color w:val="000000"/>
      <w:kern w:val="1"/>
      <w:sz w:val="28"/>
      <w:lang w:val="en-US" w:eastAsia="zh-CN" w:bidi="ar-SA"/>
    </w:rPr>
  </w:style>
  <w:style w:type="character" w:customStyle="1" w:styleId="192">
    <w:name w:val="px14"/>
    <w:qFormat/>
    <w:uiPriority w:val="0"/>
    <w:rPr>
      <w:rFonts w:ascii="仿宋_GB2312" w:eastAsia="微软雅黑" w:cs="Times New Roman"/>
      <w:b/>
      <w:kern w:val="2"/>
      <w:sz w:val="32"/>
      <w:szCs w:val="32"/>
      <w:lang w:val="en-US" w:eastAsia="zh-CN" w:bidi="ar-SA"/>
    </w:rPr>
  </w:style>
  <w:style w:type="character" w:customStyle="1" w:styleId="193">
    <w:name w:val="HTML 预设格式 Char1"/>
    <w:qFormat/>
    <w:uiPriority w:val="0"/>
    <w:rPr>
      <w:rFonts w:ascii="Courier New" w:hAnsi="Courier New" w:eastAsia="宋体" w:cs="Courier New"/>
      <w:sz w:val="20"/>
      <w:szCs w:val="20"/>
    </w:rPr>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hei16b1"/>
    <w:qFormat/>
    <w:uiPriority w:val="0"/>
    <w:rPr>
      <w:rFonts w:hint="default" w:ascii="Arial" w:hAnsi="Arial" w:cs="Arial"/>
      <w:b/>
      <w:bCs/>
      <w:color w:val="000000"/>
      <w:sz w:val="24"/>
      <w:szCs w:val="24"/>
    </w:rPr>
  </w:style>
  <w:style w:type="character" w:customStyle="1" w:styleId="196">
    <w:name w:val="正文（绿盟科技） Char"/>
    <w:link w:val="197"/>
    <w:qFormat/>
    <w:uiPriority w:val="0"/>
    <w:rPr>
      <w:rFonts w:ascii="Arial" w:hAnsi="Arial" w:eastAsia="宋体" w:cs="Times New Roman"/>
      <w:sz w:val="21"/>
      <w:szCs w:val="21"/>
      <w:lang w:val="en-US" w:eastAsia="zh-CN" w:bidi="ar-SA"/>
    </w:rPr>
  </w:style>
  <w:style w:type="paragraph" w:customStyle="1" w:styleId="197">
    <w:name w:val="正文（绿盟科技）"/>
    <w:link w:val="196"/>
    <w:qFormat/>
    <w:uiPriority w:val="0"/>
    <w:pPr>
      <w:spacing w:line="300" w:lineRule="auto"/>
    </w:pPr>
    <w:rPr>
      <w:rFonts w:ascii="Arial" w:hAnsi="Arial" w:eastAsia="宋体" w:cs="Times New Roman"/>
      <w:sz w:val="21"/>
      <w:szCs w:val="21"/>
      <w:lang w:val="en-US" w:eastAsia="zh-CN" w:bidi="ar-SA"/>
    </w:rPr>
  </w:style>
  <w:style w:type="character" w:customStyle="1" w:styleId="198">
    <w:name w:val="Char Char19"/>
    <w:qFormat/>
    <w:uiPriority w:val="6"/>
    <w:rPr>
      <w:rFonts w:ascii="宋体" w:hAnsi="宋体"/>
      <w:i/>
      <w:sz w:val="24"/>
      <w:szCs w:val="24"/>
    </w:rPr>
  </w:style>
  <w:style w:type="character" w:customStyle="1" w:styleId="199">
    <w:name w:val="页脚 Char"/>
    <w:qFormat/>
    <w:uiPriority w:val="0"/>
    <w:rPr>
      <w:rFonts w:eastAsia="仿宋_GB2312"/>
      <w:kern w:val="2"/>
      <w:sz w:val="18"/>
      <w:lang w:val="en-US" w:eastAsia="zh-CN"/>
    </w:rPr>
  </w:style>
  <w:style w:type="character" w:customStyle="1" w:styleId="200">
    <w:name w:val="批注主题 Char"/>
    <w:qFormat/>
    <w:uiPriority w:val="0"/>
    <w:rPr>
      <w:rFonts w:eastAsia="宋体"/>
      <w:b/>
      <w:bCs/>
      <w:kern w:val="2"/>
      <w:sz w:val="21"/>
      <w:szCs w:val="24"/>
      <w:lang w:val="en-US" w:eastAsia="zh-CN" w:bidi="ar-SA"/>
    </w:rPr>
  </w:style>
  <w:style w:type="character" w:customStyle="1" w:styleId="201">
    <w:name w:val="Comment Text Char"/>
    <w:qFormat/>
    <w:locked/>
    <w:uiPriority w:val="0"/>
    <w:rPr>
      <w:rFonts w:ascii="宋体" w:hAnsi="宋体" w:eastAsia="宋体"/>
      <w:kern w:val="2"/>
      <w:sz w:val="24"/>
      <w:lang w:val="en-US" w:eastAsia="zh-CN" w:bidi="ar-SA"/>
    </w:rPr>
  </w:style>
  <w:style w:type="character" w:customStyle="1" w:styleId="202">
    <w:name w:val="Char Char72"/>
    <w:qFormat/>
    <w:uiPriority w:val="0"/>
    <w:rPr>
      <w:rFonts w:eastAsia="宋体"/>
      <w:kern w:val="2"/>
      <w:sz w:val="21"/>
      <w:szCs w:val="24"/>
      <w:lang w:val="en-US" w:eastAsia="zh-CN" w:bidi="ar-SA"/>
    </w:rPr>
  </w:style>
  <w:style w:type="character" w:customStyle="1" w:styleId="203">
    <w:name w:val="正文文本缩进 Char2"/>
    <w:qFormat/>
    <w:uiPriority w:val="0"/>
    <w:rPr>
      <w:rFonts w:ascii="Times New Roman" w:hAnsi="Times New Roman" w:eastAsia="宋体" w:cs="Times New Roman"/>
      <w:snapToGrid w:val="0"/>
      <w:kern w:val="0"/>
      <w:szCs w:val="24"/>
    </w:rPr>
  </w:style>
  <w:style w:type="character" w:customStyle="1" w:styleId="204">
    <w:name w:val="样式2 Char"/>
    <w:qFormat/>
    <w:uiPriority w:val="0"/>
    <w:rPr>
      <w:rFonts w:ascii="仿宋_GB2312" w:hAnsi="仿宋" w:eastAsia="仿宋_GB2312" w:cs="仿宋_GB2312"/>
      <w:b/>
      <w:bCs/>
      <w:sz w:val="32"/>
      <w:szCs w:val="30"/>
      <w:lang w:val="zh-CN"/>
    </w:rPr>
  </w:style>
  <w:style w:type="character" w:customStyle="1" w:styleId="205">
    <w:name w:val="表格名称[858D7CFB-ED40-4347-BF05-701D383B685F]"/>
    <w:link w:val="206"/>
    <w:qFormat/>
    <w:uiPriority w:val="0"/>
    <w:rPr>
      <w:sz w:val="32"/>
    </w:rPr>
  </w:style>
  <w:style w:type="paragraph" w:customStyle="1" w:styleId="206">
    <w:name w:val="表格名称"/>
    <w:basedOn w:val="3"/>
    <w:link w:val="20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7">
    <w:name w:val="Char Char4"/>
    <w:qFormat/>
    <w:uiPriority w:val="0"/>
    <w:rPr>
      <w:rFonts w:eastAsia="宋体"/>
      <w:b/>
      <w:sz w:val="24"/>
      <w:lang w:val="en-GB" w:eastAsia="zh-CN" w:bidi="ar-SA"/>
    </w:rPr>
  </w:style>
  <w:style w:type="character" w:customStyle="1" w:styleId="208">
    <w:name w:val="c7 style3"/>
    <w:qFormat/>
    <w:uiPriority w:val="0"/>
  </w:style>
  <w:style w:type="character" w:customStyle="1" w:styleId="209">
    <w:name w:val="正文文本 3 Char1"/>
    <w:semiHidden/>
    <w:qFormat/>
    <w:uiPriority w:val="99"/>
    <w:rPr>
      <w:rFonts w:ascii="Times New Roman" w:hAnsi="Times New Roman" w:eastAsia="宋体" w:cs="Times New Roman"/>
      <w:sz w:val="16"/>
      <w:szCs w:val="16"/>
    </w:rPr>
  </w:style>
  <w:style w:type="character" w:customStyle="1" w:styleId="210">
    <w:name w:val="tw4winInternal"/>
    <w:qFormat/>
    <w:uiPriority w:val="0"/>
    <w:rPr>
      <w:rFonts w:ascii="Courier New" w:hAnsi="Courier New" w:cs="Courier New"/>
      <w:color w:val="FF0000"/>
      <w:lang w:val="en-US" w:eastAsia="zh-CN"/>
    </w:rPr>
  </w:style>
  <w:style w:type="character" w:customStyle="1" w:styleId="211">
    <w:name w:val="Char Char10"/>
    <w:semiHidden/>
    <w:qFormat/>
    <w:uiPriority w:val="0"/>
    <w:rPr>
      <w:rFonts w:ascii="宋体" w:hAnsi="宋体"/>
      <w:kern w:val="2"/>
      <w:sz w:val="21"/>
      <w:szCs w:val="24"/>
      <w:lang w:val="en-US" w:eastAsia="zh-CN"/>
    </w:rPr>
  </w:style>
  <w:style w:type="character" w:customStyle="1" w:styleId="212">
    <w:name w:val="shadow11"/>
    <w:qFormat/>
    <w:uiPriority w:val="0"/>
    <w:rPr>
      <w:color w:val="000000"/>
      <w:sz w:val="21"/>
    </w:rPr>
  </w:style>
  <w:style w:type="character" w:customStyle="1" w:styleId="213">
    <w:name w:val="正文非缩进 Char3"/>
    <w:qFormat/>
    <w:uiPriority w:val="0"/>
    <w:rPr>
      <w:rFonts w:ascii="宋体" w:eastAsia="宋体"/>
      <w:snapToGrid w:val="0"/>
      <w:color w:val="000000"/>
      <w:kern w:val="28"/>
      <w:sz w:val="28"/>
      <w:lang w:val="en-US" w:eastAsia="zh-CN" w:bidi="ar-SA"/>
    </w:rPr>
  </w:style>
  <w:style w:type="character" w:customStyle="1" w:styleId="214">
    <w:name w:val="Char Char"/>
    <w:qFormat/>
    <w:uiPriority w:val="0"/>
    <w:rPr>
      <w:rFonts w:ascii="宋体" w:hAnsi="Courier New" w:eastAsia="宋体"/>
      <w:kern w:val="2"/>
      <w:sz w:val="21"/>
      <w:lang w:val="en-US" w:eastAsia="zh-CN" w:bidi="ar-SA"/>
    </w:rPr>
  </w:style>
  <w:style w:type="character" w:customStyle="1" w:styleId="215">
    <w:name w:val="签名 Char1"/>
    <w:qFormat/>
    <w:uiPriority w:val="0"/>
    <w:rPr>
      <w:rFonts w:ascii="Times New Roman" w:hAnsi="Times New Roman" w:eastAsia="宋体" w:cs="Times New Roman"/>
      <w:szCs w:val="24"/>
    </w:rPr>
  </w:style>
  <w:style w:type="character" w:customStyle="1" w:styleId="216">
    <w:name w:val="Char Char18"/>
    <w:qFormat/>
    <w:uiPriority w:val="6"/>
    <w:rPr>
      <w:rFonts w:ascii="宋体" w:hAnsi="宋体"/>
      <w:sz w:val="28"/>
    </w:rPr>
  </w:style>
  <w:style w:type="character" w:customStyle="1" w:styleId="217">
    <w:name w:val="批注文字 Char"/>
    <w:qFormat/>
    <w:uiPriority w:val="99"/>
    <w:rPr>
      <w:kern w:val="2"/>
      <w:sz w:val="21"/>
      <w:szCs w:val="24"/>
    </w:rPr>
  </w:style>
  <w:style w:type="character" w:customStyle="1" w:styleId="218">
    <w:name w:val="Char Char22"/>
    <w:qFormat/>
    <w:uiPriority w:val="6"/>
    <w:rPr>
      <w:rFonts w:ascii="宋体" w:hAnsi="宋体"/>
      <w:kern w:val="1"/>
      <w:sz w:val="24"/>
      <w:szCs w:val="24"/>
    </w:rPr>
  </w:style>
  <w:style w:type="character" w:customStyle="1" w:styleId="219">
    <w:name w:val="pt141"/>
    <w:qFormat/>
    <w:uiPriority w:val="0"/>
    <w:rPr>
      <w:color w:val="330066"/>
      <w:sz w:val="22"/>
      <w:szCs w:val="22"/>
    </w:rPr>
  </w:style>
  <w:style w:type="character" w:customStyle="1" w:styleId="220">
    <w:name w:val="正文文本缩进 2 Char1"/>
    <w:semiHidden/>
    <w:qFormat/>
    <w:uiPriority w:val="99"/>
    <w:rPr>
      <w:rFonts w:ascii="Times New Roman" w:hAnsi="Times New Roman" w:eastAsia="宋体" w:cs="Times New Roman"/>
      <w:szCs w:val="24"/>
    </w:rPr>
  </w:style>
  <w:style w:type="character" w:customStyle="1" w:styleId="221">
    <w:name w:val="Char Char611"/>
    <w:qFormat/>
    <w:uiPriority w:val="0"/>
    <w:rPr>
      <w:rFonts w:eastAsia="宋体"/>
      <w:kern w:val="2"/>
      <w:sz w:val="21"/>
      <w:szCs w:val="24"/>
      <w:lang w:val="en-US" w:eastAsia="zh-CN" w:bidi="ar-SA"/>
    </w:rPr>
  </w:style>
  <w:style w:type="character" w:customStyle="1" w:styleId="222">
    <w:name w:val="highlight1"/>
    <w:qFormat/>
    <w:uiPriority w:val="0"/>
    <w:rPr>
      <w:rFonts w:ascii="仿宋_GB2312" w:eastAsia="微软雅黑"/>
      <w:b/>
      <w:kern w:val="2"/>
      <w:sz w:val="23"/>
      <w:szCs w:val="23"/>
      <w:lang w:val="en-US" w:eastAsia="zh-CN" w:bidi="ar-SA"/>
    </w:rPr>
  </w:style>
  <w:style w:type="character" w:customStyle="1" w:styleId="223">
    <w:name w:val="my正文 Char"/>
    <w:link w:val="224"/>
    <w:qFormat/>
    <w:locked/>
    <w:uiPriority w:val="0"/>
    <w:rPr>
      <w:rFonts w:ascii="Tahoma" w:hAnsi="Tahoma"/>
      <w:sz w:val="24"/>
      <w:szCs w:val="24"/>
    </w:rPr>
  </w:style>
  <w:style w:type="paragraph" w:customStyle="1" w:styleId="224">
    <w:name w:val="my正文"/>
    <w:basedOn w:val="1"/>
    <w:link w:val="223"/>
    <w:qFormat/>
    <w:uiPriority w:val="0"/>
    <w:pPr>
      <w:adjustRightInd/>
      <w:spacing w:line="360" w:lineRule="auto"/>
      <w:ind w:firstLine="480" w:firstLineChars="200"/>
    </w:pPr>
    <w:rPr>
      <w:rFonts w:ascii="Tahoma" w:hAnsi="Tahoma"/>
      <w:kern w:val="0"/>
      <w:sz w:val="24"/>
    </w:rPr>
  </w:style>
  <w:style w:type="character" w:customStyle="1" w:styleId="225">
    <w:name w:val="Used by Word for text of Help footnotes Char Char1"/>
    <w:qFormat/>
    <w:uiPriority w:val="0"/>
    <w:rPr>
      <w:color w:val="0000FF"/>
      <w:sz w:val="21"/>
    </w:rPr>
  </w:style>
  <w:style w:type="character" w:customStyle="1" w:styleId="226">
    <w:name w:val="页眉 Char"/>
    <w:qFormat/>
    <w:uiPriority w:val="0"/>
    <w:rPr>
      <w:rFonts w:eastAsia="仿宋_GB2312"/>
      <w:kern w:val="2"/>
      <w:sz w:val="18"/>
      <w:lang w:val="en-US" w:eastAsia="zh-CN"/>
    </w:rPr>
  </w:style>
  <w:style w:type="character" w:customStyle="1" w:styleId="227">
    <w:name w:val="FA正文 Char Char"/>
    <w:qFormat/>
    <w:uiPriority w:val="0"/>
    <w:rPr>
      <w:rFonts w:hAnsi="宋体"/>
      <w:kern w:val="2"/>
      <w:sz w:val="24"/>
      <w:lang w:bidi="ar-SA"/>
    </w:rPr>
  </w:style>
  <w:style w:type="character" w:customStyle="1" w:styleId="228">
    <w:name w:val="纯文本 字符"/>
    <w:qFormat/>
    <w:uiPriority w:val="0"/>
    <w:rPr>
      <w:rFonts w:ascii="宋体" w:hAnsi="Courier New" w:eastAsia="宋体" w:cs="Arial"/>
      <w:snapToGrid w:val="0"/>
      <w:kern w:val="2"/>
      <w:sz w:val="21"/>
      <w:szCs w:val="21"/>
      <w:lang w:val="en-US" w:eastAsia="zh-CN" w:bidi="ar-SA"/>
    </w:rPr>
  </w:style>
  <w:style w:type="character" w:customStyle="1" w:styleId="229">
    <w:name w:val="3级 Char"/>
    <w:link w:val="230"/>
    <w:qFormat/>
    <w:uiPriority w:val="0"/>
    <w:rPr>
      <w:rFonts w:ascii="宋体" w:hAnsi="宋体"/>
      <w:b/>
      <w:bCs/>
      <w:snapToGrid/>
      <w:sz w:val="28"/>
    </w:rPr>
  </w:style>
  <w:style w:type="paragraph" w:customStyle="1" w:styleId="230">
    <w:name w:val="3级"/>
    <w:basedOn w:val="231"/>
    <w:link w:val="229"/>
    <w:qFormat/>
    <w:uiPriority w:val="0"/>
    <w:pPr>
      <w:ind w:left="0" w:right="466" w:firstLine="288"/>
    </w:pPr>
    <w:rPr>
      <w:rFonts w:hAnsi="宋体"/>
      <w:snapToGrid/>
    </w:rPr>
  </w:style>
  <w:style w:type="paragraph" w:customStyle="1" w:styleId="23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2">
    <w:name w:val="myp11"/>
    <w:qFormat/>
    <w:uiPriority w:val="0"/>
    <w:rPr>
      <w:rFonts w:ascii="仿宋_GB2312" w:eastAsia="微软雅黑"/>
      <w:b/>
      <w:kern w:val="2"/>
      <w:sz w:val="32"/>
      <w:szCs w:val="32"/>
      <w:lang w:val="en-US" w:eastAsia="zh-CN" w:bidi="ar-SA"/>
    </w:rPr>
  </w:style>
  <w:style w:type="character" w:customStyle="1" w:styleId="233">
    <w:name w:val="H6 Char"/>
    <w:qFormat/>
    <w:uiPriority w:val="0"/>
    <w:rPr>
      <w:rFonts w:ascii="Arial" w:hAnsi="Arial" w:eastAsia="黑体"/>
      <w:b/>
      <w:bCs/>
      <w:kern w:val="2"/>
      <w:sz w:val="24"/>
      <w:szCs w:val="24"/>
    </w:rPr>
  </w:style>
  <w:style w:type="character" w:customStyle="1" w:styleId="234">
    <w:name w:val="Char Char91"/>
    <w:qFormat/>
    <w:uiPriority w:val="0"/>
    <w:rPr>
      <w:rFonts w:eastAsia="宋体"/>
      <w:kern w:val="2"/>
      <w:sz w:val="18"/>
      <w:szCs w:val="18"/>
      <w:lang w:val="en-US" w:eastAsia="zh-CN" w:bidi="ar-SA"/>
    </w:rPr>
  </w:style>
  <w:style w:type="character" w:customStyle="1" w:styleId="235">
    <w:name w:val="副标题 Char1"/>
    <w:qFormat/>
    <w:uiPriority w:val="0"/>
    <w:rPr>
      <w:rFonts w:ascii="Cambria" w:hAnsi="Cambria" w:eastAsia="宋体" w:cs="Times New Roman"/>
      <w:b/>
      <w:bCs/>
      <w:snapToGrid w:val="0"/>
      <w:kern w:val="28"/>
      <w:sz w:val="32"/>
      <w:szCs w:val="32"/>
    </w:rPr>
  </w:style>
  <w:style w:type="character" w:customStyle="1" w:styleId="236">
    <w:name w:val="font61"/>
    <w:qFormat/>
    <w:uiPriority w:val="0"/>
    <w:rPr>
      <w:rFonts w:hint="eastAsia" w:ascii="仿宋" w:hAnsi="仿宋" w:eastAsia="仿宋" w:cs="仿宋"/>
      <w:color w:val="000000"/>
      <w:sz w:val="20"/>
      <w:szCs w:val="20"/>
      <w:u w:val="none"/>
    </w:rPr>
  </w:style>
  <w:style w:type="character" w:customStyle="1" w:styleId="2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8">
    <w:name w:val="Char Char211"/>
    <w:qFormat/>
    <w:uiPriority w:val="0"/>
    <w:rPr>
      <w:rFonts w:eastAsia="宋体"/>
      <w:b/>
      <w:bCs/>
      <w:kern w:val="2"/>
      <w:sz w:val="21"/>
      <w:szCs w:val="24"/>
      <w:lang w:val="en-US" w:eastAsia="zh-CN" w:bidi="ar-SA"/>
    </w:rPr>
  </w:style>
  <w:style w:type="character" w:customStyle="1" w:styleId="239">
    <w:name w:val="标题 2 Char"/>
    <w:qFormat/>
    <w:uiPriority w:val="0"/>
    <w:rPr>
      <w:rFonts w:ascii="Arial" w:hAnsi="Arial" w:eastAsia="黑体"/>
      <w:b/>
      <w:kern w:val="2"/>
      <w:sz w:val="32"/>
      <w:lang w:val="en-US" w:eastAsia="zh-CN"/>
    </w:rPr>
  </w:style>
  <w:style w:type="character" w:customStyle="1" w:styleId="240">
    <w:name w:val="maywed421"/>
    <w:qFormat/>
    <w:uiPriority w:val="0"/>
    <w:rPr>
      <w:color w:val="366FB6"/>
      <w:u w:val="none"/>
    </w:rPr>
  </w:style>
  <w:style w:type="character" w:customStyle="1" w:styleId="241">
    <w:name w:val="正文文本缩进 Char"/>
    <w:qFormat/>
    <w:uiPriority w:val="0"/>
    <w:rPr>
      <w:rFonts w:ascii="宋体" w:hAnsi="宋体"/>
      <w:kern w:val="2"/>
      <w:sz w:val="24"/>
      <w:szCs w:val="24"/>
    </w:rPr>
  </w:style>
  <w:style w:type="character" w:customStyle="1" w:styleId="242">
    <w:name w:val="Char Char102"/>
    <w:semiHidden/>
    <w:qFormat/>
    <w:uiPriority w:val="0"/>
    <w:rPr>
      <w:rFonts w:ascii="宋体" w:hAnsi="宋体"/>
      <w:kern w:val="2"/>
      <w:sz w:val="21"/>
      <w:szCs w:val="24"/>
      <w:lang w:val="en-US" w:eastAsia="zh-CN"/>
    </w:rPr>
  </w:style>
  <w:style w:type="character" w:customStyle="1" w:styleId="243">
    <w:name w:val="页眉 Char1"/>
    <w:qFormat/>
    <w:uiPriority w:val="0"/>
    <w:rPr>
      <w:rFonts w:eastAsia="宋体"/>
      <w:kern w:val="2"/>
      <w:sz w:val="18"/>
      <w:szCs w:val="18"/>
      <w:lang w:val="en-US" w:eastAsia="zh-CN" w:bidi="ar-SA"/>
    </w:rPr>
  </w:style>
  <w:style w:type="character" w:customStyle="1" w:styleId="244">
    <w:name w:val="md"/>
    <w:qFormat/>
    <w:uiPriority w:val="0"/>
    <w:rPr>
      <w:rFonts w:ascii="Arial" w:hAnsi="Arial" w:eastAsia="黑体" w:cs="Arial"/>
      <w:snapToGrid w:val="0"/>
      <w:kern w:val="0"/>
      <w:szCs w:val="21"/>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Char Char311"/>
    <w:qFormat/>
    <w:uiPriority w:val="0"/>
    <w:rPr>
      <w:rFonts w:eastAsia="宋体"/>
      <w:kern w:val="2"/>
      <w:sz w:val="21"/>
      <w:szCs w:val="24"/>
      <w:lang w:val="en-US" w:eastAsia="zh-CN" w:bidi="ar-SA"/>
    </w:rPr>
  </w:style>
  <w:style w:type="character" w:customStyle="1" w:styleId="247">
    <w:name w:val="Char Char81"/>
    <w:qFormat/>
    <w:uiPriority w:val="6"/>
    <w:rPr>
      <w:rFonts w:eastAsia="宋体"/>
      <w:b/>
      <w:sz w:val="24"/>
      <w:lang w:val="en-GB" w:eastAsia="zh-CN"/>
    </w:rPr>
  </w:style>
  <w:style w:type="character" w:customStyle="1" w:styleId="248">
    <w:name w:val="样式3 Char"/>
    <w:qFormat/>
    <w:uiPriority w:val="0"/>
    <w:rPr>
      <w:rFonts w:ascii="仿宋_GB2312" w:hAnsi="仿宋" w:eastAsia="仿宋_GB2312" w:cs="仿宋_GB2312"/>
      <w:sz w:val="32"/>
      <w:szCs w:val="30"/>
      <w:lang w:val="zh-CN"/>
    </w:rPr>
  </w:style>
  <w:style w:type="character" w:customStyle="1" w:styleId="249">
    <w:name w:val="正文首行缩进 2 Char1"/>
    <w:qFormat/>
    <w:uiPriority w:val="0"/>
    <w:rPr>
      <w:rFonts w:ascii="Times New Roman" w:hAnsi="Times New Roman" w:eastAsia="宋体" w:cs="Times New Roman"/>
      <w:kern w:val="2"/>
      <w:sz w:val="24"/>
      <w:szCs w:val="24"/>
    </w:rPr>
  </w:style>
  <w:style w:type="character" w:customStyle="1" w:styleId="250">
    <w:name w:val="副标题 Char2"/>
    <w:qFormat/>
    <w:uiPriority w:val="0"/>
    <w:rPr>
      <w:rFonts w:ascii="Cambria" w:hAnsi="Cambria" w:eastAsia="宋体" w:cs="Times New Roman"/>
      <w:b/>
      <w:bCs/>
      <w:snapToGrid w:val="0"/>
      <w:kern w:val="28"/>
      <w:sz w:val="32"/>
      <w:szCs w:val="32"/>
    </w:rPr>
  </w:style>
  <w:style w:type="character" w:customStyle="1" w:styleId="251">
    <w:name w:val="标题4-dyf Char"/>
    <w:link w:val="252"/>
    <w:qFormat/>
    <w:uiPriority w:val="0"/>
    <w:rPr>
      <w:rFonts w:ascii="Cambria" w:hAnsi="Cambria"/>
      <w:b/>
      <w:bCs/>
      <w:color w:val="000000"/>
      <w:kern w:val="2"/>
      <w:sz w:val="21"/>
      <w:szCs w:val="21"/>
    </w:rPr>
  </w:style>
  <w:style w:type="paragraph" w:customStyle="1" w:styleId="252">
    <w:name w:val="标题4-dyf"/>
    <w:basedOn w:val="5"/>
    <w:link w:val="2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3">
    <w:name w:val="dectext1"/>
    <w:qFormat/>
    <w:uiPriority w:val="0"/>
    <w:rPr>
      <w:rFonts w:ascii="宋体" w:hAnsi="宋体" w:eastAsia="宋体"/>
      <w:color w:val="333333"/>
      <w:sz w:val="21"/>
      <w:szCs w:val="21"/>
      <w:u w:val="none"/>
    </w:rPr>
  </w:style>
  <w:style w:type="character" w:customStyle="1" w:styleId="254">
    <w:name w:val="冯 Char"/>
    <w:link w:val="255"/>
    <w:qFormat/>
    <w:uiPriority w:val="0"/>
    <w:rPr>
      <w:rFonts w:ascii="宋体" w:hAnsi="宋体"/>
      <w:color w:val="000000"/>
      <w:sz w:val="24"/>
      <w:szCs w:val="24"/>
    </w:rPr>
  </w:style>
  <w:style w:type="paragraph" w:customStyle="1" w:styleId="255">
    <w:name w:val="冯"/>
    <w:basedOn w:val="1"/>
    <w:link w:val="254"/>
    <w:qFormat/>
    <w:uiPriority w:val="0"/>
    <w:pPr>
      <w:widowControl/>
      <w:adjustRightInd/>
      <w:spacing w:line="360" w:lineRule="auto"/>
      <w:ind w:firstLine="480" w:firstLineChars="200"/>
    </w:pPr>
    <w:rPr>
      <w:rFonts w:ascii="宋体" w:hAnsi="宋体"/>
      <w:color w:val="000000"/>
      <w:kern w:val="0"/>
      <w:sz w:val="24"/>
    </w:rPr>
  </w:style>
  <w:style w:type="character" w:customStyle="1" w:styleId="256">
    <w:name w:val="Header Char"/>
    <w:qFormat/>
    <w:locked/>
    <w:uiPriority w:val="0"/>
    <w:rPr>
      <w:rFonts w:eastAsia="宋体"/>
      <w:kern w:val="2"/>
      <w:sz w:val="18"/>
      <w:szCs w:val="18"/>
      <w:lang w:val="en-US" w:eastAsia="zh-CN" w:bidi="ar-SA"/>
    </w:rPr>
  </w:style>
  <w:style w:type="character" w:customStyle="1" w:styleId="257">
    <w:name w:val="Char Char12"/>
    <w:qFormat/>
    <w:uiPriority w:val="0"/>
    <w:rPr>
      <w:rFonts w:ascii="仿宋_GB2312" w:eastAsia="仿宋_GB2312"/>
      <w:b/>
      <w:bCs/>
      <w:kern w:val="2"/>
      <w:sz w:val="24"/>
      <w:szCs w:val="24"/>
      <w:lang w:val="zh-CN" w:eastAsia="zh-CN" w:bidi="ar-SA"/>
    </w:rPr>
  </w:style>
  <w:style w:type="character" w:customStyle="1" w:styleId="258">
    <w:name w:val="普通文字 Char3"/>
    <w:qFormat/>
    <w:uiPriority w:val="0"/>
    <w:rPr>
      <w:rFonts w:ascii="宋体" w:hAnsi="Courier New" w:eastAsia="宋体"/>
      <w:kern w:val="2"/>
      <w:sz w:val="21"/>
      <w:lang w:val="en-US"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正文首行缩进 Char Char Char Char Char"/>
    <w:qFormat/>
    <w:uiPriority w:val="0"/>
    <w:rPr>
      <w:rFonts w:ascii="宋体"/>
      <w:kern w:val="2"/>
      <w:sz w:val="24"/>
      <w:lang w:val="zh-CN"/>
    </w:rPr>
  </w:style>
  <w:style w:type="character" w:customStyle="1" w:styleId="261">
    <w:name w:val="PI Char"/>
    <w:qFormat/>
    <w:uiPriority w:val="0"/>
    <w:rPr>
      <w:rFonts w:ascii="宋体" w:hAnsi="宋体" w:eastAsia="宋体"/>
      <w:kern w:val="2"/>
      <w:sz w:val="24"/>
      <w:szCs w:val="24"/>
      <w:lang w:val="en-US" w:eastAsia="zh-CN" w:bidi="ar-SA"/>
    </w:rPr>
  </w:style>
  <w:style w:type="character" w:customStyle="1" w:styleId="262">
    <w:name w:val="style91"/>
    <w:qFormat/>
    <w:uiPriority w:val="0"/>
    <w:rPr>
      <w:color w:val="333333"/>
    </w:rPr>
  </w:style>
  <w:style w:type="character" w:customStyle="1" w:styleId="263">
    <w:name w:val="列出段落 Char2"/>
    <w:qFormat/>
    <w:uiPriority w:val="34"/>
    <w:rPr>
      <w:rFonts w:ascii="Calibri" w:hAnsi="Calibri"/>
      <w:kern w:val="2"/>
      <w:sz w:val="28"/>
    </w:rPr>
  </w:style>
  <w:style w:type="character" w:customStyle="1" w:styleId="264">
    <w:name w:val="mdeck"/>
    <w:qFormat/>
    <w:uiPriority w:val="0"/>
    <w:rPr>
      <w:rFonts w:ascii="仿宋_GB2312" w:eastAsia="微软雅黑"/>
      <w:b/>
      <w:kern w:val="2"/>
      <w:sz w:val="32"/>
      <w:szCs w:val="32"/>
      <w:lang w:val="en-US" w:eastAsia="zh-CN" w:bidi="ar-SA"/>
    </w:rPr>
  </w:style>
  <w:style w:type="character" w:customStyle="1" w:styleId="265">
    <w:name w:val="unnamed11"/>
    <w:qFormat/>
    <w:uiPriority w:val="0"/>
    <w:rPr>
      <w:sz w:val="20"/>
      <w:szCs w:val="20"/>
    </w:rPr>
  </w:style>
  <w:style w:type="character" w:customStyle="1" w:styleId="266">
    <w:name w:val="正文文本 Char2"/>
    <w:semiHidden/>
    <w:qFormat/>
    <w:uiPriority w:val="99"/>
    <w:rPr>
      <w:rFonts w:ascii="Times New Roman" w:hAnsi="Times New Roman" w:eastAsia="宋体" w:cs="Times New Roman"/>
      <w:snapToGrid w:val="0"/>
      <w:kern w:val="0"/>
      <w:szCs w:val="24"/>
    </w:rPr>
  </w:style>
  <w:style w:type="character" w:customStyle="1" w:styleId="267">
    <w:name w:val="标书正文格式 Char"/>
    <w:qFormat/>
    <w:uiPriority w:val="0"/>
    <w:rPr>
      <w:rFonts w:eastAsia="楷体_GB2312"/>
      <w:kern w:val="2"/>
      <w:sz w:val="24"/>
      <w:szCs w:val="24"/>
      <w:lang w:bidi="ar-SA"/>
    </w:rPr>
  </w:style>
  <w:style w:type="character" w:customStyle="1" w:styleId="268">
    <w:name w:val="Char Char11"/>
    <w:qFormat/>
    <w:locked/>
    <w:uiPriority w:val="0"/>
    <w:rPr>
      <w:rFonts w:ascii="宋体" w:hAnsi="宋体" w:eastAsia="宋体"/>
      <w:b/>
      <w:kern w:val="2"/>
      <w:sz w:val="24"/>
      <w:szCs w:val="24"/>
      <w:lang w:val="en-US" w:eastAsia="zh-CN" w:bidi="ar-SA"/>
    </w:rPr>
  </w:style>
  <w:style w:type="character" w:customStyle="1" w:styleId="269">
    <w:name w:val="ca-131"/>
    <w:qFormat/>
    <w:uiPriority w:val="0"/>
    <w:rPr>
      <w:rFonts w:hint="eastAsia" w:ascii="仿宋_GB2312" w:eastAsia="仿宋_GB2312"/>
      <w:b/>
      <w:bCs/>
      <w:color w:val="000000"/>
      <w:spacing w:val="-20"/>
      <w:sz w:val="24"/>
      <w:szCs w:val="24"/>
    </w:rPr>
  </w:style>
  <w:style w:type="character" w:customStyle="1" w:styleId="270">
    <w:name w:val="tw4winMark"/>
    <w:qFormat/>
    <w:uiPriority w:val="0"/>
    <w:rPr>
      <w:rFonts w:ascii="Courier New" w:hAnsi="Courier New" w:cs="Courier New"/>
      <w:vanish/>
      <w:color w:val="800080"/>
      <w:sz w:val="24"/>
      <w:szCs w:val="24"/>
      <w:vertAlign w:val="subscript"/>
    </w:rPr>
  </w:style>
  <w:style w:type="character" w:customStyle="1" w:styleId="271">
    <w:name w:val="正文样式 Char"/>
    <w:link w:val="272"/>
    <w:qFormat/>
    <w:uiPriority w:val="0"/>
    <w:rPr>
      <w:rFonts w:ascii="Calibri" w:hAnsi="Calibri"/>
      <w:sz w:val="24"/>
      <w:szCs w:val="24"/>
    </w:rPr>
  </w:style>
  <w:style w:type="paragraph" w:customStyle="1" w:styleId="272">
    <w:name w:val="正文样式"/>
    <w:basedOn w:val="1"/>
    <w:link w:val="271"/>
    <w:qFormat/>
    <w:uiPriority w:val="0"/>
    <w:pPr>
      <w:adjustRightInd/>
      <w:spacing w:line="360" w:lineRule="auto"/>
      <w:ind w:firstLine="480" w:firstLineChars="200"/>
    </w:pPr>
    <w:rPr>
      <w:rFonts w:ascii="Calibri" w:hAnsi="Calibri"/>
      <w:kern w:val="0"/>
      <w:sz w:val="24"/>
    </w:rPr>
  </w:style>
  <w:style w:type="character" w:customStyle="1" w:styleId="273">
    <w:name w:val="表正文 Char3"/>
    <w:qFormat/>
    <w:uiPriority w:val="0"/>
    <w:rPr>
      <w:rFonts w:eastAsia="宋体"/>
    </w:rPr>
  </w:style>
  <w:style w:type="character" w:customStyle="1" w:styleId="274">
    <w:name w:val="H5 Char"/>
    <w:qFormat/>
    <w:uiPriority w:val="0"/>
    <w:rPr>
      <w:b/>
      <w:bCs/>
      <w:kern w:val="2"/>
      <w:sz w:val="28"/>
      <w:szCs w:val="28"/>
    </w:rPr>
  </w:style>
  <w:style w:type="character" w:customStyle="1" w:styleId="275">
    <w:name w:val="Char Char3"/>
    <w:qFormat/>
    <w:uiPriority w:val="0"/>
    <w:rPr>
      <w:rFonts w:eastAsia="宋体"/>
      <w:kern w:val="2"/>
      <w:sz w:val="21"/>
      <w:szCs w:val="24"/>
      <w:lang w:val="en-US" w:eastAsia="zh-CN" w:bidi="ar-SA"/>
    </w:rPr>
  </w:style>
  <w:style w:type="character" w:customStyle="1" w:styleId="276">
    <w:name w:val="正文 编号 Char"/>
    <w:qFormat/>
    <w:uiPriority w:val="0"/>
    <w:rPr>
      <w:rFonts w:ascii="仿宋_GB2312" w:hAnsi="仿宋_GB2312" w:eastAsia="仿宋_GB2312"/>
      <w:kern w:val="2"/>
      <w:sz w:val="24"/>
      <w:lang w:bidi="ar-SA"/>
    </w:rPr>
  </w:style>
  <w:style w:type="character" w:customStyle="1" w:styleId="277">
    <w:name w:val="question-title2"/>
    <w:qFormat/>
    <w:uiPriority w:val="6"/>
    <w:rPr>
      <w:rFonts w:ascii="Arial" w:hAnsi="Arial" w:eastAsia="黑体" w:cs="Arial"/>
      <w:snapToGrid w:val="0"/>
      <w:kern w:val="0"/>
      <w:szCs w:val="21"/>
    </w:rPr>
  </w:style>
  <w:style w:type="character" w:customStyle="1" w:styleId="278">
    <w:name w:val="gf正文1 Char Char"/>
    <w:link w:val="279"/>
    <w:qFormat/>
    <w:uiPriority w:val="0"/>
    <w:rPr>
      <w:rFonts w:ascii="宋体" w:hAnsi="宋体" w:cs="宋体"/>
      <w:kern w:val="2"/>
      <w:sz w:val="24"/>
      <w:szCs w:val="24"/>
    </w:rPr>
  </w:style>
  <w:style w:type="paragraph" w:customStyle="1" w:styleId="279">
    <w:name w:val="gf正文1"/>
    <w:basedOn w:val="1"/>
    <w:link w:val="27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0">
    <w:name w:val="Char Char15"/>
    <w:qFormat/>
    <w:uiPriority w:val="6"/>
    <w:rPr>
      <w:rFonts w:ascii="宋体" w:hAnsi="宋体"/>
      <w:kern w:val="1"/>
      <w:sz w:val="21"/>
    </w:rPr>
  </w:style>
  <w:style w:type="character" w:customStyle="1" w:styleId="281">
    <w:name w:val="正文缩进 Char3"/>
    <w:qFormat/>
    <w:uiPriority w:val="0"/>
    <w:rPr>
      <w:rFonts w:ascii="宋体" w:eastAsia="宋体"/>
      <w:snapToGrid w:val="0"/>
      <w:color w:val="000000"/>
      <w:kern w:val="28"/>
      <w:sz w:val="28"/>
      <w:lang w:val="en-US" w:eastAsia="zh-CN" w:bidi="ar-SA"/>
    </w:rPr>
  </w:style>
  <w:style w:type="character" w:customStyle="1" w:styleId="282">
    <w:name w:val="列出段落 Char1"/>
    <w:link w:val="283"/>
    <w:qFormat/>
    <w:uiPriority w:val="0"/>
    <w:rPr>
      <w:rFonts w:ascii="Calibri" w:hAnsi="Calibri"/>
      <w:sz w:val="24"/>
      <w:lang w:eastAsia="en-US"/>
    </w:rPr>
  </w:style>
  <w:style w:type="paragraph" w:customStyle="1" w:styleId="283">
    <w:name w:val="列表1"/>
    <w:basedOn w:val="1"/>
    <w:next w:val="80"/>
    <w:link w:val="282"/>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character" w:customStyle="1" w:styleId="284">
    <w:name w:val="Char Char8"/>
    <w:qFormat/>
    <w:uiPriority w:val="0"/>
    <w:rPr>
      <w:rFonts w:eastAsia="宋体"/>
      <w:b/>
      <w:sz w:val="24"/>
      <w:lang w:val="en-GB" w:eastAsia="zh-CN"/>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列表段落 字符"/>
    <w:qFormat/>
    <w:uiPriority w:val="34"/>
  </w:style>
  <w:style w:type="character" w:customStyle="1" w:styleId="287">
    <w:name w:val="Ò³Ã¼ Char Char1"/>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qFormat/>
    <w:uiPriority w:val="6"/>
    <w:rPr>
      <w:rFonts w:ascii="Arial" w:hAnsi="Arial" w:eastAsia="黑体"/>
      <w:kern w:val="1"/>
      <w:sz w:val="21"/>
      <w:szCs w:val="21"/>
    </w:rPr>
  </w:style>
  <w:style w:type="character" w:customStyle="1" w:styleId="290">
    <w:name w:val="font01"/>
    <w:qFormat/>
    <w:uiPriority w:val="0"/>
    <w:rPr>
      <w:rFonts w:hint="eastAsia" w:ascii="微软雅黑" w:hAnsi="微软雅黑" w:eastAsia="微软雅黑" w:cs="微软雅黑"/>
      <w:color w:val="000000"/>
      <w:sz w:val="20"/>
      <w:szCs w:val="20"/>
      <w:u w:val="none"/>
    </w:rPr>
  </w:style>
  <w:style w:type="character" w:customStyle="1" w:styleId="291">
    <w:name w:val="Char Char20"/>
    <w:qFormat/>
    <w:uiPriority w:val="6"/>
    <w:rPr>
      <w:kern w:val="1"/>
      <w:sz w:val="24"/>
    </w:rPr>
  </w:style>
  <w:style w:type="character" w:customStyle="1" w:styleId="292">
    <w:name w:val="tw4winExternal"/>
    <w:qFormat/>
    <w:uiPriority w:val="0"/>
    <w:rPr>
      <w:rFonts w:ascii="Courier New" w:hAnsi="Courier New" w:cs="Courier New"/>
      <w:color w:val="808080"/>
      <w:lang w:val="en-US" w:eastAsia="zh-CN"/>
    </w:rPr>
  </w:style>
  <w:style w:type="character" w:customStyle="1" w:styleId="293">
    <w:name w:val="标题 4 Char1"/>
    <w:qFormat/>
    <w:uiPriority w:val="9"/>
    <w:rPr>
      <w:rFonts w:ascii="Cambria" w:hAnsi="Cambria" w:eastAsia="宋体" w:cs="Times New Roman"/>
      <w:b/>
      <w:bCs/>
      <w:kern w:val="2"/>
      <w:sz w:val="28"/>
      <w:szCs w:val="28"/>
    </w:rPr>
  </w:style>
  <w:style w:type="character" w:customStyle="1" w:styleId="294">
    <w:name w:val="批注文字 Char2"/>
    <w:qFormat/>
    <w:uiPriority w:val="99"/>
    <w:rPr>
      <w:rFonts w:ascii="Times New Roman" w:hAnsi="Times New Roman" w:eastAsia="宋体" w:cs="Times New Roman"/>
      <w:snapToGrid w:val="0"/>
      <w:kern w:val="0"/>
      <w:szCs w:val="24"/>
    </w:rPr>
  </w:style>
  <w:style w:type="character" w:customStyle="1" w:styleId="295">
    <w:name w:val="正文文本 2 Char"/>
    <w:qFormat/>
    <w:uiPriority w:val="0"/>
    <w:rPr>
      <w:rFonts w:eastAsia="宋体"/>
      <w:kern w:val="2"/>
      <w:sz w:val="21"/>
      <w:szCs w:val="24"/>
      <w:lang w:val="en-US" w:eastAsia="zh-CN" w:bidi="ar-SA"/>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semiHidden/>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
    <w:qFormat/>
    <w:locked/>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adjustRightInd/>
      <w:spacing w:line="360" w:lineRule="auto"/>
      <w:ind w:firstLine="200" w:firstLineChars="200"/>
    </w:pPr>
    <w:rPr>
      <w:rFonts w:ascii="Calibri" w:hAnsi="Calibri"/>
      <w:sz w:val="24"/>
    </w:r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表格 Char Char"/>
    <w:qFormat/>
    <w:uiPriority w:val="0"/>
    <w:rPr>
      <w:rFonts w:ascii="宋体" w:hAnsi="宋体" w:eastAsia="宋体"/>
      <w:lang w:bidi="ar-SA"/>
    </w:rPr>
  </w:style>
  <w:style w:type="character" w:customStyle="1" w:styleId="314">
    <w:name w:val="正文文本 字符1"/>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qFormat/>
    <w:uiPriority w:val="0"/>
    <w:rPr>
      <w:rFonts w:ascii="宋体" w:eastAsia="宋体"/>
      <w:kern w:val="2"/>
      <w:sz w:val="24"/>
      <w:szCs w:val="24"/>
      <w:lang w:val="zh-CN" w:bidi="ar-SA"/>
    </w:rPr>
  </w:style>
  <w:style w:type="character" w:customStyle="1" w:styleId="319">
    <w:name w:val="文本正文 Char Char"/>
    <w:qFormat/>
    <w:locked/>
    <w:uiPriority w:val="0"/>
    <w:rPr>
      <w:sz w:val="24"/>
      <w:lang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5"/>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hAnsi="Times New Roman" w:eastAsia="宋体" w:cs="Times New Roman"/>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rFonts w:ascii="Calibri" w:hAnsi="Calibri"/>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rFonts w:ascii="Calibri" w:hAnsi="Calibri"/>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hAnsi="Calibri"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hAnsi="Calibri"/>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rFonts w:ascii="Calibri" w:hAnsi="Calibri"/>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hAnsi="Calibri"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qFormat/>
    <w:uiPriority w:val="0"/>
    <w:rPr>
      <w:rFonts w:ascii="Arial" w:hAnsi="Arial" w:eastAsia="黑体" w:cs="Arial"/>
      <w:snapToGrid w:val="0"/>
      <w:kern w:val="0"/>
      <w:szCs w:val="21"/>
    </w:rPr>
  </w:style>
  <w:style w:type="character" w:customStyle="1" w:styleId="433">
    <w:name w:val="hui"/>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Times New Roman" w:hAnsi="Times New Roman"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99"/>
    <w:rPr>
      <w:rFonts w:ascii="Calibri" w:hAnsi="Calibri"/>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4"/>
    <w:next w:val="8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4"/>
    <w:next w:val="84"/>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Times New Roman" w:hAnsi="Times New Roman"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Times New Roman" w:hAnsi="Times New Roman"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Times New Roman" w:hAnsi="Times New Roman"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ascii="Calibri" w:hAnsi="Calibri"/>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snapToGrid w:val="0"/>
      <w:sz w:val="21"/>
      <w:lang w:val="en-US" w:eastAsia="zh-CN" w:bidi="ar-SA"/>
    </w:rPr>
  </w:style>
  <w:style w:type="paragraph" w:customStyle="1" w:styleId="964">
    <w:name w:val="_Style 13"/>
    <w:next w:val="80"/>
    <w:qFormat/>
    <w:uiPriority w:val="34"/>
    <w:pPr>
      <w:ind w:firstLine="420" w:firstLineChars="200"/>
    </w:pPr>
    <w:rPr>
      <w:rFonts w:ascii="Times New Roman" w:hAnsi="Times New Roman" w:eastAsia="宋体" w:cs="Times New Roman"/>
      <w:lang w:val="en-US" w:eastAsia="zh-CN" w:bidi="ar-SA"/>
    </w:rPr>
  </w:style>
  <w:style w:type="paragraph" w:customStyle="1" w:styleId="965">
    <w:name w:val="_Style 964"/>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无缩进正文"/>
    <w:basedOn w:val="1"/>
    <w:qFormat/>
    <w:uiPriority w:val="0"/>
    <w:pPr>
      <w:jc w:val="center"/>
    </w:pPr>
    <w:rPr>
      <w:rFonts w:cs="Times New Roman"/>
      <w:bCs/>
      <w:sz w:val="21"/>
      <w:szCs w:val="21"/>
      <w:lang w:bidi="en-US"/>
    </w:rPr>
  </w:style>
  <w:style w:type="paragraph" w:customStyle="1" w:styleId="968">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50F20A7-B4B6-4B95-B53E-F6C9A2F36EE1}">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10094</Words>
  <Characters>11070</Characters>
  <Lines>173</Lines>
  <Paragraphs>48</Paragraphs>
  <TotalTime>32</TotalTime>
  <ScaleCrop>false</ScaleCrop>
  <LinksUpToDate>false</LinksUpToDate>
  <CharactersWithSpaces>11136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2023-08-29T14:58:00Z</dcterms:created>
  <dc:creator>玥</dc:creator>
  <cp:lastModifiedBy>国际招标-阮锦洋</cp:lastModifiedBy>
  <cp:lastPrinted>2025-07-01T10:06:00Z</cp:lastPrinted>
  <dcterms:modified xsi:type="dcterms:W3CDTF">2025-07-15T08:43:15Z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BD317E43CCD7416F9536FF4F68C18B61_13</vt:lpwstr>
  </property>
  <property fmtid="{D5CDD505-2E9C-101B-9397-08002B2CF9AE}" pid="5" name="commondata">
    <vt:lpwstr>eyJoZGlkIjoiMDZhOTNhZDU1NjQyYTg1NTM1M2FiYjk5YmFmNDc3OTcifQ==</vt:lpwstr>
  </property>
  <property fmtid="{D5CDD505-2E9C-101B-9397-08002B2CF9AE}" pid="6" name="KSOTemplateDocerSaveRecord">
    <vt:lpwstr>eyJoZGlkIjoiYTMxMzhkYmM1NWMyZmVkMDc0YWUwNjI4M2E2MDMyZGQiLCJ1c2VySWQiOiIyMzkwMjA5OTgifQ==</vt:lpwstr>
  </property>
</Properties>
</file>