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D793C">
      <w:pPr>
        <w:pStyle w:val="35"/>
        <w:numPr>
          <w:ilvl w:val="0"/>
          <w:numId w:val="0"/>
        </w:numPr>
        <w:jc w:val="both"/>
        <w:outlineLvl w:val="9"/>
      </w:pPr>
    </w:p>
    <w:p w14:paraId="187586D1">
      <w:pPr>
        <w:pStyle w:val="34"/>
        <w:ind w:firstLine="480"/>
      </w:pPr>
    </w:p>
    <w:p w14:paraId="64FB0A40">
      <w:pPr>
        <w:pStyle w:val="34"/>
        <w:ind w:firstLine="480"/>
      </w:pPr>
    </w:p>
    <w:p w14:paraId="0E433522">
      <w:pPr>
        <w:pStyle w:val="34"/>
        <w:ind w:firstLine="0" w:firstLineChars="0"/>
      </w:pPr>
    </w:p>
    <w:p w14:paraId="5D02BDA4">
      <w:pPr>
        <w:pStyle w:val="34"/>
        <w:ind w:firstLine="0" w:firstLineChars="0"/>
        <w:jc w:val="center"/>
        <w:rPr>
          <w:color w:val="00B050"/>
          <w:sz w:val="52"/>
          <w:szCs w:val="52"/>
          <w:lang w:eastAsia="zh-CN"/>
        </w:rPr>
      </w:pPr>
      <w:r>
        <w:rPr>
          <w:rFonts w:hint="eastAsia"/>
          <w:color w:val="auto"/>
          <w:sz w:val="52"/>
          <w:szCs w:val="52"/>
          <w:lang w:eastAsia="zh-CN"/>
        </w:rPr>
        <w:t>浙江省应急管理厅</w:t>
      </w:r>
    </w:p>
    <w:p w14:paraId="548549FC">
      <w:pPr>
        <w:pStyle w:val="34"/>
        <w:ind w:firstLine="0" w:firstLineChars="0"/>
        <w:jc w:val="center"/>
        <w:rPr>
          <w:sz w:val="52"/>
          <w:szCs w:val="52"/>
          <w:lang w:eastAsia="zh-CN"/>
        </w:rPr>
      </w:pPr>
      <w:r>
        <w:rPr>
          <w:rFonts w:hint="eastAsia" w:cs="Arial"/>
          <w:color w:val="auto"/>
          <w:kern w:val="0"/>
          <w:sz w:val="52"/>
          <w:szCs w:val="52"/>
          <w:lang w:eastAsia="zh-CN"/>
        </w:rPr>
        <w:t>安全生产和指挥调度类数字化系统保障服务</w:t>
      </w:r>
      <w:r>
        <w:rPr>
          <w:rFonts w:hint="eastAsia" w:cs="Arial"/>
          <w:kern w:val="0"/>
          <w:sz w:val="52"/>
          <w:szCs w:val="52"/>
        </w:rPr>
        <w:t>项目</w:t>
      </w:r>
    </w:p>
    <w:p w14:paraId="094D83D3">
      <w:pPr>
        <w:pStyle w:val="34"/>
        <w:ind w:firstLine="0" w:firstLineChars="0"/>
        <w:jc w:val="center"/>
        <w:rPr>
          <w:rFonts w:hint="eastAsia"/>
          <w:sz w:val="84"/>
          <w:szCs w:val="84"/>
          <w:lang w:eastAsia="zh-CN"/>
        </w:rPr>
      </w:pPr>
    </w:p>
    <w:p w14:paraId="69D20543">
      <w:pPr>
        <w:pStyle w:val="34"/>
        <w:ind w:firstLine="0" w:firstLineChars="0"/>
        <w:jc w:val="center"/>
        <w:rPr>
          <w:sz w:val="84"/>
          <w:szCs w:val="84"/>
        </w:rPr>
      </w:pPr>
      <w:r>
        <w:rPr>
          <w:rFonts w:hint="eastAsia"/>
          <w:sz w:val="84"/>
          <w:szCs w:val="84"/>
          <w:lang w:eastAsia="zh-CN"/>
        </w:rPr>
        <w:t>公开招标采购文件</w:t>
      </w:r>
    </w:p>
    <w:p w14:paraId="5E8E4101">
      <w:pPr>
        <w:pStyle w:val="34"/>
        <w:ind w:firstLine="0" w:firstLineChars="0"/>
        <w:rPr>
          <w:lang w:eastAsia="zh-CN"/>
        </w:rPr>
      </w:pPr>
    </w:p>
    <w:p w14:paraId="7B6D5EC4">
      <w:pPr>
        <w:pStyle w:val="34"/>
        <w:ind w:firstLine="0" w:firstLineChars="0"/>
        <w:jc w:val="center"/>
        <w:rPr>
          <w:sz w:val="52"/>
          <w:szCs w:val="52"/>
          <w:lang w:eastAsia="zh-CN"/>
        </w:rPr>
      </w:pPr>
      <w:r>
        <w:rPr>
          <w:rFonts w:hint="eastAsia"/>
          <w:sz w:val="52"/>
          <w:szCs w:val="52"/>
          <w:lang w:eastAsia="zh-CN"/>
        </w:rPr>
        <w:t>【电子交易】</w:t>
      </w:r>
    </w:p>
    <w:p w14:paraId="6854FAA5">
      <w:pPr>
        <w:pStyle w:val="34"/>
        <w:ind w:firstLine="480"/>
      </w:pPr>
    </w:p>
    <w:p w14:paraId="4207AA4C">
      <w:pPr>
        <w:pStyle w:val="34"/>
        <w:ind w:firstLine="0" w:firstLineChars="0"/>
        <w:rPr>
          <w:lang w:eastAsia="zh-CN"/>
        </w:rPr>
      </w:pPr>
    </w:p>
    <w:p w14:paraId="03C237ED">
      <w:pPr>
        <w:pStyle w:val="34"/>
        <w:ind w:firstLine="0" w:firstLineChars="0"/>
        <w:rPr>
          <w:lang w:eastAsia="zh-CN"/>
        </w:rPr>
      </w:pPr>
    </w:p>
    <w:p w14:paraId="5DC02861">
      <w:pPr>
        <w:pStyle w:val="34"/>
        <w:ind w:firstLine="0" w:firstLineChars="0"/>
        <w:rPr>
          <w:lang w:eastAsia="zh-CN"/>
        </w:rPr>
      </w:pPr>
    </w:p>
    <w:tbl>
      <w:tblPr>
        <w:tblStyle w:val="25"/>
        <w:tblW w:w="5000" w:type="pct"/>
        <w:jc w:val="center"/>
        <w:tblLayout w:type="autofit"/>
        <w:tblCellMar>
          <w:top w:w="0" w:type="dxa"/>
          <w:left w:w="108" w:type="dxa"/>
          <w:bottom w:w="0" w:type="dxa"/>
          <w:right w:w="108" w:type="dxa"/>
        </w:tblCellMar>
      </w:tblPr>
      <w:tblGrid>
        <w:gridCol w:w="1952"/>
        <w:gridCol w:w="6570"/>
      </w:tblGrid>
      <w:tr w14:paraId="747B24DA">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09A236C2">
            <w:pPr>
              <w:pStyle w:val="34"/>
              <w:ind w:firstLine="0" w:firstLineChars="0"/>
              <w:rPr>
                <w:sz w:val="32"/>
                <w:szCs w:val="32"/>
              </w:rPr>
            </w:pPr>
            <w:r>
              <w:rPr>
                <w:rFonts w:hint="eastAsia"/>
                <w:sz w:val="32"/>
                <w:szCs w:val="32"/>
              </w:rPr>
              <w:t>项目编号：</w:t>
            </w:r>
          </w:p>
        </w:tc>
        <w:tc>
          <w:tcPr>
            <w:tcW w:w="3855" w:type="pct"/>
            <w:tcBorders>
              <w:top w:val="nil"/>
              <w:left w:val="nil"/>
              <w:bottom w:val="nil"/>
              <w:right w:val="nil"/>
            </w:tcBorders>
            <w:vAlign w:val="center"/>
          </w:tcPr>
          <w:p w14:paraId="2DC210C9">
            <w:pPr>
              <w:pStyle w:val="34"/>
              <w:ind w:firstLine="0" w:firstLineChars="0"/>
              <w:rPr>
                <w:rFonts w:cs="Arial"/>
                <w:kern w:val="0"/>
                <w:sz w:val="32"/>
                <w:szCs w:val="32"/>
              </w:rPr>
            </w:pPr>
            <w:r>
              <w:rPr>
                <w:rFonts w:hint="eastAsia" w:cs="Arial"/>
                <w:color w:val="auto"/>
                <w:kern w:val="0"/>
                <w:sz w:val="32"/>
                <w:szCs w:val="32"/>
                <w:lang w:eastAsia="zh-CN"/>
              </w:rPr>
              <w:t>ZQ250702ZG</w:t>
            </w:r>
          </w:p>
        </w:tc>
      </w:tr>
      <w:tr w14:paraId="7681CD4C">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7DB342CE">
            <w:pPr>
              <w:pStyle w:val="34"/>
              <w:ind w:firstLine="0" w:firstLineChars="0"/>
              <w:rPr>
                <w:sz w:val="32"/>
                <w:szCs w:val="32"/>
              </w:rPr>
            </w:pPr>
            <w:r>
              <w:rPr>
                <w:rFonts w:hint="eastAsia"/>
                <w:sz w:val="32"/>
                <w:szCs w:val="32"/>
              </w:rPr>
              <w:t>采 购 人：</w:t>
            </w:r>
          </w:p>
        </w:tc>
        <w:tc>
          <w:tcPr>
            <w:tcW w:w="3855" w:type="pct"/>
            <w:tcBorders>
              <w:top w:val="nil"/>
              <w:left w:val="nil"/>
              <w:bottom w:val="nil"/>
              <w:right w:val="nil"/>
            </w:tcBorders>
            <w:vAlign w:val="center"/>
          </w:tcPr>
          <w:p w14:paraId="63070374">
            <w:pPr>
              <w:pStyle w:val="34"/>
              <w:ind w:firstLine="0" w:firstLineChars="0"/>
              <w:rPr>
                <w:rFonts w:cs="Arial"/>
                <w:kern w:val="0"/>
                <w:sz w:val="32"/>
                <w:szCs w:val="32"/>
              </w:rPr>
            </w:pPr>
            <w:r>
              <w:rPr>
                <w:rFonts w:hint="eastAsia" w:cs="Arial"/>
                <w:color w:val="auto"/>
                <w:kern w:val="0"/>
                <w:sz w:val="32"/>
                <w:szCs w:val="32"/>
                <w:lang w:eastAsia="zh-CN"/>
              </w:rPr>
              <w:t>浙江省应急管理厅</w:t>
            </w:r>
          </w:p>
        </w:tc>
      </w:tr>
      <w:tr w14:paraId="5BA9DA86">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35110A8F">
            <w:pPr>
              <w:pStyle w:val="34"/>
              <w:ind w:firstLine="0" w:firstLineChars="0"/>
              <w:rPr>
                <w:sz w:val="32"/>
                <w:szCs w:val="32"/>
              </w:rPr>
            </w:pPr>
            <w:r>
              <w:rPr>
                <w:rFonts w:hint="eastAsia"/>
                <w:sz w:val="32"/>
                <w:szCs w:val="32"/>
              </w:rPr>
              <w:t>代理机构：</w:t>
            </w:r>
          </w:p>
        </w:tc>
        <w:tc>
          <w:tcPr>
            <w:tcW w:w="3855" w:type="pct"/>
            <w:tcBorders>
              <w:top w:val="nil"/>
              <w:left w:val="nil"/>
              <w:bottom w:val="nil"/>
              <w:right w:val="nil"/>
            </w:tcBorders>
            <w:vAlign w:val="center"/>
          </w:tcPr>
          <w:p w14:paraId="27C5314C">
            <w:pPr>
              <w:pStyle w:val="34"/>
              <w:ind w:firstLine="0" w:firstLineChars="0"/>
              <w:rPr>
                <w:rFonts w:cs="Arial"/>
                <w:kern w:val="0"/>
                <w:sz w:val="32"/>
                <w:szCs w:val="32"/>
              </w:rPr>
            </w:pPr>
            <w:r>
              <w:rPr>
                <w:rFonts w:hint="eastAsia" w:cs="Arial"/>
                <w:kern w:val="0"/>
                <w:sz w:val="32"/>
                <w:szCs w:val="32"/>
              </w:rPr>
              <w:t>浙江</w:t>
            </w:r>
            <w:r>
              <w:rPr>
                <w:rFonts w:hint="eastAsia" w:cs="Arial"/>
                <w:kern w:val="0"/>
                <w:sz w:val="32"/>
                <w:szCs w:val="32"/>
                <w:lang w:eastAsia="zh-CN"/>
              </w:rPr>
              <w:t>中勤招标代理有限公司</w:t>
            </w:r>
          </w:p>
        </w:tc>
      </w:tr>
      <w:tr w14:paraId="194AD3FE">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16CFD7A9">
            <w:pPr>
              <w:pStyle w:val="34"/>
              <w:ind w:firstLine="0" w:firstLineChars="0"/>
              <w:rPr>
                <w:sz w:val="32"/>
                <w:szCs w:val="32"/>
              </w:rPr>
            </w:pPr>
            <w:r>
              <w:rPr>
                <w:rFonts w:hint="eastAsia"/>
                <w:sz w:val="32"/>
                <w:szCs w:val="32"/>
              </w:rPr>
              <w:t>日    期：</w:t>
            </w:r>
          </w:p>
        </w:tc>
        <w:tc>
          <w:tcPr>
            <w:tcW w:w="3855" w:type="pct"/>
            <w:tcBorders>
              <w:top w:val="nil"/>
              <w:left w:val="nil"/>
              <w:bottom w:val="nil"/>
              <w:right w:val="nil"/>
            </w:tcBorders>
            <w:vAlign w:val="center"/>
          </w:tcPr>
          <w:p w14:paraId="31D1CE27">
            <w:pPr>
              <w:pStyle w:val="34"/>
              <w:ind w:firstLine="0" w:firstLineChars="0"/>
              <w:rPr>
                <w:rFonts w:cs="Arial"/>
                <w:kern w:val="0"/>
                <w:sz w:val="32"/>
                <w:szCs w:val="32"/>
              </w:rPr>
            </w:pPr>
            <w:r>
              <w:rPr>
                <w:rFonts w:hint="eastAsia" w:cs="Arial"/>
                <w:kern w:val="0"/>
                <w:sz w:val="32"/>
                <w:szCs w:val="32"/>
              </w:rPr>
              <w:t>二○</w:t>
            </w:r>
            <w:r>
              <w:rPr>
                <w:rFonts w:hint="eastAsia" w:cs="Arial"/>
                <w:kern w:val="0"/>
                <w:sz w:val="32"/>
                <w:szCs w:val="32"/>
                <w:lang w:val="en-US" w:eastAsia="zh-CN"/>
              </w:rPr>
              <w:t>二五</w:t>
            </w:r>
            <w:r>
              <w:rPr>
                <w:rFonts w:hint="eastAsia" w:cs="Arial"/>
                <w:kern w:val="0"/>
                <w:sz w:val="32"/>
                <w:szCs w:val="32"/>
              </w:rPr>
              <w:t>年</w:t>
            </w:r>
            <w:r>
              <w:rPr>
                <w:rFonts w:hint="eastAsia" w:cs="Arial"/>
                <w:color w:val="auto"/>
                <w:kern w:val="0"/>
                <w:sz w:val="32"/>
                <w:szCs w:val="32"/>
                <w:lang w:val="en-US" w:eastAsia="zh-CN"/>
              </w:rPr>
              <w:t>七</w:t>
            </w:r>
            <w:r>
              <w:rPr>
                <w:rFonts w:hint="eastAsia" w:cs="Arial"/>
                <w:color w:val="auto"/>
                <w:kern w:val="0"/>
                <w:sz w:val="32"/>
                <w:szCs w:val="32"/>
              </w:rPr>
              <w:t>月</w:t>
            </w:r>
          </w:p>
        </w:tc>
      </w:tr>
    </w:tbl>
    <w:p w14:paraId="61BB6122">
      <w:pPr>
        <w:pStyle w:val="34"/>
        <w:ind w:firstLine="0" w:firstLineChars="0"/>
      </w:pPr>
    </w:p>
    <w:p w14:paraId="53658287">
      <w:pPr>
        <w:pStyle w:val="34"/>
        <w:ind w:firstLine="480"/>
        <w:rPr>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1A0F4FBC">
      <w:pPr>
        <w:pStyle w:val="34"/>
        <w:ind w:firstLine="0" w:firstLineChars="0"/>
        <w:jc w:val="center"/>
        <w:rPr>
          <w:rFonts w:ascii="黑体" w:hAnsi="黑体" w:eastAsia="黑体"/>
          <w:sz w:val="36"/>
          <w:szCs w:val="36"/>
        </w:rPr>
      </w:pPr>
      <w:r>
        <w:rPr>
          <w:rFonts w:hint="eastAsia" w:ascii="黑体" w:hAnsi="黑体" w:eastAsia="黑体"/>
          <w:sz w:val="36"/>
          <w:szCs w:val="36"/>
        </w:rPr>
        <w:t xml:space="preserve">目 </w:t>
      </w:r>
      <w:r>
        <w:rPr>
          <w:rFonts w:ascii="黑体" w:hAnsi="黑体" w:eastAsia="黑体"/>
          <w:sz w:val="36"/>
          <w:szCs w:val="36"/>
        </w:rPr>
        <w:t xml:space="preserve"> </w:t>
      </w:r>
      <w:r>
        <w:rPr>
          <w:rFonts w:hint="eastAsia" w:ascii="黑体" w:hAnsi="黑体" w:eastAsia="黑体"/>
          <w:sz w:val="36"/>
          <w:szCs w:val="36"/>
        </w:rPr>
        <w:t>录</w:t>
      </w:r>
    </w:p>
    <w:p w14:paraId="1AC8E595">
      <w:pPr>
        <w:pStyle w:val="21"/>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TOC \o "1-2" \h \u </w:instrText>
      </w:r>
      <w:r>
        <w:rPr>
          <w:sz w:val="24"/>
          <w:szCs w:val="24"/>
          <w:lang w:eastAsia="zh-CN"/>
        </w:rPr>
        <w:fldChar w:fldCharType="separate"/>
      </w:r>
      <w:r>
        <w:rPr>
          <w:sz w:val="24"/>
          <w:szCs w:val="24"/>
          <w:lang w:eastAsia="zh-CN"/>
        </w:rPr>
        <w:fldChar w:fldCharType="begin"/>
      </w:r>
      <w:r>
        <w:rPr>
          <w:sz w:val="24"/>
          <w:szCs w:val="24"/>
          <w:lang w:eastAsia="zh-CN"/>
        </w:rPr>
        <w:instrText xml:space="preserve"> HYPERLINK \l _Toc188 </w:instrText>
      </w:r>
      <w:r>
        <w:rPr>
          <w:sz w:val="24"/>
          <w:szCs w:val="24"/>
          <w:lang w:eastAsia="zh-CN"/>
        </w:rPr>
        <w:fldChar w:fldCharType="separate"/>
      </w:r>
      <w:r>
        <w:rPr>
          <w:rFonts w:hint="eastAsia" w:ascii="黑体" w:hAnsi="黑体" w:eastAsia="黑体" w:cs="宋体"/>
          <w:i w:val="0"/>
          <w:sz w:val="24"/>
          <w:szCs w:val="24"/>
        </w:rPr>
        <w:t xml:space="preserve">第一章 </w:t>
      </w:r>
      <w:r>
        <w:rPr>
          <w:rFonts w:hint="eastAsia"/>
          <w:sz w:val="24"/>
          <w:szCs w:val="24"/>
        </w:rPr>
        <w:t>招标公告</w:t>
      </w:r>
      <w:r>
        <w:rPr>
          <w:sz w:val="24"/>
          <w:szCs w:val="24"/>
        </w:rPr>
        <w:tab/>
      </w:r>
      <w:r>
        <w:rPr>
          <w:sz w:val="24"/>
          <w:szCs w:val="24"/>
        </w:rPr>
        <w:fldChar w:fldCharType="begin"/>
      </w:r>
      <w:r>
        <w:rPr>
          <w:sz w:val="24"/>
          <w:szCs w:val="24"/>
        </w:rPr>
        <w:instrText xml:space="preserve"> PAGEREF _Toc188 \h </w:instrText>
      </w:r>
      <w:r>
        <w:rPr>
          <w:sz w:val="24"/>
          <w:szCs w:val="24"/>
        </w:rPr>
        <w:fldChar w:fldCharType="separate"/>
      </w:r>
      <w:r>
        <w:rPr>
          <w:sz w:val="24"/>
          <w:szCs w:val="24"/>
        </w:rPr>
        <w:t>- 1 -</w:t>
      </w:r>
      <w:r>
        <w:rPr>
          <w:sz w:val="24"/>
          <w:szCs w:val="24"/>
        </w:rPr>
        <w:fldChar w:fldCharType="end"/>
      </w:r>
      <w:r>
        <w:rPr>
          <w:sz w:val="24"/>
          <w:szCs w:val="24"/>
          <w:lang w:eastAsia="zh-CN"/>
        </w:rPr>
        <w:fldChar w:fldCharType="end"/>
      </w:r>
    </w:p>
    <w:p w14:paraId="3A0FAAAD">
      <w:pPr>
        <w:pStyle w:val="21"/>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_Toc6660 </w:instrText>
      </w:r>
      <w:r>
        <w:rPr>
          <w:sz w:val="24"/>
          <w:szCs w:val="24"/>
          <w:lang w:eastAsia="zh-CN"/>
        </w:rPr>
        <w:fldChar w:fldCharType="separate"/>
      </w:r>
      <w:r>
        <w:rPr>
          <w:rFonts w:hint="eastAsia" w:ascii="黑体" w:hAnsi="黑体" w:eastAsia="黑体" w:cs="宋体"/>
          <w:i w:val="0"/>
          <w:sz w:val="24"/>
          <w:szCs w:val="24"/>
        </w:rPr>
        <w:t xml:space="preserve">第二章 </w:t>
      </w:r>
      <w:r>
        <w:rPr>
          <w:rFonts w:hint="eastAsia"/>
          <w:sz w:val="24"/>
          <w:szCs w:val="24"/>
          <w:lang w:eastAsia="zh-CN"/>
        </w:rPr>
        <w:t>投标人须知</w:t>
      </w:r>
      <w:r>
        <w:rPr>
          <w:sz w:val="24"/>
          <w:szCs w:val="24"/>
        </w:rPr>
        <w:tab/>
      </w:r>
      <w:r>
        <w:rPr>
          <w:sz w:val="24"/>
          <w:szCs w:val="24"/>
        </w:rPr>
        <w:fldChar w:fldCharType="begin"/>
      </w:r>
      <w:r>
        <w:rPr>
          <w:sz w:val="24"/>
          <w:szCs w:val="24"/>
        </w:rPr>
        <w:instrText xml:space="preserve"> PAGEREF _Toc6660 \h </w:instrText>
      </w:r>
      <w:r>
        <w:rPr>
          <w:sz w:val="24"/>
          <w:szCs w:val="24"/>
        </w:rPr>
        <w:fldChar w:fldCharType="separate"/>
      </w:r>
      <w:r>
        <w:rPr>
          <w:sz w:val="24"/>
          <w:szCs w:val="24"/>
        </w:rPr>
        <w:t>- 6 -</w:t>
      </w:r>
      <w:r>
        <w:rPr>
          <w:sz w:val="24"/>
          <w:szCs w:val="24"/>
        </w:rPr>
        <w:fldChar w:fldCharType="end"/>
      </w:r>
      <w:r>
        <w:rPr>
          <w:sz w:val="24"/>
          <w:szCs w:val="24"/>
          <w:lang w:eastAsia="zh-CN"/>
        </w:rPr>
        <w:fldChar w:fldCharType="end"/>
      </w:r>
    </w:p>
    <w:p w14:paraId="710872FC">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_Toc18865 </w:instrText>
      </w:r>
      <w:r>
        <w:rPr>
          <w:sz w:val="24"/>
          <w:szCs w:val="24"/>
          <w:lang w:eastAsia="zh-CN"/>
        </w:rPr>
        <w:fldChar w:fldCharType="separate"/>
      </w:r>
      <w:r>
        <w:rPr>
          <w:rFonts w:hint="eastAsia"/>
          <w:sz w:val="24"/>
          <w:szCs w:val="24"/>
          <w:lang w:eastAsia="zh-CN"/>
        </w:rPr>
        <w:t>前附表</w:t>
      </w:r>
      <w:r>
        <w:rPr>
          <w:sz w:val="24"/>
          <w:szCs w:val="24"/>
        </w:rPr>
        <w:tab/>
      </w:r>
      <w:r>
        <w:rPr>
          <w:sz w:val="24"/>
          <w:szCs w:val="24"/>
        </w:rPr>
        <w:fldChar w:fldCharType="begin"/>
      </w:r>
      <w:r>
        <w:rPr>
          <w:sz w:val="24"/>
          <w:szCs w:val="24"/>
        </w:rPr>
        <w:instrText xml:space="preserve"> PAGEREF _Toc18865 \h </w:instrText>
      </w:r>
      <w:r>
        <w:rPr>
          <w:sz w:val="24"/>
          <w:szCs w:val="24"/>
        </w:rPr>
        <w:fldChar w:fldCharType="separate"/>
      </w:r>
      <w:r>
        <w:rPr>
          <w:sz w:val="24"/>
          <w:szCs w:val="24"/>
        </w:rPr>
        <w:t>- 6 -</w:t>
      </w:r>
      <w:r>
        <w:rPr>
          <w:sz w:val="24"/>
          <w:szCs w:val="24"/>
        </w:rPr>
        <w:fldChar w:fldCharType="end"/>
      </w:r>
      <w:r>
        <w:rPr>
          <w:sz w:val="24"/>
          <w:szCs w:val="24"/>
          <w:lang w:eastAsia="zh-CN"/>
        </w:rPr>
        <w:fldChar w:fldCharType="end"/>
      </w:r>
    </w:p>
    <w:p w14:paraId="072C840A">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_Toc31948 </w:instrText>
      </w:r>
      <w:r>
        <w:rPr>
          <w:sz w:val="24"/>
          <w:szCs w:val="24"/>
          <w:lang w:eastAsia="zh-CN"/>
        </w:rPr>
        <w:fldChar w:fldCharType="separate"/>
      </w:r>
      <w:r>
        <w:rPr>
          <w:rFonts w:hint="eastAsia" w:ascii="黑体" w:hAnsi="黑体" w:eastAsia="黑体" w:cs="宋体"/>
          <w:i w:val="0"/>
          <w:sz w:val="24"/>
          <w:szCs w:val="24"/>
          <w:lang w:eastAsia="zh-CN"/>
        </w:rPr>
        <w:t xml:space="preserve">一、 </w:t>
      </w:r>
      <w:r>
        <w:rPr>
          <w:rFonts w:hint="eastAsia"/>
          <w:sz w:val="24"/>
          <w:szCs w:val="24"/>
        </w:rPr>
        <w:t>总 则</w:t>
      </w:r>
      <w:r>
        <w:rPr>
          <w:sz w:val="24"/>
          <w:szCs w:val="24"/>
        </w:rPr>
        <w:tab/>
      </w:r>
      <w:r>
        <w:rPr>
          <w:sz w:val="24"/>
          <w:szCs w:val="24"/>
        </w:rPr>
        <w:fldChar w:fldCharType="begin"/>
      </w:r>
      <w:r>
        <w:rPr>
          <w:sz w:val="24"/>
          <w:szCs w:val="24"/>
        </w:rPr>
        <w:instrText xml:space="preserve"> PAGEREF _Toc31948 \h </w:instrText>
      </w:r>
      <w:r>
        <w:rPr>
          <w:sz w:val="24"/>
          <w:szCs w:val="24"/>
        </w:rPr>
        <w:fldChar w:fldCharType="separate"/>
      </w:r>
      <w:r>
        <w:rPr>
          <w:sz w:val="24"/>
          <w:szCs w:val="24"/>
        </w:rPr>
        <w:t>- 10 -</w:t>
      </w:r>
      <w:r>
        <w:rPr>
          <w:sz w:val="24"/>
          <w:szCs w:val="24"/>
        </w:rPr>
        <w:fldChar w:fldCharType="end"/>
      </w:r>
      <w:r>
        <w:rPr>
          <w:sz w:val="24"/>
          <w:szCs w:val="24"/>
          <w:lang w:eastAsia="zh-CN"/>
        </w:rPr>
        <w:fldChar w:fldCharType="end"/>
      </w:r>
    </w:p>
    <w:p w14:paraId="6008C6B0">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_Toc16139 </w:instrText>
      </w:r>
      <w:r>
        <w:rPr>
          <w:sz w:val="24"/>
          <w:szCs w:val="24"/>
          <w:lang w:eastAsia="zh-CN"/>
        </w:rPr>
        <w:fldChar w:fldCharType="separate"/>
      </w:r>
      <w:r>
        <w:rPr>
          <w:rFonts w:hint="eastAsia" w:ascii="黑体" w:hAnsi="黑体" w:eastAsia="黑体" w:cs="宋体"/>
          <w:i w:val="0"/>
          <w:sz w:val="24"/>
          <w:szCs w:val="24"/>
        </w:rPr>
        <w:t xml:space="preserve">二、 </w:t>
      </w:r>
      <w:r>
        <w:rPr>
          <w:rFonts w:hint="eastAsia"/>
          <w:sz w:val="24"/>
          <w:szCs w:val="24"/>
        </w:rPr>
        <w:t>招标文件</w:t>
      </w:r>
      <w:r>
        <w:rPr>
          <w:sz w:val="24"/>
          <w:szCs w:val="24"/>
        </w:rPr>
        <w:tab/>
      </w:r>
      <w:r>
        <w:rPr>
          <w:sz w:val="24"/>
          <w:szCs w:val="24"/>
        </w:rPr>
        <w:fldChar w:fldCharType="begin"/>
      </w:r>
      <w:r>
        <w:rPr>
          <w:sz w:val="24"/>
          <w:szCs w:val="24"/>
        </w:rPr>
        <w:instrText xml:space="preserve"> PAGEREF _Toc16139 \h </w:instrText>
      </w:r>
      <w:r>
        <w:rPr>
          <w:sz w:val="24"/>
          <w:szCs w:val="24"/>
        </w:rPr>
        <w:fldChar w:fldCharType="separate"/>
      </w:r>
      <w:r>
        <w:rPr>
          <w:sz w:val="24"/>
          <w:szCs w:val="24"/>
        </w:rPr>
        <w:t>- 18 -</w:t>
      </w:r>
      <w:r>
        <w:rPr>
          <w:sz w:val="24"/>
          <w:szCs w:val="24"/>
        </w:rPr>
        <w:fldChar w:fldCharType="end"/>
      </w:r>
      <w:r>
        <w:rPr>
          <w:sz w:val="24"/>
          <w:szCs w:val="24"/>
          <w:lang w:eastAsia="zh-CN"/>
        </w:rPr>
        <w:fldChar w:fldCharType="end"/>
      </w:r>
    </w:p>
    <w:p w14:paraId="19F013B8">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_Toc16331 </w:instrText>
      </w:r>
      <w:r>
        <w:rPr>
          <w:sz w:val="24"/>
          <w:szCs w:val="24"/>
          <w:lang w:eastAsia="zh-CN"/>
        </w:rPr>
        <w:fldChar w:fldCharType="separate"/>
      </w:r>
      <w:r>
        <w:rPr>
          <w:rFonts w:hint="eastAsia" w:ascii="黑体" w:hAnsi="黑体" w:eastAsia="黑体" w:cs="宋体"/>
          <w:i w:val="0"/>
          <w:sz w:val="24"/>
          <w:szCs w:val="24"/>
        </w:rPr>
        <w:t xml:space="preserve">三、 </w:t>
      </w:r>
      <w:r>
        <w:rPr>
          <w:rFonts w:hint="eastAsia"/>
          <w:sz w:val="24"/>
          <w:szCs w:val="24"/>
        </w:rPr>
        <w:t>投标文件</w:t>
      </w:r>
      <w:r>
        <w:rPr>
          <w:sz w:val="24"/>
          <w:szCs w:val="24"/>
        </w:rPr>
        <w:tab/>
      </w:r>
      <w:r>
        <w:rPr>
          <w:sz w:val="24"/>
          <w:szCs w:val="24"/>
        </w:rPr>
        <w:fldChar w:fldCharType="begin"/>
      </w:r>
      <w:r>
        <w:rPr>
          <w:sz w:val="24"/>
          <w:szCs w:val="24"/>
        </w:rPr>
        <w:instrText xml:space="preserve"> PAGEREF _Toc16331 \h </w:instrText>
      </w:r>
      <w:r>
        <w:rPr>
          <w:sz w:val="24"/>
          <w:szCs w:val="24"/>
        </w:rPr>
        <w:fldChar w:fldCharType="separate"/>
      </w:r>
      <w:r>
        <w:rPr>
          <w:sz w:val="24"/>
          <w:szCs w:val="24"/>
        </w:rPr>
        <w:t>- 20 -</w:t>
      </w:r>
      <w:r>
        <w:rPr>
          <w:sz w:val="24"/>
          <w:szCs w:val="24"/>
        </w:rPr>
        <w:fldChar w:fldCharType="end"/>
      </w:r>
      <w:r>
        <w:rPr>
          <w:sz w:val="24"/>
          <w:szCs w:val="24"/>
          <w:lang w:eastAsia="zh-CN"/>
        </w:rPr>
        <w:fldChar w:fldCharType="end"/>
      </w:r>
    </w:p>
    <w:p w14:paraId="4799B363">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_Toc6274 </w:instrText>
      </w:r>
      <w:r>
        <w:rPr>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rPr>
        <w:t>投 标</w:t>
      </w:r>
      <w:r>
        <w:rPr>
          <w:sz w:val="24"/>
          <w:szCs w:val="24"/>
        </w:rPr>
        <w:tab/>
      </w:r>
      <w:r>
        <w:rPr>
          <w:sz w:val="24"/>
          <w:szCs w:val="24"/>
        </w:rPr>
        <w:fldChar w:fldCharType="begin"/>
      </w:r>
      <w:r>
        <w:rPr>
          <w:sz w:val="24"/>
          <w:szCs w:val="24"/>
        </w:rPr>
        <w:instrText xml:space="preserve"> PAGEREF _Toc6274 \h </w:instrText>
      </w:r>
      <w:r>
        <w:rPr>
          <w:sz w:val="24"/>
          <w:szCs w:val="24"/>
        </w:rPr>
        <w:fldChar w:fldCharType="separate"/>
      </w:r>
      <w:r>
        <w:rPr>
          <w:sz w:val="24"/>
          <w:szCs w:val="24"/>
        </w:rPr>
        <w:t>- 26 -</w:t>
      </w:r>
      <w:r>
        <w:rPr>
          <w:sz w:val="24"/>
          <w:szCs w:val="24"/>
        </w:rPr>
        <w:fldChar w:fldCharType="end"/>
      </w:r>
      <w:r>
        <w:rPr>
          <w:sz w:val="24"/>
          <w:szCs w:val="24"/>
          <w:lang w:eastAsia="zh-CN"/>
        </w:rPr>
        <w:fldChar w:fldCharType="end"/>
      </w:r>
    </w:p>
    <w:p w14:paraId="62D01D21">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_Toc10536 </w:instrText>
      </w:r>
      <w:r>
        <w:rPr>
          <w:sz w:val="24"/>
          <w:szCs w:val="24"/>
          <w:lang w:eastAsia="zh-CN"/>
        </w:rPr>
        <w:fldChar w:fldCharType="separate"/>
      </w:r>
      <w:r>
        <w:rPr>
          <w:rFonts w:hint="eastAsia" w:ascii="黑体" w:hAnsi="黑体" w:eastAsia="黑体" w:cs="宋体"/>
          <w:i w:val="0"/>
          <w:sz w:val="24"/>
          <w:szCs w:val="24"/>
        </w:rPr>
        <w:t xml:space="preserve">五、 </w:t>
      </w:r>
      <w:r>
        <w:rPr>
          <w:rFonts w:hint="eastAsia"/>
          <w:sz w:val="24"/>
          <w:szCs w:val="24"/>
        </w:rPr>
        <w:t>开 标</w:t>
      </w:r>
      <w:r>
        <w:rPr>
          <w:sz w:val="24"/>
          <w:szCs w:val="24"/>
        </w:rPr>
        <w:tab/>
      </w:r>
      <w:r>
        <w:rPr>
          <w:sz w:val="24"/>
          <w:szCs w:val="24"/>
        </w:rPr>
        <w:fldChar w:fldCharType="begin"/>
      </w:r>
      <w:r>
        <w:rPr>
          <w:sz w:val="24"/>
          <w:szCs w:val="24"/>
        </w:rPr>
        <w:instrText xml:space="preserve"> PAGEREF _Toc10536 \h </w:instrText>
      </w:r>
      <w:r>
        <w:rPr>
          <w:sz w:val="24"/>
          <w:szCs w:val="24"/>
        </w:rPr>
        <w:fldChar w:fldCharType="separate"/>
      </w:r>
      <w:r>
        <w:rPr>
          <w:sz w:val="24"/>
          <w:szCs w:val="24"/>
        </w:rPr>
        <w:t>- 28 -</w:t>
      </w:r>
      <w:r>
        <w:rPr>
          <w:sz w:val="24"/>
          <w:szCs w:val="24"/>
        </w:rPr>
        <w:fldChar w:fldCharType="end"/>
      </w:r>
      <w:r>
        <w:rPr>
          <w:sz w:val="24"/>
          <w:szCs w:val="24"/>
          <w:lang w:eastAsia="zh-CN"/>
        </w:rPr>
        <w:fldChar w:fldCharType="end"/>
      </w:r>
    </w:p>
    <w:p w14:paraId="0A2FFD0C">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_Toc25543 </w:instrText>
      </w:r>
      <w:r>
        <w:rPr>
          <w:sz w:val="24"/>
          <w:szCs w:val="24"/>
          <w:lang w:eastAsia="zh-CN"/>
        </w:rPr>
        <w:fldChar w:fldCharType="separate"/>
      </w:r>
      <w:r>
        <w:rPr>
          <w:rFonts w:hint="eastAsia" w:ascii="黑体" w:hAnsi="黑体" w:eastAsia="黑体" w:cs="宋体"/>
          <w:i w:val="0"/>
          <w:sz w:val="24"/>
          <w:szCs w:val="24"/>
        </w:rPr>
        <w:t xml:space="preserve">六、 </w:t>
      </w:r>
      <w:r>
        <w:rPr>
          <w:sz w:val="24"/>
          <w:szCs w:val="24"/>
        </w:rPr>
        <w:t>资格审查</w:t>
      </w:r>
      <w:r>
        <w:rPr>
          <w:sz w:val="24"/>
          <w:szCs w:val="24"/>
        </w:rPr>
        <w:tab/>
      </w:r>
      <w:r>
        <w:rPr>
          <w:sz w:val="24"/>
          <w:szCs w:val="24"/>
        </w:rPr>
        <w:fldChar w:fldCharType="begin"/>
      </w:r>
      <w:r>
        <w:rPr>
          <w:sz w:val="24"/>
          <w:szCs w:val="24"/>
        </w:rPr>
        <w:instrText xml:space="preserve"> PAGEREF _Toc25543 \h </w:instrText>
      </w:r>
      <w:r>
        <w:rPr>
          <w:sz w:val="24"/>
          <w:szCs w:val="24"/>
        </w:rPr>
        <w:fldChar w:fldCharType="separate"/>
      </w:r>
      <w:r>
        <w:rPr>
          <w:sz w:val="24"/>
          <w:szCs w:val="24"/>
        </w:rPr>
        <w:t>- 30 -</w:t>
      </w:r>
      <w:r>
        <w:rPr>
          <w:sz w:val="24"/>
          <w:szCs w:val="24"/>
        </w:rPr>
        <w:fldChar w:fldCharType="end"/>
      </w:r>
      <w:r>
        <w:rPr>
          <w:sz w:val="24"/>
          <w:szCs w:val="24"/>
          <w:lang w:eastAsia="zh-CN"/>
        </w:rPr>
        <w:fldChar w:fldCharType="end"/>
      </w:r>
    </w:p>
    <w:p w14:paraId="6B14AAB6">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_Toc30569 </w:instrText>
      </w:r>
      <w:r>
        <w:rPr>
          <w:sz w:val="24"/>
          <w:szCs w:val="24"/>
          <w:lang w:eastAsia="zh-CN"/>
        </w:rPr>
        <w:fldChar w:fldCharType="separate"/>
      </w:r>
      <w:r>
        <w:rPr>
          <w:rFonts w:hint="eastAsia" w:ascii="黑体" w:hAnsi="黑体" w:eastAsia="黑体" w:cs="宋体"/>
          <w:i w:val="0"/>
          <w:sz w:val="24"/>
          <w:szCs w:val="24"/>
        </w:rPr>
        <w:t xml:space="preserve">七、 </w:t>
      </w:r>
      <w:r>
        <w:rPr>
          <w:rFonts w:hint="eastAsia"/>
          <w:sz w:val="24"/>
          <w:szCs w:val="24"/>
        </w:rPr>
        <w:t>评 审</w:t>
      </w:r>
      <w:r>
        <w:rPr>
          <w:sz w:val="24"/>
          <w:szCs w:val="24"/>
        </w:rPr>
        <w:tab/>
      </w:r>
      <w:r>
        <w:rPr>
          <w:sz w:val="24"/>
          <w:szCs w:val="24"/>
        </w:rPr>
        <w:fldChar w:fldCharType="begin"/>
      </w:r>
      <w:r>
        <w:rPr>
          <w:sz w:val="24"/>
          <w:szCs w:val="24"/>
        </w:rPr>
        <w:instrText xml:space="preserve"> PAGEREF _Toc30569 \h </w:instrText>
      </w:r>
      <w:r>
        <w:rPr>
          <w:sz w:val="24"/>
          <w:szCs w:val="24"/>
        </w:rPr>
        <w:fldChar w:fldCharType="separate"/>
      </w:r>
      <w:r>
        <w:rPr>
          <w:sz w:val="24"/>
          <w:szCs w:val="24"/>
        </w:rPr>
        <w:t>- 30 -</w:t>
      </w:r>
      <w:r>
        <w:rPr>
          <w:sz w:val="24"/>
          <w:szCs w:val="24"/>
        </w:rPr>
        <w:fldChar w:fldCharType="end"/>
      </w:r>
      <w:r>
        <w:rPr>
          <w:sz w:val="24"/>
          <w:szCs w:val="24"/>
          <w:lang w:eastAsia="zh-CN"/>
        </w:rPr>
        <w:fldChar w:fldCharType="end"/>
      </w:r>
    </w:p>
    <w:p w14:paraId="5C443981">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_Toc5751 </w:instrText>
      </w:r>
      <w:r>
        <w:rPr>
          <w:sz w:val="24"/>
          <w:szCs w:val="24"/>
          <w:lang w:eastAsia="zh-CN"/>
        </w:rPr>
        <w:fldChar w:fldCharType="separate"/>
      </w:r>
      <w:r>
        <w:rPr>
          <w:rFonts w:hint="eastAsia" w:ascii="黑体" w:hAnsi="黑体" w:eastAsia="黑体" w:cs="宋体"/>
          <w:i w:val="0"/>
          <w:sz w:val="24"/>
          <w:szCs w:val="24"/>
        </w:rPr>
        <w:t xml:space="preserve">八、 </w:t>
      </w:r>
      <w:r>
        <w:rPr>
          <w:rFonts w:hint="eastAsia"/>
          <w:sz w:val="24"/>
          <w:szCs w:val="24"/>
        </w:rPr>
        <w:t>定 标</w:t>
      </w:r>
      <w:r>
        <w:rPr>
          <w:sz w:val="24"/>
          <w:szCs w:val="24"/>
        </w:rPr>
        <w:tab/>
      </w:r>
      <w:r>
        <w:rPr>
          <w:sz w:val="24"/>
          <w:szCs w:val="24"/>
        </w:rPr>
        <w:fldChar w:fldCharType="begin"/>
      </w:r>
      <w:r>
        <w:rPr>
          <w:sz w:val="24"/>
          <w:szCs w:val="24"/>
        </w:rPr>
        <w:instrText xml:space="preserve"> PAGEREF _Toc5751 \h </w:instrText>
      </w:r>
      <w:r>
        <w:rPr>
          <w:sz w:val="24"/>
          <w:szCs w:val="24"/>
        </w:rPr>
        <w:fldChar w:fldCharType="separate"/>
      </w:r>
      <w:r>
        <w:rPr>
          <w:sz w:val="24"/>
          <w:szCs w:val="24"/>
        </w:rPr>
        <w:t>- 32 -</w:t>
      </w:r>
      <w:r>
        <w:rPr>
          <w:sz w:val="24"/>
          <w:szCs w:val="24"/>
        </w:rPr>
        <w:fldChar w:fldCharType="end"/>
      </w:r>
      <w:r>
        <w:rPr>
          <w:sz w:val="24"/>
          <w:szCs w:val="24"/>
          <w:lang w:eastAsia="zh-CN"/>
        </w:rPr>
        <w:fldChar w:fldCharType="end"/>
      </w:r>
    </w:p>
    <w:p w14:paraId="3ECA79CA">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_Toc32286 </w:instrText>
      </w:r>
      <w:r>
        <w:rPr>
          <w:sz w:val="24"/>
          <w:szCs w:val="24"/>
          <w:lang w:eastAsia="zh-CN"/>
        </w:rPr>
        <w:fldChar w:fldCharType="separate"/>
      </w:r>
      <w:r>
        <w:rPr>
          <w:rFonts w:hint="eastAsia" w:ascii="黑体" w:hAnsi="黑体" w:eastAsia="黑体" w:cs="宋体"/>
          <w:i w:val="0"/>
          <w:sz w:val="24"/>
          <w:szCs w:val="24"/>
        </w:rPr>
        <w:t xml:space="preserve">九、 </w:t>
      </w:r>
      <w:r>
        <w:rPr>
          <w:sz w:val="24"/>
          <w:szCs w:val="24"/>
        </w:rPr>
        <w:t>合同签订和履约担保</w:t>
      </w:r>
      <w:r>
        <w:rPr>
          <w:sz w:val="24"/>
          <w:szCs w:val="24"/>
        </w:rPr>
        <w:tab/>
      </w:r>
      <w:r>
        <w:rPr>
          <w:sz w:val="24"/>
          <w:szCs w:val="24"/>
        </w:rPr>
        <w:fldChar w:fldCharType="begin"/>
      </w:r>
      <w:r>
        <w:rPr>
          <w:sz w:val="24"/>
          <w:szCs w:val="24"/>
        </w:rPr>
        <w:instrText xml:space="preserve"> PAGEREF _Toc32286 \h </w:instrText>
      </w:r>
      <w:r>
        <w:rPr>
          <w:sz w:val="24"/>
          <w:szCs w:val="24"/>
        </w:rPr>
        <w:fldChar w:fldCharType="separate"/>
      </w:r>
      <w:r>
        <w:rPr>
          <w:sz w:val="24"/>
          <w:szCs w:val="24"/>
        </w:rPr>
        <w:t>- 33 -</w:t>
      </w:r>
      <w:r>
        <w:rPr>
          <w:sz w:val="24"/>
          <w:szCs w:val="24"/>
        </w:rPr>
        <w:fldChar w:fldCharType="end"/>
      </w:r>
      <w:r>
        <w:rPr>
          <w:sz w:val="24"/>
          <w:szCs w:val="24"/>
          <w:lang w:eastAsia="zh-CN"/>
        </w:rPr>
        <w:fldChar w:fldCharType="end"/>
      </w:r>
    </w:p>
    <w:p w14:paraId="2C823F34">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_Toc16550 </w:instrText>
      </w:r>
      <w:r>
        <w:rPr>
          <w:sz w:val="24"/>
          <w:szCs w:val="24"/>
          <w:lang w:eastAsia="zh-CN"/>
        </w:rPr>
        <w:fldChar w:fldCharType="separate"/>
      </w:r>
      <w:r>
        <w:rPr>
          <w:rFonts w:hint="eastAsia" w:ascii="黑体" w:hAnsi="黑体" w:eastAsia="黑体" w:cs="宋体"/>
          <w:i w:val="0"/>
          <w:sz w:val="24"/>
          <w:szCs w:val="24"/>
        </w:rPr>
        <w:t xml:space="preserve">十、 </w:t>
      </w:r>
      <w:r>
        <w:rPr>
          <w:rFonts w:hint="eastAsia"/>
          <w:sz w:val="24"/>
          <w:szCs w:val="24"/>
          <w:lang w:eastAsia="zh-CN"/>
        </w:rPr>
        <w:t>招标</w:t>
      </w:r>
      <w:r>
        <w:rPr>
          <w:sz w:val="24"/>
          <w:szCs w:val="24"/>
        </w:rPr>
        <w:t>代理服务费</w:t>
      </w:r>
      <w:r>
        <w:rPr>
          <w:sz w:val="24"/>
          <w:szCs w:val="24"/>
        </w:rPr>
        <w:tab/>
      </w:r>
      <w:r>
        <w:rPr>
          <w:sz w:val="24"/>
          <w:szCs w:val="24"/>
        </w:rPr>
        <w:fldChar w:fldCharType="begin"/>
      </w:r>
      <w:r>
        <w:rPr>
          <w:sz w:val="24"/>
          <w:szCs w:val="24"/>
        </w:rPr>
        <w:instrText xml:space="preserve"> PAGEREF _Toc16550 \h </w:instrText>
      </w:r>
      <w:r>
        <w:rPr>
          <w:sz w:val="24"/>
          <w:szCs w:val="24"/>
        </w:rPr>
        <w:fldChar w:fldCharType="separate"/>
      </w:r>
      <w:r>
        <w:rPr>
          <w:sz w:val="24"/>
          <w:szCs w:val="24"/>
        </w:rPr>
        <w:t>- 34 -</w:t>
      </w:r>
      <w:r>
        <w:rPr>
          <w:sz w:val="24"/>
          <w:szCs w:val="24"/>
        </w:rPr>
        <w:fldChar w:fldCharType="end"/>
      </w:r>
      <w:r>
        <w:rPr>
          <w:sz w:val="24"/>
          <w:szCs w:val="24"/>
          <w:lang w:eastAsia="zh-CN"/>
        </w:rPr>
        <w:fldChar w:fldCharType="end"/>
      </w:r>
    </w:p>
    <w:p w14:paraId="27C78D94">
      <w:pPr>
        <w:pStyle w:val="21"/>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_Toc29897 </w:instrText>
      </w:r>
      <w:r>
        <w:rPr>
          <w:sz w:val="24"/>
          <w:szCs w:val="24"/>
          <w:lang w:eastAsia="zh-CN"/>
        </w:rPr>
        <w:fldChar w:fldCharType="separate"/>
      </w:r>
      <w:r>
        <w:rPr>
          <w:rFonts w:hint="eastAsia" w:ascii="黑体" w:hAnsi="黑体" w:eastAsia="黑体" w:cs="宋体"/>
          <w:i w:val="0"/>
          <w:sz w:val="24"/>
          <w:szCs w:val="24"/>
        </w:rPr>
        <w:t xml:space="preserve">第三章 </w:t>
      </w:r>
      <w:r>
        <w:rPr>
          <w:rFonts w:hint="eastAsia"/>
          <w:sz w:val="24"/>
          <w:szCs w:val="24"/>
          <w:lang w:eastAsia="zh-CN"/>
        </w:rPr>
        <w:t>项目技术及服务要求</w:t>
      </w:r>
      <w:r>
        <w:rPr>
          <w:sz w:val="24"/>
          <w:szCs w:val="24"/>
        </w:rPr>
        <w:tab/>
      </w:r>
      <w:r>
        <w:rPr>
          <w:sz w:val="24"/>
          <w:szCs w:val="24"/>
        </w:rPr>
        <w:fldChar w:fldCharType="begin"/>
      </w:r>
      <w:r>
        <w:rPr>
          <w:sz w:val="24"/>
          <w:szCs w:val="24"/>
        </w:rPr>
        <w:instrText xml:space="preserve"> PAGEREF _Toc29897 \h </w:instrText>
      </w:r>
      <w:r>
        <w:rPr>
          <w:sz w:val="24"/>
          <w:szCs w:val="24"/>
        </w:rPr>
        <w:fldChar w:fldCharType="separate"/>
      </w:r>
      <w:r>
        <w:rPr>
          <w:sz w:val="24"/>
          <w:szCs w:val="24"/>
        </w:rPr>
        <w:t>- 36 -</w:t>
      </w:r>
      <w:r>
        <w:rPr>
          <w:sz w:val="24"/>
          <w:szCs w:val="24"/>
        </w:rPr>
        <w:fldChar w:fldCharType="end"/>
      </w:r>
      <w:r>
        <w:rPr>
          <w:sz w:val="24"/>
          <w:szCs w:val="24"/>
          <w:lang w:eastAsia="zh-CN"/>
        </w:rPr>
        <w:fldChar w:fldCharType="end"/>
      </w:r>
    </w:p>
    <w:p w14:paraId="2BE8E2C1">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_Toc27807 </w:instrText>
      </w:r>
      <w:r>
        <w:rPr>
          <w:sz w:val="24"/>
          <w:szCs w:val="24"/>
          <w:lang w:eastAsia="zh-CN"/>
        </w:rPr>
        <w:fldChar w:fldCharType="separate"/>
      </w:r>
      <w:r>
        <w:rPr>
          <w:rFonts w:hint="eastAsia" w:ascii="黑体" w:hAnsi="黑体" w:eastAsia="黑体" w:cs="宋体"/>
          <w:i w:val="0"/>
          <w:sz w:val="24"/>
          <w:szCs w:val="24"/>
        </w:rPr>
        <w:t xml:space="preserve">一、 </w:t>
      </w:r>
      <w:r>
        <w:rPr>
          <w:rFonts w:hint="eastAsia"/>
          <w:sz w:val="24"/>
          <w:szCs w:val="24"/>
          <w:highlight w:val="none"/>
          <w:lang w:val="en-US" w:eastAsia="zh-CN"/>
        </w:rPr>
        <w:t>预算安排</w:t>
      </w:r>
      <w:r>
        <w:rPr>
          <w:sz w:val="24"/>
          <w:szCs w:val="24"/>
        </w:rPr>
        <w:tab/>
      </w:r>
      <w:r>
        <w:rPr>
          <w:sz w:val="24"/>
          <w:szCs w:val="24"/>
        </w:rPr>
        <w:fldChar w:fldCharType="begin"/>
      </w:r>
      <w:r>
        <w:rPr>
          <w:sz w:val="24"/>
          <w:szCs w:val="24"/>
        </w:rPr>
        <w:instrText xml:space="preserve"> PAGEREF _Toc27807 \h </w:instrText>
      </w:r>
      <w:r>
        <w:rPr>
          <w:sz w:val="24"/>
          <w:szCs w:val="24"/>
        </w:rPr>
        <w:fldChar w:fldCharType="separate"/>
      </w:r>
      <w:r>
        <w:rPr>
          <w:sz w:val="24"/>
          <w:szCs w:val="24"/>
        </w:rPr>
        <w:t>- 36 -</w:t>
      </w:r>
      <w:r>
        <w:rPr>
          <w:sz w:val="24"/>
          <w:szCs w:val="24"/>
        </w:rPr>
        <w:fldChar w:fldCharType="end"/>
      </w:r>
      <w:r>
        <w:rPr>
          <w:sz w:val="24"/>
          <w:szCs w:val="24"/>
          <w:lang w:eastAsia="zh-CN"/>
        </w:rPr>
        <w:fldChar w:fldCharType="end"/>
      </w:r>
    </w:p>
    <w:p w14:paraId="64C59C6F">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_Toc29200 </w:instrText>
      </w:r>
      <w:r>
        <w:rPr>
          <w:sz w:val="24"/>
          <w:szCs w:val="24"/>
          <w:lang w:eastAsia="zh-CN"/>
        </w:rPr>
        <w:fldChar w:fldCharType="separate"/>
      </w:r>
      <w:r>
        <w:rPr>
          <w:rFonts w:hint="eastAsia" w:ascii="黑体" w:hAnsi="黑体" w:eastAsia="黑体" w:cs="宋体"/>
          <w:i w:val="0"/>
          <w:sz w:val="24"/>
          <w:szCs w:val="24"/>
        </w:rPr>
        <w:t xml:space="preserve">二、 </w:t>
      </w:r>
      <w:r>
        <w:rPr>
          <w:rFonts w:hint="eastAsia"/>
          <w:sz w:val="24"/>
          <w:szCs w:val="24"/>
          <w:lang w:val="en-US" w:eastAsia="zh-CN"/>
        </w:rPr>
        <w:t>具体采购需求</w:t>
      </w:r>
      <w:r>
        <w:rPr>
          <w:sz w:val="24"/>
          <w:szCs w:val="24"/>
        </w:rPr>
        <w:tab/>
      </w:r>
      <w:r>
        <w:rPr>
          <w:sz w:val="24"/>
          <w:szCs w:val="24"/>
        </w:rPr>
        <w:fldChar w:fldCharType="begin"/>
      </w:r>
      <w:r>
        <w:rPr>
          <w:sz w:val="24"/>
          <w:szCs w:val="24"/>
        </w:rPr>
        <w:instrText xml:space="preserve"> PAGEREF _Toc29200 \h </w:instrText>
      </w:r>
      <w:r>
        <w:rPr>
          <w:sz w:val="24"/>
          <w:szCs w:val="24"/>
        </w:rPr>
        <w:fldChar w:fldCharType="separate"/>
      </w:r>
      <w:r>
        <w:rPr>
          <w:sz w:val="24"/>
          <w:szCs w:val="24"/>
        </w:rPr>
        <w:t>- 37 -</w:t>
      </w:r>
      <w:r>
        <w:rPr>
          <w:sz w:val="24"/>
          <w:szCs w:val="24"/>
        </w:rPr>
        <w:fldChar w:fldCharType="end"/>
      </w:r>
      <w:r>
        <w:rPr>
          <w:sz w:val="24"/>
          <w:szCs w:val="24"/>
          <w:lang w:eastAsia="zh-CN"/>
        </w:rPr>
        <w:fldChar w:fldCharType="end"/>
      </w:r>
    </w:p>
    <w:p w14:paraId="51BC495F">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_Toc24017 </w:instrText>
      </w:r>
      <w:r>
        <w:rPr>
          <w:sz w:val="24"/>
          <w:szCs w:val="24"/>
          <w:lang w:eastAsia="zh-CN"/>
        </w:rPr>
        <w:fldChar w:fldCharType="separate"/>
      </w:r>
      <w:r>
        <w:rPr>
          <w:rFonts w:hint="eastAsia"/>
          <w:sz w:val="24"/>
          <w:szCs w:val="24"/>
          <w:lang w:val="en-US" w:eastAsia="zh-CN"/>
        </w:rPr>
        <w:t>（一） 防汛防台视频可视化支撑系统维保服务项目</w:t>
      </w:r>
      <w:r>
        <w:rPr>
          <w:sz w:val="24"/>
          <w:szCs w:val="24"/>
        </w:rPr>
        <w:tab/>
      </w:r>
      <w:r>
        <w:rPr>
          <w:sz w:val="24"/>
          <w:szCs w:val="24"/>
        </w:rPr>
        <w:fldChar w:fldCharType="begin"/>
      </w:r>
      <w:r>
        <w:rPr>
          <w:sz w:val="24"/>
          <w:szCs w:val="24"/>
        </w:rPr>
        <w:instrText xml:space="preserve"> PAGEREF _Toc24017 \h </w:instrText>
      </w:r>
      <w:r>
        <w:rPr>
          <w:sz w:val="24"/>
          <w:szCs w:val="24"/>
        </w:rPr>
        <w:fldChar w:fldCharType="separate"/>
      </w:r>
      <w:r>
        <w:rPr>
          <w:sz w:val="24"/>
          <w:szCs w:val="24"/>
        </w:rPr>
        <w:t>- 37 -</w:t>
      </w:r>
      <w:r>
        <w:rPr>
          <w:sz w:val="24"/>
          <w:szCs w:val="24"/>
        </w:rPr>
        <w:fldChar w:fldCharType="end"/>
      </w:r>
      <w:r>
        <w:rPr>
          <w:sz w:val="24"/>
          <w:szCs w:val="24"/>
          <w:lang w:eastAsia="zh-CN"/>
        </w:rPr>
        <w:fldChar w:fldCharType="end"/>
      </w:r>
    </w:p>
    <w:p w14:paraId="57A5C956">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_Toc7554 </w:instrText>
      </w:r>
      <w:r>
        <w:rPr>
          <w:sz w:val="24"/>
          <w:szCs w:val="24"/>
          <w:lang w:eastAsia="zh-CN"/>
        </w:rPr>
        <w:fldChar w:fldCharType="separate"/>
      </w:r>
      <w:r>
        <w:rPr>
          <w:rFonts w:hint="eastAsia"/>
          <w:sz w:val="24"/>
          <w:szCs w:val="24"/>
          <w:lang w:val="en-US" w:eastAsia="zh-CN"/>
        </w:rPr>
        <w:t>（二） 应急指挥车维护服务</w:t>
      </w:r>
      <w:r>
        <w:rPr>
          <w:sz w:val="24"/>
          <w:szCs w:val="24"/>
        </w:rPr>
        <w:tab/>
      </w:r>
      <w:r>
        <w:rPr>
          <w:sz w:val="24"/>
          <w:szCs w:val="24"/>
        </w:rPr>
        <w:fldChar w:fldCharType="begin"/>
      </w:r>
      <w:r>
        <w:rPr>
          <w:sz w:val="24"/>
          <w:szCs w:val="24"/>
        </w:rPr>
        <w:instrText xml:space="preserve"> PAGEREF _Toc7554 \h </w:instrText>
      </w:r>
      <w:r>
        <w:rPr>
          <w:sz w:val="24"/>
          <w:szCs w:val="24"/>
        </w:rPr>
        <w:fldChar w:fldCharType="separate"/>
      </w:r>
      <w:r>
        <w:rPr>
          <w:sz w:val="24"/>
          <w:szCs w:val="24"/>
        </w:rPr>
        <w:t>- 41 -</w:t>
      </w:r>
      <w:r>
        <w:rPr>
          <w:sz w:val="24"/>
          <w:szCs w:val="24"/>
        </w:rPr>
        <w:fldChar w:fldCharType="end"/>
      </w:r>
      <w:r>
        <w:rPr>
          <w:sz w:val="24"/>
          <w:szCs w:val="24"/>
          <w:lang w:eastAsia="zh-CN"/>
        </w:rPr>
        <w:fldChar w:fldCharType="end"/>
      </w:r>
    </w:p>
    <w:p w14:paraId="23CAB427">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_Toc12292 </w:instrText>
      </w:r>
      <w:r>
        <w:rPr>
          <w:sz w:val="24"/>
          <w:szCs w:val="24"/>
          <w:lang w:eastAsia="zh-CN"/>
        </w:rPr>
        <w:fldChar w:fldCharType="separate"/>
      </w:r>
      <w:r>
        <w:rPr>
          <w:rFonts w:hint="eastAsia"/>
          <w:sz w:val="24"/>
          <w:szCs w:val="24"/>
          <w:lang w:val="en-US" w:eastAsia="zh-CN"/>
        </w:rPr>
        <w:t>（三） 浙里焊数字化拓展推广应用项目运维</w:t>
      </w:r>
      <w:r>
        <w:rPr>
          <w:sz w:val="24"/>
          <w:szCs w:val="24"/>
        </w:rPr>
        <w:tab/>
      </w:r>
      <w:r>
        <w:rPr>
          <w:sz w:val="24"/>
          <w:szCs w:val="24"/>
        </w:rPr>
        <w:fldChar w:fldCharType="begin"/>
      </w:r>
      <w:r>
        <w:rPr>
          <w:sz w:val="24"/>
          <w:szCs w:val="24"/>
        </w:rPr>
        <w:instrText xml:space="preserve"> PAGEREF _Toc12292 \h </w:instrText>
      </w:r>
      <w:r>
        <w:rPr>
          <w:sz w:val="24"/>
          <w:szCs w:val="24"/>
        </w:rPr>
        <w:fldChar w:fldCharType="separate"/>
      </w:r>
      <w:r>
        <w:rPr>
          <w:sz w:val="24"/>
          <w:szCs w:val="24"/>
        </w:rPr>
        <w:t>- 42 -</w:t>
      </w:r>
      <w:r>
        <w:rPr>
          <w:sz w:val="24"/>
          <w:szCs w:val="24"/>
        </w:rPr>
        <w:fldChar w:fldCharType="end"/>
      </w:r>
      <w:r>
        <w:rPr>
          <w:sz w:val="24"/>
          <w:szCs w:val="24"/>
          <w:lang w:eastAsia="zh-CN"/>
        </w:rPr>
        <w:fldChar w:fldCharType="end"/>
      </w:r>
    </w:p>
    <w:p w14:paraId="6DA38E77">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_Toc13423 </w:instrText>
      </w:r>
      <w:r>
        <w:rPr>
          <w:sz w:val="24"/>
          <w:szCs w:val="24"/>
          <w:lang w:eastAsia="zh-CN"/>
        </w:rPr>
        <w:fldChar w:fldCharType="separate"/>
      </w:r>
      <w:r>
        <w:rPr>
          <w:rFonts w:hint="eastAsia"/>
          <w:sz w:val="24"/>
          <w:szCs w:val="24"/>
          <w:lang w:val="en-US" w:eastAsia="zh-CN"/>
        </w:rPr>
        <w:t>（四） 2025年浙江省应急管理厅危化品安全风险监测预警系统维护服务</w:t>
      </w:r>
      <w:r>
        <w:rPr>
          <w:sz w:val="24"/>
          <w:szCs w:val="24"/>
        </w:rPr>
        <w:tab/>
      </w:r>
      <w:r>
        <w:rPr>
          <w:sz w:val="24"/>
          <w:szCs w:val="24"/>
        </w:rPr>
        <w:fldChar w:fldCharType="begin"/>
      </w:r>
      <w:r>
        <w:rPr>
          <w:sz w:val="24"/>
          <w:szCs w:val="24"/>
        </w:rPr>
        <w:instrText xml:space="preserve"> PAGEREF _Toc13423 \h </w:instrText>
      </w:r>
      <w:r>
        <w:rPr>
          <w:sz w:val="24"/>
          <w:szCs w:val="24"/>
        </w:rPr>
        <w:fldChar w:fldCharType="separate"/>
      </w:r>
      <w:r>
        <w:rPr>
          <w:sz w:val="24"/>
          <w:szCs w:val="24"/>
        </w:rPr>
        <w:t>- 45 -</w:t>
      </w:r>
      <w:r>
        <w:rPr>
          <w:sz w:val="24"/>
          <w:szCs w:val="24"/>
        </w:rPr>
        <w:fldChar w:fldCharType="end"/>
      </w:r>
      <w:r>
        <w:rPr>
          <w:sz w:val="24"/>
          <w:szCs w:val="24"/>
          <w:lang w:eastAsia="zh-CN"/>
        </w:rPr>
        <w:fldChar w:fldCharType="end"/>
      </w:r>
    </w:p>
    <w:p w14:paraId="0C611671">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_Toc8518 </w:instrText>
      </w:r>
      <w:r>
        <w:rPr>
          <w:sz w:val="24"/>
          <w:szCs w:val="24"/>
          <w:lang w:eastAsia="zh-CN"/>
        </w:rPr>
        <w:fldChar w:fldCharType="separate"/>
      </w:r>
      <w:r>
        <w:rPr>
          <w:rFonts w:hint="eastAsia"/>
          <w:sz w:val="24"/>
          <w:szCs w:val="24"/>
          <w:lang w:val="en-US" w:eastAsia="zh-CN"/>
        </w:rPr>
        <w:t>（五） 2025年浙江省应急管理厅危化品风险防控大数据平台维护服务</w:t>
      </w:r>
      <w:r>
        <w:rPr>
          <w:sz w:val="24"/>
          <w:szCs w:val="24"/>
        </w:rPr>
        <w:tab/>
      </w:r>
      <w:r>
        <w:rPr>
          <w:sz w:val="24"/>
          <w:szCs w:val="24"/>
        </w:rPr>
        <w:fldChar w:fldCharType="begin"/>
      </w:r>
      <w:r>
        <w:rPr>
          <w:sz w:val="24"/>
          <w:szCs w:val="24"/>
        </w:rPr>
        <w:instrText xml:space="preserve"> PAGEREF _Toc8518 \h </w:instrText>
      </w:r>
      <w:r>
        <w:rPr>
          <w:sz w:val="24"/>
          <w:szCs w:val="24"/>
        </w:rPr>
        <w:fldChar w:fldCharType="separate"/>
      </w:r>
      <w:r>
        <w:rPr>
          <w:sz w:val="24"/>
          <w:szCs w:val="24"/>
        </w:rPr>
        <w:t>- 48 -</w:t>
      </w:r>
      <w:r>
        <w:rPr>
          <w:sz w:val="24"/>
          <w:szCs w:val="24"/>
        </w:rPr>
        <w:fldChar w:fldCharType="end"/>
      </w:r>
      <w:r>
        <w:rPr>
          <w:sz w:val="24"/>
          <w:szCs w:val="24"/>
          <w:lang w:eastAsia="zh-CN"/>
        </w:rPr>
        <w:fldChar w:fldCharType="end"/>
      </w:r>
    </w:p>
    <w:p w14:paraId="2725B06F">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_Toc8875 </w:instrText>
      </w:r>
      <w:r>
        <w:rPr>
          <w:sz w:val="24"/>
          <w:szCs w:val="24"/>
          <w:lang w:eastAsia="zh-CN"/>
        </w:rPr>
        <w:fldChar w:fldCharType="separate"/>
      </w:r>
      <w:r>
        <w:rPr>
          <w:rFonts w:hint="eastAsia"/>
          <w:sz w:val="24"/>
          <w:szCs w:val="24"/>
          <w:lang w:val="en-US" w:eastAsia="zh-CN"/>
        </w:rPr>
        <w:t>（六） 服务总线系统运维服务</w:t>
      </w:r>
      <w:r>
        <w:rPr>
          <w:sz w:val="24"/>
          <w:szCs w:val="24"/>
        </w:rPr>
        <w:tab/>
      </w:r>
      <w:r>
        <w:rPr>
          <w:sz w:val="24"/>
          <w:szCs w:val="24"/>
        </w:rPr>
        <w:fldChar w:fldCharType="begin"/>
      </w:r>
      <w:r>
        <w:rPr>
          <w:sz w:val="24"/>
          <w:szCs w:val="24"/>
        </w:rPr>
        <w:instrText xml:space="preserve"> PAGEREF _Toc8875 \h </w:instrText>
      </w:r>
      <w:r>
        <w:rPr>
          <w:sz w:val="24"/>
          <w:szCs w:val="24"/>
        </w:rPr>
        <w:fldChar w:fldCharType="separate"/>
      </w:r>
      <w:r>
        <w:rPr>
          <w:sz w:val="24"/>
          <w:szCs w:val="24"/>
        </w:rPr>
        <w:t>- 52 -</w:t>
      </w:r>
      <w:r>
        <w:rPr>
          <w:sz w:val="24"/>
          <w:szCs w:val="24"/>
        </w:rPr>
        <w:fldChar w:fldCharType="end"/>
      </w:r>
      <w:r>
        <w:rPr>
          <w:sz w:val="24"/>
          <w:szCs w:val="24"/>
          <w:lang w:eastAsia="zh-CN"/>
        </w:rPr>
        <w:fldChar w:fldCharType="end"/>
      </w:r>
    </w:p>
    <w:p w14:paraId="1F3421B7">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_Toc25648 </w:instrText>
      </w:r>
      <w:r>
        <w:rPr>
          <w:sz w:val="24"/>
          <w:szCs w:val="24"/>
          <w:lang w:eastAsia="zh-CN"/>
        </w:rPr>
        <w:fldChar w:fldCharType="separate"/>
      </w:r>
      <w:r>
        <w:rPr>
          <w:rFonts w:hint="eastAsia"/>
          <w:sz w:val="24"/>
          <w:szCs w:val="24"/>
          <w:lang w:val="en-US" w:eastAsia="zh-CN"/>
        </w:rPr>
        <w:t>（七） 移动视频终端及公网链路</w:t>
      </w:r>
      <w:r>
        <w:rPr>
          <w:sz w:val="24"/>
          <w:szCs w:val="24"/>
        </w:rPr>
        <w:tab/>
      </w:r>
      <w:r>
        <w:rPr>
          <w:sz w:val="24"/>
          <w:szCs w:val="24"/>
        </w:rPr>
        <w:fldChar w:fldCharType="begin"/>
      </w:r>
      <w:r>
        <w:rPr>
          <w:sz w:val="24"/>
          <w:szCs w:val="24"/>
        </w:rPr>
        <w:instrText xml:space="preserve"> PAGEREF _Toc25648 \h </w:instrText>
      </w:r>
      <w:r>
        <w:rPr>
          <w:sz w:val="24"/>
          <w:szCs w:val="24"/>
        </w:rPr>
        <w:fldChar w:fldCharType="separate"/>
      </w:r>
      <w:r>
        <w:rPr>
          <w:sz w:val="24"/>
          <w:szCs w:val="24"/>
        </w:rPr>
        <w:t>- 55 -</w:t>
      </w:r>
      <w:r>
        <w:rPr>
          <w:sz w:val="24"/>
          <w:szCs w:val="24"/>
        </w:rPr>
        <w:fldChar w:fldCharType="end"/>
      </w:r>
      <w:r>
        <w:rPr>
          <w:sz w:val="24"/>
          <w:szCs w:val="24"/>
          <w:lang w:eastAsia="zh-CN"/>
        </w:rPr>
        <w:fldChar w:fldCharType="end"/>
      </w:r>
    </w:p>
    <w:p w14:paraId="6FB034A9">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_Toc13871 </w:instrText>
      </w:r>
      <w:r>
        <w:rPr>
          <w:sz w:val="24"/>
          <w:szCs w:val="24"/>
          <w:lang w:eastAsia="zh-CN"/>
        </w:rPr>
        <w:fldChar w:fldCharType="separate"/>
      </w:r>
      <w:r>
        <w:rPr>
          <w:rFonts w:hint="eastAsia"/>
          <w:sz w:val="24"/>
          <w:szCs w:val="24"/>
          <w:lang w:val="en-US" w:eastAsia="zh-CN"/>
        </w:rPr>
        <w:t>（八） 移动视频会议终端购置</w:t>
      </w:r>
      <w:r>
        <w:rPr>
          <w:sz w:val="24"/>
          <w:szCs w:val="24"/>
        </w:rPr>
        <w:tab/>
      </w:r>
      <w:r>
        <w:rPr>
          <w:sz w:val="24"/>
          <w:szCs w:val="24"/>
        </w:rPr>
        <w:fldChar w:fldCharType="begin"/>
      </w:r>
      <w:r>
        <w:rPr>
          <w:sz w:val="24"/>
          <w:szCs w:val="24"/>
        </w:rPr>
        <w:instrText xml:space="preserve"> PAGEREF _Toc13871 \h </w:instrText>
      </w:r>
      <w:r>
        <w:rPr>
          <w:sz w:val="24"/>
          <w:szCs w:val="24"/>
        </w:rPr>
        <w:fldChar w:fldCharType="separate"/>
      </w:r>
      <w:r>
        <w:rPr>
          <w:sz w:val="24"/>
          <w:szCs w:val="24"/>
        </w:rPr>
        <w:t>- 56 -</w:t>
      </w:r>
      <w:r>
        <w:rPr>
          <w:sz w:val="24"/>
          <w:szCs w:val="24"/>
        </w:rPr>
        <w:fldChar w:fldCharType="end"/>
      </w:r>
      <w:r>
        <w:rPr>
          <w:sz w:val="24"/>
          <w:szCs w:val="24"/>
          <w:lang w:eastAsia="zh-CN"/>
        </w:rPr>
        <w:fldChar w:fldCharType="end"/>
      </w:r>
    </w:p>
    <w:p w14:paraId="4BD1AC49">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_Toc1402 </w:instrText>
      </w:r>
      <w:r>
        <w:rPr>
          <w:sz w:val="24"/>
          <w:szCs w:val="24"/>
          <w:lang w:eastAsia="zh-CN"/>
        </w:rPr>
        <w:fldChar w:fldCharType="separate"/>
      </w:r>
      <w:r>
        <w:rPr>
          <w:rFonts w:hint="eastAsia"/>
          <w:sz w:val="24"/>
          <w:szCs w:val="24"/>
          <w:lang w:val="en-US" w:eastAsia="zh-CN"/>
        </w:rPr>
        <w:t>（九） 视频资源接入服务链路</w:t>
      </w:r>
      <w:r>
        <w:rPr>
          <w:sz w:val="24"/>
          <w:szCs w:val="24"/>
        </w:rPr>
        <w:tab/>
      </w:r>
      <w:r>
        <w:rPr>
          <w:sz w:val="24"/>
          <w:szCs w:val="24"/>
        </w:rPr>
        <w:fldChar w:fldCharType="begin"/>
      </w:r>
      <w:r>
        <w:rPr>
          <w:sz w:val="24"/>
          <w:szCs w:val="24"/>
        </w:rPr>
        <w:instrText xml:space="preserve"> PAGEREF _Toc1402 \h </w:instrText>
      </w:r>
      <w:r>
        <w:rPr>
          <w:sz w:val="24"/>
          <w:szCs w:val="24"/>
        </w:rPr>
        <w:fldChar w:fldCharType="separate"/>
      </w:r>
      <w:r>
        <w:rPr>
          <w:sz w:val="24"/>
          <w:szCs w:val="24"/>
        </w:rPr>
        <w:t>- 57 -</w:t>
      </w:r>
      <w:r>
        <w:rPr>
          <w:sz w:val="24"/>
          <w:szCs w:val="24"/>
        </w:rPr>
        <w:fldChar w:fldCharType="end"/>
      </w:r>
      <w:r>
        <w:rPr>
          <w:sz w:val="24"/>
          <w:szCs w:val="24"/>
          <w:lang w:eastAsia="zh-CN"/>
        </w:rPr>
        <w:fldChar w:fldCharType="end"/>
      </w:r>
    </w:p>
    <w:p w14:paraId="1937D757">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_Toc27890 </w:instrText>
      </w:r>
      <w:r>
        <w:rPr>
          <w:sz w:val="24"/>
          <w:szCs w:val="24"/>
          <w:lang w:eastAsia="zh-CN"/>
        </w:rPr>
        <w:fldChar w:fldCharType="separate"/>
      </w:r>
      <w:r>
        <w:rPr>
          <w:rFonts w:hint="eastAsia"/>
          <w:sz w:val="24"/>
          <w:szCs w:val="24"/>
          <w:lang w:val="en-US" w:eastAsia="zh-CN"/>
        </w:rPr>
        <w:t>（十） 西溪河下88号应急管理宣传教育中心考试监控专线</w:t>
      </w:r>
      <w:r>
        <w:rPr>
          <w:sz w:val="24"/>
          <w:szCs w:val="24"/>
        </w:rPr>
        <w:tab/>
      </w:r>
      <w:r>
        <w:rPr>
          <w:sz w:val="24"/>
          <w:szCs w:val="24"/>
        </w:rPr>
        <w:fldChar w:fldCharType="begin"/>
      </w:r>
      <w:r>
        <w:rPr>
          <w:sz w:val="24"/>
          <w:szCs w:val="24"/>
        </w:rPr>
        <w:instrText xml:space="preserve"> PAGEREF _Toc27890 \h </w:instrText>
      </w:r>
      <w:r>
        <w:rPr>
          <w:sz w:val="24"/>
          <w:szCs w:val="24"/>
        </w:rPr>
        <w:fldChar w:fldCharType="separate"/>
      </w:r>
      <w:r>
        <w:rPr>
          <w:sz w:val="24"/>
          <w:szCs w:val="24"/>
        </w:rPr>
        <w:t>- 58 -</w:t>
      </w:r>
      <w:r>
        <w:rPr>
          <w:sz w:val="24"/>
          <w:szCs w:val="24"/>
        </w:rPr>
        <w:fldChar w:fldCharType="end"/>
      </w:r>
      <w:r>
        <w:rPr>
          <w:sz w:val="24"/>
          <w:szCs w:val="24"/>
          <w:lang w:eastAsia="zh-CN"/>
        </w:rPr>
        <w:fldChar w:fldCharType="end"/>
      </w:r>
    </w:p>
    <w:p w14:paraId="3AC2C649">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_Toc1776 </w:instrText>
      </w:r>
      <w:r>
        <w:rPr>
          <w:sz w:val="24"/>
          <w:szCs w:val="24"/>
          <w:lang w:eastAsia="zh-CN"/>
        </w:rPr>
        <w:fldChar w:fldCharType="separate"/>
      </w:r>
      <w:r>
        <w:rPr>
          <w:rFonts w:hint="eastAsia"/>
          <w:sz w:val="24"/>
          <w:szCs w:val="24"/>
          <w:lang w:val="en-US" w:eastAsia="zh-CN"/>
        </w:rPr>
        <w:t>（十一） 全省重大危险源和可视化平台专线</w:t>
      </w:r>
      <w:r>
        <w:rPr>
          <w:sz w:val="24"/>
          <w:szCs w:val="24"/>
        </w:rPr>
        <w:tab/>
      </w:r>
      <w:r>
        <w:rPr>
          <w:sz w:val="24"/>
          <w:szCs w:val="24"/>
        </w:rPr>
        <w:fldChar w:fldCharType="begin"/>
      </w:r>
      <w:r>
        <w:rPr>
          <w:sz w:val="24"/>
          <w:szCs w:val="24"/>
        </w:rPr>
        <w:instrText xml:space="preserve"> PAGEREF _Toc1776 \h </w:instrText>
      </w:r>
      <w:r>
        <w:rPr>
          <w:sz w:val="24"/>
          <w:szCs w:val="24"/>
        </w:rPr>
        <w:fldChar w:fldCharType="separate"/>
      </w:r>
      <w:r>
        <w:rPr>
          <w:sz w:val="24"/>
          <w:szCs w:val="24"/>
        </w:rPr>
        <w:t>- 59 -</w:t>
      </w:r>
      <w:r>
        <w:rPr>
          <w:sz w:val="24"/>
          <w:szCs w:val="24"/>
        </w:rPr>
        <w:fldChar w:fldCharType="end"/>
      </w:r>
      <w:r>
        <w:rPr>
          <w:sz w:val="24"/>
          <w:szCs w:val="24"/>
          <w:lang w:eastAsia="zh-CN"/>
        </w:rPr>
        <w:fldChar w:fldCharType="end"/>
      </w:r>
    </w:p>
    <w:p w14:paraId="70BB2711">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_Toc5752 </w:instrText>
      </w:r>
      <w:r>
        <w:rPr>
          <w:sz w:val="24"/>
          <w:szCs w:val="24"/>
          <w:lang w:eastAsia="zh-CN"/>
        </w:rPr>
        <w:fldChar w:fldCharType="separate"/>
      </w:r>
      <w:r>
        <w:rPr>
          <w:rFonts w:hint="eastAsia" w:ascii="黑体" w:hAnsi="黑体" w:eastAsia="黑体" w:cs="宋体"/>
          <w:i w:val="0"/>
          <w:sz w:val="24"/>
          <w:szCs w:val="24"/>
          <w:lang w:val="en-US" w:eastAsia="zh-CN"/>
        </w:rPr>
        <w:t xml:space="preserve">三、 </w:t>
      </w:r>
      <w:r>
        <w:rPr>
          <w:rFonts w:hint="eastAsia"/>
          <w:sz w:val="24"/>
          <w:szCs w:val="24"/>
          <w:lang w:val="en-US" w:eastAsia="zh-CN"/>
        </w:rPr>
        <w:t>服务团队要求</w:t>
      </w:r>
      <w:r>
        <w:rPr>
          <w:sz w:val="24"/>
          <w:szCs w:val="24"/>
        </w:rPr>
        <w:tab/>
      </w:r>
      <w:r>
        <w:rPr>
          <w:sz w:val="24"/>
          <w:szCs w:val="24"/>
        </w:rPr>
        <w:fldChar w:fldCharType="begin"/>
      </w:r>
      <w:r>
        <w:rPr>
          <w:sz w:val="24"/>
          <w:szCs w:val="24"/>
        </w:rPr>
        <w:instrText xml:space="preserve"> PAGEREF _Toc5752 \h </w:instrText>
      </w:r>
      <w:r>
        <w:rPr>
          <w:sz w:val="24"/>
          <w:szCs w:val="24"/>
        </w:rPr>
        <w:fldChar w:fldCharType="separate"/>
      </w:r>
      <w:r>
        <w:rPr>
          <w:sz w:val="24"/>
          <w:szCs w:val="24"/>
        </w:rPr>
        <w:t>- 60 -</w:t>
      </w:r>
      <w:r>
        <w:rPr>
          <w:sz w:val="24"/>
          <w:szCs w:val="24"/>
        </w:rPr>
        <w:fldChar w:fldCharType="end"/>
      </w:r>
      <w:r>
        <w:rPr>
          <w:sz w:val="24"/>
          <w:szCs w:val="24"/>
          <w:lang w:eastAsia="zh-CN"/>
        </w:rPr>
        <w:fldChar w:fldCharType="end"/>
      </w:r>
    </w:p>
    <w:p w14:paraId="3FC3B713">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_Toc9027 </w:instrText>
      </w:r>
      <w:r>
        <w:rPr>
          <w:sz w:val="24"/>
          <w:szCs w:val="24"/>
          <w:lang w:eastAsia="zh-CN"/>
        </w:rPr>
        <w:fldChar w:fldCharType="separate"/>
      </w:r>
      <w:r>
        <w:rPr>
          <w:rFonts w:hint="eastAsia" w:ascii="黑体" w:hAnsi="黑体" w:eastAsia="黑体" w:cs="宋体"/>
          <w:i w:val="0"/>
          <w:sz w:val="24"/>
          <w:szCs w:val="24"/>
          <w:lang w:val="en-US" w:eastAsia="zh-CN"/>
        </w:rPr>
        <w:t xml:space="preserve">四、 </w:t>
      </w:r>
      <w:r>
        <w:rPr>
          <w:rFonts w:hint="eastAsia"/>
          <w:sz w:val="24"/>
          <w:szCs w:val="24"/>
          <w:lang w:val="en-US" w:eastAsia="zh-CN"/>
        </w:rPr>
        <w:t>付款条件</w:t>
      </w:r>
      <w:r>
        <w:rPr>
          <w:sz w:val="24"/>
          <w:szCs w:val="24"/>
        </w:rPr>
        <w:tab/>
      </w:r>
      <w:r>
        <w:rPr>
          <w:sz w:val="24"/>
          <w:szCs w:val="24"/>
        </w:rPr>
        <w:fldChar w:fldCharType="begin"/>
      </w:r>
      <w:r>
        <w:rPr>
          <w:sz w:val="24"/>
          <w:szCs w:val="24"/>
        </w:rPr>
        <w:instrText xml:space="preserve"> PAGEREF _Toc9027 \h </w:instrText>
      </w:r>
      <w:r>
        <w:rPr>
          <w:sz w:val="24"/>
          <w:szCs w:val="24"/>
        </w:rPr>
        <w:fldChar w:fldCharType="separate"/>
      </w:r>
      <w:r>
        <w:rPr>
          <w:sz w:val="24"/>
          <w:szCs w:val="24"/>
        </w:rPr>
        <w:t>- 60 -</w:t>
      </w:r>
      <w:r>
        <w:rPr>
          <w:sz w:val="24"/>
          <w:szCs w:val="24"/>
        </w:rPr>
        <w:fldChar w:fldCharType="end"/>
      </w:r>
      <w:r>
        <w:rPr>
          <w:sz w:val="24"/>
          <w:szCs w:val="24"/>
          <w:lang w:eastAsia="zh-CN"/>
        </w:rPr>
        <w:fldChar w:fldCharType="end"/>
      </w:r>
    </w:p>
    <w:p w14:paraId="60B7CFDA">
      <w:pPr>
        <w:pStyle w:val="21"/>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_Toc3816 </w:instrText>
      </w:r>
      <w:r>
        <w:rPr>
          <w:sz w:val="24"/>
          <w:szCs w:val="24"/>
          <w:lang w:eastAsia="zh-CN"/>
        </w:rPr>
        <w:fldChar w:fldCharType="separate"/>
      </w:r>
      <w:r>
        <w:rPr>
          <w:rFonts w:hint="eastAsia" w:ascii="黑体" w:hAnsi="黑体" w:eastAsia="黑体" w:cs="宋体"/>
          <w:i w:val="0"/>
          <w:sz w:val="24"/>
          <w:szCs w:val="24"/>
        </w:rPr>
        <w:t xml:space="preserve">第四章 </w:t>
      </w:r>
      <w:r>
        <w:rPr>
          <w:rFonts w:hint="eastAsia"/>
          <w:sz w:val="24"/>
          <w:szCs w:val="24"/>
          <w:lang w:eastAsia="zh-CN"/>
        </w:rPr>
        <w:t>合同文本</w:t>
      </w:r>
      <w:r>
        <w:rPr>
          <w:sz w:val="24"/>
          <w:szCs w:val="24"/>
        </w:rPr>
        <w:tab/>
      </w:r>
      <w:r>
        <w:rPr>
          <w:sz w:val="24"/>
          <w:szCs w:val="24"/>
        </w:rPr>
        <w:fldChar w:fldCharType="begin"/>
      </w:r>
      <w:r>
        <w:rPr>
          <w:sz w:val="24"/>
          <w:szCs w:val="24"/>
        </w:rPr>
        <w:instrText xml:space="preserve"> PAGEREF _Toc3816 \h </w:instrText>
      </w:r>
      <w:r>
        <w:rPr>
          <w:sz w:val="24"/>
          <w:szCs w:val="24"/>
        </w:rPr>
        <w:fldChar w:fldCharType="separate"/>
      </w:r>
      <w:r>
        <w:rPr>
          <w:sz w:val="24"/>
          <w:szCs w:val="24"/>
        </w:rPr>
        <w:t>- 61 -</w:t>
      </w:r>
      <w:r>
        <w:rPr>
          <w:sz w:val="24"/>
          <w:szCs w:val="24"/>
        </w:rPr>
        <w:fldChar w:fldCharType="end"/>
      </w:r>
      <w:r>
        <w:rPr>
          <w:sz w:val="24"/>
          <w:szCs w:val="24"/>
          <w:lang w:eastAsia="zh-CN"/>
        </w:rPr>
        <w:fldChar w:fldCharType="end"/>
      </w:r>
    </w:p>
    <w:p w14:paraId="6A134671">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_Toc2392 </w:instrText>
      </w:r>
      <w:r>
        <w:rPr>
          <w:sz w:val="24"/>
          <w:szCs w:val="24"/>
          <w:lang w:eastAsia="zh-CN"/>
        </w:rPr>
        <w:fldChar w:fldCharType="separate"/>
      </w:r>
      <w:r>
        <w:rPr>
          <w:rFonts w:hint="eastAsia" w:ascii="黑体" w:hAnsi="黑体" w:eastAsia="黑体" w:cs="宋体"/>
          <w:i w:val="0"/>
          <w:sz w:val="24"/>
          <w:szCs w:val="24"/>
        </w:rPr>
        <w:t xml:space="preserve">一、 </w:t>
      </w:r>
      <w:r>
        <w:rPr>
          <w:rFonts w:hint="eastAsia"/>
          <w:sz w:val="24"/>
          <w:szCs w:val="24"/>
        </w:rPr>
        <w:t>合同协议</w:t>
      </w:r>
      <w:r>
        <w:rPr>
          <w:sz w:val="24"/>
          <w:szCs w:val="24"/>
        </w:rPr>
        <w:tab/>
      </w:r>
      <w:r>
        <w:rPr>
          <w:sz w:val="24"/>
          <w:szCs w:val="24"/>
        </w:rPr>
        <w:fldChar w:fldCharType="begin"/>
      </w:r>
      <w:r>
        <w:rPr>
          <w:sz w:val="24"/>
          <w:szCs w:val="24"/>
        </w:rPr>
        <w:instrText xml:space="preserve"> PAGEREF _Toc2392 \h </w:instrText>
      </w:r>
      <w:r>
        <w:rPr>
          <w:sz w:val="24"/>
          <w:szCs w:val="24"/>
        </w:rPr>
        <w:fldChar w:fldCharType="separate"/>
      </w:r>
      <w:r>
        <w:rPr>
          <w:sz w:val="24"/>
          <w:szCs w:val="24"/>
        </w:rPr>
        <w:t>- 62 -</w:t>
      </w:r>
      <w:r>
        <w:rPr>
          <w:sz w:val="24"/>
          <w:szCs w:val="24"/>
        </w:rPr>
        <w:fldChar w:fldCharType="end"/>
      </w:r>
      <w:r>
        <w:rPr>
          <w:sz w:val="24"/>
          <w:szCs w:val="24"/>
          <w:lang w:eastAsia="zh-CN"/>
        </w:rPr>
        <w:fldChar w:fldCharType="end"/>
      </w:r>
    </w:p>
    <w:p w14:paraId="40034780">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_Toc18335 </w:instrText>
      </w:r>
      <w:r>
        <w:rPr>
          <w:sz w:val="24"/>
          <w:szCs w:val="24"/>
          <w:lang w:eastAsia="zh-CN"/>
        </w:rPr>
        <w:fldChar w:fldCharType="separate"/>
      </w:r>
      <w:r>
        <w:rPr>
          <w:rFonts w:hint="eastAsia" w:ascii="黑体" w:hAnsi="黑体" w:eastAsia="黑体" w:cs="宋体"/>
          <w:i w:val="0"/>
          <w:sz w:val="24"/>
          <w:szCs w:val="24"/>
        </w:rPr>
        <w:t xml:space="preserve">二、 </w:t>
      </w:r>
      <w:r>
        <w:rPr>
          <w:sz w:val="24"/>
          <w:szCs w:val="24"/>
        </w:rPr>
        <w:t>合同一般条款</w:t>
      </w:r>
      <w:r>
        <w:rPr>
          <w:sz w:val="24"/>
          <w:szCs w:val="24"/>
        </w:rPr>
        <w:tab/>
      </w:r>
      <w:r>
        <w:rPr>
          <w:sz w:val="24"/>
          <w:szCs w:val="24"/>
        </w:rPr>
        <w:fldChar w:fldCharType="begin"/>
      </w:r>
      <w:r>
        <w:rPr>
          <w:sz w:val="24"/>
          <w:szCs w:val="24"/>
        </w:rPr>
        <w:instrText xml:space="preserve"> PAGEREF _Toc18335 \h </w:instrText>
      </w:r>
      <w:r>
        <w:rPr>
          <w:sz w:val="24"/>
          <w:szCs w:val="24"/>
        </w:rPr>
        <w:fldChar w:fldCharType="separate"/>
      </w:r>
      <w:r>
        <w:rPr>
          <w:sz w:val="24"/>
          <w:szCs w:val="24"/>
        </w:rPr>
        <w:t>- 64 -</w:t>
      </w:r>
      <w:r>
        <w:rPr>
          <w:sz w:val="24"/>
          <w:szCs w:val="24"/>
        </w:rPr>
        <w:fldChar w:fldCharType="end"/>
      </w:r>
      <w:r>
        <w:rPr>
          <w:sz w:val="24"/>
          <w:szCs w:val="24"/>
          <w:lang w:eastAsia="zh-CN"/>
        </w:rPr>
        <w:fldChar w:fldCharType="end"/>
      </w:r>
    </w:p>
    <w:p w14:paraId="65DD7C19">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_Toc4854 </w:instrText>
      </w:r>
      <w:r>
        <w:rPr>
          <w:sz w:val="24"/>
          <w:szCs w:val="24"/>
          <w:lang w:eastAsia="zh-CN"/>
        </w:rPr>
        <w:fldChar w:fldCharType="separate"/>
      </w:r>
      <w:r>
        <w:rPr>
          <w:rFonts w:hint="eastAsia" w:ascii="黑体" w:hAnsi="黑体" w:eastAsia="黑体" w:cs="黑体"/>
          <w:bCs w:val="0"/>
          <w:sz w:val="24"/>
          <w:szCs w:val="24"/>
        </w:rPr>
        <w:t>三、合同特殊条款</w:t>
      </w:r>
      <w:r>
        <w:rPr>
          <w:sz w:val="24"/>
          <w:szCs w:val="24"/>
        </w:rPr>
        <w:tab/>
      </w:r>
      <w:r>
        <w:rPr>
          <w:sz w:val="24"/>
          <w:szCs w:val="24"/>
        </w:rPr>
        <w:fldChar w:fldCharType="begin"/>
      </w:r>
      <w:r>
        <w:rPr>
          <w:sz w:val="24"/>
          <w:szCs w:val="24"/>
        </w:rPr>
        <w:instrText xml:space="preserve"> PAGEREF _Toc4854 \h </w:instrText>
      </w:r>
      <w:r>
        <w:rPr>
          <w:sz w:val="24"/>
          <w:szCs w:val="24"/>
        </w:rPr>
        <w:fldChar w:fldCharType="separate"/>
      </w:r>
      <w:r>
        <w:rPr>
          <w:sz w:val="24"/>
          <w:szCs w:val="24"/>
        </w:rPr>
        <w:t>- 75 -</w:t>
      </w:r>
      <w:r>
        <w:rPr>
          <w:sz w:val="24"/>
          <w:szCs w:val="24"/>
        </w:rPr>
        <w:fldChar w:fldCharType="end"/>
      </w:r>
      <w:r>
        <w:rPr>
          <w:sz w:val="24"/>
          <w:szCs w:val="24"/>
          <w:lang w:eastAsia="zh-CN"/>
        </w:rPr>
        <w:fldChar w:fldCharType="end"/>
      </w:r>
    </w:p>
    <w:p w14:paraId="52F2AB48">
      <w:pPr>
        <w:pStyle w:val="21"/>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_Toc12703 </w:instrText>
      </w:r>
      <w:r>
        <w:rPr>
          <w:sz w:val="24"/>
          <w:szCs w:val="24"/>
          <w:lang w:eastAsia="zh-CN"/>
        </w:rPr>
        <w:fldChar w:fldCharType="separate"/>
      </w:r>
      <w:r>
        <w:rPr>
          <w:rFonts w:hint="eastAsia" w:ascii="黑体" w:hAnsi="黑体" w:eastAsia="黑体" w:cs="宋体"/>
          <w:i w:val="0"/>
          <w:sz w:val="24"/>
          <w:szCs w:val="24"/>
        </w:rPr>
        <w:t xml:space="preserve">第五章 </w:t>
      </w:r>
      <w:r>
        <w:rPr>
          <w:rFonts w:hint="eastAsia"/>
          <w:sz w:val="24"/>
          <w:szCs w:val="24"/>
        </w:rPr>
        <w:t>评审方法和标准</w:t>
      </w:r>
      <w:r>
        <w:rPr>
          <w:sz w:val="24"/>
          <w:szCs w:val="24"/>
        </w:rPr>
        <w:tab/>
      </w:r>
      <w:r>
        <w:rPr>
          <w:sz w:val="24"/>
          <w:szCs w:val="24"/>
        </w:rPr>
        <w:fldChar w:fldCharType="begin"/>
      </w:r>
      <w:r>
        <w:rPr>
          <w:sz w:val="24"/>
          <w:szCs w:val="24"/>
        </w:rPr>
        <w:instrText xml:space="preserve"> PAGEREF _Toc12703 \h </w:instrText>
      </w:r>
      <w:r>
        <w:rPr>
          <w:sz w:val="24"/>
          <w:szCs w:val="24"/>
        </w:rPr>
        <w:fldChar w:fldCharType="separate"/>
      </w:r>
      <w:r>
        <w:rPr>
          <w:sz w:val="24"/>
          <w:szCs w:val="24"/>
        </w:rPr>
        <w:t>- 77 -</w:t>
      </w:r>
      <w:r>
        <w:rPr>
          <w:sz w:val="24"/>
          <w:szCs w:val="24"/>
        </w:rPr>
        <w:fldChar w:fldCharType="end"/>
      </w:r>
      <w:r>
        <w:rPr>
          <w:sz w:val="24"/>
          <w:szCs w:val="24"/>
          <w:lang w:eastAsia="zh-CN"/>
        </w:rPr>
        <w:fldChar w:fldCharType="end"/>
      </w:r>
    </w:p>
    <w:p w14:paraId="55858415">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_Toc23047 </w:instrText>
      </w:r>
      <w:r>
        <w:rPr>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评审方法</w:t>
      </w:r>
      <w:r>
        <w:rPr>
          <w:sz w:val="24"/>
          <w:szCs w:val="24"/>
        </w:rPr>
        <w:tab/>
      </w:r>
      <w:r>
        <w:rPr>
          <w:sz w:val="24"/>
          <w:szCs w:val="24"/>
        </w:rPr>
        <w:fldChar w:fldCharType="begin"/>
      </w:r>
      <w:r>
        <w:rPr>
          <w:sz w:val="24"/>
          <w:szCs w:val="24"/>
        </w:rPr>
        <w:instrText xml:space="preserve"> PAGEREF _Toc23047 \h </w:instrText>
      </w:r>
      <w:r>
        <w:rPr>
          <w:sz w:val="24"/>
          <w:szCs w:val="24"/>
        </w:rPr>
        <w:fldChar w:fldCharType="separate"/>
      </w:r>
      <w:r>
        <w:rPr>
          <w:sz w:val="24"/>
          <w:szCs w:val="24"/>
        </w:rPr>
        <w:t>- 77 -</w:t>
      </w:r>
      <w:r>
        <w:rPr>
          <w:sz w:val="24"/>
          <w:szCs w:val="24"/>
        </w:rPr>
        <w:fldChar w:fldCharType="end"/>
      </w:r>
      <w:r>
        <w:rPr>
          <w:sz w:val="24"/>
          <w:szCs w:val="24"/>
          <w:lang w:eastAsia="zh-CN"/>
        </w:rPr>
        <w:fldChar w:fldCharType="end"/>
      </w:r>
    </w:p>
    <w:p w14:paraId="30CC7BF9">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_Toc84 </w:instrText>
      </w:r>
      <w:r>
        <w:rPr>
          <w:sz w:val="24"/>
          <w:szCs w:val="24"/>
          <w:lang w:eastAsia="zh-CN"/>
        </w:rPr>
        <w:fldChar w:fldCharType="separate"/>
      </w:r>
      <w:r>
        <w:rPr>
          <w:rFonts w:hint="eastAsia" w:ascii="黑体" w:hAnsi="黑体" w:eastAsia="黑体"/>
          <w:i w:val="0"/>
          <w:sz w:val="24"/>
          <w:szCs w:val="24"/>
        </w:rPr>
        <w:t xml:space="preserve">二、 </w:t>
      </w:r>
      <w:r>
        <w:rPr>
          <w:rFonts w:hint="eastAsia"/>
          <w:sz w:val="24"/>
          <w:szCs w:val="24"/>
          <w:lang w:val="en-US" w:eastAsia="zh-CN"/>
        </w:rPr>
        <w:t>评分标准</w:t>
      </w:r>
      <w:r>
        <w:rPr>
          <w:sz w:val="24"/>
          <w:szCs w:val="24"/>
        </w:rPr>
        <w:tab/>
      </w:r>
      <w:r>
        <w:rPr>
          <w:sz w:val="24"/>
          <w:szCs w:val="24"/>
        </w:rPr>
        <w:fldChar w:fldCharType="begin"/>
      </w:r>
      <w:r>
        <w:rPr>
          <w:sz w:val="24"/>
          <w:szCs w:val="24"/>
        </w:rPr>
        <w:instrText xml:space="preserve"> PAGEREF _Toc84 \h </w:instrText>
      </w:r>
      <w:r>
        <w:rPr>
          <w:sz w:val="24"/>
          <w:szCs w:val="24"/>
        </w:rPr>
        <w:fldChar w:fldCharType="separate"/>
      </w:r>
      <w:r>
        <w:rPr>
          <w:sz w:val="24"/>
          <w:szCs w:val="24"/>
        </w:rPr>
        <w:t>- 77 -</w:t>
      </w:r>
      <w:r>
        <w:rPr>
          <w:sz w:val="24"/>
          <w:szCs w:val="24"/>
        </w:rPr>
        <w:fldChar w:fldCharType="end"/>
      </w:r>
      <w:r>
        <w:rPr>
          <w:sz w:val="24"/>
          <w:szCs w:val="24"/>
          <w:lang w:eastAsia="zh-CN"/>
        </w:rPr>
        <w:fldChar w:fldCharType="end"/>
      </w:r>
    </w:p>
    <w:p w14:paraId="219470B2">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_Toc26828 </w:instrText>
      </w:r>
      <w:r>
        <w:rPr>
          <w:sz w:val="24"/>
          <w:szCs w:val="24"/>
          <w:lang w:eastAsia="zh-CN"/>
        </w:rPr>
        <w:fldChar w:fldCharType="separate"/>
      </w:r>
      <w:r>
        <w:rPr>
          <w:rFonts w:hint="eastAsia" w:ascii="黑体" w:hAnsi="黑体" w:eastAsia="黑体"/>
          <w:i w:val="0"/>
          <w:sz w:val="24"/>
          <w:szCs w:val="24"/>
        </w:rPr>
        <w:t xml:space="preserve">三、 </w:t>
      </w:r>
      <w:r>
        <w:rPr>
          <w:rFonts w:hint="eastAsia"/>
          <w:sz w:val="24"/>
          <w:szCs w:val="24"/>
        </w:rPr>
        <w:t>评审流程及内容</w:t>
      </w:r>
      <w:r>
        <w:rPr>
          <w:sz w:val="24"/>
          <w:szCs w:val="24"/>
        </w:rPr>
        <w:tab/>
      </w:r>
      <w:r>
        <w:rPr>
          <w:sz w:val="24"/>
          <w:szCs w:val="24"/>
        </w:rPr>
        <w:fldChar w:fldCharType="begin"/>
      </w:r>
      <w:r>
        <w:rPr>
          <w:sz w:val="24"/>
          <w:szCs w:val="24"/>
        </w:rPr>
        <w:instrText xml:space="preserve"> PAGEREF _Toc26828 \h </w:instrText>
      </w:r>
      <w:r>
        <w:rPr>
          <w:sz w:val="24"/>
          <w:szCs w:val="24"/>
        </w:rPr>
        <w:fldChar w:fldCharType="separate"/>
      </w:r>
      <w:r>
        <w:rPr>
          <w:sz w:val="24"/>
          <w:szCs w:val="24"/>
        </w:rPr>
        <w:t>- 83 -</w:t>
      </w:r>
      <w:r>
        <w:rPr>
          <w:sz w:val="24"/>
          <w:szCs w:val="24"/>
        </w:rPr>
        <w:fldChar w:fldCharType="end"/>
      </w:r>
      <w:r>
        <w:rPr>
          <w:sz w:val="24"/>
          <w:szCs w:val="24"/>
          <w:lang w:eastAsia="zh-CN"/>
        </w:rPr>
        <w:fldChar w:fldCharType="end"/>
      </w:r>
    </w:p>
    <w:p w14:paraId="0C3F9218">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_Toc12151 </w:instrText>
      </w:r>
      <w:r>
        <w:rPr>
          <w:sz w:val="24"/>
          <w:szCs w:val="24"/>
          <w:lang w:eastAsia="zh-CN"/>
        </w:rPr>
        <w:fldChar w:fldCharType="separate"/>
      </w:r>
      <w:r>
        <w:rPr>
          <w:rFonts w:hint="eastAsia" w:ascii="黑体" w:hAnsi="黑体" w:eastAsia="黑体"/>
          <w:i w:val="0"/>
          <w:kern w:val="0"/>
          <w:sz w:val="24"/>
          <w:szCs w:val="24"/>
        </w:rPr>
        <w:t xml:space="preserve">四、 </w:t>
      </w:r>
      <w:r>
        <w:rPr>
          <w:rFonts w:hint="eastAsia"/>
          <w:sz w:val="24"/>
          <w:szCs w:val="24"/>
        </w:rPr>
        <w:t>投标文件的澄清、说明</w:t>
      </w:r>
      <w:r>
        <w:rPr>
          <w:sz w:val="24"/>
          <w:szCs w:val="24"/>
        </w:rPr>
        <w:tab/>
      </w:r>
      <w:r>
        <w:rPr>
          <w:sz w:val="24"/>
          <w:szCs w:val="24"/>
        </w:rPr>
        <w:fldChar w:fldCharType="begin"/>
      </w:r>
      <w:r>
        <w:rPr>
          <w:sz w:val="24"/>
          <w:szCs w:val="24"/>
        </w:rPr>
        <w:instrText xml:space="preserve"> PAGEREF _Toc12151 \h </w:instrText>
      </w:r>
      <w:r>
        <w:rPr>
          <w:sz w:val="24"/>
          <w:szCs w:val="24"/>
        </w:rPr>
        <w:fldChar w:fldCharType="separate"/>
      </w:r>
      <w:r>
        <w:rPr>
          <w:sz w:val="24"/>
          <w:szCs w:val="24"/>
        </w:rPr>
        <w:t>- 87 -</w:t>
      </w:r>
      <w:r>
        <w:rPr>
          <w:sz w:val="24"/>
          <w:szCs w:val="24"/>
        </w:rPr>
        <w:fldChar w:fldCharType="end"/>
      </w:r>
      <w:r>
        <w:rPr>
          <w:sz w:val="24"/>
          <w:szCs w:val="24"/>
          <w:lang w:eastAsia="zh-CN"/>
        </w:rPr>
        <w:fldChar w:fldCharType="end"/>
      </w:r>
    </w:p>
    <w:p w14:paraId="162FA387">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_Toc25773 </w:instrText>
      </w:r>
      <w:r>
        <w:rPr>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重新评审</w:t>
      </w:r>
      <w:r>
        <w:rPr>
          <w:sz w:val="24"/>
          <w:szCs w:val="24"/>
        </w:rPr>
        <w:tab/>
      </w:r>
      <w:r>
        <w:rPr>
          <w:sz w:val="24"/>
          <w:szCs w:val="24"/>
        </w:rPr>
        <w:fldChar w:fldCharType="begin"/>
      </w:r>
      <w:r>
        <w:rPr>
          <w:sz w:val="24"/>
          <w:szCs w:val="24"/>
        </w:rPr>
        <w:instrText xml:space="preserve"> PAGEREF _Toc25773 \h </w:instrText>
      </w:r>
      <w:r>
        <w:rPr>
          <w:sz w:val="24"/>
          <w:szCs w:val="24"/>
        </w:rPr>
        <w:fldChar w:fldCharType="separate"/>
      </w:r>
      <w:r>
        <w:rPr>
          <w:sz w:val="24"/>
          <w:szCs w:val="24"/>
        </w:rPr>
        <w:t>- 88 -</w:t>
      </w:r>
      <w:r>
        <w:rPr>
          <w:sz w:val="24"/>
          <w:szCs w:val="24"/>
        </w:rPr>
        <w:fldChar w:fldCharType="end"/>
      </w:r>
      <w:r>
        <w:rPr>
          <w:sz w:val="24"/>
          <w:szCs w:val="24"/>
          <w:lang w:eastAsia="zh-CN"/>
        </w:rPr>
        <w:fldChar w:fldCharType="end"/>
      </w:r>
    </w:p>
    <w:p w14:paraId="1888461B">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_Toc19741 </w:instrText>
      </w:r>
      <w:r>
        <w:rPr>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评审</w:t>
      </w:r>
      <w:r>
        <w:rPr>
          <w:rFonts w:hint="eastAsia"/>
          <w:sz w:val="24"/>
          <w:szCs w:val="24"/>
          <w:lang w:val="en-US" w:eastAsia="zh-Hans"/>
        </w:rPr>
        <w:t>过程中的特别</w:t>
      </w:r>
      <w:r>
        <w:rPr>
          <w:rFonts w:hint="eastAsia"/>
          <w:sz w:val="24"/>
          <w:szCs w:val="24"/>
        </w:rPr>
        <w:t>规定</w:t>
      </w:r>
      <w:r>
        <w:rPr>
          <w:sz w:val="24"/>
          <w:szCs w:val="24"/>
        </w:rPr>
        <w:tab/>
      </w:r>
      <w:r>
        <w:rPr>
          <w:sz w:val="24"/>
          <w:szCs w:val="24"/>
        </w:rPr>
        <w:fldChar w:fldCharType="begin"/>
      </w:r>
      <w:r>
        <w:rPr>
          <w:sz w:val="24"/>
          <w:szCs w:val="24"/>
        </w:rPr>
        <w:instrText xml:space="preserve"> PAGEREF _Toc19741 \h </w:instrText>
      </w:r>
      <w:r>
        <w:rPr>
          <w:sz w:val="24"/>
          <w:szCs w:val="24"/>
        </w:rPr>
        <w:fldChar w:fldCharType="separate"/>
      </w:r>
      <w:r>
        <w:rPr>
          <w:sz w:val="24"/>
          <w:szCs w:val="24"/>
        </w:rPr>
        <w:t>- 88 -</w:t>
      </w:r>
      <w:r>
        <w:rPr>
          <w:sz w:val="24"/>
          <w:szCs w:val="24"/>
        </w:rPr>
        <w:fldChar w:fldCharType="end"/>
      </w:r>
      <w:r>
        <w:rPr>
          <w:sz w:val="24"/>
          <w:szCs w:val="24"/>
          <w:lang w:eastAsia="zh-CN"/>
        </w:rPr>
        <w:fldChar w:fldCharType="end"/>
      </w:r>
    </w:p>
    <w:p w14:paraId="45D804D1">
      <w:pPr>
        <w:pStyle w:val="21"/>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_Toc20619 </w:instrText>
      </w:r>
      <w:r>
        <w:rPr>
          <w:sz w:val="24"/>
          <w:szCs w:val="24"/>
          <w:lang w:eastAsia="zh-CN"/>
        </w:rPr>
        <w:fldChar w:fldCharType="separate"/>
      </w:r>
      <w:r>
        <w:rPr>
          <w:rFonts w:hint="eastAsia" w:ascii="黑体" w:hAnsi="黑体" w:eastAsia="黑体" w:cs="宋体"/>
          <w:i w:val="0"/>
          <w:sz w:val="24"/>
          <w:szCs w:val="24"/>
        </w:rPr>
        <w:t xml:space="preserve">第六章 </w:t>
      </w:r>
      <w:r>
        <w:rPr>
          <w:rFonts w:hint="eastAsia"/>
          <w:sz w:val="24"/>
          <w:szCs w:val="24"/>
          <w:lang w:eastAsia="zh-CN"/>
        </w:rPr>
        <w:t>投标文件部分格式文本</w:t>
      </w:r>
      <w:r>
        <w:rPr>
          <w:sz w:val="24"/>
          <w:szCs w:val="24"/>
        </w:rPr>
        <w:tab/>
      </w:r>
      <w:r>
        <w:rPr>
          <w:sz w:val="24"/>
          <w:szCs w:val="24"/>
        </w:rPr>
        <w:fldChar w:fldCharType="begin"/>
      </w:r>
      <w:r>
        <w:rPr>
          <w:sz w:val="24"/>
          <w:szCs w:val="24"/>
        </w:rPr>
        <w:instrText xml:space="preserve"> PAGEREF _Toc20619 \h </w:instrText>
      </w:r>
      <w:r>
        <w:rPr>
          <w:sz w:val="24"/>
          <w:szCs w:val="24"/>
        </w:rPr>
        <w:fldChar w:fldCharType="separate"/>
      </w:r>
      <w:r>
        <w:rPr>
          <w:sz w:val="24"/>
          <w:szCs w:val="24"/>
        </w:rPr>
        <w:t>- 91 -</w:t>
      </w:r>
      <w:r>
        <w:rPr>
          <w:sz w:val="24"/>
          <w:szCs w:val="24"/>
        </w:rPr>
        <w:fldChar w:fldCharType="end"/>
      </w:r>
      <w:r>
        <w:rPr>
          <w:sz w:val="24"/>
          <w:szCs w:val="24"/>
          <w:lang w:eastAsia="zh-CN"/>
        </w:rPr>
        <w:fldChar w:fldCharType="end"/>
      </w:r>
    </w:p>
    <w:p w14:paraId="04A41538">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_Toc20789 </w:instrText>
      </w:r>
      <w:r>
        <w:rPr>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格式文本使用说明</w:t>
      </w:r>
      <w:r>
        <w:rPr>
          <w:sz w:val="24"/>
          <w:szCs w:val="24"/>
        </w:rPr>
        <w:tab/>
      </w:r>
      <w:r>
        <w:rPr>
          <w:sz w:val="24"/>
          <w:szCs w:val="24"/>
        </w:rPr>
        <w:fldChar w:fldCharType="begin"/>
      </w:r>
      <w:r>
        <w:rPr>
          <w:sz w:val="24"/>
          <w:szCs w:val="24"/>
        </w:rPr>
        <w:instrText xml:space="preserve"> PAGEREF _Toc20789 \h </w:instrText>
      </w:r>
      <w:r>
        <w:rPr>
          <w:sz w:val="24"/>
          <w:szCs w:val="24"/>
        </w:rPr>
        <w:fldChar w:fldCharType="separate"/>
      </w:r>
      <w:r>
        <w:rPr>
          <w:sz w:val="24"/>
          <w:szCs w:val="24"/>
        </w:rPr>
        <w:t>- 91 -</w:t>
      </w:r>
      <w:r>
        <w:rPr>
          <w:sz w:val="24"/>
          <w:szCs w:val="24"/>
        </w:rPr>
        <w:fldChar w:fldCharType="end"/>
      </w:r>
      <w:r>
        <w:rPr>
          <w:sz w:val="24"/>
          <w:szCs w:val="24"/>
          <w:lang w:eastAsia="zh-CN"/>
        </w:rPr>
        <w:fldChar w:fldCharType="end"/>
      </w:r>
    </w:p>
    <w:p w14:paraId="7A9C3CB0">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_Toc10954 </w:instrText>
      </w:r>
      <w:r>
        <w:rPr>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符合参加政府采购活动应当具备的一般条件的承诺函</w:t>
      </w:r>
      <w:r>
        <w:rPr>
          <w:sz w:val="24"/>
          <w:szCs w:val="24"/>
        </w:rPr>
        <w:tab/>
      </w:r>
      <w:r>
        <w:rPr>
          <w:sz w:val="24"/>
          <w:szCs w:val="24"/>
        </w:rPr>
        <w:fldChar w:fldCharType="begin"/>
      </w:r>
      <w:r>
        <w:rPr>
          <w:sz w:val="24"/>
          <w:szCs w:val="24"/>
        </w:rPr>
        <w:instrText xml:space="preserve"> PAGEREF _Toc10954 \h </w:instrText>
      </w:r>
      <w:r>
        <w:rPr>
          <w:sz w:val="24"/>
          <w:szCs w:val="24"/>
        </w:rPr>
        <w:fldChar w:fldCharType="separate"/>
      </w:r>
      <w:r>
        <w:rPr>
          <w:sz w:val="24"/>
          <w:szCs w:val="24"/>
        </w:rPr>
        <w:t>- 92 -</w:t>
      </w:r>
      <w:r>
        <w:rPr>
          <w:sz w:val="24"/>
          <w:szCs w:val="24"/>
        </w:rPr>
        <w:fldChar w:fldCharType="end"/>
      </w:r>
      <w:r>
        <w:rPr>
          <w:sz w:val="24"/>
          <w:szCs w:val="24"/>
          <w:lang w:eastAsia="zh-CN"/>
        </w:rPr>
        <w:fldChar w:fldCharType="end"/>
      </w:r>
    </w:p>
    <w:p w14:paraId="5A0B1184">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_Toc22019 </w:instrText>
      </w:r>
      <w:r>
        <w:rPr>
          <w:sz w:val="24"/>
          <w:szCs w:val="24"/>
          <w:lang w:eastAsia="zh-CN"/>
        </w:rPr>
        <w:fldChar w:fldCharType="separate"/>
      </w:r>
      <w:r>
        <w:rPr>
          <w:rFonts w:hint="eastAsia" w:ascii="黑体" w:hAnsi="黑体" w:eastAsia="黑体"/>
          <w:i w:val="0"/>
          <w:sz w:val="24"/>
          <w:szCs w:val="24"/>
        </w:rPr>
        <w:t xml:space="preserve">三、 </w:t>
      </w:r>
      <w:r>
        <w:rPr>
          <w:rFonts w:hint="eastAsia"/>
          <w:sz w:val="24"/>
          <w:szCs w:val="24"/>
        </w:rPr>
        <w:t>投标函</w:t>
      </w:r>
      <w:r>
        <w:rPr>
          <w:sz w:val="24"/>
          <w:szCs w:val="24"/>
        </w:rPr>
        <w:tab/>
      </w:r>
      <w:r>
        <w:rPr>
          <w:sz w:val="24"/>
          <w:szCs w:val="24"/>
        </w:rPr>
        <w:fldChar w:fldCharType="begin"/>
      </w:r>
      <w:r>
        <w:rPr>
          <w:sz w:val="24"/>
          <w:szCs w:val="24"/>
        </w:rPr>
        <w:instrText xml:space="preserve"> PAGEREF _Toc22019 \h </w:instrText>
      </w:r>
      <w:r>
        <w:rPr>
          <w:sz w:val="24"/>
          <w:szCs w:val="24"/>
        </w:rPr>
        <w:fldChar w:fldCharType="separate"/>
      </w:r>
      <w:r>
        <w:rPr>
          <w:sz w:val="24"/>
          <w:szCs w:val="24"/>
        </w:rPr>
        <w:t>- 93 -</w:t>
      </w:r>
      <w:r>
        <w:rPr>
          <w:sz w:val="24"/>
          <w:szCs w:val="24"/>
        </w:rPr>
        <w:fldChar w:fldCharType="end"/>
      </w:r>
      <w:r>
        <w:rPr>
          <w:sz w:val="24"/>
          <w:szCs w:val="24"/>
          <w:lang w:eastAsia="zh-CN"/>
        </w:rPr>
        <w:fldChar w:fldCharType="end"/>
      </w:r>
    </w:p>
    <w:p w14:paraId="4FFCD4A1">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_Toc3170 </w:instrText>
      </w:r>
      <w:r>
        <w:rPr>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政府采购供应商廉洁自律承诺书</w:t>
      </w:r>
      <w:r>
        <w:rPr>
          <w:sz w:val="24"/>
          <w:szCs w:val="24"/>
        </w:rPr>
        <w:tab/>
      </w:r>
      <w:r>
        <w:rPr>
          <w:sz w:val="24"/>
          <w:szCs w:val="24"/>
        </w:rPr>
        <w:fldChar w:fldCharType="begin"/>
      </w:r>
      <w:r>
        <w:rPr>
          <w:sz w:val="24"/>
          <w:szCs w:val="24"/>
        </w:rPr>
        <w:instrText xml:space="preserve"> PAGEREF _Toc3170 \h </w:instrText>
      </w:r>
      <w:r>
        <w:rPr>
          <w:sz w:val="24"/>
          <w:szCs w:val="24"/>
        </w:rPr>
        <w:fldChar w:fldCharType="separate"/>
      </w:r>
      <w:r>
        <w:rPr>
          <w:sz w:val="24"/>
          <w:szCs w:val="24"/>
        </w:rPr>
        <w:t>- 95 -</w:t>
      </w:r>
      <w:r>
        <w:rPr>
          <w:sz w:val="24"/>
          <w:szCs w:val="24"/>
        </w:rPr>
        <w:fldChar w:fldCharType="end"/>
      </w:r>
      <w:r>
        <w:rPr>
          <w:sz w:val="24"/>
          <w:szCs w:val="24"/>
          <w:lang w:eastAsia="zh-CN"/>
        </w:rPr>
        <w:fldChar w:fldCharType="end"/>
      </w:r>
    </w:p>
    <w:p w14:paraId="4AF47321">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_Toc24917 </w:instrText>
      </w:r>
      <w:r>
        <w:rPr>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法定代表人身份证明</w:t>
      </w:r>
      <w:r>
        <w:rPr>
          <w:sz w:val="24"/>
          <w:szCs w:val="24"/>
        </w:rPr>
        <w:tab/>
      </w:r>
      <w:r>
        <w:rPr>
          <w:sz w:val="24"/>
          <w:szCs w:val="24"/>
        </w:rPr>
        <w:fldChar w:fldCharType="begin"/>
      </w:r>
      <w:r>
        <w:rPr>
          <w:sz w:val="24"/>
          <w:szCs w:val="24"/>
        </w:rPr>
        <w:instrText xml:space="preserve"> PAGEREF _Toc24917 \h </w:instrText>
      </w:r>
      <w:r>
        <w:rPr>
          <w:sz w:val="24"/>
          <w:szCs w:val="24"/>
        </w:rPr>
        <w:fldChar w:fldCharType="separate"/>
      </w:r>
      <w:r>
        <w:rPr>
          <w:sz w:val="24"/>
          <w:szCs w:val="24"/>
        </w:rPr>
        <w:t>- 96 -</w:t>
      </w:r>
      <w:r>
        <w:rPr>
          <w:sz w:val="24"/>
          <w:szCs w:val="24"/>
        </w:rPr>
        <w:fldChar w:fldCharType="end"/>
      </w:r>
      <w:r>
        <w:rPr>
          <w:sz w:val="24"/>
          <w:szCs w:val="24"/>
          <w:lang w:eastAsia="zh-CN"/>
        </w:rPr>
        <w:fldChar w:fldCharType="end"/>
      </w:r>
    </w:p>
    <w:p w14:paraId="221BFA60">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_Toc22968 </w:instrText>
      </w:r>
      <w:r>
        <w:rPr>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授权委托书</w:t>
      </w:r>
      <w:r>
        <w:rPr>
          <w:sz w:val="24"/>
          <w:szCs w:val="24"/>
        </w:rPr>
        <w:tab/>
      </w:r>
      <w:r>
        <w:rPr>
          <w:sz w:val="24"/>
          <w:szCs w:val="24"/>
        </w:rPr>
        <w:fldChar w:fldCharType="begin"/>
      </w:r>
      <w:r>
        <w:rPr>
          <w:sz w:val="24"/>
          <w:szCs w:val="24"/>
        </w:rPr>
        <w:instrText xml:space="preserve"> PAGEREF _Toc22968 \h </w:instrText>
      </w:r>
      <w:r>
        <w:rPr>
          <w:sz w:val="24"/>
          <w:szCs w:val="24"/>
        </w:rPr>
        <w:fldChar w:fldCharType="separate"/>
      </w:r>
      <w:r>
        <w:rPr>
          <w:sz w:val="24"/>
          <w:szCs w:val="24"/>
        </w:rPr>
        <w:t>- 97 -</w:t>
      </w:r>
      <w:r>
        <w:rPr>
          <w:sz w:val="24"/>
          <w:szCs w:val="24"/>
        </w:rPr>
        <w:fldChar w:fldCharType="end"/>
      </w:r>
      <w:r>
        <w:rPr>
          <w:sz w:val="24"/>
          <w:szCs w:val="24"/>
          <w:lang w:eastAsia="zh-CN"/>
        </w:rPr>
        <w:fldChar w:fldCharType="end"/>
      </w:r>
    </w:p>
    <w:p w14:paraId="45E1F666">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_Toc11402 </w:instrText>
      </w:r>
      <w:r>
        <w:rPr>
          <w:sz w:val="24"/>
          <w:szCs w:val="24"/>
          <w:lang w:eastAsia="zh-CN"/>
        </w:rPr>
        <w:fldChar w:fldCharType="separate"/>
      </w:r>
      <w:r>
        <w:rPr>
          <w:rFonts w:hint="eastAsia" w:ascii="黑体" w:hAnsi="黑体" w:eastAsia="黑体"/>
          <w:i w:val="0"/>
          <w:sz w:val="24"/>
          <w:szCs w:val="24"/>
        </w:rPr>
        <w:t xml:space="preserve">七、 </w:t>
      </w:r>
      <w:r>
        <w:rPr>
          <w:rFonts w:hint="eastAsia"/>
          <w:sz w:val="24"/>
          <w:szCs w:val="24"/>
        </w:rPr>
        <w:t>联合协议</w:t>
      </w:r>
      <w:r>
        <w:rPr>
          <w:sz w:val="24"/>
          <w:szCs w:val="24"/>
        </w:rPr>
        <w:tab/>
      </w:r>
      <w:r>
        <w:rPr>
          <w:sz w:val="24"/>
          <w:szCs w:val="24"/>
        </w:rPr>
        <w:fldChar w:fldCharType="begin"/>
      </w:r>
      <w:r>
        <w:rPr>
          <w:sz w:val="24"/>
          <w:szCs w:val="24"/>
        </w:rPr>
        <w:instrText xml:space="preserve"> PAGEREF _Toc11402 \h </w:instrText>
      </w:r>
      <w:r>
        <w:rPr>
          <w:sz w:val="24"/>
          <w:szCs w:val="24"/>
        </w:rPr>
        <w:fldChar w:fldCharType="separate"/>
      </w:r>
      <w:r>
        <w:rPr>
          <w:sz w:val="24"/>
          <w:szCs w:val="24"/>
        </w:rPr>
        <w:t>- 98 -</w:t>
      </w:r>
      <w:r>
        <w:rPr>
          <w:sz w:val="24"/>
          <w:szCs w:val="24"/>
        </w:rPr>
        <w:fldChar w:fldCharType="end"/>
      </w:r>
      <w:r>
        <w:rPr>
          <w:sz w:val="24"/>
          <w:szCs w:val="24"/>
          <w:lang w:eastAsia="zh-CN"/>
        </w:rPr>
        <w:fldChar w:fldCharType="end"/>
      </w:r>
    </w:p>
    <w:p w14:paraId="206637EB">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_Toc23316 </w:instrText>
      </w:r>
      <w:r>
        <w:rPr>
          <w:sz w:val="24"/>
          <w:szCs w:val="24"/>
          <w:lang w:eastAsia="zh-CN"/>
        </w:rPr>
        <w:fldChar w:fldCharType="separate"/>
      </w:r>
      <w:r>
        <w:rPr>
          <w:rFonts w:hint="eastAsia" w:ascii="黑体" w:hAnsi="黑体" w:eastAsia="黑体"/>
          <w:i w:val="0"/>
          <w:kern w:val="0"/>
          <w:sz w:val="24"/>
          <w:szCs w:val="24"/>
        </w:rPr>
        <w:t xml:space="preserve">八、 </w:t>
      </w:r>
      <w:r>
        <w:rPr>
          <w:rFonts w:hint="eastAsia"/>
          <w:kern w:val="0"/>
          <w:sz w:val="24"/>
          <w:szCs w:val="24"/>
        </w:rPr>
        <w:t>分包意向协议</w:t>
      </w:r>
      <w:r>
        <w:rPr>
          <w:sz w:val="24"/>
          <w:szCs w:val="24"/>
        </w:rPr>
        <w:tab/>
      </w:r>
      <w:r>
        <w:rPr>
          <w:sz w:val="24"/>
          <w:szCs w:val="24"/>
        </w:rPr>
        <w:fldChar w:fldCharType="begin"/>
      </w:r>
      <w:r>
        <w:rPr>
          <w:sz w:val="24"/>
          <w:szCs w:val="24"/>
        </w:rPr>
        <w:instrText xml:space="preserve"> PAGEREF _Toc23316 \h </w:instrText>
      </w:r>
      <w:r>
        <w:rPr>
          <w:sz w:val="24"/>
          <w:szCs w:val="24"/>
        </w:rPr>
        <w:fldChar w:fldCharType="separate"/>
      </w:r>
      <w:r>
        <w:rPr>
          <w:sz w:val="24"/>
          <w:szCs w:val="24"/>
        </w:rPr>
        <w:t>- 100 -</w:t>
      </w:r>
      <w:r>
        <w:rPr>
          <w:sz w:val="24"/>
          <w:szCs w:val="24"/>
        </w:rPr>
        <w:fldChar w:fldCharType="end"/>
      </w:r>
      <w:r>
        <w:rPr>
          <w:sz w:val="24"/>
          <w:szCs w:val="24"/>
          <w:lang w:eastAsia="zh-CN"/>
        </w:rPr>
        <w:fldChar w:fldCharType="end"/>
      </w:r>
    </w:p>
    <w:p w14:paraId="13F9BBDB">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_Toc2466 </w:instrText>
      </w:r>
      <w:r>
        <w:rPr>
          <w:sz w:val="24"/>
          <w:szCs w:val="24"/>
          <w:lang w:eastAsia="zh-CN"/>
        </w:rPr>
        <w:fldChar w:fldCharType="separate"/>
      </w:r>
      <w:r>
        <w:rPr>
          <w:rFonts w:hint="eastAsia" w:ascii="黑体" w:hAnsi="黑体" w:eastAsia="黑体"/>
          <w:i w:val="0"/>
          <w:sz w:val="24"/>
          <w:szCs w:val="24"/>
        </w:rPr>
        <w:t xml:space="preserve">九、 </w:t>
      </w:r>
      <w:r>
        <w:rPr>
          <w:rFonts w:hint="eastAsia"/>
          <w:sz w:val="24"/>
          <w:szCs w:val="24"/>
        </w:rPr>
        <w:t>开标一览表（报价表）</w:t>
      </w:r>
      <w:r>
        <w:rPr>
          <w:sz w:val="24"/>
          <w:szCs w:val="24"/>
        </w:rPr>
        <w:tab/>
      </w:r>
      <w:r>
        <w:rPr>
          <w:sz w:val="24"/>
          <w:szCs w:val="24"/>
        </w:rPr>
        <w:fldChar w:fldCharType="begin"/>
      </w:r>
      <w:r>
        <w:rPr>
          <w:sz w:val="24"/>
          <w:szCs w:val="24"/>
        </w:rPr>
        <w:instrText xml:space="preserve"> PAGEREF _Toc2466 \h </w:instrText>
      </w:r>
      <w:r>
        <w:rPr>
          <w:sz w:val="24"/>
          <w:szCs w:val="24"/>
        </w:rPr>
        <w:fldChar w:fldCharType="separate"/>
      </w:r>
      <w:r>
        <w:rPr>
          <w:sz w:val="24"/>
          <w:szCs w:val="24"/>
        </w:rPr>
        <w:t>- 102 -</w:t>
      </w:r>
      <w:r>
        <w:rPr>
          <w:sz w:val="24"/>
          <w:szCs w:val="24"/>
        </w:rPr>
        <w:fldChar w:fldCharType="end"/>
      </w:r>
      <w:r>
        <w:rPr>
          <w:sz w:val="24"/>
          <w:szCs w:val="24"/>
          <w:lang w:eastAsia="zh-CN"/>
        </w:rPr>
        <w:fldChar w:fldCharType="end"/>
      </w:r>
    </w:p>
    <w:p w14:paraId="2F15EBD7">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_Toc491 </w:instrText>
      </w:r>
      <w:r>
        <w:rPr>
          <w:sz w:val="24"/>
          <w:szCs w:val="24"/>
          <w:lang w:eastAsia="zh-CN"/>
        </w:rPr>
        <w:fldChar w:fldCharType="separate"/>
      </w:r>
      <w:r>
        <w:rPr>
          <w:rFonts w:hint="eastAsia" w:ascii="黑体" w:hAnsi="黑体" w:eastAsia="黑体"/>
          <w:i w:val="0"/>
          <w:sz w:val="24"/>
          <w:szCs w:val="24"/>
        </w:rPr>
        <w:t xml:space="preserve">十、 </w:t>
      </w:r>
      <w:r>
        <w:rPr>
          <w:rFonts w:hint="eastAsia"/>
          <w:sz w:val="24"/>
          <w:szCs w:val="24"/>
          <w:highlight w:val="none"/>
        </w:rPr>
        <w:t>投标报价明细表</w:t>
      </w:r>
      <w:r>
        <w:rPr>
          <w:sz w:val="24"/>
          <w:szCs w:val="24"/>
        </w:rPr>
        <w:tab/>
      </w:r>
      <w:r>
        <w:rPr>
          <w:sz w:val="24"/>
          <w:szCs w:val="24"/>
        </w:rPr>
        <w:fldChar w:fldCharType="begin"/>
      </w:r>
      <w:r>
        <w:rPr>
          <w:sz w:val="24"/>
          <w:szCs w:val="24"/>
        </w:rPr>
        <w:instrText xml:space="preserve"> PAGEREF _Toc491 \h </w:instrText>
      </w:r>
      <w:r>
        <w:rPr>
          <w:sz w:val="24"/>
          <w:szCs w:val="24"/>
        </w:rPr>
        <w:fldChar w:fldCharType="separate"/>
      </w:r>
      <w:r>
        <w:rPr>
          <w:sz w:val="24"/>
          <w:szCs w:val="24"/>
        </w:rPr>
        <w:t>- 104 -</w:t>
      </w:r>
      <w:r>
        <w:rPr>
          <w:sz w:val="24"/>
          <w:szCs w:val="24"/>
        </w:rPr>
        <w:fldChar w:fldCharType="end"/>
      </w:r>
      <w:r>
        <w:rPr>
          <w:sz w:val="24"/>
          <w:szCs w:val="24"/>
          <w:lang w:eastAsia="zh-CN"/>
        </w:rPr>
        <w:fldChar w:fldCharType="end"/>
      </w:r>
    </w:p>
    <w:p w14:paraId="0F040EB1">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_Toc13799 </w:instrText>
      </w:r>
      <w:r>
        <w:rPr>
          <w:sz w:val="24"/>
          <w:szCs w:val="24"/>
          <w:lang w:eastAsia="zh-CN"/>
        </w:rPr>
        <w:fldChar w:fldCharType="separate"/>
      </w:r>
      <w:r>
        <w:rPr>
          <w:rFonts w:hint="eastAsia" w:ascii="黑体" w:hAnsi="黑体" w:eastAsia="黑体"/>
          <w:i w:val="0"/>
          <w:sz w:val="24"/>
          <w:szCs w:val="24"/>
        </w:rPr>
        <w:t xml:space="preserve">十一、 </w:t>
      </w:r>
      <w:r>
        <w:rPr>
          <w:rFonts w:hint="eastAsia"/>
          <w:sz w:val="24"/>
          <w:szCs w:val="24"/>
        </w:rPr>
        <w:t>中小企业声明函（</w:t>
      </w:r>
      <w:r>
        <w:rPr>
          <w:rFonts w:hint="eastAsia"/>
          <w:sz w:val="24"/>
          <w:szCs w:val="24"/>
          <w:lang w:val="en-US" w:eastAsia="zh-Hans"/>
        </w:rPr>
        <w:t>服务</w:t>
      </w:r>
      <w:r>
        <w:rPr>
          <w:rFonts w:hint="eastAsia"/>
          <w:sz w:val="24"/>
          <w:szCs w:val="24"/>
        </w:rPr>
        <w:t>）</w:t>
      </w:r>
      <w:r>
        <w:rPr>
          <w:sz w:val="24"/>
          <w:szCs w:val="24"/>
        </w:rPr>
        <w:tab/>
      </w:r>
      <w:r>
        <w:rPr>
          <w:sz w:val="24"/>
          <w:szCs w:val="24"/>
        </w:rPr>
        <w:fldChar w:fldCharType="begin"/>
      </w:r>
      <w:r>
        <w:rPr>
          <w:sz w:val="24"/>
          <w:szCs w:val="24"/>
        </w:rPr>
        <w:instrText xml:space="preserve"> PAGEREF _Toc13799 \h </w:instrText>
      </w:r>
      <w:r>
        <w:rPr>
          <w:sz w:val="24"/>
          <w:szCs w:val="24"/>
        </w:rPr>
        <w:fldChar w:fldCharType="separate"/>
      </w:r>
      <w:r>
        <w:rPr>
          <w:sz w:val="24"/>
          <w:szCs w:val="24"/>
        </w:rPr>
        <w:t>- 106 -</w:t>
      </w:r>
      <w:r>
        <w:rPr>
          <w:sz w:val="24"/>
          <w:szCs w:val="24"/>
        </w:rPr>
        <w:fldChar w:fldCharType="end"/>
      </w:r>
      <w:r>
        <w:rPr>
          <w:sz w:val="24"/>
          <w:szCs w:val="24"/>
          <w:lang w:eastAsia="zh-CN"/>
        </w:rPr>
        <w:fldChar w:fldCharType="end"/>
      </w:r>
    </w:p>
    <w:p w14:paraId="197AD8BD">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_Toc2393 </w:instrText>
      </w:r>
      <w:r>
        <w:rPr>
          <w:sz w:val="24"/>
          <w:szCs w:val="24"/>
          <w:lang w:eastAsia="zh-CN"/>
        </w:rPr>
        <w:fldChar w:fldCharType="separate"/>
      </w:r>
      <w:r>
        <w:rPr>
          <w:rFonts w:hint="eastAsia" w:ascii="黑体" w:hAnsi="黑体" w:eastAsia="黑体"/>
          <w:i w:val="0"/>
          <w:sz w:val="24"/>
          <w:szCs w:val="24"/>
        </w:rPr>
        <w:t xml:space="preserve">十二、 </w:t>
      </w:r>
      <w:r>
        <w:rPr>
          <w:rFonts w:hint="eastAsia"/>
          <w:sz w:val="24"/>
          <w:szCs w:val="24"/>
        </w:rPr>
        <w:t>残疾人福利性单位声明函</w:t>
      </w:r>
      <w:r>
        <w:rPr>
          <w:sz w:val="24"/>
          <w:szCs w:val="24"/>
        </w:rPr>
        <w:tab/>
      </w:r>
      <w:r>
        <w:rPr>
          <w:sz w:val="24"/>
          <w:szCs w:val="24"/>
        </w:rPr>
        <w:fldChar w:fldCharType="begin"/>
      </w:r>
      <w:r>
        <w:rPr>
          <w:sz w:val="24"/>
          <w:szCs w:val="24"/>
        </w:rPr>
        <w:instrText xml:space="preserve"> PAGEREF _Toc2393 \h </w:instrText>
      </w:r>
      <w:r>
        <w:rPr>
          <w:sz w:val="24"/>
          <w:szCs w:val="24"/>
        </w:rPr>
        <w:fldChar w:fldCharType="separate"/>
      </w:r>
      <w:r>
        <w:rPr>
          <w:sz w:val="24"/>
          <w:szCs w:val="24"/>
        </w:rPr>
        <w:t>- 107 -</w:t>
      </w:r>
      <w:r>
        <w:rPr>
          <w:sz w:val="24"/>
          <w:szCs w:val="24"/>
        </w:rPr>
        <w:fldChar w:fldCharType="end"/>
      </w:r>
      <w:r>
        <w:rPr>
          <w:sz w:val="24"/>
          <w:szCs w:val="24"/>
          <w:lang w:eastAsia="zh-CN"/>
        </w:rPr>
        <w:fldChar w:fldCharType="end"/>
      </w:r>
    </w:p>
    <w:p w14:paraId="44F7AF84">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_Toc12035 </w:instrText>
      </w:r>
      <w:r>
        <w:rPr>
          <w:sz w:val="24"/>
          <w:szCs w:val="24"/>
          <w:lang w:eastAsia="zh-CN"/>
        </w:rPr>
        <w:fldChar w:fldCharType="separate"/>
      </w:r>
      <w:r>
        <w:rPr>
          <w:rFonts w:hint="eastAsia" w:ascii="黑体" w:hAnsi="黑体" w:eastAsia="黑体"/>
          <w:i w:val="0"/>
          <w:sz w:val="24"/>
          <w:szCs w:val="24"/>
        </w:rPr>
        <w:t xml:space="preserve">十三、 </w:t>
      </w:r>
      <w:r>
        <w:rPr>
          <w:sz w:val="24"/>
          <w:szCs w:val="24"/>
        </w:rPr>
        <w:t>商务</w:t>
      </w:r>
      <w:r>
        <w:rPr>
          <w:rFonts w:hint="eastAsia"/>
          <w:sz w:val="24"/>
          <w:szCs w:val="24"/>
        </w:rPr>
        <w:t>及</w:t>
      </w:r>
      <w:r>
        <w:rPr>
          <w:sz w:val="24"/>
          <w:szCs w:val="24"/>
        </w:rPr>
        <w:t>技术偏离表</w:t>
      </w:r>
      <w:r>
        <w:rPr>
          <w:sz w:val="24"/>
          <w:szCs w:val="24"/>
        </w:rPr>
        <w:tab/>
      </w:r>
      <w:r>
        <w:rPr>
          <w:sz w:val="24"/>
          <w:szCs w:val="24"/>
        </w:rPr>
        <w:fldChar w:fldCharType="begin"/>
      </w:r>
      <w:r>
        <w:rPr>
          <w:sz w:val="24"/>
          <w:szCs w:val="24"/>
        </w:rPr>
        <w:instrText xml:space="preserve"> PAGEREF _Toc12035 \h </w:instrText>
      </w:r>
      <w:r>
        <w:rPr>
          <w:sz w:val="24"/>
          <w:szCs w:val="24"/>
        </w:rPr>
        <w:fldChar w:fldCharType="separate"/>
      </w:r>
      <w:r>
        <w:rPr>
          <w:sz w:val="24"/>
          <w:szCs w:val="24"/>
        </w:rPr>
        <w:t>- 108 -</w:t>
      </w:r>
      <w:r>
        <w:rPr>
          <w:sz w:val="24"/>
          <w:szCs w:val="24"/>
        </w:rPr>
        <w:fldChar w:fldCharType="end"/>
      </w:r>
      <w:r>
        <w:rPr>
          <w:sz w:val="24"/>
          <w:szCs w:val="24"/>
          <w:lang w:eastAsia="zh-CN"/>
        </w:rPr>
        <w:fldChar w:fldCharType="end"/>
      </w:r>
    </w:p>
    <w:p w14:paraId="39C21A82">
      <w:pPr>
        <w:pStyle w:val="34"/>
        <w:spacing w:line="360" w:lineRule="auto"/>
        <w:ind w:firstLine="0" w:firstLineChars="0"/>
        <w:jc w:val="center"/>
        <w:rPr>
          <w:rFonts w:ascii="黑体" w:hAnsi="黑体" w:eastAsia="黑体"/>
          <w:sz w:val="36"/>
          <w:szCs w:val="36"/>
        </w:rPr>
      </w:pPr>
      <w:r>
        <w:rPr>
          <w:sz w:val="24"/>
          <w:szCs w:val="24"/>
          <w:lang w:eastAsia="zh-CN"/>
        </w:rPr>
        <w:fldChar w:fldCharType="end"/>
      </w:r>
    </w:p>
    <w:p w14:paraId="12C10211">
      <w:pPr>
        <w:pStyle w:val="34"/>
        <w:ind w:firstLine="0" w:firstLineChars="0"/>
        <w:rPr>
          <w:lang w:eastAsia="zh-CN"/>
        </w:rPr>
      </w:pPr>
    </w:p>
    <w:p w14:paraId="17BFE2FB">
      <w:pPr>
        <w:pStyle w:val="34"/>
        <w:ind w:firstLine="199" w:firstLineChars="83"/>
        <w:rPr>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06C68198">
      <w:pPr>
        <w:pStyle w:val="35"/>
      </w:pPr>
      <w:bookmarkStart w:id="0" w:name="_Toc3706"/>
      <w:bookmarkStart w:id="1" w:name="_Toc30795"/>
      <w:bookmarkStart w:id="2" w:name="_Toc31290"/>
      <w:bookmarkStart w:id="3" w:name="_Toc18925"/>
      <w:bookmarkStart w:id="4" w:name="_Toc188"/>
      <w:r>
        <w:rPr>
          <w:rFonts w:hint="eastAsia"/>
        </w:rPr>
        <w:t>招标公告</w:t>
      </w:r>
      <w:bookmarkEnd w:id="0"/>
      <w:bookmarkEnd w:id="1"/>
      <w:bookmarkEnd w:id="2"/>
      <w:bookmarkEnd w:id="3"/>
      <w:bookmarkEnd w:id="4"/>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AA2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5AEA61BC">
            <w:pPr>
              <w:pStyle w:val="34"/>
              <w:ind w:firstLine="480"/>
              <w:rPr>
                <w:b w:val="0"/>
                <w:bCs/>
                <w:i w:val="0"/>
              </w:rPr>
            </w:pPr>
            <w:r>
              <w:rPr>
                <w:rFonts w:hint="eastAsia"/>
                <w:b w:val="0"/>
                <w:bCs/>
                <w:i w:val="0"/>
              </w:rPr>
              <w:t>项目概况</w:t>
            </w:r>
          </w:p>
          <w:p w14:paraId="74BCB971">
            <w:pPr>
              <w:pStyle w:val="34"/>
              <w:ind w:firstLine="480"/>
              <w:jc w:val="left"/>
              <w:rPr>
                <w:b/>
                <w:i w:val="0"/>
              </w:rPr>
            </w:pPr>
            <w:r>
              <w:rPr>
                <w:rFonts w:hint="eastAsia"/>
                <w:b w:val="0"/>
                <w:bCs/>
                <w:i w:val="0"/>
                <w:color w:val="auto"/>
                <w:u w:val="single"/>
                <w:lang w:val="en-US" w:eastAsia="zh-CN"/>
              </w:rPr>
              <w:t>浙江省应急管理厅</w:t>
            </w:r>
            <w:r>
              <w:rPr>
                <w:rFonts w:hint="eastAsia"/>
                <w:b w:val="0"/>
                <w:bCs/>
                <w:i w:val="0"/>
                <w:color w:val="auto"/>
                <w:u w:val="single"/>
                <w:lang w:eastAsia="zh-CN"/>
              </w:rPr>
              <w:t>安全生产和指挥调度类数字化系统保障服务</w:t>
            </w:r>
            <w:r>
              <w:rPr>
                <w:rFonts w:hint="eastAsia"/>
                <w:b w:val="0"/>
                <w:bCs/>
                <w:i w:val="0"/>
              </w:rPr>
              <w:t>招标项目的潜在投标人应在http://zfcg.czt.zj.gov.cn获取（下载）招标文件，并于</w:t>
            </w:r>
            <w:r>
              <w:rPr>
                <w:rFonts w:hint="eastAsia"/>
                <w:b w:val="0"/>
                <w:bCs/>
                <w:i w:val="0"/>
                <w:color w:val="auto"/>
                <w:u w:val="single"/>
                <w:lang w:eastAsia="zh-CN"/>
              </w:rPr>
              <w:t>2025年07月25日09时30分</w:t>
            </w:r>
            <w:r>
              <w:rPr>
                <w:rFonts w:hint="eastAsia"/>
                <w:b w:val="0"/>
                <w:bCs/>
                <w:i w:val="0"/>
              </w:rPr>
              <w:t>（北京时间）前递交（上传）投标</w:t>
            </w:r>
            <w:r>
              <w:rPr>
                <w:b w:val="0"/>
                <w:bCs/>
                <w:i w:val="0"/>
              </w:rPr>
              <w:t>文件</w:t>
            </w:r>
            <w:r>
              <w:rPr>
                <w:rFonts w:hint="eastAsia"/>
                <w:b w:val="0"/>
                <w:bCs/>
                <w:i w:val="0"/>
              </w:rPr>
              <w:t>。</w:t>
            </w:r>
          </w:p>
        </w:tc>
      </w:tr>
    </w:tbl>
    <w:p w14:paraId="04A93F54">
      <w:pPr>
        <w:pStyle w:val="36"/>
        <w:numPr>
          <w:ilvl w:val="0"/>
          <w:numId w:val="0"/>
        </w:numPr>
        <w:jc w:val="both"/>
        <w:outlineLvl w:val="9"/>
        <w:rPr>
          <w:b/>
          <w:bCs w:val="0"/>
          <w:sz w:val="24"/>
          <w:szCs w:val="24"/>
        </w:rPr>
      </w:pPr>
      <w:r>
        <w:rPr>
          <w:rFonts w:hint="eastAsia"/>
          <w:b/>
          <w:bCs w:val="0"/>
          <w:sz w:val="24"/>
          <w:szCs w:val="24"/>
          <w:lang w:eastAsia="zh-CN"/>
        </w:rPr>
        <w:t>一、</w:t>
      </w:r>
      <w:r>
        <w:rPr>
          <w:rFonts w:hint="eastAsia"/>
          <w:b/>
          <w:bCs w:val="0"/>
          <w:sz w:val="24"/>
          <w:szCs w:val="24"/>
        </w:rPr>
        <w:t>项目基本情况</w:t>
      </w:r>
    </w:p>
    <w:p w14:paraId="1A0AD1EC">
      <w:pPr>
        <w:pStyle w:val="34"/>
        <w:ind w:firstLine="482"/>
      </w:pPr>
      <w:r>
        <w:rPr>
          <w:rFonts w:hint="eastAsia"/>
          <w:b/>
          <w:bCs/>
        </w:rPr>
        <w:t>项目编号：</w:t>
      </w:r>
      <w:r>
        <w:rPr>
          <w:rFonts w:hint="eastAsia"/>
          <w:color w:val="auto"/>
          <w:lang w:eastAsia="zh-CN"/>
        </w:rPr>
        <w:t>ZQ250702ZG</w:t>
      </w:r>
    </w:p>
    <w:p w14:paraId="2C0B4777">
      <w:pPr>
        <w:pStyle w:val="34"/>
        <w:ind w:firstLine="482"/>
      </w:pPr>
      <w:r>
        <w:rPr>
          <w:rFonts w:hint="eastAsia"/>
          <w:b/>
          <w:bCs/>
        </w:rPr>
        <w:t>项目名称：</w:t>
      </w:r>
      <w:r>
        <w:rPr>
          <w:rFonts w:hint="eastAsia"/>
          <w:b w:val="0"/>
          <w:bCs/>
          <w:i w:val="0"/>
          <w:color w:val="auto"/>
          <w:u w:val="none"/>
          <w:lang w:val="en-US" w:eastAsia="zh-CN"/>
        </w:rPr>
        <w:t>浙江省应急管理厅</w:t>
      </w:r>
      <w:r>
        <w:rPr>
          <w:rFonts w:hint="eastAsia"/>
          <w:b w:val="0"/>
          <w:bCs/>
          <w:i w:val="0"/>
          <w:color w:val="auto"/>
          <w:u w:val="none"/>
          <w:lang w:eastAsia="zh-CN"/>
        </w:rPr>
        <w:t>安全生产和指挥调度类数字化系统保障服务</w:t>
      </w:r>
      <w:r>
        <w:rPr>
          <w:rFonts w:hint="eastAsia"/>
          <w:lang w:eastAsia="zh-CN"/>
        </w:rPr>
        <w:t>项目</w:t>
      </w:r>
    </w:p>
    <w:p w14:paraId="2D57AFFC">
      <w:pPr>
        <w:pStyle w:val="34"/>
        <w:ind w:firstLine="482"/>
        <w:rPr>
          <w:color w:val="auto"/>
        </w:rPr>
      </w:pPr>
      <w:r>
        <w:rPr>
          <w:rFonts w:hint="eastAsia"/>
          <w:b/>
          <w:bCs/>
        </w:rPr>
        <w:t>预算金额（元）：</w:t>
      </w:r>
      <w:r>
        <w:rPr>
          <w:rFonts w:hint="eastAsia"/>
          <w:color w:val="auto"/>
          <w:lang w:eastAsia="zh-CN"/>
        </w:rPr>
        <w:t>2077000.00</w:t>
      </w:r>
    </w:p>
    <w:p w14:paraId="39D12680">
      <w:pPr>
        <w:pStyle w:val="34"/>
        <w:ind w:firstLine="482"/>
        <w:rPr>
          <w:color w:val="auto"/>
        </w:rPr>
      </w:pPr>
      <w:r>
        <w:rPr>
          <w:rFonts w:hint="eastAsia"/>
          <w:b/>
          <w:bCs/>
          <w:color w:val="auto"/>
        </w:rPr>
        <w:t>最高限价（元）：</w:t>
      </w:r>
      <w:r>
        <w:rPr>
          <w:rFonts w:hint="eastAsia"/>
          <w:color w:val="auto"/>
          <w:lang w:eastAsia="zh-CN"/>
        </w:rPr>
        <w:t>2077000.00</w:t>
      </w:r>
    </w:p>
    <w:p w14:paraId="39F0DB1C">
      <w:pPr>
        <w:pStyle w:val="34"/>
        <w:ind w:firstLine="482"/>
        <w:rPr>
          <w:b/>
          <w:bCs/>
        </w:rPr>
      </w:pPr>
      <w:r>
        <w:rPr>
          <w:rFonts w:hint="eastAsia"/>
          <w:b/>
          <w:bCs/>
        </w:rPr>
        <w:t>采购需求：</w:t>
      </w:r>
    </w:p>
    <w:p w14:paraId="3A99F366">
      <w:pPr>
        <w:pStyle w:val="34"/>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eastAsia="zh-CN"/>
        </w:rPr>
        <w:t>一</w:t>
      </w:r>
    </w:p>
    <w:p w14:paraId="0E720FE2">
      <w:pPr>
        <w:pStyle w:val="34"/>
        <w:ind w:firstLine="480"/>
        <w:rPr>
          <w:color w:val="auto"/>
          <w:lang w:eastAsia="zh-CN"/>
        </w:rPr>
      </w:pPr>
      <w:r>
        <w:rPr>
          <w:rFonts w:hint="eastAsia"/>
          <w:color w:val="auto"/>
        </w:rPr>
        <w:t>标项名称</w:t>
      </w:r>
      <w:r>
        <w:rPr>
          <w:rFonts w:hint="eastAsia"/>
          <w:color w:val="auto"/>
          <w:lang w:eastAsia="zh-CN"/>
        </w:rPr>
        <w:t>：</w:t>
      </w:r>
      <w:r>
        <w:rPr>
          <w:rFonts w:hint="eastAsia"/>
          <w:color w:val="auto"/>
          <w:lang w:val="en-US" w:eastAsia="zh-CN"/>
        </w:rPr>
        <w:t>安全生产和指挥调度类数字化系统保障服务</w:t>
      </w:r>
      <w:r>
        <w:rPr>
          <w:rFonts w:hint="eastAsia"/>
          <w:color w:val="auto"/>
          <w:lang w:eastAsia="zh-CN"/>
        </w:rPr>
        <w:t>项目</w:t>
      </w:r>
    </w:p>
    <w:p w14:paraId="47535759">
      <w:pPr>
        <w:pStyle w:val="34"/>
        <w:ind w:firstLine="480"/>
        <w:rPr>
          <w:rFonts w:hint="eastAsia"/>
          <w:color w:val="auto"/>
          <w:lang w:eastAsia="zh-CN"/>
        </w:rPr>
      </w:pPr>
      <w:r>
        <w:rPr>
          <w:rFonts w:hint="eastAsia"/>
          <w:color w:val="auto"/>
        </w:rPr>
        <w:t>数量</w:t>
      </w:r>
      <w:r>
        <w:rPr>
          <w:rFonts w:hint="eastAsia"/>
          <w:color w:val="auto"/>
          <w:lang w:eastAsia="zh-CN"/>
        </w:rPr>
        <w:t>：1</w:t>
      </w:r>
    </w:p>
    <w:p w14:paraId="1E8F8084">
      <w:pPr>
        <w:pStyle w:val="34"/>
        <w:ind w:firstLine="480"/>
        <w:rPr>
          <w:rFonts w:hint="eastAsia"/>
          <w:color w:val="auto"/>
          <w:lang w:eastAsia="zh-CN"/>
        </w:rPr>
      </w:pPr>
      <w:r>
        <w:rPr>
          <w:rFonts w:hint="eastAsia"/>
          <w:color w:val="auto"/>
          <w:lang w:eastAsia="zh-CN"/>
        </w:rPr>
        <w:t>预算金额（元）：2077000.00</w:t>
      </w:r>
    </w:p>
    <w:p w14:paraId="2B58CAE5">
      <w:pPr>
        <w:pStyle w:val="34"/>
        <w:ind w:firstLine="480"/>
        <w:rPr>
          <w:color w:val="auto"/>
          <w:lang w:eastAsia="zh-CN"/>
        </w:rPr>
      </w:pPr>
      <w:r>
        <w:rPr>
          <w:rFonts w:hint="eastAsia"/>
          <w:color w:val="auto"/>
        </w:rPr>
        <w:t>单位</w:t>
      </w:r>
      <w:r>
        <w:rPr>
          <w:rFonts w:hint="eastAsia"/>
          <w:color w:val="auto"/>
          <w:lang w:eastAsia="zh-CN"/>
        </w:rPr>
        <w:t>：项</w:t>
      </w:r>
    </w:p>
    <w:p w14:paraId="39938854">
      <w:pPr>
        <w:pStyle w:val="34"/>
        <w:ind w:firstLine="480"/>
        <w:rPr>
          <w:color w:val="auto"/>
          <w:lang w:eastAsia="zh-CN"/>
        </w:rPr>
      </w:pPr>
      <w:r>
        <w:rPr>
          <w:rFonts w:hint="eastAsia"/>
          <w:color w:val="auto"/>
        </w:rPr>
        <w:t>简要规格描述或项目基本概况介绍、用途</w:t>
      </w:r>
      <w:r>
        <w:rPr>
          <w:rFonts w:hint="eastAsia"/>
          <w:color w:val="auto"/>
          <w:lang w:eastAsia="zh-CN"/>
        </w:rPr>
        <w:t>：</w:t>
      </w:r>
      <w:r>
        <w:rPr>
          <w:rFonts w:hint="eastAsia"/>
          <w:b w:val="0"/>
          <w:bCs w:val="0"/>
          <w:color w:val="auto"/>
          <w:lang w:val="en-US" w:eastAsia="zh-CN"/>
        </w:rPr>
        <w:t>本次项目主要用于危化品风险防控大数据平台、危化品安全风险监测预警、应用支撑（视频资源池和省部数据总线）、浙里焊4个系统的运维保障及安全生产类专线年度租赁费；厅应急指挥车运维保障服务。</w:t>
      </w:r>
      <w:r>
        <w:rPr>
          <w:rFonts w:hint="eastAsia"/>
          <w:color w:val="auto"/>
          <w:lang w:eastAsia="zh-CN"/>
        </w:rPr>
        <w:t>详见招标文件“</w:t>
      </w:r>
      <w:r>
        <w:rPr>
          <w:rFonts w:hint="eastAsia"/>
          <w:color w:val="auto"/>
        </w:rPr>
        <w:t>第</w:t>
      </w:r>
      <w:r>
        <w:rPr>
          <w:rFonts w:hint="eastAsia"/>
          <w:color w:val="auto"/>
          <w:lang w:eastAsia="zh-CN"/>
        </w:rPr>
        <w:t xml:space="preserve">三章 </w:t>
      </w:r>
      <w:r>
        <w:rPr>
          <w:rFonts w:hint="eastAsia"/>
          <w:color w:val="auto"/>
        </w:rPr>
        <w:t>项目技术及服务要求</w:t>
      </w:r>
      <w:r>
        <w:rPr>
          <w:rFonts w:hint="eastAsia"/>
          <w:color w:val="auto"/>
          <w:lang w:eastAsia="zh-CN"/>
        </w:rPr>
        <w:t>”</w:t>
      </w:r>
    </w:p>
    <w:p w14:paraId="55A38322">
      <w:pPr>
        <w:pStyle w:val="34"/>
        <w:ind w:firstLine="480"/>
        <w:rPr>
          <w:rFonts w:hint="eastAsia" w:eastAsia="微软雅黑"/>
          <w:bCs/>
          <w:color w:val="auto"/>
          <w:lang w:eastAsia="zh-CN"/>
        </w:rPr>
      </w:pPr>
      <w:r>
        <w:rPr>
          <w:rFonts w:hint="eastAsia"/>
          <w:bCs/>
          <w:color w:val="auto"/>
        </w:rPr>
        <w:t>备注</w:t>
      </w:r>
      <w:r>
        <w:rPr>
          <w:rFonts w:hint="eastAsia"/>
          <w:bCs/>
          <w:color w:val="auto"/>
          <w:lang w:eastAsia="zh-CN"/>
        </w:rPr>
        <w:t>：</w:t>
      </w:r>
      <w:r>
        <w:rPr>
          <w:rFonts w:hint="eastAsia"/>
          <w:bCs/>
          <w:color w:val="auto"/>
        </w:rPr>
        <w:t>浙财采备[2025]39293号</w:t>
      </w:r>
      <w:r>
        <w:rPr>
          <w:rFonts w:hint="eastAsia" w:eastAsia="宋体"/>
          <w:bCs/>
          <w:color w:val="auto"/>
          <w:lang w:eastAsia="zh-CN"/>
        </w:rPr>
        <w:t>、浙财采备[2025]39294号、浙财采备[2025]39295号、浙财采备[2025]39296号、</w:t>
      </w:r>
      <w:r>
        <w:rPr>
          <w:rFonts w:hint="eastAsia"/>
          <w:bCs/>
          <w:color w:val="auto"/>
          <w:lang w:eastAsia="zh-CN"/>
        </w:rPr>
        <w:t>浙财采备[2025]39297号。</w:t>
      </w:r>
    </w:p>
    <w:p w14:paraId="351EC539">
      <w:pPr>
        <w:pStyle w:val="34"/>
        <w:ind w:firstLine="482"/>
        <w:rPr>
          <w:color w:val="auto"/>
          <w:lang w:eastAsia="zh-CN"/>
        </w:rPr>
      </w:pPr>
      <w:r>
        <w:rPr>
          <w:rFonts w:hint="eastAsia"/>
          <w:b/>
          <w:bCs/>
          <w:color w:val="auto"/>
        </w:rPr>
        <w:t>合同履行期限：</w:t>
      </w:r>
      <w:r>
        <w:rPr>
          <w:rFonts w:hint="eastAsia"/>
          <w:color w:val="auto"/>
        </w:rPr>
        <w:t>自合同签订</w:t>
      </w:r>
      <w:r>
        <w:rPr>
          <w:rFonts w:hint="eastAsia"/>
          <w:color w:val="auto"/>
          <w:lang w:eastAsia="zh-CN"/>
        </w:rPr>
        <w:t>并生效</w:t>
      </w:r>
      <w:r>
        <w:rPr>
          <w:rFonts w:hint="eastAsia"/>
          <w:color w:val="auto"/>
        </w:rPr>
        <w:t>之日起，直至</w:t>
      </w:r>
      <w:r>
        <w:rPr>
          <w:rFonts w:hint="eastAsia"/>
          <w:color w:val="auto"/>
          <w:lang w:eastAsia="zh-CN"/>
        </w:rPr>
        <w:t>本</w:t>
      </w:r>
      <w:r>
        <w:rPr>
          <w:rFonts w:hint="eastAsia"/>
          <w:color w:val="auto"/>
        </w:rPr>
        <w:t>项目通过验收</w:t>
      </w:r>
      <w:r>
        <w:rPr>
          <w:rFonts w:hint="eastAsia"/>
          <w:color w:val="auto"/>
          <w:lang w:eastAsia="zh-CN"/>
        </w:rPr>
        <w:t>。</w:t>
      </w:r>
    </w:p>
    <w:p w14:paraId="27F06D50">
      <w:pPr>
        <w:pStyle w:val="34"/>
        <w:ind w:firstLine="482"/>
        <w:rPr>
          <w:rFonts w:ascii="仿宋_GB2312" w:hAnsi="仿宋"/>
          <w:color w:val="auto"/>
          <w:kern w:val="28"/>
          <w:lang w:eastAsia="zh-CN"/>
        </w:rPr>
      </w:pPr>
      <w:r>
        <w:rPr>
          <w:rFonts w:ascii="仿宋_GB2312" w:hAnsi="仿宋_GB2312"/>
          <w:b/>
          <w:color w:val="auto"/>
        </w:rPr>
        <w:t>本项目</w:t>
      </w:r>
      <w:r>
        <w:rPr>
          <w:rFonts w:hint="eastAsia" w:ascii="仿宋_GB2312" w:hAnsi="仿宋_GB2312"/>
          <w:b/>
          <w:color w:val="auto"/>
          <w:lang w:eastAsia="zh-CN"/>
        </w:rPr>
        <w:t>（是）</w:t>
      </w:r>
      <w:r>
        <w:rPr>
          <w:rFonts w:ascii="仿宋_GB2312" w:hAnsi="仿宋_GB2312"/>
          <w:b/>
          <w:color w:val="auto"/>
        </w:rPr>
        <w:t>接受联合体投标</w:t>
      </w:r>
      <w:r>
        <w:rPr>
          <w:rFonts w:hint="eastAsia" w:ascii="仿宋_GB2312" w:hAnsi="仿宋_GB2312"/>
          <w:b/>
          <w:color w:val="auto"/>
          <w:lang w:eastAsia="zh-CN"/>
        </w:rPr>
        <w:t>。</w:t>
      </w:r>
    </w:p>
    <w:p w14:paraId="3A0ACAC7">
      <w:pPr>
        <w:pStyle w:val="36"/>
        <w:numPr>
          <w:ilvl w:val="0"/>
          <w:numId w:val="0"/>
        </w:numPr>
        <w:jc w:val="both"/>
        <w:outlineLvl w:val="9"/>
        <w:rPr>
          <w:b/>
          <w:bCs w:val="0"/>
          <w:sz w:val="24"/>
          <w:szCs w:val="24"/>
          <w:lang w:eastAsia="zh-CN"/>
        </w:rPr>
      </w:pPr>
      <w:r>
        <w:rPr>
          <w:rFonts w:hint="eastAsia"/>
          <w:b/>
          <w:bCs w:val="0"/>
          <w:sz w:val="24"/>
          <w:szCs w:val="24"/>
        </w:rPr>
        <w:t>二、申请人的资格要求</w:t>
      </w:r>
    </w:p>
    <w:p w14:paraId="38DFE737">
      <w:pPr>
        <w:pStyle w:val="34"/>
        <w:ind w:firstLine="482"/>
      </w:pPr>
      <w:r>
        <w:rPr>
          <w:rFonts w:hint="eastAsia"/>
          <w:b/>
          <w:bCs/>
        </w:rPr>
        <w:t>1</w:t>
      </w:r>
      <w:r>
        <w:rPr>
          <w:rFonts w:hint="eastAsia"/>
          <w:b/>
          <w:bCs/>
          <w:lang w:eastAsia="zh-CN"/>
        </w:rPr>
        <w:t>.本项目的基本资格要求：</w:t>
      </w:r>
      <w:r>
        <w:rPr>
          <w:rFonts w:hint="eastAsia"/>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7C5EECBC">
      <w:pPr>
        <w:pStyle w:val="34"/>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b/>
          <w:bCs/>
          <w:color w:val="auto"/>
          <w:highlight w:val="none"/>
          <w:lang w:eastAsia="zh-CN"/>
        </w:rPr>
      </w:pPr>
      <w:r>
        <w:rPr>
          <w:b/>
          <w:bCs/>
          <w:color w:val="auto"/>
          <w:highlight w:val="none"/>
        </w:rPr>
        <w:t>2</w:t>
      </w:r>
      <w:r>
        <w:rPr>
          <w:rFonts w:hint="eastAsia"/>
          <w:b/>
          <w:bCs/>
          <w:color w:val="auto"/>
          <w:highlight w:val="none"/>
          <w:lang w:eastAsia="zh-CN"/>
        </w:rPr>
        <w:t>.</w:t>
      </w:r>
      <w:r>
        <w:rPr>
          <w:rFonts w:hint="eastAsia"/>
          <w:b/>
          <w:bCs/>
          <w:color w:val="auto"/>
          <w:highlight w:val="none"/>
        </w:rPr>
        <w:t>落实政府采购政策需满足的资格要求</w:t>
      </w:r>
      <w:r>
        <w:rPr>
          <w:rFonts w:hint="eastAsia"/>
          <w:b/>
          <w:bCs/>
          <w:color w:val="auto"/>
          <w:highlight w:val="none"/>
          <w:lang w:eastAsia="zh-CN"/>
        </w:rPr>
        <w:t>：</w:t>
      </w:r>
    </w:p>
    <w:p w14:paraId="7E50E567">
      <w:pPr>
        <w:pStyle w:val="34"/>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color w:val="auto"/>
          <w:highlight w:val="none"/>
          <w:lang w:eastAsia="zh-CN"/>
        </w:rPr>
      </w:pPr>
      <w:sdt>
        <w:sdtPr>
          <w:rPr>
            <w:color w:val="auto"/>
            <w:highlight w:val="none"/>
          </w:rPr>
          <w:id w:val="307024086"/>
          <w14:checkbox>
            <w14:checked w14:val="1"/>
            <w14:checkedState w14:val="00FE" w14:font="Wingdings"/>
            <w14:uncheckedState w14:val="2610" w14:font="MS Gothic"/>
          </w14:checkbox>
        </w:sdtPr>
        <w:sdtEndPr>
          <w:rPr>
            <w:color w:val="auto"/>
            <w:highlight w:val="none"/>
          </w:rPr>
        </w:sdtEndPr>
        <w:sdtContent>
          <w:r>
            <w:rPr>
              <w:rFonts w:hint="eastAsia" w:ascii="Wingdings" w:hAnsi="Wingdings" w:eastAsia="MS Gothic" w:cs="Times New Roman"/>
              <w:color w:val="auto"/>
              <w:kern w:val="2"/>
              <w:sz w:val="24"/>
              <w:szCs w:val="21"/>
              <w:highlight w:val="none"/>
              <w:lang w:val="en-US" w:eastAsia="zh-Hans" w:bidi="ar-SA"/>
            </w:rPr>
            <w:t>þ</w:t>
          </w:r>
        </w:sdtContent>
      </w:sdt>
      <w:r>
        <w:rPr>
          <w:rFonts w:hint="eastAsia"/>
          <w:color w:val="auto"/>
          <w:highlight w:val="none"/>
          <w:lang w:eastAsia="zh-CN"/>
        </w:rPr>
        <w:t>无；</w:t>
      </w:r>
    </w:p>
    <w:p w14:paraId="1102CEB0">
      <w:pPr>
        <w:pStyle w:val="34"/>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color w:val="auto"/>
          <w:lang w:eastAsia="zh-CN"/>
        </w:rPr>
      </w:pPr>
      <w:sdt>
        <w:sdtPr>
          <w:rPr>
            <w:color w:val="auto"/>
          </w:rPr>
          <w:id w:val="69209853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rPr>
        <w:t>专门面向中小企业</w:t>
      </w:r>
      <w:r>
        <w:rPr>
          <w:rFonts w:hint="eastAsia"/>
          <w:color w:val="auto"/>
          <w:lang w:eastAsia="zh-CN"/>
        </w:rPr>
        <w:t>。</w:t>
      </w:r>
      <w:r>
        <w:rPr>
          <w:rFonts w:hint="eastAsia"/>
          <w:color w:val="auto"/>
          <w:lang w:val="en-US" w:eastAsia="zh-CN"/>
        </w:rPr>
        <w:t>要求采购标的全部由符合政策要求的</w:t>
      </w:r>
      <w:r>
        <w:rPr>
          <w:color w:val="auto"/>
        </w:rPr>
        <w:t>中小</w:t>
      </w:r>
      <w:r>
        <w:rPr>
          <w:rFonts w:hint="eastAsia"/>
          <w:color w:val="auto"/>
          <w:lang w:val="en-US" w:eastAsia="zh-CN"/>
        </w:rPr>
        <w:t>企业</w:t>
      </w:r>
      <w:r>
        <w:rPr>
          <w:rFonts w:hint="eastAsia"/>
          <w:color w:val="auto"/>
        </w:rPr>
        <w:t>制造</w:t>
      </w:r>
      <w:r>
        <w:rPr>
          <w:rFonts w:hint="eastAsia"/>
          <w:color w:val="auto"/>
          <w:lang w:val="en-US" w:eastAsia="zh-CN"/>
        </w:rPr>
        <w:t>/</w:t>
      </w:r>
      <w:r>
        <w:rPr>
          <w:rFonts w:hint="eastAsia"/>
          <w:color w:val="auto"/>
        </w:rPr>
        <w:t>承建</w:t>
      </w:r>
      <w:r>
        <w:rPr>
          <w:rFonts w:hint="eastAsia"/>
          <w:color w:val="auto"/>
          <w:lang w:val="en-US" w:eastAsia="zh-CN"/>
        </w:rPr>
        <w:t>/</w:t>
      </w:r>
      <w:r>
        <w:rPr>
          <w:rFonts w:hint="eastAsia"/>
          <w:color w:val="auto"/>
        </w:rPr>
        <w:t>承接</w:t>
      </w:r>
      <w:r>
        <w:rPr>
          <w:rFonts w:hint="eastAsia"/>
          <w:color w:val="auto"/>
          <w:lang w:eastAsia="zh-CN"/>
        </w:rPr>
        <w:t>，提供中小企业声明函。</w:t>
      </w:r>
      <w:r>
        <w:rPr>
          <w:rFonts w:hint="eastAsia"/>
          <w:color w:val="auto"/>
          <w:lang w:val="en-US" w:eastAsia="zh-CN"/>
        </w:rPr>
        <w:t>如本项目接受供应商</w:t>
      </w:r>
      <w:r>
        <w:rPr>
          <w:rFonts w:hint="eastAsia"/>
          <w:color w:val="auto"/>
          <w:lang w:eastAsia="zh-CN"/>
        </w:rPr>
        <w:t>以联合体形式参加政府采购活动</w:t>
      </w:r>
      <w:r>
        <w:rPr>
          <w:rFonts w:hint="eastAsia"/>
          <w:color w:val="auto"/>
          <w:lang w:val="en-US" w:eastAsia="zh-CN"/>
        </w:rPr>
        <w:t>的</w:t>
      </w:r>
      <w:r>
        <w:rPr>
          <w:rFonts w:hint="eastAsia"/>
          <w:color w:val="auto"/>
          <w:lang w:eastAsia="zh-CN"/>
        </w:rPr>
        <w:t>，联合体各方均为中小企业的，联合体视同中小企业，其中，联合体各方均为小微企业的，联合体视同小微企业，组成联合体</w:t>
      </w:r>
      <w:r>
        <w:rPr>
          <w:rFonts w:hint="eastAsia"/>
          <w:color w:val="auto"/>
          <w:lang w:val="en-US" w:eastAsia="zh-CN"/>
        </w:rPr>
        <w:t>的</w:t>
      </w:r>
      <w:r>
        <w:rPr>
          <w:rFonts w:hint="eastAsia"/>
          <w:color w:val="auto"/>
          <w:lang w:eastAsia="zh-CN"/>
        </w:rPr>
        <w:t>中小企业与联合体内其他企业不得存在直接控股、管理关系；</w:t>
      </w:r>
    </w:p>
    <w:p w14:paraId="5431563F">
      <w:pPr>
        <w:pStyle w:val="34"/>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eastAsia="宋体"/>
          <w:color w:val="auto"/>
          <w:lang w:eastAsia="zh-CN"/>
        </w:rPr>
      </w:pPr>
      <w:sdt>
        <w:sdtPr>
          <w:rPr>
            <w:color w:val="auto"/>
          </w:rPr>
          <w:id w:val="1152004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rPr>
        <w:t>要求以联合体形式参加</w:t>
      </w:r>
      <w:r>
        <w:rPr>
          <w:rFonts w:hint="eastAsia"/>
          <w:color w:val="auto"/>
          <w:lang w:eastAsia="zh-CN"/>
        </w:rPr>
        <w:t>。</w:t>
      </w:r>
      <w:r>
        <w:rPr>
          <w:color w:val="auto"/>
        </w:rPr>
        <w:t>提供联合协议和中小企业声明函，联合协议中中小企业合同金额应当达到  %，小微企业合同金额应当达到 %;</w:t>
      </w:r>
      <w:r>
        <w:rPr>
          <w:rFonts w:hint="eastAsia"/>
          <w:color w:val="auto"/>
        </w:rPr>
        <w:t>如果供应商本身提供所有标的均由中小企业制造、承建或承接，视同符合了资格条件，无需再与其他中小企业组成联合体参加政府采购活动，无需提供联合协议</w:t>
      </w:r>
      <w:r>
        <w:rPr>
          <w:rFonts w:hint="eastAsia"/>
          <w:color w:val="auto"/>
          <w:lang w:eastAsia="zh-CN"/>
        </w:rPr>
        <w:t>；组成联合体的中小企业与联合体内其他企业之间不得存在直接控股、管理关系；</w:t>
      </w:r>
    </w:p>
    <w:p w14:paraId="4022223C">
      <w:pPr>
        <w:pStyle w:val="34"/>
        <w:keepNext w:val="0"/>
        <w:keepLines w:val="0"/>
        <w:pageBreakBefore w:val="0"/>
        <w:widowControl w:val="0"/>
        <w:kinsoku/>
        <w:wordWrap/>
        <w:overflowPunct/>
        <w:topLinePunct w:val="0"/>
        <w:autoSpaceDE/>
        <w:autoSpaceDN/>
        <w:bidi w:val="0"/>
        <w:adjustRightInd w:val="0"/>
        <w:snapToGrid w:val="0"/>
        <w:ind w:firstLine="482"/>
        <w:textAlignment w:val="auto"/>
        <w:rPr>
          <w:color w:val="00B050"/>
          <w:lang w:eastAsia="zh-CN"/>
        </w:rPr>
      </w:pPr>
      <w:sdt>
        <w:sdtPr>
          <w:rPr>
            <w:color w:val="auto"/>
          </w:rPr>
          <w:id w:val="81985768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要求合同分包</w:t>
      </w:r>
      <w:r>
        <w:rPr>
          <w:rFonts w:hint="eastAsia"/>
          <w:color w:val="auto"/>
          <w:lang w:eastAsia="zh-CN"/>
        </w:rPr>
        <w:t>。</w:t>
      </w:r>
      <w:r>
        <w:rPr>
          <w:rFonts w:hint="eastAsia"/>
          <w:color w:val="auto"/>
        </w:rPr>
        <w:t>提供分包意向协议和中小企业声明函，分包意向协议中中小企业合同金额应当达到</w:t>
      </w:r>
      <w:r>
        <w:rPr>
          <w:color w:val="auto"/>
        </w:rPr>
        <w:t>达到  % ，小微企业合同金额应当达到 % ;</w:t>
      </w:r>
      <w:r>
        <w:rPr>
          <w:rFonts w:hint="eastAsia"/>
          <w:color w:val="auto"/>
        </w:rPr>
        <w:t>如果供应商本身提供所有标的均由中小企业制造、承建或承接，视同符合了资格条件，无需再向中小企业分包，无需提供分包意向协议</w:t>
      </w:r>
      <w:r>
        <w:rPr>
          <w:rFonts w:hint="eastAsia"/>
          <w:color w:val="auto"/>
          <w:lang w:eastAsia="zh-CN"/>
        </w:rPr>
        <w:t>；</w:t>
      </w:r>
      <w:r>
        <w:rPr>
          <w:rFonts w:hint="eastAsia"/>
          <w:color w:val="auto"/>
        </w:rPr>
        <w:t>组成联合体或者接受分包合同的中小企业与联合体内其他企业、分包企业之间不得存在直接控股、管理关系。</w:t>
      </w:r>
    </w:p>
    <w:p w14:paraId="762DEC0A">
      <w:pPr>
        <w:pStyle w:val="34"/>
        <w:keepNext w:val="0"/>
        <w:keepLines w:val="0"/>
        <w:pageBreakBefore w:val="0"/>
        <w:widowControl w:val="0"/>
        <w:kinsoku/>
        <w:wordWrap/>
        <w:overflowPunct/>
        <w:topLinePunct w:val="0"/>
        <w:autoSpaceDE/>
        <w:autoSpaceDN/>
        <w:bidi w:val="0"/>
        <w:adjustRightInd w:val="0"/>
        <w:snapToGrid w:val="0"/>
        <w:ind w:firstLine="482"/>
        <w:textAlignment w:val="auto"/>
        <w:rPr>
          <w:bCs/>
        </w:rPr>
      </w:pPr>
      <w:r>
        <w:rPr>
          <w:b/>
          <w:bCs/>
        </w:rPr>
        <w:t>3.</w:t>
      </w:r>
      <w:r>
        <w:rPr>
          <w:rFonts w:hint="eastAsia"/>
          <w:b/>
          <w:bCs/>
        </w:rPr>
        <w:t>本项目的特定资格要</w:t>
      </w:r>
      <w:r>
        <w:rPr>
          <w:rFonts w:hint="eastAsia"/>
          <w:b/>
          <w:bCs/>
          <w:color w:val="auto"/>
        </w:rPr>
        <w:t>求：</w:t>
      </w:r>
      <w:r>
        <w:rPr>
          <w:rFonts w:hint="eastAsia"/>
          <w:color w:val="auto"/>
          <w:lang w:eastAsia="zh-CN"/>
        </w:rPr>
        <w:t>无</w:t>
      </w:r>
    </w:p>
    <w:p w14:paraId="793F5DB8">
      <w:pPr>
        <w:pStyle w:val="36"/>
        <w:numPr>
          <w:ilvl w:val="0"/>
          <w:numId w:val="0"/>
        </w:numPr>
        <w:jc w:val="both"/>
        <w:outlineLvl w:val="9"/>
        <w:rPr>
          <w:b/>
          <w:bCs w:val="0"/>
          <w:sz w:val="24"/>
          <w:szCs w:val="24"/>
        </w:rPr>
      </w:pPr>
      <w:r>
        <w:rPr>
          <w:rFonts w:hint="eastAsia"/>
          <w:b/>
          <w:bCs w:val="0"/>
          <w:sz w:val="24"/>
          <w:szCs w:val="24"/>
        </w:rPr>
        <w:t>三、获取招标文件</w:t>
      </w:r>
    </w:p>
    <w:p w14:paraId="330913D0">
      <w:pPr>
        <w:pStyle w:val="34"/>
        <w:ind w:firstLine="482"/>
        <w:rPr>
          <w:lang w:eastAsia="zh-CN"/>
        </w:rPr>
      </w:pPr>
      <w:r>
        <w:rPr>
          <w:rFonts w:hint="eastAsia"/>
          <w:b/>
          <w:bCs/>
          <w:lang w:eastAsia="zh-CN"/>
        </w:rPr>
        <w:t>获取</w:t>
      </w:r>
      <w:r>
        <w:rPr>
          <w:rFonts w:hint="eastAsia"/>
          <w:b/>
          <w:bCs/>
        </w:rPr>
        <w:t>时间：</w:t>
      </w:r>
      <w:r>
        <w:rPr>
          <w:rFonts w:hint="eastAsia"/>
          <w:lang w:eastAsia="zh-CN"/>
        </w:rPr>
        <w:t>自本公告发布起</w:t>
      </w:r>
      <w:r>
        <w:rPr>
          <w:rFonts w:hint="eastAsia"/>
        </w:rPr>
        <w:t>至</w:t>
      </w:r>
      <w:r>
        <w:rPr>
          <w:rFonts w:hint="eastAsia"/>
          <w:lang w:eastAsia="zh-CN"/>
        </w:rPr>
        <w:t>投标截止时间止。</w:t>
      </w:r>
    </w:p>
    <w:p w14:paraId="565E3F99">
      <w:pPr>
        <w:pStyle w:val="34"/>
        <w:ind w:firstLine="482"/>
      </w:pPr>
      <w:r>
        <w:rPr>
          <w:rFonts w:hint="eastAsia"/>
          <w:b/>
          <w:bCs/>
          <w:lang w:eastAsia="zh-CN"/>
        </w:rPr>
        <w:t>获取网址</w:t>
      </w:r>
      <w:r>
        <w:rPr>
          <w:rFonts w:hint="eastAsia"/>
          <w:b/>
          <w:bCs/>
        </w:rPr>
        <w:t>：</w:t>
      </w:r>
      <w:r>
        <w:rPr>
          <w:rFonts w:hint="eastAsia"/>
        </w:rPr>
        <w:t>浙江政府采购网（http://zfcg.czt.zj.gov.cn）</w:t>
      </w:r>
    </w:p>
    <w:p w14:paraId="644D9819">
      <w:pPr>
        <w:pStyle w:val="34"/>
        <w:ind w:firstLine="482"/>
      </w:pPr>
      <w:r>
        <w:rPr>
          <w:rFonts w:hint="eastAsia"/>
          <w:b/>
          <w:bCs/>
        </w:rPr>
        <w:t>获取方式：</w:t>
      </w:r>
      <w:r>
        <w:rPr>
          <w:rFonts w:hint="eastAsia"/>
        </w:rPr>
        <w:t>本项目不提供纸制版</w:t>
      </w:r>
      <w:r>
        <w:rPr>
          <w:rFonts w:hint="eastAsia"/>
          <w:lang w:eastAsia="zh-CN"/>
        </w:rPr>
        <w:t>招标</w:t>
      </w:r>
      <w:r>
        <w:rPr>
          <w:rFonts w:hint="eastAsia"/>
        </w:rPr>
        <w:t>文件，供应商</w:t>
      </w:r>
      <w:r>
        <w:rPr>
          <w:rFonts w:hint="eastAsia"/>
          <w:lang w:eastAsia="zh-CN"/>
        </w:rPr>
        <w:t>通过本公告下方“潜在供应商”链接或者</w:t>
      </w:r>
      <w:r>
        <w:rPr>
          <w:rFonts w:hint="eastAsia"/>
        </w:rPr>
        <w:t>登录政采云平台</w:t>
      </w:r>
      <w:r>
        <w:rPr>
          <w:rFonts w:hint="eastAsia"/>
          <w:lang w:eastAsia="zh-CN"/>
        </w:rPr>
        <w:t>（</w:t>
      </w:r>
      <w:r>
        <w:rPr>
          <w:rFonts w:hint="default"/>
          <w:lang w:val="en-US"/>
        </w:rPr>
        <w:t>https://middle.zcygov.cn/</w:t>
      </w:r>
      <w:r>
        <w:rPr>
          <w:rFonts w:hint="eastAsia"/>
          <w:lang w:eastAsia="zh-CN"/>
        </w:rPr>
        <w:t>）</w:t>
      </w:r>
      <w:r>
        <w:rPr>
          <w:rFonts w:hint="eastAsia"/>
        </w:rPr>
        <w:t>在线申请获取</w:t>
      </w:r>
      <w:r>
        <w:rPr>
          <w:rFonts w:hint="eastAsia"/>
          <w:lang w:eastAsia="zh-CN"/>
        </w:rPr>
        <w:t>招标</w:t>
      </w:r>
      <w:r>
        <w:rPr>
          <w:rFonts w:hint="eastAsia"/>
        </w:rPr>
        <w:t>文件（进入“项目采购”应用，在获取招标文件菜单中选择项目，申请获取招标文件）；</w:t>
      </w:r>
      <w:r>
        <w:rPr>
          <w:rFonts w:hint="eastAsia"/>
          <w:lang w:eastAsia="zh-CN"/>
        </w:rPr>
        <w:t>通过本公告下方</w:t>
      </w:r>
      <w:r>
        <w:rPr>
          <w:rFonts w:hint="eastAsia"/>
        </w:rPr>
        <w:t>“游客”链接或者通过其他途径获取的招标文件均视为未依法获取招标文件，将不得对招标文件提出质疑，其投标文件将被拒绝。</w:t>
      </w:r>
    </w:p>
    <w:p w14:paraId="5FDC7B9E">
      <w:pPr>
        <w:pStyle w:val="34"/>
        <w:ind w:firstLine="482"/>
      </w:pPr>
      <w:r>
        <w:rPr>
          <w:rFonts w:hint="eastAsia"/>
          <w:b/>
          <w:bCs/>
        </w:rPr>
        <w:t>售价（元）：</w:t>
      </w:r>
      <w:r>
        <w:rPr>
          <w:rFonts w:hint="eastAsia"/>
        </w:rPr>
        <w:t>0</w:t>
      </w:r>
    </w:p>
    <w:p w14:paraId="2673DD20">
      <w:pPr>
        <w:pStyle w:val="36"/>
        <w:numPr>
          <w:ilvl w:val="0"/>
          <w:numId w:val="0"/>
        </w:numPr>
        <w:jc w:val="both"/>
        <w:outlineLvl w:val="9"/>
        <w:rPr>
          <w:sz w:val="24"/>
          <w:szCs w:val="24"/>
        </w:rPr>
      </w:pPr>
      <w:r>
        <w:rPr>
          <w:rFonts w:hint="eastAsia"/>
          <w:sz w:val="24"/>
          <w:szCs w:val="24"/>
        </w:rPr>
        <w:t>四、提交投标文件截止时间、开标时间和地点</w:t>
      </w:r>
    </w:p>
    <w:p w14:paraId="179EA6CE">
      <w:pPr>
        <w:pStyle w:val="34"/>
        <w:ind w:firstLine="482"/>
      </w:pPr>
      <w:r>
        <w:rPr>
          <w:rFonts w:hint="eastAsia"/>
          <w:b/>
          <w:bCs/>
        </w:rPr>
        <w:t>提交投标文件截止时间：</w:t>
      </w:r>
      <w:r>
        <w:rPr>
          <w:rFonts w:hint="eastAsia"/>
          <w:color w:val="auto"/>
          <w:lang w:eastAsia="zh-CN"/>
        </w:rPr>
        <w:t>2025年07月25日09时30分</w:t>
      </w:r>
      <w:r>
        <w:rPr>
          <w:rFonts w:hint="eastAsia"/>
        </w:rPr>
        <w:t>（北京时间）</w:t>
      </w:r>
    </w:p>
    <w:p w14:paraId="283D8C69">
      <w:pPr>
        <w:pStyle w:val="34"/>
        <w:ind w:firstLine="482"/>
      </w:pPr>
      <w:r>
        <w:rPr>
          <w:rFonts w:hint="eastAsia"/>
          <w:b/>
          <w:bCs/>
        </w:rPr>
        <w:t>投标地点（网址）：</w:t>
      </w:r>
      <w:r>
        <w:rPr>
          <w:rFonts w:hint="eastAsia"/>
        </w:rPr>
        <w:t>政府采购云平台（</w:t>
      </w:r>
      <w:r>
        <w:rPr>
          <w:rFonts w:hint="default"/>
          <w:lang w:val="en-US"/>
        </w:rPr>
        <w:t>https://middle.zcygov.cn/</w:t>
      </w:r>
      <w:r>
        <w:rPr>
          <w:rFonts w:hint="eastAsia"/>
        </w:rPr>
        <w:t>）</w:t>
      </w:r>
    </w:p>
    <w:p w14:paraId="4171DCBE">
      <w:pPr>
        <w:pStyle w:val="34"/>
        <w:ind w:firstLine="480"/>
      </w:pPr>
      <w:r>
        <w:rPr>
          <w:rFonts w:hint="eastAsia"/>
          <w:b/>
          <w:bCs/>
        </w:rPr>
        <w:t>开标时间：</w:t>
      </w:r>
      <w:r>
        <w:rPr>
          <w:rFonts w:hint="eastAsia"/>
          <w:color w:val="auto"/>
          <w:lang w:eastAsia="zh-CN"/>
        </w:rPr>
        <w:t>2025年07月25日09时30分</w:t>
      </w:r>
      <w:r>
        <w:rPr>
          <w:rFonts w:hint="eastAsia"/>
        </w:rPr>
        <w:t>（北京时间）</w:t>
      </w:r>
    </w:p>
    <w:p w14:paraId="315DA4F5">
      <w:pPr>
        <w:pStyle w:val="34"/>
        <w:ind w:firstLine="482"/>
      </w:pPr>
      <w:r>
        <w:rPr>
          <w:rFonts w:hint="eastAsia"/>
          <w:b/>
          <w:bCs/>
        </w:rPr>
        <w:t>开标地点（网址）：</w:t>
      </w:r>
      <w:r>
        <w:rPr>
          <w:rFonts w:hint="eastAsia"/>
        </w:rPr>
        <w:t>政府采购云平台（</w:t>
      </w:r>
      <w:r>
        <w:rPr>
          <w:lang w:val="en-US"/>
        </w:rPr>
        <w:t>https://middle.zcygov.cn/</w:t>
      </w:r>
      <w:r>
        <w:rPr>
          <w:rFonts w:hint="eastAsia"/>
        </w:rPr>
        <w:t>）</w:t>
      </w:r>
    </w:p>
    <w:p w14:paraId="7DF04C30">
      <w:pPr>
        <w:pStyle w:val="36"/>
        <w:numPr>
          <w:ilvl w:val="0"/>
          <w:numId w:val="0"/>
        </w:numPr>
        <w:jc w:val="both"/>
        <w:outlineLvl w:val="9"/>
        <w:rPr>
          <w:sz w:val="24"/>
          <w:szCs w:val="24"/>
        </w:rPr>
      </w:pPr>
      <w:r>
        <w:rPr>
          <w:rFonts w:hint="eastAsia"/>
          <w:sz w:val="24"/>
          <w:szCs w:val="24"/>
        </w:rPr>
        <w:t>五、公告期限</w:t>
      </w:r>
    </w:p>
    <w:p w14:paraId="6454400F">
      <w:pPr>
        <w:pStyle w:val="34"/>
        <w:ind w:firstLine="480"/>
      </w:pPr>
      <w:r>
        <w:rPr>
          <w:rFonts w:hint="eastAsia"/>
        </w:rPr>
        <w:t>自本公告发布之日起5个工作日。</w:t>
      </w:r>
    </w:p>
    <w:p w14:paraId="2E720481">
      <w:pPr>
        <w:pStyle w:val="36"/>
        <w:numPr>
          <w:ilvl w:val="0"/>
          <w:numId w:val="0"/>
        </w:numPr>
        <w:jc w:val="both"/>
        <w:outlineLvl w:val="9"/>
        <w:rPr>
          <w:sz w:val="24"/>
          <w:szCs w:val="24"/>
        </w:rPr>
      </w:pPr>
      <w:r>
        <w:rPr>
          <w:rFonts w:hint="eastAsia"/>
          <w:sz w:val="24"/>
          <w:szCs w:val="24"/>
        </w:rPr>
        <w:t>六、其他补充事宜</w:t>
      </w:r>
    </w:p>
    <w:p w14:paraId="19BA5DF5">
      <w:pPr>
        <w:pStyle w:val="34"/>
        <w:ind w:firstLine="480"/>
        <w:rPr>
          <w:rFonts w:hint="eastAsia"/>
          <w:color w:val="auto"/>
          <w:lang w:val="en-US" w:eastAsia="zh-CN"/>
        </w:rPr>
      </w:pPr>
      <w:r>
        <w:rPr>
          <w:rFonts w:hint="eastAsia"/>
          <w:color w:val="auto"/>
        </w:rPr>
        <w:t>1</w:t>
      </w:r>
      <w:r>
        <w:rPr>
          <w:rFonts w:hint="eastAsia"/>
          <w:color w:val="auto"/>
          <w:lang w:eastAsia="zh-CN"/>
        </w:rPr>
        <w:t>．</w:t>
      </w:r>
      <w:r>
        <w:rPr>
          <w:rFonts w:hint="eastAsia"/>
          <w:color w:val="auto"/>
          <w:lang w:val="en-US" w:eastAsia="zh-CN"/>
        </w:rPr>
        <w:t>本项目采购意向公开链接为：</w:t>
      </w:r>
    </w:p>
    <w:p w14:paraId="011EEF3A">
      <w:pPr>
        <w:pStyle w:val="34"/>
        <w:ind w:firstLine="480"/>
        <w:rPr>
          <w:rFonts w:hint="default"/>
          <w:color w:val="auto"/>
          <w:lang w:val="en-US" w:eastAsia="zh-CN"/>
        </w:rPr>
      </w:pPr>
      <w:r>
        <w:rPr>
          <w:rFonts w:hint="eastAsia"/>
          <w:color w:val="auto"/>
          <w:lang w:val="en-US" w:eastAsia="zh-CN"/>
        </w:rPr>
        <w:t>https://zfcg.czt.zj.gov.cn/site/detail?parentId=600007&amp;articleId=nPa00GU1wQ0PT6AW5wfQlw%3D%3D</w:t>
      </w:r>
    </w:p>
    <w:p w14:paraId="1AF6F68D">
      <w:pPr>
        <w:pStyle w:val="34"/>
        <w:ind w:firstLine="480"/>
      </w:pPr>
      <w:r>
        <w:rPr>
          <w:rFonts w:hint="eastAsia"/>
          <w:lang w:val="en-US" w:eastAsia="zh-CN"/>
        </w:rPr>
        <w:t>2.</w:t>
      </w:r>
      <w:r>
        <w:rPr>
          <w:rFonts w:hint="eastAsia"/>
        </w:rPr>
        <w:t>《浙江省财政厅关于进一步发挥政府采购政策功能全力推动经济稳进提质的通知》（浙财采监〔2022〕3号）、《浙江省财政厅关于进一步促进政府采购公平竞争打造最优营商环境的通知》（浙财采监〔202</w:t>
      </w:r>
      <w:r>
        <w:rPr>
          <w:rFonts w:hint="eastAsia"/>
          <w:lang w:val="en-US" w:eastAsia="zh-CN"/>
        </w:rPr>
        <w:t>1</w:t>
      </w:r>
      <w:r>
        <w:rPr>
          <w:rFonts w:hint="eastAsia"/>
        </w:rPr>
        <w:t>〕22号）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5B139E6E">
      <w:pPr>
        <w:pStyle w:val="34"/>
        <w:ind w:firstLine="480"/>
      </w:pPr>
      <w:r>
        <w:rPr>
          <w:rFonts w:hint="eastAsia"/>
          <w:lang w:val="en-US" w:eastAsia="zh-CN"/>
        </w:rPr>
        <w:t>3</w:t>
      </w:r>
      <w:r>
        <w:rPr>
          <w:rFonts w:hint="eastAsia"/>
          <w:lang w:eastAsia="zh-CN"/>
        </w:rPr>
        <w:t>.</w:t>
      </w:r>
      <w:r>
        <w:rPr>
          <w:rFonts w:hint="eastAsia"/>
        </w:rPr>
        <w:t>根据《浙江省财政厅关于进一步促进政府采购公平竞争打造最优营商环境的通知》（浙财采监〔2022〕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D2471C">
      <w:pPr>
        <w:pStyle w:val="34"/>
        <w:ind w:firstLine="480"/>
      </w:pPr>
      <w:r>
        <w:rPr>
          <w:rFonts w:hint="eastAsia"/>
          <w:lang w:val="en-US" w:eastAsia="zh-CN"/>
        </w:rPr>
        <w:t>4</w:t>
      </w:r>
      <w:r>
        <w:rPr>
          <w:rFonts w:hint="eastAsia"/>
          <w:lang w:eastAsia="zh-CN"/>
        </w:rPr>
        <w:t>.</w:t>
      </w:r>
      <w:r>
        <w:rPr>
          <w:rFonts w:hint="eastAsia"/>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B7A877A">
      <w:pPr>
        <w:pStyle w:val="34"/>
        <w:ind w:firstLine="480"/>
      </w:pPr>
      <w:r>
        <w:rPr>
          <w:rFonts w:hint="eastAsia"/>
          <w:lang w:val="en-US" w:eastAsia="zh-CN"/>
        </w:rPr>
        <w:t>5</w:t>
      </w:r>
      <w:r>
        <w:rPr>
          <w:rFonts w:hint="eastAsia"/>
          <w:lang w:eastAsia="zh-CN"/>
        </w:rPr>
        <w:t>.</w:t>
      </w:r>
      <w:r>
        <w:rPr>
          <w:rFonts w:hint="eastAsia"/>
        </w:rPr>
        <w:t>其他事项：</w:t>
      </w:r>
    </w:p>
    <w:p w14:paraId="7AB022C8">
      <w:pPr>
        <w:pStyle w:val="34"/>
        <w:ind w:firstLine="480"/>
        <w:rPr>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支持绿色发展</w:t>
      </w:r>
      <w:r>
        <w:rPr>
          <w:rFonts w:hint="eastAsia"/>
        </w:rPr>
        <w:t>、支持创新、</w:t>
      </w:r>
      <w:r>
        <w:rPr>
          <w:rFonts w:hint="eastAsia"/>
          <w:lang w:eastAsia="zh-CN"/>
        </w:rPr>
        <w:t>支持</w:t>
      </w:r>
      <w:r>
        <w:rPr>
          <w:rFonts w:hint="eastAsia"/>
        </w:rPr>
        <w:t>中小企业发展</w:t>
      </w:r>
      <w:r>
        <w:rPr>
          <w:rFonts w:hint="eastAsia"/>
          <w:lang w:eastAsia="zh-CN"/>
        </w:rPr>
        <w:t>，支持国货</w:t>
      </w:r>
      <w:r>
        <w:rPr>
          <w:rFonts w:hint="eastAsia"/>
        </w:rPr>
        <w:t>等。具体详见招标文件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7D1DE287">
      <w:pPr>
        <w:pStyle w:val="34"/>
        <w:ind w:firstLine="480"/>
      </w:pPr>
      <w:r>
        <w:rPr>
          <w:rFonts w:hint="eastAsia"/>
        </w:rPr>
        <w:t>（2）</w:t>
      </w:r>
      <w:r>
        <w:rPr>
          <w:rFonts w:hint="eastAsia"/>
          <w:lang w:eastAsia="zh-CN"/>
        </w:rPr>
        <w:t>依法限制参加本项目政府采购活动的供应商：单位负责人为同一人或者存在直接控股、管理关系的不同投标人</w:t>
      </w:r>
      <w:r>
        <w:rPr>
          <w:rFonts w:hint="eastAsia"/>
          <w:lang w:val="en-US" w:eastAsia="zh-CN"/>
        </w:rPr>
        <w:t>。</w:t>
      </w:r>
      <w:r>
        <w:rPr>
          <w:rFonts w:hint="eastAsia"/>
          <w:lang w:eastAsia="zh-CN"/>
        </w:rPr>
        <w:t>其他</w:t>
      </w:r>
      <w:r>
        <w:rPr>
          <w:rFonts w:hint="eastAsia"/>
          <w:lang w:val="en-US" w:eastAsia="zh-CN"/>
        </w:rPr>
        <w:t>限制参加的</w:t>
      </w:r>
      <w:r>
        <w:rPr>
          <w:rFonts w:hint="eastAsia"/>
          <w:lang w:eastAsia="zh-CN"/>
        </w:rPr>
        <w:t>情形</w:t>
      </w:r>
      <w:r>
        <w:rPr>
          <w:rFonts w:hint="eastAsia"/>
          <w:lang w:val="en-US" w:eastAsia="zh-CN"/>
        </w:rPr>
        <w:t>详</w:t>
      </w:r>
      <w:r>
        <w:rPr>
          <w:rFonts w:hint="eastAsia"/>
        </w:rPr>
        <w:t>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6E67F182">
      <w:pPr>
        <w:pStyle w:val="34"/>
        <w:ind w:firstLine="480"/>
        <w:jc w:val="left"/>
        <w:rPr>
          <w:lang w:eastAsia="zh-CN"/>
        </w:rPr>
      </w:pPr>
      <w:r>
        <w:rPr>
          <w:rFonts w:hint="eastAsia"/>
          <w:lang w:eastAsia="zh-CN"/>
        </w:rPr>
        <w:t>（3）本项目采用政府采购电子化交易，投标人应在投标前完成供应商注册（详见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02EB5F34">
      <w:pPr>
        <w:pStyle w:val="34"/>
        <w:ind w:firstLine="480"/>
        <w:jc w:val="left"/>
        <w:rPr>
          <w:lang w:eastAsia="zh-CN"/>
        </w:rPr>
      </w:pPr>
      <w:r>
        <w:rPr>
          <w:rFonts w:hint="eastAsia"/>
          <w:lang w:eastAsia="zh-CN"/>
        </w:rPr>
        <w:t>（4）</w:t>
      </w:r>
      <w:r>
        <w:rPr>
          <w:rFonts w:hint="eastAsia"/>
          <w:lang w:val="en-US" w:eastAsia="zh-Hans"/>
        </w:rPr>
        <w:t>招标</w:t>
      </w:r>
      <w:r>
        <w:rPr>
          <w:rFonts w:hint="eastAsia"/>
          <w:lang w:eastAsia="zh-CN"/>
        </w:rPr>
        <w:t>文件公告期限同采购公告期限。</w:t>
      </w:r>
    </w:p>
    <w:p w14:paraId="5B1B49E8">
      <w:pPr>
        <w:pStyle w:val="36"/>
        <w:numPr>
          <w:ilvl w:val="0"/>
          <w:numId w:val="0"/>
        </w:numPr>
        <w:jc w:val="both"/>
        <w:outlineLvl w:val="9"/>
        <w:rPr>
          <w:sz w:val="24"/>
          <w:szCs w:val="24"/>
        </w:rPr>
      </w:pPr>
      <w:r>
        <w:rPr>
          <w:rFonts w:hint="eastAsia"/>
          <w:sz w:val="24"/>
          <w:szCs w:val="24"/>
        </w:rPr>
        <w:t>七、对本次采购提出询问、质疑、投诉，请按以下方式联系</w:t>
      </w:r>
    </w:p>
    <w:p w14:paraId="1D206C8D">
      <w:pPr>
        <w:pStyle w:val="34"/>
        <w:ind w:firstLine="480"/>
        <w:rPr>
          <w:color w:val="auto"/>
        </w:rPr>
      </w:pPr>
      <w:r>
        <w:rPr>
          <w:rFonts w:hint="eastAsia"/>
          <w:color w:val="auto"/>
        </w:rPr>
        <w:t>1</w:t>
      </w:r>
      <w:r>
        <w:rPr>
          <w:rFonts w:hint="eastAsia"/>
          <w:color w:val="auto"/>
          <w:lang w:eastAsia="zh-CN"/>
        </w:rPr>
        <w:t>.</w:t>
      </w:r>
      <w:r>
        <w:rPr>
          <w:rFonts w:hint="eastAsia"/>
          <w:color w:val="auto"/>
        </w:rPr>
        <w:t>采购人信息</w:t>
      </w:r>
    </w:p>
    <w:p w14:paraId="0E40FAFB">
      <w:pPr>
        <w:pStyle w:val="34"/>
        <w:ind w:firstLine="480"/>
        <w:rPr>
          <w:color w:val="auto"/>
        </w:rPr>
      </w:pPr>
      <w:r>
        <w:rPr>
          <w:rFonts w:hint="eastAsia"/>
          <w:color w:val="auto"/>
        </w:rPr>
        <w:t>名称：</w:t>
      </w:r>
      <w:r>
        <w:rPr>
          <w:rFonts w:hint="eastAsia"/>
          <w:color w:val="auto"/>
          <w:lang w:eastAsia="zh-CN"/>
        </w:rPr>
        <w:t>浙江省应急管理厅</w:t>
      </w:r>
    </w:p>
    <w:p w14:paraId="3C19C101">
      <w:pPr>
        <w:pStyle w:val="34"/>
        <w:ind w:firstLine="480"/>
        <w:rPr>
          <w:color w:val="auto"/>
        </w:rPr>
      </w:pPr>
      <w:r>
        <w:rPr>
          <w:rFonts w:hint="eastAsia"/>
          <w:color w:val="auto"/>
        </w:rPr>
        <w:t>地址：杭州市体育场路479号</w:t>
      </w:r>
    </w:p>
    <w:p w14:paraId="5CF00533">
      <w:pPr>
        <w:pStyle w:val="34"/>
        <w:ind w:firstLine="480"/>
        <w:rPr>
          <w:color w:val="auto"/>
        </w:rPr>
      </w:pPr>
      <w:r>
        <w:rPr>
          <w:rFonts w:hint="eastAsia"/>
          <w:color w:val="auto"/>
        </w:rPr>
        <w:t>项目联系人（询问）：吴先生</w:t>
      </w:r>
    </w:p>
    <w:p w14:paraId="7B41084A">
      <w:pPr>
        <w:pStyle w:val="34"/>
        <w:ind w:firstLine="480"/>
        <w:rPr>
          <w:color w:val="auto"/>
        </w:rPr>
      </w:pPr>
      <w:r>
        <w:rPr>
          <w:rFonts w:hint="eastAsia"/>
          <w:color w:val="auto"/>
        </w:rPr>
        <w:t>项目联系方式（询问）：13857189500</w:t>
      </w:r>
    </w:p>
    <w:p w14:paraId="69046159">
      <w:pPr>
        <w:pStyle w:val="34"/>
        <w:ind w:firstLine="480"/>
        <w:rPr>
          <w:color w:val="auto"/>
        </w:rPr>
      </w:pPr>
      <w:r>
        <w:rPr>
          <w:rFonts w:hint="eastAsia"/>
          <w:color w:val="auto"/>
        </w:rPr>
        <w:t>质疑联系人：刘先生</w:t>
      </w:r>
    </w:p>
    <w:p w14:paraId="1511C30D">
      <w:pPr>
        <w:pStyle w:val="34"/>
        <w:ind w:firstLine="480"/>
        <w:rPr>
          <w:color w:val="FF0000"/>
        </w:rPr>
      </w:pPr>
      <w:r>
        <w:rPr>
          <w:rFonts w:hint="eastAsia"/>
          <w:color w:val="auto"/>
        </w:rPr>
        <w:t>质疑联系方式：13665815065</w:t>
      </w:r>
    </w:p>
    <w:p w14:paraId="0FF28CCE">
      <w:pPr>
        <w:pStyle w:val="34"/>
        <w:ind w:firstLine="480"/>
      </w:pPr>
      <w:r>
        <w:rPr>
          <w:rFonts w:hint="eastAsia"/>
        </w:rPr>
        <w:t>2</w:t>
      </w:r>
      <w:r>
        <w:rPr>
          <w:rFonts w:hint="eastAsia"/>
          <w:lang w:eastAsia="zh-CN"/>
        </w:rPr>
        <w:t>.</w:t>
      </w:r>
      <w:r>
        <w:rPr>
          <w:rFonts w:hint="eastAsia"/>
        </w:rPr>
        <w:t>采购代理机构信息</w:t>
      </w:r>
    </w:p>
    <w:p w14:paraId="4E56017E">
      <w:pPr>
        <w:pStyle w:val="34"/>
        <w:ind w:firstLine="480"/>
      </w:pPr>
      <w:r>
        <w:rPr>
          <w:rFonts w:hint="eastAsia"/>
        </w:rPr>
        <w:t>名称：</w:t>
      </w:r>
      <w:r>
        <w:rPr>
          <w:rFonts w:hint="eastAsia"/>
          <w:lang w:eastAsia="zh-CN"/>
        </w:rPr>
        <w:t>浙江中勤招标代理有限公司</w:t>
      </w:r>
    </w:p>
    <w:p w14:paraId="719B27C4">
      <w:pPr>
        <w:pStyle w:val="34"/>
        <w:ind w:firstLine="480"/>
      </w:pPr>
      <w:r>
        <w:rPr>
          <w:rFonts w:hint="eastAsia"/>
        </w:rPr>
        <w:t>地址：杭州市</w:t>
      </w:r>
      <w:r>
        <w:rPr>
          <w:rFonts w:hint="eastAsia"/>
          <w:lang w:eastAsia="zh-CN"/>
        </w:rPr>
        <w:t>东新路2</w:t>
      </w:r>
      <w:r>
        <w:rPr>
          <w:lang w:eastAsia="zh-CN"/>
        </w:rPr>
        <w:t>40</w:t>
      </w:r>
      <w:r>
        <w:rPr>
          <w:rFonts w:hint="eastAsia"/>
        </w:rPr>
        <w:t>号</w:t>
      </w:r>
      <w:r>
        <w:rPr>
          <w:rFonts w:hint="eastAsia"/>
          <w:lang w:eastAsia="zh-CN"/>
        </w:rPr>
        <w:t>兔狗创新</w:t>
      </w:r>
      <w:r>
        <w:rPr>
          <w:rFonts w:hint="eastAsia"/>
        </w:rPr>
        <w:t>大厦西楼</w:t>
      </w:r>
      <w:r>
        <w:t>1502</w:t>
      </w:r>
      <w:r>
        <w:rPr>
          <w:rFonts w:hint="eastAsia"/>
          <w:lang w:eastAsia="zh-CN"/>
        </w:rPr>
        <w:t>室</w:t>
      </w:r>
    </w:p>
    <w:p w14:paraId="5C307681">
      <w:pPr>
        <w:pStyle w:val="34"/>
        <w:ind w:firstLine="480"/>
        <w:rPr>
          <w:color w:val="auto"/>
        </w:rPr>
      </w:pPr>
      <w:r>
        <w:rPr>
          <w:rFonts w:hint="eastAsia"/>
        </w:rPr>
        <w:t>项目联系人（询问）</w:t>
      </w:r>
      <w:r>
        <w:rPr>
          <w:rFonts w:hint="eastAsia"/>
          <w:color w:val="auto"/>
        </w:rPr>
        <w:t>：</w:t>
      </w:r>
      <w:r>
        <w:rPr>
          <w:rFonts w:hint="eastAsia"/>
          <w:color w:val="auto"/>
          <w:lang w:val="en-US" w:eastAsia="zh-CN"/>
        </w:rPr>
        <w:t>马工</w:t>
      </w:r>
    </w:p>
    <w:p w14:paraId="7BF6E830">
      <w:pPr>
        <w:pStyle w:val="34"/>
        <w:ind w:firstLine="480"/>
        <w:rPr>
          <w:color w:val="auto"/>
        </w:rPr>
      </w:pPr>
      <w:r>
        <w:rPr>
          <w:rFonts w:hint="eastAsia"/>
          <w:color w:val="auto"/>
        </w:rPr>
        <w:t>项目联系方式（询问）：0571-</w:t>
      </w:r>
      <w:r>
        <w:rPr>
          <w:color w:val="auto"/>
        </w:rPr>
        <w:t>86808575</w:t>
      </w:r>
    </w:p>
    <w:p w14:paraId="6A0A05BE">
      <w:pPr>
        <w:pStyle w:val="34"/>
        <w:ind w:firstLine="480"/>
        <w:rPr>
          <w:rFonts w:hint="eastAsia" w:eastAsia="宋体"/>
          <w:color w:val="auto"/>
          <w:lang w:val="en-US" w:eastAsia="zh-CN"/>
        </w:rPr>
      </w:pPr>
      <w:r>
        <w:rPr>
          <w:rFonts w:hint="eastAsia"/>
          <w:color w:val="auto"/>
        </w:rPr>
        <w:t>质疑联系人：</w:t>
      </w:r>
      <w:r>
        <w:rPr>
          <w:rFonts w:hint="eastAsia"/>
          <w:color w:val="auto"/>
          <w:lang w:val="en-US" w:eastAsia="zh-CN"/>
        </w:rPr>
        <w:t>李工</w:t>
      </w:r>
    </w:p>
    <w:p w14:paraId="18E6A1FC">
      <w:pPr>
        <w:pStyle w:val="34"/>
        <w:ind w:firstLine="480"/>
        <w:rPr>
          <w:color w:val="auto"/>
        </w:rPr>
      </w:pPr>
      <w:r>
        <w:rPr>
          <w:rFonts w:hint="eastAsia"/>
          <w:color w:val="auto"/>
        </w:rPr>
        <w:t>质疑联系方式：0571-</w:t>
      </w:r>
      <w:r>
        <w:rPr>
          <w:color w:val="auto"/>
        </w:rPr>
        <w:t>86803309</w:t>
      </w:r>
    </w:p>
    <w:p w14:paraId="314CA535">
      <w:pPr>
        <w:pStyle w:val="34"/>
        <w:ind w:firstLine="480"/>
      </w:pPr>
      <w:r>
        <w:rPr>
          <w:rFonts w:hint="eastAsia"/>
        </w:rPr>
        <w:t>3</w:t>
      </w:r>
      <w:r>
        <w:rPr>
          <w:rFonts w:hint="eastAsia"/>
          <w:lang w:eastAsia="zh-CN"/>
        </w:rPr>
        <w:t>.</w:t>
      </w:r>
      <w:r>
        <w:rPr>
          <w:rFonts w:hint="eastAsia"/>
        </w:rPr>
        <w:t>同级政府采购监督管理部门</w:t>
      </w:r>
    </w:p>
    <w:p w14:paraId="683E944A">
      <w:pPr>
        <w:pStyle w:val="34"/>
        <w:ind w:firstLine="480"/>
      </w:pPr>
      <w:r>
        <w:rPr>
          <w:rFonts w:hint="eastAsia"/>
        </w:rPr>
        <w:t>名称：浙江省财政厅政府采购监管处、浙江省政府采购行政裁决服务中心（杭州）</w:t>
      </w:r>
    </w:p>
    <w:p w14:paraId="585216C4">
      <w:pPr>
        <w:pStyle w:val="34"/>
        <w:ind w:firstLine="480"/>
      </w:pPr>
      <w:r>
        <w:rPr>
          <w:rFonts w:hint="eastAsia"/>
        </w:rPr>
        <w:t xml:space="preserve">地址：杭州市上城区四季青街道新业路市民之家G03办公室   </w:t>
      </w:r>
    </w:p>
    <w:p w14:paraId="10AB6BC7">
      <w:pPr>
        <w:pStyle w:val="34"/>
        <w:ind w:firstLine="480"/>
      </w:pPr>
      <w:r>
        <w:rPr>
          <w:rFonts w:hint="eastAsia"/>
        </w:rPr>
        <w:t xml:space="preserve">联系人：朱女士、王女士   </w:t>
      </w:r>
    </w:p>
    <w:p w14:paraId="366FD304">
      <w:pPr>
        <w:pStyle w:val="34"/>
        <w:ind w:firstLine="480"/>
        <w:rPr>
          <w:rFonts w:hint="eastAsia"/>
        </w:rPr>
      </w:pPr>
      <w:r>
        <w:rPr>
          <w:rFonts w:hint="eastAsia"/>
        </w:rPr>
        <w:t xml:space="preserve">监督投诉电话：0571-85252453  </w:t>
      </w:r>
    </w:p>
    <w:p w14:paraId="1243C0E2">
      <w:pPr>
        <w:pStyle w:val="34"/>
        <w:ind w:firstLine="480"/>
        <w:rPr>
          <w:rFonts w:hint="eastAsia"/>
        </w:rPr>
      </w:pPr>
      <w:r>
        <w:rPr>
          <w:rFonts w:hint="eastAsia"/>
        </w:rPr>
        <w:t>政策咨询：何一平、冯华，0571-87058424、87055741</w:t>
      </w:r>
    </w:p>
    <w:p w14:paraId="1D99326B">
      <w:pPr>
        <w:pStyle w:val="34"/>
        <w:ind w:firstLine="480"/>
        <w:rPr>
          <w:rFonts w:hint="eastAsia"/>
        </w:rPr>
      </w:pPr>
      <w:r>
        <w:rPr>
          <w:rFonts w:hint="eastAsia"/>
        </w:rPr>
        <w:t>预算金额未达100万元的采购项目，由采购人处理采购争议。</w:t>
      </w:r>
    </w:p>
    <w:p w14:paraId="202B80D4">
      <w:pPr>
        <w:widowControl/>
        <w:jc w:val="left"/>
        <w:rPr>
          <w:rFonts w:ascii="宋体" w:hAnsi="宋体"/>
          <w:lang w:eastAsia="zh-Hans"/>
        </w:rPr>
      </w:pPr>
      <w:r>
        <w:br w:type="page"/>
      </w:r>
    </w:p>
    <w:p w14:paraId="30ABFDB5">
      <w:pPr>
        <w:pStyle w:val="35"/>
      </w:pPr>
      <w:bookmarkStart w:id="5" w:name="_Toc21124"/>
      <w:bookmarkStart w:id="6" w:name="_Toc9643"/>
      <w:bookmarkStart w:id="7" w:name="_Toc16809"/>
      <w:bookmarkStart w:id="8" w:name="_Toc28596"/>
      <w:bookmarkStart w:id="9" w:name="_Toc6660"/>
      <w:r>
        <w:rPr>
          <w:rFonts w:hint="eastAsia"/>
          <w:lang w:eastAsia="zh-CN"/>
        </w:rPr>
        <w:t>投标人须知</w:t>
      </w:r>
      <w:bookmarkEnd w:id="5"/>
      <w:bookmarkEnd w:id="6"/>
      <w:bookmarkEnd w:id="7"/>
      <w:bookmarkEnd w:id="8"/>
      <w:bookmarkEnd w:id="9"/>
    </w:p>
    <w:p w14:paraId="03AB09B5">
      <w:pPr>
        <w:pStyle w:val="36"/>
        <w:numPr>
          <w:ilvl w:val="0"/>
          <w:numId w:val="0"/>
        </w:numPr>
        <w:rPr>
          <w:lang w:eastAsia="zh-CN"/>
        </w:rPr>
      </w:pPr>
      <w:bookmarkStart w:id="10" w:name="_Toc21000"/>
      <w:bookmarkStart w:id="11" w:name="_Toc616"/>
      <w:bookmarkStart w:id="12" w:name="_Toc16568"/>
      <w:bookmarkStart w:id="13" w:name="_Toc27322"/>
      <w:bookmarkStart w:id="14" w:name="_Toc18865"/>
      <w:r>
        <w:rPr>
          <w:rFonts w:hint="eastAsia"/>
          <w:lang w:eastAsia="zh-CN"/>
        </w:rPr>
        <w:t>前附表</w:t>
      </w:r>
      <w:bookmarkEnd w:id="10"/>
      <w:bookmarkEnd w:id="11"/>
      <w:bookmarkEnd w:id="12"/>
      <w:bookmarkEnd w:id="13"/>
      <w:bookmarkEnd w:id="14"/>
      <w:bookmarkStart w:id="15" w:name="_Toc233618971"/>
      <w:bookmarkEnd w:id="15"/>
    </w:p>
    <w:p w14:paraId="10DCC444">
      <w:pPr>
        <w:pStyle w:val="34"/>
        <w:ind w:firstLine="0" w:firstLineChars="0"/>
        <w:jc w:val="center"/>
        <w:rPr>
          <w:sz w:val="21"/>
          <w:lang w:eastAsia="zh-CN"/>
        </w:rPr>
      </w:pPr>
      <w:r>
        <w:rPr>
          <w:rFonts w:hint="eastAsia"/>
          <w:sz w:val="21"/>
        </w:rPr>
        <w:t>（本表是对本次采购活动有关内容的强调，如与</w:t>
      </w:r>
      <w:r>
        <w:rPr>
          <w:rFonts w:hint="eastAsia"/>
          <w:sz w:val="21"/>
          <w:lang w:eastAsia="zh-CN"/>
        </w:rPr>
        <w:t>招标公告有矛盾以招标公告为准，如与</w:t>
      </w:r>
      <w:r>
        <w:rPr>
          <w:rFonts w:hint="eastAsia"/>
          <w:sz w:val="21"/>
        </w:rPr>
        <w:t>采购文件其他条款有矛盾以本表为准）</w:t>
      </w:r>
    </w:p>
    <w:tbl>
      <w:tblPr>
        <w:tblStyle w:val="25"/>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3"/>
        <w:gridCol w:w="1427"/>
        <w:gridCol w:w="6045"/>
      </w:tblGrid>
      <w:tr w14:paraId="0011FD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4" w:type="pct"/>
            <w:shd w:val="clear" w:color="auto" w:fill="D8D8D8" w:themeFill="background1" w:themeFillShade="D9"/>
            <w:vAlign w:val="center"/>
          </w:tcPr>
          <w:p w14:paraId="48ACDC54">
            <w:pPr>
              <w:pStyle w:val="34"/>
              <w:spacing w:line="240" w:lineRule="auto"/>
              <w:ind w:firstLine="0" w:firstLineChars="0"/>
              <w:jc w:val="center"/>
              <w:rPr>
                <w:rFonts w:ascii="黑体" w:hAnsi="黑体" w:eastAsia="黑体"/>
              </w:rPr>
            </w:pPr>
            <w:r>
              <w:rPr>
                <w:rFonts w:hint="eastAsia" w:ascii="黑体" w:hAnsi="黑体" w:eastAsia="黑体"/>
              </w:rPr>
              <w:t>对应</w:t>
            </w:r>
          </w:p>
          <w:p w14:paraId="70485A14">
            <w:pPr>
              <w:pStyle w:val="34"/>
              <w:spacing w:line="240" w:lineRule="auto"/>
              <w:ind w:firstLine="0" w:firstLineChars="0"/>
              <w:jc w:val="center"/>
              <w:rPr>
                <w:rFonts w:ascii="黑体" w:hAnsi="黑体" w:eastAsia="黑体"/>
              </w:rPr>
            </w:pPr>
            <w:r>
              <w:rPr>
                <w:rFonts w:hint="eastAsia" w:ascii="黑体" w:hAnsi="黑体" w:eastAsia="黑体"/>
              </w:rPr>
              <w:t>条款</w:t>
            </w:r>
          </w:p>
        </w:tc>
        <w:tc>
          <w:tcPr>
            <w:tcW w:w="838" w:type="pct"/>
            <w:gridSpan w:val="2"/>
            <w:shd w:val="clear" w:color="auto" w:fill="D8D8D8" w:themeFill="background1" w:themeFillShade="D9"/>
            <w:vAlign w:val="center"/>
          </w:tcPr>
          <w:p w14:paraId="7D4B5622">
            <w:pPr>
              <w:pStyle w:val="34"/>
              <w:spacing w:line="240" w:lineRule="auto"/>
              <w:ind w:firstLine="0" w:firstLineChars="0"/>
              <w:jc w:val="center"/>
              <w:rPr>
                <w:rFonts w:ascii="黑体" w:hAnsi="黑体" w:eastAsia="黑体"/>
              </w:rPr>
            </w:pPr>
            <w:r>
              <w:rPr>
                <w:rFonts w:hint="eastAsia" w:ascii="黑体" w:hAnsi="黑体" w:eastAsia="黑体"/>
              </w:rPr>
              <w:t>名称</w:t>
            </w:r>
          </w:p>
        </w:tc>
        <w:tc>
          <w:tcPr>
            <w:tcW w:w="3546" w:type="pct"/>
            <w:shd w:val="clear" w:color="auto" w:fill="D8D8D8" w:themeFill="background1" w:themeFillShade="D9"/>
            <w:vAlign w:val="center"/>
          </w:tcPr>
          <w:p w14:paraId="36E4F017">
            <w:pPr>
              <w:pStyle w:val="34"/>
              <w:spacing w:line="240" w:lineRule="auto"/>
              <w:ind w:firstLine="0" w:firstLineChars="0"/>
              <w:jc w:val="center"/>
              <w:rPr>
                <w:rFonts w:ascii="黑体" w:hAnsi="黑体" w:eastAsia="黑体"/>
              </w:rPr>
            </w:pPr>
            <w:r>
              <w:rPr>
                <w:rFonts w:hint="eastAsia" w:ascii="黑体" w:hAnsi="黑体" w:eastAsia="黑体"/>
              </w:rPr>
              <w:t>内容</w:t>
            </w:r>
          </w:p>
        </w:tc>
      </w:tr>
      <w:tr w14:paraId="741B740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264418B3">
            <w:pPr>
              <w:pStyle w:val="34"/>
              <w:ind w:firstLine="0" w:firstLineChars="0"/>
            </w:pPr>
            <w:r>
              <w:rPr>
                <w:rFonts w:hint="eastAsia"/>
              </w:rPr>
              <w:t>一、</w:t>
            </w:r>
            <w:r>
              <w:rPr>
                <w:rFonts w:hint="eastAsia"/>
                <w:lang w:val="en-US" w:eastAsia="zh-CN"/>
              </w:rPr>
              <w:t>8</w:t>
            </w:r>
            <w:r>
              <w:t>.</w:t>
            </w:r>
          </w:p>
        </w:tc>
        <w:tc>
          <w:tcPr>
            <w:tcW w:w="838" w:type="pct"/>
            <w:gridSpan w:val="2"/>
            <w:vAlign w:val="center"/>
          </w:tcPr>
          <w:p w14:paraId="7A5145F8">
            <w:pPr>
              <w:pStyle w:val="34"/>
              <w:ind w:firstLine="0" w:firstLineChars="0"/>
              <w:rPr>
                <w:rFonts w:cs="AdobeFangsongStd-Regular"/>
                <w:color w:val="auto"/>
                <w:spacing w:val="-2"/>
                <w:kern w:val="0"/>
                <w:position w:val="-3"/>
                <w:highlight w:val="none"/>
              </w:rPr>
            </w:pPr>
            <w:r>
              <w:rPr>
                <w:rFonts w:hint="eastAsia"/>
                <w:color w:val="auto"/>
                <w:highlight w:val="none"/>
              </w:rPr>
              <w:t>转包与分包</w:t>
            </w:r>
          </w:p>
        </w:tc>
        <w:tc>
          <w:tcPr>
            <w:tcW w:w="3546" w:type="pct"/>
            <w:vAlign w:val="center"/>
          </w:tcPr>
          <w:p w14:paraId="1BC981D8">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b/>
                <w:bCs/>
                <w:color w:val="auto"/>
                <w:highlight w:val="none"/>
                <w:lang w:val="en-US" w:eastAsia="zh-CN"/>
              </w:rPr>
            </w:pPr>
            <w:r>
              <w:rPr>
                <w:rFonts w:hint="eastAsia"/>
                <w:b/>
                <w:bCs/>
                <w:color w:val="auto"/>
                <w:highlight w:val="none"/>
                <w:lang w:val="en-US" w:eastAsia="zh-CN"/>
              </w:rPr>
              <w:t>1.转包:</w:t>
            </w:r>
          </w:p>
          <w:p w14:paraId="08C8C0B7">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color w:val="auto"/>
                <w:highlight w:val="none"/>
                <w:lang w:val="en-US" w:eastAsia="zh-CN"/>
              </w:rPr>
            </w:pPr>
            <w:sdt>
              <w:sdtPr>
                <w:rPr>
                  <w:color w:val="auto"/>
                  <w:highlight w:val="none"/>
                </w:rPr>
                <w:id w:val="599015012"/>
                <w14:checkbox>
                  <w14:checked w14:val="1"/>
                  <w14:checkedState w14:val="00FE" w14:font="Wingdings"/>
                  <w14:uncheckedState w14:val="2610" w14:font="MS Gothic"/>
                </w14:checkbox>
              </w:sdtPr>
              <w:sdtEndPr>
                <w:rPr>
                  <w:color w:val="auto"/>
                  <w:highlight w:val="none"/>
                </w:rPr>
              </w:sdtEndPr>
              <w:sdtContent>
                <w:r>
                  <w:rPr>
                    <w:rFonts w:ascii="Wingdings" w:hAnsi="Wingdings" w:eastAsia="宋体" w:cs="Times New Roman"/>
                    <w:color w:val="auto"/>
                    <w:kern w:val="2"/>
                    <w:sz w:val="24"/>
                    <w:szCs w:val="21"/>
                    <w:highlight w:val="none"/>
                    <w:lang w:val="en-US" w:eastAsia="zh-Hans" w:bidi="ar-SA"/>
                  </w:rPr>
                  <w:t>þ</w:t>
                </w:r>
              </w:sdtContent>
            </w:sdt>
            <w:r>
              <w:rPr>
                <w:rFonts w:hint="eastAsia" w:cs="AdobeFangsongStd-Regular"/>
                <w:color w:val="auto"/>
                <w:spacing w:val="-2"/>
                <w:kern w:val="0"/>
                <w:position w:val="-3"/>
                <w:highlight w:val="none"/>
              </w:rPr>
              <w:t>不</w:t>
            </w:r>
            <w:r>
              <w:rPr>
                <w:rFonts w:hint="eastAsia" w:cs="AdobeFangsongStd-Regular"/>
                <w:color w:val="auto"/>
                <w:spacing w:val="-2"/>
                <w:kern w:val="0"/>
                <w:position w:val="-3"/>
                <w:highlight w:val="none"/>
                <w:lang w:val="en-US" w:eastAsia="zh-CN"/>
              </w:rPr>
              <w:t>允许</w:t>
            </w:r>
          </w:p>
          <w:p w14:paraId="48F9E072">
            <w:pPr>
              <w:pStyle w:val="34"/>
              <w:ind w:firstLine="0" w:firstLineChars="0"/>
              <w:rPr>
                <w:rFonts w:hint="default"/>
                <w:b/>
                <w:bCs/>
                <w:color w:val="auto"/>
                <w:highlight w:val="none"/>
                <w:lang w:val="en-US" w:eastAsia="zh-CN"/>
              </w:rPr>
            </w:pPr>
            <w:r>
              <w:rPr>
                <w:rFonts w:hint="eastAsia"/>
                <w:b/>
                <w:bCs/>
                <w:color w:val="auto"/>
                <w:highlight w:val="none"/>
                <w:lang w:val="en-US" w:eastAsia="zh-CN"/>
              </w:rPr>
              <w:t>2.分包:</w:t>
            </w:r>
          </w:p>
          <w:p w14:paraId="754AA6D7">
            <w:pPr>
              <w:pStyle w:val="34"/>
              <w:ind w:firstLine="0" w:firstLineChars="0"/>
              <w:rPr>
                <w:rFonts w:hint="default"/>
                <w:color w:val="auto"/>
                <w:highlight w:val="none"/>
                <w:lang w:val="en-US" w:eastAsia="zh-CN"/>
              </w:rPr>
            </w:pPr>
            <w:sdt>
              <w:sdtPr>
                <w:rPr>
                  <w:color w:val="auto"/>
                  <w:highlight w:val="none"/>
                </w:rPr>
                <w:id w:val="630187934"/>
                <w14:checkbox>
                  <w14:checked w14:val="0"/>
                  <w14:checkedState w14:val="00FE" w14:font="Wingdings"/>
                  <w14:uncheckedState w14:val="2610" w14:font="MS Gothic"/>
                </w14:checkbox>
              </w:sdtPr>
              <w:sdtEndPr>
                <w:rPr>
                  <w:color w:val="auto"/>
                  <w:highlight w:val="none"/>
                </w:rPr>
              </w:sdtEndPr>
              <w:sdtContent>
                <w:r>
                  <w:rPr>
                    <w:rFonts w:ascii="MS Gothic" w:hAnsi="MS Gothic" w:eastAsia="宋体" w:cs="Times New Roman"/>
                    <w:color w:val="auto"/>
                    <w:kern w:val="2"/>
                    <w:sz w:val="24"/>
                    <w:szCs w:val="21"/>
                    <w:highlight w:val="none"/>
                    <w:lang w:val="en-US" w:eastAsia="zh-Hans" w:bidi="ar-SA"/>
                  </w:rPr>
                  <w:t>☐</w:t>
                </w:r>
              </w:sdtContent>
            </w:sdt>
            <w:r>
              <w:rPr>
                <w:rFonts w:hint="eastAsia" w:cs="AdobeFangsongStd-Regular"/>
                <w:color w:val="auto"/>
                <w:spacing w:val="-2"/>
                <w:kern w:val="0"/>
                <w:position w:val="-3"/>
                <w:highlight w:val="none"/>
              </w:rPr>
              <w:t>不</w:t>
            </w:r>
            <w:r>
              <w:rPr>
                <w:rFonts w:hint="eastAsia" w:cs="AdobeFangsongStd-Regular"/>
                <w:color w:val="auto"/>
                <w:spacing w:val="-2"/>
                <w:kern w:val="0"/>
                <w:position w:val="-3"/>
                <w:highlight w:val="none"/>
                <w:lang w:val="en-US" w:eastAsia="zh-CN"/>
              </w:rPr>
              <w:t>允许</w:t>
            </w:r>
            <w:r>
              <w:rPr>
                <w:rFonts w:hint="eastAsia" w:cs="AdobeFangsongStd-Regular"/>
                <w:color w:val="auto"/>
                <w:spacing w:val="-2"/>
                <w:kern w:val="0"/>
                <w:position w:val="-3"/>
                <w:highlight w:val="none"/>
                <w:lang w:eastAsia="zh-CN"/>
              </w:rPr>
              <w:t>；</w:t>
            </w:r>
            <w:sdt>
              <w:sdtPr>
                <w:rPr>
                  <w:color w:val="auto"/>
                  <w:highlight w:val="none"/>
                </w:rPr>
                <w:id w:val="972238312"/>
                <w14:checkbox>
                  <w14:checked w14:val="1"/>
                  <w14:checkedState w14:val="00FE" w14:font="Wingdings"/>
                  <w14:uncheckedState w14:val="2610" w14:font="MS Gothic"/>
                </w14:checkbox>
              </w:sdtPr>
              <w:sdtEndPr>
                <w:rPr>
                  <w:color w:val="auto"/>
                  <w:highlight w:val="none"/>
                </w:rPr>
              </w:sdtEndPr>
              <w:sdtContent>
                <w:r>
                  <w:rPr>
                    <w:rFonts w:ascii="Wingdings" w:hAnsi="Wingdings" w:eastAsia="宋体" w:cs="Times New Roman"/>
                    <w:color w:val="auto"/>
                    <w:kern w:val="2"/>
                    <w:sz w:val="24"/>
                    <w:szCs w:val="21"/>
                    <w:highlight w:val="none"/>
                    <w:lang w:val="en-US" w:eastAsia="zh-Hans" w:bidi="ar-SA"/>
                  </w:rPr>
                  <w:t>þ</w:t>
                </w:r>
              </w:sdtContent>
            </w:sdt>
            <w:r>
              <w:rPr>
                <w:rFonts w:hint="eastAsia"/>
                <w:color w:val="auto"/>
                <w:highlight w:val="none"/>
                <w:lang w:val="en-US" w:eastAsia="zh-CN"/>
              </w:rPr>
              <w:t>允许分包，允许中标人在中标后将非主体的工作分包。</w:t>
            </w:r>
          </w:p>
        </w:tc>
      </w:tr>
      <w:tr w14:paraId="7138734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shd w:val="clear" w:color="auto" w:fill="auto"/>
            <w:vAlign w:val="center"/>
          </w:tcPr>
          <w:p w14:paraId="3CE76F3F">
            <w:pPr>
              <w:pStyle w:val="34"/>
              <w:ind w:firstLine="0" w:firstLineChars="0"/>
              <w:rPr>
                <w:rFonts w:hint="eastAsia" w:ascii="宋体" w:hAnsi="宋体" w:eastAsia="宋体" w:cs="Times New Roman"/>
                <w:kern w:val="2"/>
                <w:sz w:val="24"/>
                <w:szCs w:val="21"/>
                <w:lang w:val="en-US" w:eastAsia="zh-Hans" w:bidi="ar-SA"/>
              </w:rPr>
            </w:pPr>
            <w:r>
              <w:rPr>
                <w:rFonts w:hint="eastAsia"/>
              </w:rPr>
              <w:t>一、</w:t>
            </w:r>
            <w:r>
              <w:t>9.</w:t>
            </w:r>
          </w:p>
        </w:tc>
        <w:tc>
          <w:tcPr>
            <w:tcW w:w="838" w:type="pct"/>
            <w:gridSpan w:val="2"/>
            <w:shd w:val="clear" w:color="auto" w:fill="auto"/>
            <w:vAlign w:val="center"/>
          </w:tcPr>
          <w:p w14:paraId="3C8B25B0">
            <w:pPr>
              <w:pStyle w:val="34"/>
              <w:ind w:firstLine="0" w:firstLineChars="0"/>
              <w:rPr>
                <w:rFonts w:hint="eastAsia" w:ascii="宋体" w:hAnsi="宋体" w:eastAsia="宋体" w:cs="AdobeFangsongStd-Regular"/>
                <w:spacing w:val="-2"/>
                <w:kern w:val="0"/>
                <w:position w:val="-3"/>
                <w:sz w:val="24"/>
                <w:szCs w:val="21"/>
                <w:lang w:val="en-US" w:eastAsia="zh-Hans" w:bidi="ar-SA"/>
              </w:rPr>
            </w:pPr>
            <w:r>
              <w:rPr>
                <w:rFonts w:hint="eastAsia" w:cs="AdobeFangsongStd-Regular"/>
                <w:spacing w:val="-2"/>
                <w:kern w:val="0"/>
                <w:position w:val="-3"/>
              </w:rPr>
              <w:t>踏勘现场</w:t>
            </w:r>
          </w:p>
        </w:tc>
        <w:tc>
          <w:tcPr>
            <w:tcW w:w="3546" w:type="pct"/>
            <w:shd w:val="clear" w:color="auto" w:fill="auto"/>
            <w:vAlign w:val="center"/>
          </w:tcPr>
          <w:p w14:paraId="7D793D83">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sdt>
              <w:sdtPr>
                <w:id w:val="624569083"/>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cs="AdobeFangsongStd-Regular"/>
                <w:spacing w:val="-2"/>
                <w:kern w:val="0"/>
                <w:position w:val="-3"/>
              </w:rPr>
              <w:t>不组织</w:t>
            </w:r>
            <w:r>
              <w:rPr>
                <w:rFonts w:hint="eastAsia" w:cs="AdobeFangsongStd-Regular"/>
                <w:spacing w:val="-2"/>
                <w:kern w:val="0"/>
                <w:position w:val="-3"/>
                <w:lang w:eastAsia="zh-CN"/>
              </w:rPr>
              <w:t>；</w:t>
            </w:r>
            <w:sdt>
              <w:sdtPr>
                <w:id w:val="52063290"/>
                <w14:checkbox>
                  <w14:checked w14:val="0"/>
                  <w14:checkedState w14:val="00FE" w14:font="Wingdings"/>
                  <w14:uncheckedState w14:val="2610" w14:font="MS Gothic"/>
                </w14:checkbox>
              </w:sdtPr>
              <w:sdtContent>
                <w:r>
                  <w:rPr>
                    <w:rFonts w:ascii="MS Gothic" w:hAnsi="MS Gothic" w:eastAsia="宋体" w:cs="Times New Roman"/>
                    <w:kern w:val="2"/>
                    <w:sz w:val="24"/>
                    <w:szCs w:val="21"/>
                    <w:lang w:val="en-US" w:eastAsia="zh-Hans" w:bidi="ar-SA"/>
                  </w:rPr>
                  <w:t>☐</w:t>
                </w:r>
              </w:sdtContent>
            </w:sdt>
            <w:r>
              <w:rPr>
                <w:rFonts w:hint="eastAsia" w:cs="AdobeFangsongStd-Regular"/>
                <w:spacing w:val="-2"/>
                <w:kern w:val="0"/>
                <w:position w:val="-3"/>
              </w:rPr>
              <w:t xml:space="preserve">统一组织 </w:t>
            </w:r>
          </w:p>
          <w:p w14:paraId="44F802AB">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r>
              <w:rPr>
                <w:rFonts w:hint="eastAsia" w:cs="AdobeFangsongStd-Regular"/>
                <w:spacing w:val="-2"/>
                <w:kern w:val="0"/>
                <w:position w:val="-3"/>
              </w:rPr>
              <w:t>踏勘时间</w:t>
            </w:r>
            <w:r>
              <w:rPr>
                <w:rFonts w:hint="eastAsia" w:cs="AdobeFangsongStd-Regular"/>
                <w:spacing w:val="-2"/>
                <w:kern w:val="0"/>
                <w:position w:val="-3"/>
                <w:lang w:eastAsia="zh-CN"/>
              </w:rPr>
              <w:t>：</w:t>
            </w:r>
            <w:r>
              <w:rPr>
                <w:rFonts w:hint="eastAsia" w:cs="AdobeFangsongStd-Regular"/>
                <w:spacing w:val="-2"/>
                <w:kern w:val="0"/>
                <w:position w:val="-3"/>
              </w:rPr>
              <w:t xml:space="preserve">     </w:t>
            </w:r>
            <w:r>
              <w:rPr>
                <w:rFonts w:cs="AdobeFangsongStd-Regular"/>
                <w:spacing w:val="-2"/>
                <w:kern w:val="0"/>
                <w:position w:val="-3"/>
              </w:rPr>
              <w:t xml:space="preserve"> </w:t>
            </w:r>
            <w:r>
              <w:rPr>
                <w:rFonts w:hint="eastAsia" w:cs="AdobeFangsongStd-Regular"/>
                <w:spacing w:val="-2"/>
                <w:kern w:val="0"/>
                <w:position w:val="-3"/>
              </w:rPr>
              <w:t xml:space="preserve">踏勘集中地点： </w:t>
            </w:r>
          </w:p>
          <w:p w14:paraId="7A48D775">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Times New Roman"/>
                <w:kern w:val="2"/>
                <w:sz w:val="24"/>
                <w:szCs w:val="21"/>
                <w:lang w:val="en-US" w:eastAsia="zh-Hans" w:bidi="ar-SA"/>
              </w:rPr>
            </w:pPr>
            <w:r>
              <w:rPr>
                <w:rFonts w:hint="eastAsia"/>
              </w:rPr>
              <w:t xml:space="preserve">联 系 人： </w:t>
            </w:r>
            <w:r>
              <w:t xml:space="preserve">     </w:t>
            </w:r>
            <w:r>
              <w:rPr>
                <w:rFonts w:hint="eastAsia"/>
              </w:rPr>
              <w:t>联系方式：</w:t>
            </w:r>
          </w:p>
        </w:tc>
      </w:tr>
      <w:tr w14:paraId="24F057E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7E540576">
            <w:pPr>
              <w:pStyle w:val="34"/>
              <w:ind w:firstLine="0" w:firstLineChars="0"/>
            </w:pPr>
            <w:r>
              <w:rPr>
                <w:rFonts w:hint="eastAsia"/>
              </w:rPr>
              <w:t>一、</w:t>
            </w:r>
            <w:r>
              <w:t>10.</w:t>
            </w:r>
          </w:p>
        </w:tc>
        <w:tc>
          <w:tcPr>
            <w:tcW w:w="838" w:type="pct"/>
            <w:gridSpan w:val="2"/>
            <w:vAlign w:val="center"/>
          </w:tcPr>
          <w:p w14:paraId="20504E57">
            <w:pPr>
              <w:pStyle w:val="34"/>
              <w:ind w:firstLine="0" w:firstLineChars="0"/>
              <w:rPr>
                <w:rFonts w:hint="eastAsia" w:cs="AdobeFangsongStd-Regular"/>
                <w:spacing w:val="-2"/>
                <w:kern w:val="0"/>
                <w:position w:val="-3"/>
              </w:rPr>
            </w:pPr>
            <w:r>
              <w:rPr>
                <w:rFonts w:hint="eastAsia" w:cs="AdobeFangsongStd-Regular"/>
                <w:spacing w:val="-2"/>
                <w:kern w:val="0"/>
                <w:position w:val="-3"/>
              </w:rPr>
              <w:t>预备会</w:t>
            </w:r>
          </w:p>
          <w:p w14:paraId="2F564E45">
            <w:pPr>
              <w:pStyle w:val="34"/>
              <w:ind w:firstLine="0" w:firstLineChars="0"/>
              <w:rPr>
                <w:rFonts w:cs="AdobeFangsongStd-Regular"/>
                <w:spacing w:val="-2"/>
                <w:kern w:val="0"/>
                <w:position w:val="-3"/>
              </w:rPr>
            </w:pPr>
            <w:r>
              <w:rPr>
                <w:rFonts w:hint="eastAsia" w:cs="AdobeFangsongStd-Regular"/>
                <w:spacing w:val="-2"/>
                <w:kern w:val="0"/>
                <w:position w:val="-3"/>
              </w:rPr>
              <w:t>/答疑会</w:t>
            </w:r>
          </w:p>
        </w:tc>
        <w:tc>
          <w:tcPr>
            <w:tcW w:w="3546" w:type="pct"/>
            <w:vAlign w:val="center"/>
          </w:tcPr>
          <w:p w14:paraId="18327661">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cs="AdobeFangsongStd-Regular"/>
                <w:spacing w:val="-2"/>
                <w:kern w:val="0"/>
                <w:position w:val="-3"/>
                <w:lang w:eastAsia="zh-CN"/>
              </w:rPr>
            </w:pPr>
            <w:sdt>
              <w:sdtPr>
                <w:id w:val="853448301"/>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不召开</w:t>
            </w:r>
            <w:r>
              <w:rPr>
                <w:rFonts w:hint="eastAsia" w:cs="AdobeFangsongStd-Regular"/>
                <w:spacing w:val="-2"/>
                <w:kern w:val="0"/>
                <w:position w:val="-3"/>
                <w:lang w:eastAsia="zh-CN"/>
              </w:rPr>
              <w:t>；</w:t>
            </w:r>
            <w:sdt>
              <w:sdtPr>
                <w:id w:val="244442054"/>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cs="AdobeFangsongStd-Regular"/>
                <w:spacing w:val="-2"/>
                <w:kern w:val="0"/>
                <w:position w:val="-3"/>
              </w:rPr>
              <w:t>召开</w:t>
            </w:r>
          </w:p>
          <w:p w14:paraId="366F6083">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14:paraId="587897F3">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lang w:eastAsia="zh-CN"/>
              </w:rPr>
            </w:pPr>
            <w:r>
              <w:rPr>
                <w:rFonts w:hint="eastAsia"/>
                <w:lang w:eastAsia="zh-CN"/>
              </w:rPr>
              <w:t>联</w:t>
            </w:r>
            <w:r>
              <w:rPr>
                <w:rFonts w:hint="eastAsia"/>
              </w:rPr>
              <w:t xml:space="preserve"> </w:t>
            </w:r>
            <w:r>
              <w:rPr>
                <w:rFonts w:hint="eastAsia"/>
                <w:lang w:eastAsia="zh-CN"/>
              </w:rPr>
              <w:t>系</w:t>
            </w:r>
            <w:r>
              <w:rPr>
                <w:rFonts w:hint="eastAsia"/>
              </w:rPr>
              <w:t xml:space="preserve"> </w:t>
            </w:r>
            <w:r>
              <w:rPr>
                <w:rFonts w:hint="eastAsia"/>
                <w:lang w:eastAsia="zh-CN"/>
              </w:rPr>
              <w:t>人</w:t>
            </w:r>
            <w:r>
              <w:rPr>
                <w:rFonts w:hint="eastAsia"/>
              </w:rPr>
              <w:t xml:space="preserve">： </w:t>
            </w:r>
            <w:r>
              <w:t xml:space="preserve">     </w:t>
            </w:r>
            <w:r>
              <w:rPr>
                <w:rFonts w:hint="eastAsia"/>
              </w:rPr>
              <w:t>联系方式：</w:t>
            </w:r>
          </w:p>
        </w:tc>
      </w:tr>
      <w:tr w14:paraId="31755D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052E9F7C">
            <w:pPr>
              <w:pStyle w:val="34"/>
              <w:ind w:firstLine="0" w:firstLineChars="0"/>
            </w:pPr>
            <w:r>
              <w:rPr>
                <w:rFonts w:hint="eastAsia"/>
              </w:rPr>
              <w:t>一、</w:t>
            </w:r>
            <w:r>
              <w:rPr>
                <w:rFonts w:hint="eastAsia"/>
                <w:lang w:eastAsia="zh-CN"/>
              </w:rPr>
              <w:t>1</w:t>
            </w:r>
            <w:r>
              <w:rPr>
                <w:rFonts w:hint="eastAsia"/>
              </w:rPr>
              <w:t>2</w:t>
            </w:r>
            <w:r>
              <w:t>.</w:t>
            </w:r>
          </w:p>
        </w:tc>
        <w:tc>
          <w:tcPr>
            <w:tcW w:w="838" w:type="pct"/>
            <w:gridSpan w:val="2"/>
            <w:vAlign w:val="center"/>
          </w:tcPr>
          <w:p w14:paraId="14C508C0">
            <w:pPr>
              <w:pStyle w:val="34"/>
              <w:ind w:firstLine="0" w:firstLineChars="0"/>
            </w:pPr>
            <w:r>
              <w:rPr>
                <w:rFonts w:hint="eastAsia"/>
              </w:rPr>
              <w:t>本项目需要落实的政府采购政策</w:t>
            </w:r>
          </w:p>
        </w:tc>
        <w:tc>
          <w:tcPr>
            <w:tcW w:w="3546" w:type="pct"/>
            <w:vAlign w:val="center"/>
          </w:tcPr>
          <w:p w14:paraId="7F1B3122">
            <w:pPr>
              <w:pStyle w:val="34"/>
              <w:ind w:firstLine="0" w:firstLineChars="0"/>
              <w:rPr>
                <w:rFonts w:hint="eastAsia"/>
                <w:b/>
                <w:bCs/>
              </w:rPr>
            </w:pPr>
            <w:r>
              <w:rPr>
                <w:rFonts w:hint="eastAsia"/>
                <w:b/>
                <w:bCs/>
                <w:lang w:val="en-US" w:eastAsia="zh-CN"/>
              </w:rPr>
              <w:t>1.</w:t>
            </w:r>
            <w:r>
              <w:rPr>
                <w:rFonts w:hint="eastAsia"/>
                <w:b/>
                <w:bCs/>
              </w:rPr>
              <w:t>支持中小企业、残疾人福利性单位、监狱企业发展</w:t>
            </w:r>
          </w:p>
          <w:p w14:paraId="05E534B4">
            <w:pPr>
              <w:pStyle w:val="34"/>
              <w:ind w:firstLine="0" w:firstLineChars="0"/>
              <w:rPr>
                <w:rFonts w:hint="default"/>
                <w:lang w:val="en-US" w:eastAsia="zh-CN"/>
              </w:rPr>
            </w:pPr>
            <w:r>
              <w:rPr>
                <w:rFonts w:hint="eastAsia"/>
                <w:lang w:val="en-US" w:eastAsia="zh-CN"/>
              </w:rPr>
              <w:t>（1）支持方式：详见本项目采购公告。</w:t>
            </w:r>
          </w:p>
          <w:p w14:paraId="640089A5">
            <w:pPr>
              <w:pStyle w:val="34"/>
              <w:ind w:firstLine="0" w:firstLineChars="0"/>
              <w:rPr>
                <w:rFonts w:hint="default"/>
                <w:lang w:val="en-US" w:eastAsia="zh-CN"/>
              </w:rPr>
            </w:pPr>
            <w:r>
              <w:rPr>
                <w:rFonts w:hint="eastAsia"/>
                <w:lang w:val="en-US" w:eastAsia="zh-CN"/>
              </w:rPr>
              <w:t>（2）</w:t>
            </w:r>
            <w:r>
              <w:rPr>
                <w:rFonts w:hint="eastAsia"/>
                <w:color w:val="auto"/>
                <w:lang w:val="en-US" w:eastAsia="zh-CN"/>
              </w:rPr>
              <w:t>本项目采购标的：以本项目《中小企业申明函》（格式文本）列示的为准；</w:t>
            </w:r>
          </w:p>
          <w:p w14:paraId="4EF666B7">
            <w:pPr>
              <w:pStyle w:val="34"/>
              <w:ind w:firstLine="0" w:firstLineChars="0"/>
              <w:rPr>
                <w:rFonts w:hint="eastAsia"/>
                <w:color w:val="00B050"/>
                <w:u w:val="single"/>
                <w:lang w:eastAsia="zh-CN"/>
              </w:rPr>
            </w:pPr>
            <w:r>
              <w:rPr>
                <w:rFonts w:hint="eastAsia"/>
                <w:b w:val="0"/>
                <w:bCs w:val="0"/>
                <w:lang w:eastAsia="zh-CN"/>
              </w:rPr>
              <w:t>（</w:t>
            </w:r>
            <w:r>
              <w:rPr>
                <w:rFonts w:hint="eastAsia"/>
                <w:b w:val="0"/>
                <w:bCs w:val="0"/>
                <w:lang w:val="en-US" w:eastAsia="zh-CN"/>
              </w:rPr>
              <w:t>3）</w:t>
            </w:r>
            <w:r>
              <w:rPr>
                <w:rFonts w:hint="eastAsia"/>
                <w:b/>
                <w:bCs/>
                <w:lang w:eastAsia="zh-CN"/>
              </w:rPr>
              <w:t>采</w:t>
            </w:r>
            <w:r>
              <w:rPr>
                <w:rFonts w:hint="eastAsia"/>
                <w:b/>
                <w:bCs/>
                <w:color w:val="auto"/>
                <w:lang w:eastAsia="zh-CN"/>
              </w:rPr>
              <w:t>购标的</w:t>
            </w:r>
            <w:r>
              <w:rPr>
                <w:rFonts w:hint="eastAsia"/>
                <w:color w:val="auto"/>
                <w:lang w:eastAsia="zh-CN"/>
              </w:rPr>
              <w:t>对应的中小企业划分标准所属行业为：</w:t>
            </w:r>
            <w:r>
              <w:rPr>
                <w:rFonts w:hint="eastAsia"/>
                <w:color w:val="auto"/>
                <w:u w:val="single"/>
                <w:lang w:eastAsia="zh-CN"/>
              </w:rPr>
              <w:t>软件和信息技术服务业</w:t>
            </w:r>
          </w:p>
          <w:p w14:paraId="3A498899">
            <w:pPr>
              <w:pStyle w:val="33"/>
              <w:numPr>
                <w:ilvl w:val="3"/>
                <w:numId w:val="0"/>
              </w:numPr>
              <w:bidi w:val="0"/>
              <w:rPr>
                <w:rFonts w:hint="eastAsia" w:eastAsia="宋体"/>
                <w:color w:val="auto"/>
                <w:lang w:eastAsia="zh-CN"/>
              </w:rPr>
            </w:pPr>
            <w:r>
              <w:rPr>
                <w:rFonts w:hint="eastAsia"/>
                <w:color w:val="auto"/>
                <w:lang w:val="en-US" w:eastAsia="zh-CN"/>
              </w:rPr>
              <w:t>2.</w:t>
            </w:r>
            <w:r>
              <w:rPr>
                <w:color w:val="auto"/>
              </w:rPr>
              <w:t>支持绿色发展</w:t>
            </w:r>
            <w:r>
              <w:rPr>
                <w:rFonts w:hint="eastAsia"/>
                <w:color w:val="auto"/>
                <w:lang w:eastAsia="zh-CN"/>
              </w:rPr>
              <w:t>（</w:t>
            </w:r>
            <w:r>
              <w:rPr>
                <w:rFonts w:hint="eastAsia"/>
                <w:color w:val="auto"/>
                <w:lang w:val="en-US" w:eastAsia="zh-CN"/>
              </w:rPr>
              <w:t>本项目不适用</w:t>
            </w:r>
            <w:r>
              <w:rPr>
                <w:rFonts w:hint="eastAsia"/>
                <w:color w:val="auto"/>
                <w:lang w:eastAsia="zh-CN"/>
              </w:rPr>
              <w:t>）</w:t>
            </w:r>
          </w:p>
          <w:p w14:paraId="62A5BD98">
            <w:pPr>
              <w:pStyle w:val="34"/>
              <w:ind w:firstLine="0" w:firstLineChars="0"/>
              <w:rPr>
                <w:rFonts w:hint="eastAsia"/>
                <w:color w:val="auto"/>
                <w:lang w:val="en-US" w:eastAsia="zh-CN"/>
              </w:rPr>
            </w:pPr>
            <w:r>
              <w:rPr>
                <w:rFonts w:hint="eastAsia"/>
                <w:color w:val="auto"/>
                <w:lang w:val="en-US" w:eastAsia="zh-CN"/>
              </w:rPr>
              <w:t>（1）</w:t>
            </w:r>
            <w:r>
              <w:rPr>
                <w:color w:val="auto"/>
              </w:rPr>
              <w:t>属于节能产品品目清单范围的</w:t>
            </w:r>
            <w:r>
              <w:rPr>
                <w:rFonts w:hint="eastAsia"/>
                <w:color w:val="auto"/>
                <w:lang w:val="en-US" w:eastAsia="zh-CN"/>
              </w:rPr>
              <w:t>产品：</w:t>
            </w:r>
          </w:p>
          <w:p w14:paraId="3844727C">
            <w:pPr>
              <w:pStyle w:val="34"/>
              <w:ind w:firstLine="0" w:firstLineChars="0"/>
              <w:rPr>
                <w:rFonts w:hint="eastAsia"/>
                <w:color w:val="auto"/>
                <w:lang w:val="en-US" w:eastAsia="zh-CN"/>
              </w:rPr>
            </w:pPr>
            <w:sdt>
              <w:sdtPr>
                <w:rPr>
                  <w:color w:val="auto"/>
                </w:rPr>
                <w:id w:val="95383036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无；</w:t>
            </w:r>
            <w:sdt>
              <w:sdtPr>
                <w:rPr>
                  <w:color w:val="auto"/>
                </w:rPr>
                <w:id w:val="854498278"/>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CN"/>
              </w:rPr>
              <w:t>有：</w:t>
            </w:r>
            <w:r>
              <w:rPr>
                <w:rFonts w:hint="eastAsia"/>
                <w:color w:val="auto"/>
                <w:u w:val="single"/>
                <w:lang w:val="en-US" w:eastAsia="zh-CN"/>
              </w:rPr>
              <w:t xml:space="preserve">                                。</w:t>
            </w:r>
          </w:p>
          <w:p w14:paraId="48786CF1">
            <w:pPr>
              <w:pStyle w:val="34"/>
              <w:ind w:firstLine="0" w:firstLineChars="0"/>
              <w:rPr>
                <w:rFonts w:hint="eastAsia"/>
                <w:color w:val="auto"/>
                <w:lang w:val="en-US" w:eastAsia="zh-CN"/>
              </w:rPr>
            </w:pPr>
            <w:r>
              <w:rPr>
                <w:rFonts w:hint="eastAsia"/>
                <w:color w:val="auto"/>
                <w:lang w:val="en-US" w:eastAsia="zh-CN"/>
              </w:rPr>
              <w:t>（2）</w:t>
            </w:r>
            <w:r>
              <w:rPr>
                <w:color w:val="auto"/>
              </w:rPr>
              <w:t>属于</w:t>
            </w:r>
            <w:r>
              <w:rPr>
                <w:rFonts w:hint="eastAsia"/>
                <w:color w:val="auto"/>
                <w:lang w:val="en-US" w:eastAsia="zh-CN"/>
              </w:rPr>
              <w:t>强制采购的</w:t>
            </w:r>
            <w:r>
              <w:rPr>
                <w:color w:val="auto"/>
              </w:rPr>
              <w:t>节能产品品目清单范围的</w:t>
            </w:r>
            <w:r>
              <w:rPr>
                <w:rFonts w:hint="eastAsia"/>
                <w:color w:val="auto"/>
                <w:lang w:val="en-US" w:eastAsia="zh-CN"/>
              </w:rPr>
              <w:t>产品：</w:t>
            </w:r>
          </w:p>
          <w:p w14:paraId="3FDE0676">
            <w:pPr>
              <w:pStyle w:val="34"/>
              <w:ind w:firstLine="0" w:firstLineChars="0"/>
              <w:rPr>
                <w:rFonts w:hint="eastAsia"/>
                <w:color w:val="auto"/>
                <w:lang w:val="en-US" w:eastAsia="zh-CN"/>
              </w:rPr>
            </w:pPr>
            <w:sdt>
              <w:sdtPr>
                <w:rPr>
                  <w:color w:val="auto"/>
                </w:rPr>
                <w:id w:val="45867944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无；</w:t>
            </w:r>
            <w:sdt>
              <w:sdtPr>
                <w:rPr>
                  <w:color w:val="auto"/>
                </w:rPr>
                <w:id w:val="706572611"/>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CN"/>
              </w:rPr>
              <w:t>有：</w:t>
            </w:r>
            <w:r>
              <w:rPr>
                <w:rFonts w:hint="eastAsia"/>
                <w:color w:val="auto"/>
                <w:u w:val="single"/>
                <w:lang w:val="en-US" w:eastAsia="zh-CN"/>
              </w:rPr>
              <w:t xml:space="preserve">                                。</w:t>
            </w:r>
          </w:p>
          <w:p w14:paraId="5ABC0853">
            <w:pPr>
              <w:pStyle w:val="34"/>
              <w:ind w:firstLine="0" w:firstLineChars="0"/>
              <w:rPr>
                <w:rFonts w:hint="eastAsia"/>
                <w:color w:val="auto"/>
                <w:lang w:val="en-US" w:eastAsia="zh-CN"/>
              </w:rPr>
            </w:pPr>
            <w:r>
              <w:rPr>
                <w:rFonts w:hint="eastAsia"/>
                <w:color w:val="auto"/>
                <w:lang w:val="en-US" w:eastAsia="zh-CN"/>
              </w:rPr>
              <w:t>（3）</w:t>
            </w:r>
            <w:r>
              <w:rPr>
                <w:color w:val="auto"/>
              </w:rPr>
              <w:t>属于</w:t>
            </w:r>
            <w:r>
              <w:rPr>
                <w:rFonts w:hint="eastAsia"/>
                <w:color w:val="auto"/>
                <w:lang w:val="en-US" w:eastAsia="zh-CN"/>
              </w:rPr>
              <w:t>环境标志产品</w:t>
            </w:r>
            <w:r>
              <w:rPr>
                <w:color w:val="auto"/>
              </w:rPr>
              <w:t>品目清单范围的</w:t>
            </w:r>
            <w:r>
              <w:rPr>
                <w:rFonts w:hint="eastAsia"/>
                <w:color w:val="auto"/>
                <w:lang w:val="en-US" w:eastAsia="zh-CN"/>
              </w:rPr>
              <w:t>产品：</w:t>
            </w:r>
          </w:p>
          <w:p w14:paraId="6AEBC056">
            <w:pPr>
              <w:pStyle w:val="34"/>
              <w:ind w:firstLine="0" w:firstLineChars="0"/>
              <w:rPr>
                <w:color w:val="auto"/>
              </w:rPr>
            </w:pPr>
            <w:sdt>
              <w:sdtPr>
                <w:rPr>
                  <w:color w:val="auto"/>
                </w:rPr>
                <w:id w:val="4253865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无；</w:t>
            </w:r>
            <w:sdt>
              <w:sdtPr>
                <w:rPr>
                  <w:color w:val="auto"/>
                </w:rPr>
                <w:id w:val="62809871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CN"/>
              </w:rPr>
              <w:t>有：</w:t>
            </w:r>
            <w:r>
              <w:rPr>
                <w:rFonts w:hint="eastAsia"/>
                <w:color w:val="auto"/>
                <w:u w:val="single"/>
                <w:lang w:val="en-US" w:eastAsia="zh-CN"/>
              </w:rPr>
              <w:t xml:space="preserve">                                。</w:t>
            </w:r>
          </w:p>
          <w:p w14:paraId="0A3E2586">
            <w:pPr>
              <w:pStyle w:val="33"/>
              <w:numPr>
                <w:ilvl w:val="3"/>
                <w:numId w:val="0"/>
              </w:numPr>
              <w:rPr>
                <w:color w:val="auto"/>
              </w:rPr>
            </w:pPr>
            <w:r>
              <w:rPr>
                <w:rFonts w:hint="eastAsia"/>
                <w:color w:val="auto"/>
                <w:lang w:val="en-US" w:eastAsia="zh-CN"/>
              </w:rPr>
              <w:t>3.</w:t>
            </w:r>
            <w:r>
              <w:rPr>
                <w:color w:val="auto"/>
              </w:rPr>
              <w:t>支持创新发展</w:t>
            </w:r>
            <w:r>
              <w:rPr>
                <w:rFonts w:hint="eastAsia"/>
                <w:color w:val="auto"/>
                <w:lang w:eastAsia="zh-CN"/>
              </w:rPr>
              <w:t>（</w:t>
            </w:r>
            <w:r>
              <w:rPr>
                <w:rFonts w:hint="eastAsia"/>
                <w:color w:val="auto"/>
                <w:lang w:val="en-US" w:eastAsia="zh-CN"/>
              </w:rPr>
              <w:t>本项目不适用</w:t>
            </w:r>
            <w:r>
              <w:rPr>
                <w:rFonts w:hint="eastAsia"/>
                <w:color w:val="auto"/>
                <w:lang w:eastAsia="zh-CN"/>
              </w:rPr>
              <w:t>）</w:t>
            </w:r>
          </w:p>
          <w:p w14:paraId="39F21FAC">
            <w:pPr>
              <w:pStyle w:val="33"/>
              <w:numPr>
                <w:ilvl w:val="3"/>
                <w:numId w:val="0"/>
              </w:numPr>
              <w:rPr>
                <w:color w:val="auto"/>
              </w:rPr>
            </w:pPr>
            <w:r>
              <w:rPr>
                <w:rFonts w:hint="eastAsia"/>
                <w:color w:val="auto"/>
                <w:lang w:val="en-US" w:eastAsia="zh-CN"/>
              </w:rPr>
              <w:t>4.</w:t>
            </w:r>
            <w:r>
              <w:rPr>
                <w:rFonts w:hint="eastAsia"/>
                <w:color w:val="auto"/>
              </w:rPr>
              <w:t>支持本国生产的货物</w:t>
            </w:r>
            <w:r>
              <w:rPr>
                <w:rFonts w:hint="eastAsia"/>
                <w:color w:val="auto"/>
                <w:lang w:eastAsia="zh-CN"/>
              </w:rPr>
              <w:t>（</w:t>
            </w:r>
            <w:r>
              <w:rPr>
                <w:rFonts w:hint="eastAsia"/>
                <w:color w:val="auto"/>
                <w:lang w:val="en-US" w:eastAsia="zh-CN"/>
              </w:rPr>
              <w:t>本项目不适用</w:t>
            </w:r>
            <w:r>
              <w:rPr>
                <w:rFonts w:hint="eastAsia"/>
                <w:color w:val="auto"/>
                <w:lang w:eastAsia="zh-CN"/>
              </w:rPr>
              <w:t>）</w:t>
            </w:r>
          </w:p>
          <w:p w14:paraId="59C09F9B">
            <w:pPr>
              <w:pStyle w:val="34"/>
              <w:ind w:firstLine="0" w:firstLineChars="0"/>
              <w:rPr>
                <w:rFonts w:hint="eastAsia"/>
                <w:color w:val="auto"/>
                <w:u w:val="none"/>
                <w:lang w:val="en-US" w:eastAsia="zh-CN"/>
              </w:rPr>
            </w:pPr>
            <w:r>
              <w:rPr>
                <w:rFonts w:hint="eastAsia"/>
                <w:color w:val="auto"/>
                <w:u w:val="none"/>
                <w:lang w:eastAsia="zh-CN"/>
              </w:rPr>
              <w:t>（</w:t>
            </w:r>
            <w:r>
              <w:rPr>
                <w:rFonts w:hint="eastAsia"/>
                <w:color w:val="auto"/>
                <w:u w:val="none"/>
                <w:lang w:val="en-US" w:eastAsia="zh-CN"/>
              </w:rPr>
              <w:t>1）是否允许采购进口产品：☐否；☐是。</w:t>
            </w:r>
          </w:p>
          <w:p w14:paraId="49551CA7">
            <w:pPr>
              <w:pStyle w:val="34"/>
              <w:ind w:firstLine="0" w:firstLineChars="0"/>
              <w:rPr>
                <w:rFonts w:hint="eastAsia" w:eastAsia="宋体"/>
                <w:color w:val="auto"/>
                <w:lang w:eastAsia="zh-CN"/>
              </w:rPr>
            </w:pPr>
            <w:r>
              <w:rPr>
                <w:rFonts w:hint="eastAsia"/>
                <w:color w:val="auto"/>
                <w:lang w:eastAsia="zh-CN"/>
              </w:rPr>
              <w:t>（</w:t>
            </w:r>
            <w:r>
              <w:rPr>
                <w:rFonts w:hint="eastAsia"/>
                <w:color w:val="auto"/>
                <w:lang w:val="en-US" w:eastAsia="zh-CN"/>
              </w:rPr>
              <w:t>2）</w:t>
            </w:r>
            <w:r>
              <w:rPr>
                <w:rFonts w:hint="eastAsia"/>
                <w:color w:val="auto"/>
              </w:rPr>
              <w:t>报价及交货方式：</w:t>
            </w:r>
            <w:sdt>
              <w:sdtPr>
                <w:rPr>
                  <w:color w:val="auto"/>
                </w:rPr>
                <w:id w:val="679625574"/>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CIP</w:t>
            </w:r>
            <w:r>
              <w:rPr>
                <w:rFonts w:hint="eastAsia"/>
                <w:color w:val="auto"/>
                <w:lang w:eastAsia="zh-CN"/>
              </w:rPr>
              <w:t>；</w:t>
            </w:r>
            <w:sdt>
              <w:sdtPr>
                <w:rPr>
                  <w:color w:val="auto"/>
                </w:rPr>
                <w:id w:val="13557365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CIF</w:t>
            </w:r>
            <w:r>
              <w:rPr>
                <w:rFonts w:hint="eastAsia"/>
                <w:color w:val="auto"/>
                <w:lang w:eastAsia="zh-CN"/>
              </w:rPr>
              <w:t>。</w:t>
            </w:r>
          </w:p>
          <w:p w14:paraId="0DD2520E">
            <w:pPr>
              <w:pStyle w:val="34"/>
              <w:ind w:firstLine="0" w:firstLineChars="0"/>
              <w:rPr>
                <w:rFonts w:hint="default"/>
                <w:color w:val="00B050"/>
                <w:u w:val="none"/>
                <w:lang w:val="en-US" w:eastAsia="zh-CN"/>
              </w:rPr>
            </w:pPr>
            <w:r>
              <w:rPr>
                <w:rFonts w:hint="eastAsia"/>
                <w:color w:val="auto"/>
                <w:lang w:eastAsia="zh-CN"/>
              </w:rPr>
              <w:t>（</w:t>
            </w:r>
            <w:r>
              <w:rPr>
                <w:rFonts w:hint="eastAsia"/>
                <w:color w:val="auto"/>
                <w:lang w:val="en-US" w:eastAsia="zh-CN"/>
              </w:rPr>
              <w:t>3）</w:t>
            </w:r>
            <w:r>
              <w:rPr>
                <w:rFonts w:hint="eastAsia"/>
                <w:color w:val="auto"/>
              </w:rPr>
              <w:t>是否可免关税：</w:t>
            </w:r>
            <w:sdt>
              <w:sdtPr>
                <w:rPr>
                  <w:color w:val="auto"/>
                </w:rPr>
                <w:id w:val="8791306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rPr>
              <w:t>否</w:t>
            </w:r>
            <w:r>
              <w:rPr>
                <w:rFonts w:hint="eastAsia"/>
                <w:color w:val="auto"/>
                <w:lang w:eastAsia="zh-CN"/>
              </w:rPr>
              <w:t>；</w:t>
            </w:r>
            <w:sdt>
              <w:sdtPr>
                <w:rPr>
                  <w:color w:val="auto"/>
                </w:rPr>
                <w:id w:val="530617980"/>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是</w:t>
            </w:r>
            <w:r>
              <w:rPr>
                <w:rFonts w:hint="eastAsia"/>
                <w:color w:val="auto"/>
              </w:rPr>
              <w:t>。</w:t>
            </w:r>
          </w:p>
        </w:tc>
      </w:tr>
      <w:tr w14:paraId="3D2A66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EE37EC4">
            <w:pPr>
              <w:pStyle w:val="34"/>
              <w:ind w:firstLine="0" w:firstLineChars="0"/>
              <w:rPr>
                <w:rFonts w:hint="eastAsia"/>
              </w:rPr>
            </w:pPr>
            <w:r>
              <w:rPr>
                <w:rFonts w:hint="eastAsia"/>
              </w:rPr>
              <w:t>一、</w:t>
            </w:r>
            <w:r>
              <w:rPr>
                <w:rFonts w:hint="eastAsia"/>
                <w:lang w:eastAsia="zh-CN"/>
              </w:rPr>
              <w:t>1</w:t>
            </w:r>
            <w:r>
              <w:rPr>
                <w:rFonts w:hint="eastAsia"/>
              </w:rPr>
              <w:t>2</w:t>
            </w:r>
            <w:r>
              <w:t>.</w:t>
            </w:r>
          </w:p>
        </w:tc>
        <w:tc>
          <w:tcPr>
            <w:tcW w:w="838" w:type="pct"/>
            <w:gridSpan w:val="2"/>
            <w:vAlign w:val="center"/>
          </w:tcPr>
          <w:p w14:paraId="4B96F1AA">
            <w:pPr>
              <w:pStyle w:val="34"/>
              <w:ind w:firstLine="0" w:firstLineChars="0"/>
              <w:rPr>
                <w:rFonts w:hint="eastAsia"/>
              </w:rPr>
            </w:pPr>
            <w:r>
              <w:rPr>
                <w:rFonts w:hint="eastAsia"/>
              </w:rPr>
              <w:t>对供应商的限制</w:t>
            </w:r>
          </w:p>
        </w:tc>
        <w:tc>
          <w:tcPr>
            <w:tcW w:w="3546" w:type="pct"/>
            <w:vAlign w:val="center"/>
          </w:tcPr>
          <w:p w14:paraId="443C1581">
            <w:pPr>
              <w:pStyle w:val="34"/>
              <w:ind w:firstLine="0" w:firstLineChars="0"/>
              <w:rPr>
                <w:rFonts w:hint="eastAsia"/>
                <w:lang w:val="en-US" w:eastAsia="zh-CN"/>
              </w:rPr>
            </w:pPr>
            <w:r>
              <w:rPr>
                <w:rFonts w:hint="eastAsia"/>
                <w:lang w:val="en-US" w:eastAsia="zh-CN"/>
              </w:rPr>
              <w:t>本项目是否为“政府购买服务”项目</w:t>
            </w:r>
          </w:p>
          <w:p w14:paraId="28E6F69E">
            <w:pPr>
              <w:pStyle w:val="34"/>
              <w:ind w:firstLine="0" w:firstLineChars="0"/>
              <w:rPr>
                <w:rFonts w:hint="default"/>
                <w:lang w:val="en-US" w:eastAsia="zh-CN"/>
              </w:rPr>
            </w:pPr>
            <w:sdt>
              <w:sdtPr>
                <w:id w:val="828268428"/>
                <w14:checkbox>
                  <w14:checked w14:val="1"/>
                  <w14:checkedState w14:val="00FE" w14:font="Wingdings"/>
                  <w14:uncheckedState w14:val="2610" w14:font="MS Gothic"/>
                </w14:checkbox>
              </w:sdtPr>
              <w:sdtContent>
                <w:r>
                  <w:rPr>
                    <w:rFonts w:hint="eastAsia" w:ascii="Wingdings" w:hAnsi="Wingdings" w:eastAsia="MS Gothic" w:cs="Times New Roman"/>
                    <w:kern w:val="2"/>
                    <w:sz w:val="24"/>
                    <w:szCs w:val="21"/>
                    <w:lang w:val="en-US" w:eastAsia="zh-Hans" w:bidi="ar-SA"/>
                  </w:rPr>
                  <w:t>þ</w:t>
                </w:r>
              </w:sdtContent>
            </w:sdt>
            <w:r>
              <w:rPr>
                <w:rFonts w:hint="eastAsia"/>
              </w:rPr>
              <w:t>否</w:t>
            </w:r>
            <w:r>
              <w:rPr>
                <w:rFonts w:hint="eastAsia"/>
                <w:lang w:eastAsia="zh-CN"/>
              </w:rPr>
              <w:t>；</w:t>
            </w:r>
            <w:sdt>
              <w:sdtPr>
                <w:id w:val="511448120"/>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CN"/>
              </w:rPr>
              <w:t>是，公益一类事业单位、使用事业编制且由财政拨款保障的群团组织不作为政府购买服务的承接主体‌。</w:t>
            </w:r>
          </w:p>
        </w:tc>
      </w:tr>
      <w:tr w14:paraId="1328513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51783C6E">
            <w:pPr>
              <w:pStyle w:val="34"/>
              <w:ind w:firstLine="0" w:firstLineChars="0"/>
            </w:pPr>
            <w:r>
              <w:rPr>
                <w:rFonts w:hint="eastAsia"/>
              </w:rPr>
              <w:t>三、5</w:t>
            </w:r>
            <w:r>
              <w:t>.</w:t>
            </w:r>
          </w:p>
        </w:tc>
        <w:tc>
          <w:tcPr>
            <w:tcW w:w="838" w:type="pct"/>
            <w:gridSpan w:val="2"/>
            <w:vAlign w:val="center"/>
          </w:tcPr>
          <w:p w14:paraId="4D26A9CC">
            <w:pPr>
              <w:pStyle w:val="34"/>
              <w:ind w:firstLine="0" w:firstLineChars="0"/>
              <w:rPr>
                <w:kern w:val="0"/>
              </w:rPr>
            </w:pPr>
            <w:r>
              <w:rPr>
                <w:rFonts w:hint="eastAsia" w:cs="AdobeFangsongStd-Regular"/>
                <w:kern w:val="0"/>
                <w:position w:val="-3"/>
              </w:rPr>
              <w:t>投标</w:t>
            </w:r>
            <w:r>
              <w:rPr>
                <w:rFonts w:hint="eastAsia" w:cs="AdobeFangsongStd-Regular"/>
                <w:spacing w:val="-2"/>
                <w:kern w:val="0"/>
                <w:position w:val="-3"/>
              </w:rPr>
              <w:t>文</w:t>
            </w:r>
            <w:r>
              <w:rPr>
                <w:rFonts w:hint="eastAsia" w:cs="AdobeFangsongStd-Regular"/>
                <w:kern w:val="0"/>
                <w:position w:val="-3"/>
              </w:rPr>
              <w:t>件</w:t>
            </w:r>
            <w:r>
              <w:rPr>
                <w:rFonts w:hint="eastAsia" w:cs="AdobeFangsongStd-Regular"/>
                <w:spacing w:val="-2"/>
                <w:kern w:val="0"/>
                <w:position w:val="-3"/>
              </w:rPr>
              <w:t>有</w:t>
            </w:r>
            <w:r>
              <w:rPr>
                <w:rFonts w:hint="eastAsia" w:cs="AdobeFangsongStd-Regular"/>
                <w:kern w:val="0"/>
                <w:position w:val="-3"/>
              </w:rPr>
              <w:t>效期</w:t>
            </w:r>
          </w:p>
        </w:tc>
        <w:tc>
          <w:tcPr>
            <w:tcW w:w="3546" w:type="pct"/>
            <w:vAlign w:val="center"/>
          </w:tcPr>
          <w:p w14:paraId="6911A436">
            <w:pPr>
              <w:pStyle w:val="34"/>
              <w:ind w:firstLine="0" w:firstLineChars="0"/>
              <w:rPr>
                <w:kern w:val="0"/>
              </w:rPr>
            </w:pPr>
            <w:r>
              <w:rPr>
                <w:rFonts w:hint="eastAsia" w:cs="AdobeFangsongStd-Regular"/>
                <w:kern w:val="0"/>
                <w:position w:val="-2"/>
              </w:rPr>
              <w:t>自投</w:t>
            </w:r>
            <w:r>
              <w:rPr>
                <w:rFonts w:hint="eastAsia" w:cs="AdobeFangsongStd-Regular"/>
                <w:spacing w:val="-2"/>
                <w:kern w:val="0"/>
                <w:position w:val="-2"/>
              </w:rPr>
              <w:t>标</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3363793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gridSpan w:val="2"/>
            <w:vAlign w:val="center"/>
          </w:tcPr>
          <w:p w14:paraId="4ABBC2E2">
            <w:pPr>
              <w:pStyle w:val="34"/>
              <w:ind w:firstLine="0" w:firstLineChars="0"/>
              <w:rPr>
                <w:rFonts w:hint="default" w:eastAsia="宋体"/>
                <w:lang w:eastAsia="zh-Hans"/>
              </w:rPr>
            </w:pPr>
            <w:r>
              <w:rPr>
                <w:rFonts w:hint="eastAsia"/>
                <w:lang w:val="en-US" w:eastAsia="zh-Hans"/>
              </w:rPr>
              <w:t>四、</w:t>
            </w:r>
            <w:r>
              <w:rPr>
                <w:rFonts w:hint="default"/>
                <w:lang w:eastAsia="zh-Hans"/>
              </w:rPr>
              <w:t>1.</w:t>
            </w:r>
          </w:p>
        </w:tc>
        <w:tc>
          <w:tcPr>
            <w:tcW w:w="837" w:type="pct"/>
            <w:vAlign w:val="center"/>
          </w:tcPr>
          <w:p w14:paraId="466088F7">
            <w:pPr>
              <w:pStyle w:val="34"/>
              <w:ind w:firstLine="0" w:firstLineChars="0"/>
              <w:rPr>
                <w:rFonts w:hint="default" w:eastAsia="宋体" w:cs="AdobeFangsongStd-Regular"/>
                <w:kern w:val="0"/>
                <w:position w:val="-3"/>
                <w:lang w:val="en-US" w:eastAsia="zh-Hans"/>
              </w:rPr>
            </w:pPr>
            <w:r>
              <w:rPr>
                <w:rFonts w:hint="eastAsia" w:cs="AdobeFangsongStd-Regular"/>
                <w:kern w:val="0"/>
                <w:position w:val="-3"/>
                <w:lang w:val="en-US" w:eastAsia="zh-Hans"/>
              </w:rPr>
              <w:t>投标范围</w:t>
            </w:r>
          </w:p>
        </w:tc>
        <w:tc>
          <w:tcPr>
            <w:tcW w:w="3546" w:type="pct"/>
            <w:vAlign w:val="center"/>
          </w:tcPr>
          <w:p w14:paraId="7229A01B">
            <w:pPr>
              <w:pStyle w:val="34"/>
              <w:ind w:firstLine="0" w:firstLineChars="0"/>
              <w:rPr>
                <w:rFonts w:hint="eastAsia" w:cs="AdobeFangsongStd-Regular"/>
                <w:color w:val="auto"/>
                <w:kern w:val="0"/>
                <w:position w:val="-2"/>
                <w:lang w:val="en-US" w:eastAsia="zh-Hans"/>
              </w:rPr>
            </w:pPr>
            <w:sdt>
              <w:sdtPr>
                <w:rPr>
                  <w:color w:val="auto"/>
                </w:rPr>
                <w:id w:val="1389695766"/>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s="AdobeFangsongStd-Regular"/>
                <w:color w:val="auto"/>
                <w:kern w:val="0"/>
                <w:position w:val="-2"/>
                <w:lang w:val="en-US" w:eastAsia="zh-Hans"/>
              </w:rPr>
              <w:t>本项目</w:t>
            </w:r>
            <w:r>
              <w:rPr>
                <w:rFonts w:hint="eastAsia" w:cs="AdobeFangsongStd-Regular"/>
                <w:color w:val="auto"/>
                <w:kern w:val="0"/>
                <w:position w:val="-2"/>
                <w:lang w:val="en-US" w:eastAsia="zh-CN"/>
              </w:rPr>
              <w:t>不</w:t>
            </w:r>
            <w:r>
              <w:rPr>
                <w:rFonts w:hint="eastAsia" w:cs="AdobeFangsongStd-Regular"/>
                <w:color w:val="auto"/>
                <w:kern w:val="0"/>
                <w:position w:val="-2"/>
                <w:lang w:val="en-US" w:eastAsia="zh-Hans"/>
              </w:rPr>
              <w:t>存在多个标项</w:t>
            </w:r>
          </w:p>
          <w:p w14:paraId="20A11382">
            <w:pPr>
              <w:pStyle w:val="34"/>
              <w:ind w:firstLine="0" w:firstLineChars="0"/>
              <w:rPr>
                <w:rFonts w:hint="eastAsia" w:eastAsia="宋体" w:cs="AdobeFangsongStd-Regular"/>
                <w:kern w:val="0"/>
                <w:position w:val="-2"/>
                <w:lang w:val="en-US" w:eastAsia="zh-CN"/>
              </w:rPr>
            </w:pPr>
            <w:sdt>
              <w:sdtPr>
                <w:id w:val="393592173"/>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cs="AdobeFangsongStd-Regular"/>
                <w:kern w:val="0"/>
                <w:position w:val="-2"/>
                <w:lang w:val="en-US" w:eastAsia="zh-Hans"/>
              </w:rPr>
              <w:t>本项目存在多个标项，投标人可</w:t>
            </w:r>
            <w:r>
              <w:rPr>
                <w:rFonts w:hint="eastAsia" w:cs="AdobeFangsongStd-Regular"/>
                <w:kern w:val="0"/>
                <w:position w:val="-2"/>
                <w:lang w:val="en-US" w:eastAsia="zh-CN"/>
              </w:rPr>
              <w:t>：</w:t>
            </w:r>
          </w:p>
          <w:p w14:paraId="6CFF87E1">
            <w:pPr>
              <w:pStyle w:val="34"/>
              <w:ind w:firstLine="0" w:firstLineChars="0"/>
              <w:rPr>
                <w:rFonts w:hint="default" w:eastAsia="宋体"/>
                <w:lang w:val="en-US" w:eastAsia="zh-Hans"/>
              </w:rPr>
            </w:pPr>
            <w:sdt>
              <w:sdtPr>
                <w:id w:val="646997429"/>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兼投可兼中，即投标人可以选择一个或多个标项投报，并获得对应投报标项的中标机会。</w:t>
            </w:r>
          </w:p>
          <w:p w14:paraId="7E3EAB66">
            <w:pPr>
              <w:pStyle w:val="34"/>
              <w:ind w:firstLine="0" w:firstLineChars="0"/>
              <w:rPr>
                <w:rFonts w:hint="default"/>
                <w:lang w:val="en-US" w:eastAsia="zh-Hans"/>
              </w:rPr>
            </w:pPr>
            <w:sdt>
              <w:sdtPr>
                <w:id w:val="21579373"/>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兼投不兼中，即投标人可以选择一个或多个标项投报，但只能获得一个投报标项的中标</w:t>
            </w:r>
            <w:r>
              <w:rPr>
                <w:rFonts w:hint="eastAsia"/>
                <w:highlight w:val="none"/>
                <w:lang w:val="en-US" w:eastAsia="zh-Hans"/>
              </w:rPr>
              <w:t>资格，具体理由、规则详见“第五章</w:t>
            </w:r>
            <w:r>
              <w:rPr>
                <w:rFonts w:hint="default"/>
                <w:highlight w:val="none"/>
                <w:lang w:eastAsia="zh-Hans"/>
              </w:rPr>
              <w:t xml:space="preserve"> </w:t>
            </w:r>
            <w:r>
              <w:rPr>
                <w:rFonts w:hint="eastAsia"/>
                <w:highlight w:val="none"/>
                <w:lang w:val="en-US" w:eastAsia="zh-Hans"/>
              </w:rPr>
              <w:t>评审办法和标准”。</w:t>
            </w:r>
          </w:p>
        </w:tc>
      </w:tr>
      <w:tr w14:paraId="3603F1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gridSpan w:val="2"/>
            <w:shd w:val="clear" w:color="auto" w:fill="auto"/>
            <w:vAlign w:val="center"/>
          </w:tcPr>
          <w:p w14:paraId="62463D39">
            <w:pPr>
              <w:pStyle w:val="34"/>
              <w:ind w:firstLine="0" w:firstLineChars="0"/>
              <w:rPr>
                <w:rFonts w:hint="eastAsia" w:ascii="宋体" w:hAnsi="宋体" w:eastAsia="宋体" w:cs="Times New Roman"/>
                <w:kern w:val="2"/>
                <w:sz w:val="24"/>
                <w:szCs w:val="21"/>
                <w:lang w:val="en-US" w:eastAsia="zh-Hans" w:bidi="ar-SA"/>
              </w:rPr>
            </w:pPr>
            <w:r>
              <w:rPr>
                <w:rFonts w:hint="eastAsia"/>
              </w:rPr>
              <w:t>四、</w:t>
            </w:r>
            <w:r>
              <w:rPr>
                <w:rFonts w:hint="eastAsia"/>
                <w:lang w:val="en-US" w:eastAsia="zh-CN"/>
              </w:rPr>
              <w:t>5</w:t>
            </w:r>
            <w:r>
              <w:rPr>
                <w:rFonts w:hint="eastAsia"/>
              </w:rPr>
              <w:t>.</w:t>
            </w:r>
          </w:p>
        </w:tc>
        <w:tc>
          <w:tcPr>
            <w:tcW w:w="837" w:type="pct"/>
            <w:shd w:val="clear" w:color="auto" w:fill="auto"/>
            <w:vAlign w:val="center"/>
          </w:tcPr>
          <w:p w14:paraId="512A9BCD">
            <w:pPr>
              <w:pStyle w:val="34"/>
              <w:ind w:firstLine="0" w:firstLineChars="0"/>
              <w:rPr>
                <w:rFonts w:hint="eastAsia" w:ascii="宋体" w:hAnsi="宋体" w:eastAsia="宋体" w:cs="AdobeFangsongStd-Regular"/>
                <w:kern w:val="0"/>
                <w:position w:val="-3"/>
                <w:sz w:val="24"/>
                <w:szCs w:val="21"/>
                <w:lang w:val="en-US" w:eastAsia="zh-Hans" w:bidi="ar-SA"/>
              </w:rPr>
            </w:pPr>
            <w:r>
              <w:rPr>
                <w:rFonts w:hint="eastAsia" w:cs="AdobeFangsongStd-Regular"/>
                <w:kern w:val="0"/>
                <w:position w:val="-3"/>
              </w:rPr>
              <w:t>投标样品</w:t>
            </w:r>
          </w:p>
        </w:tc>
        <w:tc>
          <w:tcPr>
            <w:tcW w:w="3546" w:type="pct"/>
            <w:shd w:val="clear" w:color="auto" w:fill="auto"/>
            <w:vAlign w:val="center"/>
          </w:tcPr>
          <w:p w14:paraId="42D985D4">
            <w:pPr>
              <w:pStyle w:val="34"/>
              <w:ind w:firstLine="0" w:firstLineChars="0"/>
            </w:pPr>
            <w:r>
              <w:rPr>
                <w:rFonts w:hint="eastAsia"/>
                <w:kern w:val="10"/>
              </w:rPr>
              <w:t>本项目是否需要样品：</w:t>
            </w:r>
            <w:sdt>
              <w:sdtPr>
                <w:id w:val="605111514"/>
                <w14:checkbox>
                  <w14:checked w14:val="1"/>
                  <w14:checkedState w14:val="00FE" w14:font="Wingdings"/>
                  <w14:uncheckedState w14:val="2610" w14:font="MS Gothic"/>
                </w14:checkbox>
              </w:sdtPr>
              <w:sdtContent>
                <w:r>
                  <w:rPr/>
                  <w:sym w:font="Wingdings" w:char="F0FE"/>
                </w:r>
              </w:sdtContent>
            </w:sdt>
            <w:r>
              <w:rPr>
                <w:rFonts w:hint="eastAsia"/>
              </w:rPr>
              <w:t>否；</w:t>
            </w:r>
            <w:sdt>
              <w:sdtPr>
                <w:id w:val="419642184"/>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w:t>
            </w:r>
            <w:r>
              <w:rPr>
                <w:rFonts w:hint="eastAsia"/>
                <w:lang w:val="en-US" w:eastAsia="zh-Hans"/>
              </w:rPr>
              <w:t>三章项目技术及服务</w:t>
            </w:r>
            <w:r>
              <w:rPr>
                <w:rFonts w:hint="eastAsia"/>
              </w:rPr>
              <w:t>要求。</w:t>
            </w:r>
          </w:p>
          <w:p w14:paraId="7405C588">
            <w:pPr>
              <w:pStyle w:val="34"/>
              <w:ind w:firstLine="0" w:firstLineChars="0"/>
              <w:rPr>
                <w:kern w:val="10"/>
              </w:rPr>
            </w:pPr>
            <w:r>
              <w:rPr>
                <w:rFonts w:hint="eastAsia"/>
                <w:kern w:val="10"/>
              </w:rPr>
              <w:t>样品标识：</w:t>
            </w:r>
            <w:sdt>
              <w:sdtPr>
                <w:id w:val="589889740"/>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明标；</w:t>
            </w:r>
            <w:sdt>
              <w:sdtPr>
                <w:id w:val="492345628"/>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暗标。</w:t>
            </w:r>
          </w:p>
          <w:p w14:paraId="62D2B9D2">
            <w:pPr>
              <w:pStyle w:val="34"/>
              <w:ind w:firstLine="0" w:firstLineChars="0"/>
              <w:rPr>
                <w:rFonts w:hint="default"/>
                <w:kern w:val="10"/>
              </w:rPr>
            </w:pPr>
            <w:r>
              <w:rPr>
                <w:rFonts w:hint="eastAsia"/>
                <w:kern w:val="10"/>
              </w:rPr>
              <w:t>样品送至地点：</w:t>
            </w:r>
            <w:r>
              <w:rPr>
                <w:rFonts w:hint="default"/>
                <w:kern w:val="10"/>
                <w:u w:val="single"/>
              </w:rPr>
              <w:t xml:space="preserve">                                </w:t>
            </w:r>
          </w:p>
          <w:p w14:paraId="2205D1C5">
            <w:pPr>
              <w:pStyle w:val="34"/>
              <w:ind w:firstLine="0" w:firstLineChars="0"/>
              <w:rPr>
                <w:kern w:val="10"/>
              </w:rPr>
            </w:pPr>
            <w:r>
              <w:rPr>
                <w:rFonts w:hint="eastAsia"/>
                <w:kern w:val="10"/>
              </w:rPr>
              <w:t>中标人样品处理：</w:t>
            </w:r>
            <w:sdt>
              <w:sdtPr>
                <w:id w:val="39145648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退还；</w:t>
            </w:r>
            <w:sdt>
              <w:sdtPr>
                <w:id w:val="11219395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封存至验收；</w:t>
            </w:r>
            <w:sdt>
              <w:sdtPr>
                <w:id w:val="15309239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抵扣</w:t>
            </w:r>
            <w:r>
              <w:rPr>
                <w:rFonts w:hint="eastAsia"/>
                <w:lang w:val="en-US" w:eastAsia="zh-Hans"/>
              </w:rPr>
              <w:t>合同</w:t>
            </w:r>
            <w:r>
              <w:rPr>
                <w:rFonts w:hint="eastAsia"/>
              </w:rPr>
              <w:t>数。</w:t>
            </w:r>
          </w:p>
          <w:p w14:paraId="53AC5373">
            <w:pPr>
              <w:pStyle w:val="34"/>
              <w:ind w:firstLine="0" w:firstLineChars="0"/>
              <w:rPr>
                <w:rFonts w:ascii="宋体" w:hAnsi="宋体" w:eastAsia="宋体" w:cs="Times New Roman"/>
                <w:kern w:val="10"/>
                <w:sz w:val="24"/>
                <w:szCs w:val="21"/>
                <w:lang w:val="en-US" w:eastAsia="zh-Hans" w:bidi="ar-SA"/>
              </w:rPr>
            </w:pPr>
            <w:r>
              <w:rPr>
                <w:rFonts w:hint="eastAsia"/>
                <w:kern w:val="10"/>
              </w:rPr>
              <w:t>样品退还时间：</w:t>
            </w:r>
            <w:r>
              <w:rPr>
                <w:rFonts w:hint="eastAsia"/>
                <w:kern w:val="10"/>
                <w:u w:val="single"/>
                <w:lang w:eastAsia="zh-Hans"/>
              </w:rPr>
              <w:t>（</w:t>
            </w:r>
            <w:r>
              <w:rPr>
                <w:rFonts w:hint="eastAsia"/>
                <w:kern w:val="10"/>
                <w:u w:val="single"/>
              </w:rPr>
              <w:t>另行通知</w:t>
            </w:r>
            <w:r>
              <w:rPr>
                <w:rFonts w:hint="eastAsia"/>
                <w:kern w:val="10"/>
                <w:u w:val="single"/>
                <w:lang w:eastAsia="zh-Hans"/>
              </w:rPr>
              <w:t>）</w:t>
            </w:r>
            <w:r>
              <w:rPr>
                <w:rFonts w:hint="default"/>
                <w:kern w:val="10"/>
                <w:u w:val="single"/>
                <w:lang w:eastAsia="zh-Hans"/>
              </w:rPr>
              <w:t xml:space="preserve">                    </w:t>
            </w:r>
          </w:p>
        </w:tc>
      </w:tr>
      <w:tr w14:paraId="6308CE7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258C686">
            <w:pPr>
              <w:pStyle w:val="34"/>
              <w:ind w:firstLine="0" w:firstLineChars="0"/>
              <w:rPr>
                <w:rFonts w:hint="default" w:eastAsia="宋体"/>
                <w:lang w:eastAsia="zh-Hans"/>
              </w:rPr>
            </w:pPr>
            <w:r>
              <w:rPr>
                <w:rFonts w:hint="eastAsia"/>
                <w:lang w:val="en-US" w:eastAsia="zh-Hans"/>
              </w:rPr>
              <w:t>七、</w:t>
            </w:r>
            <w:r>
              <w:rPr>
                <w:rFonts w:hint="default"/>
                <w:lang w:eastAsia="zh-Hans"/>
              </w:rPr>
              <w:t>6</w:t>
            </w:r>
          </w:p>
        </w:tc>
        <w:tc>
          <w:tcPr>
            <w:tcW w:w="838" w:type="pct"/>
            <w:gridSpan w:val="2"/>
            <w:vAlign w:val="center"/>
          </w:tcPr>
          <w:p w14:paraId="4E1B3D17">
            <w:pPr>
              <w:pStyle w:val="34"/>
              <w:ind w:firstLine="0" w:firstLineChars="0"/>
              <w:rPr>
                <w:rFonts w:hint="default" w:eastAsia="宋体" w:cs="AdobeFangsongStd-Regular"/>
                <w:kern w:val="0"/>
                <w:position w:val="-3"/>
                <w:lang w:val="en-US" w:eastAsia="zh-Hans"/>
              </w:rPr>
            </w:pPr>
            <w:r>
              <w:rPr>
                <w:rFonts w:hint="eastAsia" w:cs="AdobeFangsongStd-Regular"/>
                <w:kern w:val="0"/>
                <w:position w:val="-3"/>
                <w:lang w:val="en-US" w:eastAsia="zh-Hans"/>
              </w:rPr>
              <w:t>讲解演示</w:t>
            </w:r>
          </w:p>
        </w:tc>
        <w:tc>
          <w:tcPr>
            <w:tcW w:w="3546" w:type="pct"/>
            <w:vAlign w:val="center"/>
          </w:tcPr>
          <w:p w14:paraId="3163F7DB">
            <w:pPr>
              <w:pStyle w:val="34"/>
              <w:ind w:firstLine="0" w:firstLineChars="0"/>
              <w:rPr>
                <w:rFonts w:hint="eastAsia" w:eastAsia="宋体"/>
                <w:b/>
                <w:bCs/>
                <w:kern w:val="10"/>
                <w:lang w:val="en-US" w:eastAsia="zh-CN"/>
              </w:rPr>
            </w:pPr>
            <w:r>
              <w:rPr>
                <w:rFonts w:hint="eastAsia"/>
                <w:b/>
                <w:bCs/>
                <w:kern w:val="10"/>
                <w:lang w:val="en-US" w:eastAsia="zh-CN"/>
              </w:rPr>
              <w:t>1.</w:t>
            </w:r>
            <w:r>
              <w:rPr>
                <w:rFonts w:hint="eastAsia"/>
                <w:b/>
                <w:bCs/>
                <w:kern w:val="10"/>
              </w:rPr>
              <w:t>是否需要</w:t>
            </w:r>
            <w:r>
              <w:rPr>
                <w:rFonts w:hint="eastAsia"/>
                <w:b/>
                <w:bCs/>
                <w:kern w:val="10"/>
                <w:lang w:val="en-US" w:eastAsia="zh-Hans"/>
              </w:rPr>
              <w:t>讲解演示</w:t>
            </w:r>
            <w:r>
              <w:rPr>
                <w:rFonts w:hint="eastAsia"/>
                <w:b/>
                <w:bCs/>
                <w:kern w:val="10"/>
                <w:lang w:val="en-US" w:eastAsia="zh-CN"/>
              </w:rPr>
              <w:t>：</w:t>
            </w:r>
          </w:p>
          <w:p w14:paraId="13C22F51">
            <w:pPr>
              <w:pStyle w:val="34"/>
              <w:ind w:firstLine="0" w:firstLineChars="0"/>
              <w:rPr>
                <w:rFonts w:hint="eastAsia"/>
              </w:rPr>
            </w:pPr>
            <w:sdt>
              <w:sdtPr>
                <w:id w:val="907269315"/>
                <w14:checkbox>
                  <w14:checked w14:val="1"/>
                  <w14:checkedState w14:val="00FE" w14:font="Wingdings"/>
                  <w14:uncheckedState w14:val="2610" w14:font="MS Gothic"/>
                </w14:checkbox>
              </w:sdtPr>
              <w:sdtContent>
                <w:r>
                  <w:rPr/>
                  <w:sym w:font="Wingdings" w:char="F0FE"/>
                </w:r>
              </w:sdtContent>
            </w:sdt>
            <w:r>
              <w:rPr>
                <w:rFonts w:hint="eastAsia"/>
              </w:rPr>
              <w:t>否；</w:t>
            </w:r>
            <w:sdt>
              <w:sdtPr>
                <w:id w:val="13446208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w:t>
            </w:r>
            <w:r>
              <w:rPr>
                <w:rFonts w:hint="eastAsia"/>
                <w:lang w:val="en-US" w:eastAsia="zh-Hans"/>
              </w:rPr>
              <w:t>五章评审方案和标准</w:t>
            </w:r>
            <w:r>
              <w:rPr>
                <w:rFonts w:hint="eastAsia"/>
              </w:rPr>
              <w:t>。</w:t>
            </w:r>
          </w:p>
          <w:p w14:paraId="15E2410F">
            <w:pPr>
              <w:pStyle w:val="34"/>
              <w:ind w:firstLine="0" w:firstLineChars="0"/>
              <w:rPr>
                <w:rFonts w:hint="default" w:eastAsia="宋体"/>
                <w:b/>
                <w:bCs/>
                <w:lang w:val="en-US" w:eastAsia="zh-CN"/>
              </w:rPr>
            </w:pPr>
            <w:r>
              <w:rPr>
                <w:rFonts w:hint="eastAsia"/>
                <w:b/>
                <w:bCs/>
                <w:lang w:val="en-US" w:eastAsia="zh-CN"/>
              </w:rPr>
              <w:t>2.演示方式：</w:t>
            </w:r>
          </w:p>
          <w:p w14:paraId="103622C7">
            <w:pPr>
              <w:pStyle w:val="34"/>
              <w:ind w:firstLine="0" w:firstLineChars="0"/>
              <w:rPr>
                <w:rFonts w:hint="eastAsia"/>
                <w:color w:val="auto"/>
                <w:lang w:val="en-US" w:eastAsia="zh-Hans"/>
              </w:rPr>
            </w:pPr>
            <w:sdt>
              <w:sdtPr>
                <w:rPr>
                  <w:color w:val="0000FF"/>
                </w:rPr>
                <w:id w:val="189905846"/>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视频文件</w:t>
            </w:r>
            <w:r>
              <w:rPr>
                <w:rFonts w:hint="eastAsia"/>
                <w:color w:val="auto"/>
                <w:lang w:val="en-US" w:eastAsia="zh-Hans"/>
              </w:rPr>
              <w:t>演示</w:t>
            </w:r>
          </w:p>
          <w:p w14:paraId="2AF4FD46">
            <w:pPr>
              <w:pStyle w:val="34"/>
              <w:ind w:firstLine="0" w:firstLineChars="0"/>
              <w:rPr>
                <w:rFonts w:hint="eastAsia"/>
                <w:color w:val="auto"/>
              </w:rPr>
            </w:pPr>
            <w:r>
              <w:rPr>
                <w:rFonts w:hint="eastAsia"/>
                <w:color w:val="auto"/>
                <w:lang w:val="en-US" w:eastAsia="zh-Hans"/>
              </w:rPr>
              <w:t>投标人</w:t>
            </w:r>
            <w:r>
              <w:rPr>
                <w:rFonts w:hint="eastAsia"/>
                <w:color w:val="auto"/>
                <w:lang w:val="en-US" w:eastAsia="zh-CN"/>
              </w:rPr>
              <w:t>应根据“评分办法”的要求录制演示视频，并将视频文件存储在U盘中，于投标截止时间前将演示视频文件密封送达（或快递）至采购组织机构（联系方式见招标公告），采购组织机构将于评审现场开启。</w:t>
            </w:r>
          </w:p>
          <w:p w14:paraId="31225F55">
            <w:pPr>
              <w:pStyle w:val="34"/>
              <w:ind w:firstLine="0" w:firstLineChars="0"/>
              <w:rPr>
                <w:rFonts w:hint="eastAsia"/>
                <w:lang w:val="en-US" w:eastAsia="zh-Hans"/>
              </w:rPr>
            </w:pPr>
            <w:sdt>
              <w:sdtPr>
                <w:id w:val="586854280"/>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在线讲解演示</w:t>
            </w:r>
          </w:p>
          <w:p w14:paraId="36A15BF3">
            <w:pPr>
              <w:pStyle w:val="34"/>
              <w:ind w:firstLine="0" w:firstLineChars="0"/>
              <w:rPr>
                <w:rFonts w:hint="default"/>
                <w:lang w:val="en-US" w:eastAsia="zh-Hans"/>
              </w:rPr>
            </w:pPr>
            <w:r>
              <w:rPr>
                <w:rFonts w:hint="eastAsia"/>
                <w:lang w:val="en-US" w:eastAsia="zh-Hans"/>
              </w:rPr>
              <w:t>演示条件见“政采云平台”要求</w:t>
            </w:r>
          </w:p>
          <w:p w14:paraId="1E300247">
            <w:pPr>
              <w:pStyle w:val="34"/>
              <w:ind w:firstLine="0" w:firstLineChars="0"/>
              <w:rPr>
                <w:rFonts w:hint="eastAsia"/>
                <w:lang w:val="en-US" w:eastAsia="zh-Hans"/>
              </w:rPr>
            </w:pPr>
            <w:sdt>
              <w:sdtPr>
                <w:id w:val="14976936"/>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Hans"/>
              </w:rPr>
              <w:t>现场讲解演示</w:t>
            </w:r>
          </w:p>
          <w:p w14:paraId="50C533CE">
            <w:pPr>
              <w:pStyle w:val="34"/>
              <w:ind w:firstLine="0" w:firstLineChars="0"/>
              <w:rPr>
                <w:rFonts w:hint="default"/>
                <w:lang w:eastAsia="zh-Hans"/>
              </w:rPr>
            </w:pPr>
            <w:r>
              <w:rPr>
                <w:rFonts w:hint="eastAsia"/>
                <w:lang w:val="en-US" w:eastAsia="zh-Hans"/>
              </w:rPr>
              <w:t>演示条件：投标人自行准备讲解演示设备，现场设备支持HDMI、Miracast、AirPlay方式投屏，屏幕比例支持</w:t>
            </w:r>
            <w:r>
              <w:rPr>
                <w:rFonts w:hint="default"/>
                <w:lang w:eastAsia="zh-Hans"/>
              </w:rPr>
              <w:t>16</w:t>
            </w:r>
            <w:r>
              <w:rPr>
                <w:rFonts w:hint="eastAsia"/>
                <w:lang w:eastAsia="zh-Hans"/>
              </w:rPr>
              <w:t>：</w:t>
            </w:r>
            <w:r>
              <w:rPr>
                <w:rFonts w:hint="default"/>
                <w:lang w:eastAsia="zh-Hans"/>
              </w:rPr>
              <w:t>9</w:t>
            </w:r>
            <w:r>
              <w:rPr>
                <w:rFonts w:hint="eastAsia"/>
                <w:lang w:eastAsia="zh-Hans"/>
              </w:rPr>
              <w:t>。</w:t>
            </w:r>
          </w:p>
          <w:p w14:paraId="6C1A6F3E">
            <w:pPr>
              <w:pStyle w:val="34"/>
              <w:ind w:firstLine="0" w:firstLineChars="0"/>
              <w:rPr>
                <w:rFonts w:hint="default"/>
                <w:lang w:val="en-US" w:eastAsia="zh-Hans"/>
              </w:rPr>
            </w:pPr>
            <w:r>
              <w:rPr>
                <w:rFonts w:hint="eastAsia"/>
                <w:b/>
                <w:bCs/>
                <w:lang w:val="en-US" w:eastAsia="zh-CN"/>
              </w:rPr>
              <w:t>3.</w:t>
            </w:r>
            <w:r>
              <w:rPr>
                <w:rFonts w:hint="eastAsia"/>
                <w:b/>
                <w:bCs/>
                <w:lang w:val="en-US" w:eastAsia="zh-Hans"/>
              </w:rPr>
              <w:t>讲解演示时间：</w:t>
            </w:r>
          </w:p>
        </w:tc>
      </w:tr>
      <w:tr w14:paraId="36951DB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9BD57DB">
            <w:pPr>
              <w:pStyle w:val="34"/>
              <w:ind w:firstLine="0" w:firstLineChars="0"/>
            </w:pPr>
            <w:r>
              <w:rPr>
                <w:rFonts w:hint="eastAsia"/>
              </w:rPr>
              <w:t>九、2</w:t>
            </w:r>
          </w:p>
        </w:tc>
        <w:tc>
          <w:tcPr>
            <w:tcW w:w="838" w:type="pct"/>
            <w:gridSpan w:val="2"/>
            <w:vAlign w:val="center"/>
          </w:tcPr>
          <w:p w14:paraId="25AFD84F">
            <w:pPr>
              <w:pStyle w:val="34"/>
              <w:ind w:firstLine="0" w:firstLineChars="0"/>
              <w:rPr>
                <w:rFonts w:cs="AdobeFangsongStd-Regular"/>
                <w:kern w:val="0"/>
                <w:position w:val="-3"/>
              </w:rPr>
            </w:pPr>
            <w:r>
              <w:rPr>
                <w:rFonts w:hint="eastAsia" w:cs="AdobeFangsongStd-Regular"/>
                <w:kern w:val="0"/>
                <w:position w:val="-3"/>
              </w:rPr>
              <w:t>履约</w:t>
            </w:r>
          </w:p>
          <w:p w14:paraId="175B177B">
            <w:pPr>
              <w:pStyle w:val="34"/>
              <w:ind w:firstLine="0" w:firstLineChars="0"/>
              <w:rPr>
                <w:rFonts w:cs="AdobeFangsongStd-Regular"/>
                <w:kern w:val="0"/>
                <w:position w:val="-3"/>
              </w:rPr>
            </w:pPr>
            <w:r>
              <w:rPr>
                <w:rFonts w:hint="eastAsia" w:cs="AdobeFangsongStd-Regular"/>
                <w:kern w:val="0"/>
                <w:position w:val="-3"/>
              </w:rPr>
              <w:t>保证金</w:t>
            </w:r>
          </w:p>
        </w:tc>
        <w:tc>
          <w:tcPr>
            <w:tcW w:w="3546" w:type="pct"/>
            <w:vAlign w:val="center"/>
          </w:tcPr>
          <w:p w14:paraId="0DB1BE91">
            <w:pPr>
              <w:pStyle w:val="34"/>
              <w:ind w:firstLine="0" w:firstLineChars="0"/>
              <w:rPr>
                <w:kern w:val="10"/>
              </w:rPr>
            </w:pPr>
            <w:r>
              <w:rPr>
                <w:kern w:val="10"/>
              </w:rPr>
              <w:t>履约保证金金额</w:t>
            </w:r>
            <w:r>
              <w:rPr>
                <w:color w:val="auto"/>
                <w:kern w:val="10"/>
              </w:rPr>
              <w:t>：无</w:t>
            </w:r>
          </w:p>
          <w:p w14:paraId="346B049E">
            <w:pPr>
              <w:pStyle w:val="34"/>
              <w:ind w:firstLine="0" w:firstLineChars="0"/>
              <w:rPr>
                <w:kern w:val="10"/>
              </w:rPr>
            </w:pPr>
            <w:r>
              <w:rPr>
                <w:kern w:val="10"/>
              </w:rPr>
              <w:t>履约保证金缴纳形式：支票/汇票/电汇/保函等非现金形式</w:t>
            </w:r>
          </w:p>
          <w:p w14:paraId="2F0521C0">
            <w:pPr>
              <w:pStyle w:val="34"/>
              <w:ind w:firstLine="0" w:firstLineChars="0"/>
              <w:rPr>
                <w:kern w:val="10"/>
              </w:rPr>
            </w:pPr>
            <w:r>
              <w:rPr>
                <w:kern w:val="10"/>
              </w:rPr>
              <w:t>履约保证金接收人：</w:t>
            </w:r>
            <w:r>
              <w:rPr>
                <w:rFonts w:hint="eastAsia"/>
                <w:kern w:val="10"/>
              </w:rPr>
              <w:t>招标</w:t>
            </w:r>
            <w:r>
              <w:rPr>
                <w:kern w:val="10"/>
              </w:rPr>
              <w:t>人</w:t>
            </w:r>
          </w:p>
          <w:p w14:paraId="2D177D9D">
            <w:pPr>
              <w:pStyle w:val="34"/>
              <w:ind w:firstLine="0" w:firstLineChars="0"/>
              <w:rPr>
                <w:kern w:val="10"/>
              </w:rPr>
            </w:pPr>
            <w:r>
              <w:rPr>
                <w:kern w:val="10"/>
              </w:rPr>
              <w:t>履约保证金有效期限：合同</w:t>
            </w:r>
            <w:r>
              <w:rPr>
                <w:rFonts w:hint="eastAsia"/>
                <w:kern w:val="10"/>
              </w:rPr>
              <w:t>主要业务</w:t>
            </w:r>
            <w:r>
              <w:rPr>
                <w:kern w:val="10"/>
              </w:rPr>
              <w:t>履行完毕前有效</w:t>
            </w:r>
          </w:p>
        </w:tc>
      </w:tr>
      <w:tr w14:paraId="42486F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33A2AD7">
            <w:pPr>
              <w:pStyle w:val="34"/>
              <w:ind w:firstLine="0" w:firstLineChars="0"/>
            </w:pPr>
            <w:r>
              <w:rPr>
                <w:rFonts w:hint="eastAsia"/>
              </w:rPr>
              <w:t>十、</w:t>
            </w:r>
          </w:p>
        </w:tc>
        <w:tc>
          <w:tcPr>
            <w:tcW w:w="838" w:type="pct"/>
            <w:gridSpan w:val="2"/>
            <w:vAlign w:val="center"/>
          </w:tcPr>
          <w:p w14:paraId="62C202E8">
            <w:pPr>
              <w:pStyle w:val="34"/>
              <w:ind w:firstLine="0" w:firstLineChars="0"/>
            </w:pPr>
            <w:r>
              <w:rPr>
                <w:rFonts w:hint="eastAsia"/>
              </w:rPr>
              <w:t>招标代理服务费</w:t>
            </w:r>
          </w:p>
        </w:tc>
        <w:tc>
          <w:tcPr>
            <w:tcW w:w="3546" w:type="pct"/>
            <w:vAlign w:val="center"/>
          </w:tcPr>
          <w:p w14:paraId="03631695">
            <w:pPr>
              <w:pStyle w:val="34"/>
              <w:ind w:firstLine="0" w:firstLineChars="0"/>
              <w:rPr>
                <w:lang w:eastAsia="zh-CN"/>
              </w:rPr>
            </w:pPr>
            <w:r>
              <w:rPr>
                <w:rFonts w:hint="eastAsia"/>
              </w:rPr>
              <w:t>本项目招标代理服务费以原国家计委《招标代理服务收费管理暂行办法》（计价格[2002]1980号）以及原《国家发展改革委关于降低部分建设项目收费标准规范收费行为等有关问题的通知》（发改价格[2011]534号）文件中的收费标准</w:t>
            </w:r>
            <w:r>
              <w:rPr>
                <w:rFonts w:hint="eastAsia"/>
                <w:color w:val="auto"/>
                <w:lang w:eastAsia="zh-CN"/>
              </w:rPr>
              <w:t>，</w:t>
            </w:r>
            <w:r>
              <w:rPr>
                <w:rFonts w:hint="eastAsia"/>
                <w:color w:val="auto"/>
                <w:lang w:val="en-US" w:eastAsia="zh-CN"/>
              </w:rPr>
              <w:t>以中标金额</w:t>
            </w:r>
            <w:r>
              <w:rPr>
                <w:rFonts w:hint="eastAsia"/>
                <w:color w:val="auto"/>
              </w:rPr>
              <w:t>为</w:t>
            </w:r>
            <w:r>
              <w:rPr>
                <w:rFonts w:hint="eastAsia"/>
              </w:rPr>
              <w:t>基准</w:t>
            </w:r>
            <w:r>
              <w:rPr>
                <w:rFonts w:hint="eastAsia"/>
                <w:u w:val="none"/>
                <w:lang w:val="en-US" w:eastAsia="zh-Hans"/>
              </w:rPr>
              <w:t>向中标人收取</w:t>
            </w:r>
            <w:r>
              <w:rPr>
                <w:rFonts w:hint="eastAsia"/>
              </w:rPr>
              <w:t>。中标人应于</w:t>
            </w:r>
            <w:r>
              <w:rPr>
                <w:rFonts w:hint="eastAsia"/>
                <w:lang w:val="en-US" w:eastAsia="zh-Hans"/>
              </w:rPr>
              <w:t>领取中标通知书</w:t>
            </w:r>
            <w:r>
              <w:rPr>
                <w:rFonts w:hint="eastAsia"/>
              </w:rPr>
              <w:t>后5个工作日内，向浙江中勤招标代理有限公司办理招标代理服务费结算手续。</w:t>
            </w:r>
            <w:r>
              <w:rPr>
                <w:rFonts w:hint="eastAsia"/>
                <w:lang w:eastAsia="zh-CN"/>
              </w:rPr>
              <w:t>账户信息：</w:t>
            </w:r>
          </w:p>
          <w:p w14:paraId="58A015F8">
            <w:pPr>
              <w:pStyle w:val="34"/>
              <w:ind w:firstLine="0" w:firstLineChars="0"/>
            </w:pPr>
            <w:r>
              <w:t>账户名称</w:t>
            </w:r>
            <w:r>
              <w:rPr>
                <w:rFonts w:hint="eastAsia"/>
                <w:lang w:eastAsia="zh-CN"/>
              </w:rPr>
              <w:t>：</w:t>
            </w:r>
            <w:r>
              <w:t>浙江中勤招标代理有限公司</w:t>
            </w:r>
          </w:p>
          <w:p w14:paraId="496D7E73">
            <w:pPr>
              <w:pStyle w:val="34"/>
              <w:ind w:firstLine="0" w:firstLineChars="0"/>
            </w:pPr>
            <w:r>
              <w:t>开</w:t>
            </w:r>
            <w:r>
              <w:rPr>
                <w:rFonts w:hint="eastAsia"/>
                <w:lang w:eastAsia="zh-CN"/>
              </w:rPr>
              <w:t xml:space="preserve"> </w:t>
            </w:r>
            <w:r>
              <w:t>户</w:t>
            </w:r>
            <w:r>
              <w:rPr>
                <w:rFonts w:hint="eastAsia"/>
                <w:lang w:eastAsia="zh-CN"/>
              </w:rPr>
              <w:t xml:space="preserve"> </w:t>
            </w:r>
            <w:r>
              <w:t>行：</w:t>
            </w:r>
            <w:r>
              <w:rPr>
                <w:rFonts w:hint="eastAsia"/>
              </w:rPr>
              <w:t>中国工商银行股份有限公司杭州东新支行</w:t>
            </w:r>
            <w:r>
              <w:rPr>
                <w:rFonts w:hint="eastAsia"/>
                <w:lang w:eastAsia="zh-Hans"/>
              </w:rPr>
              <w:t>（</w:t>
            </w:r>
            <w:r>
              <w:rPr>
                <w:rFonts w:hint="eastAsia"/>
              </w:rPr>
              <w:t>行号102331002181</w:t>
            </w:r>
            <w:r>
              <w:rPr>
                <w:rFonts w:hint="eastAsia"/>
                <w:lang w:eastAsia="zh-Hans"/>
              </w:rPr>
              <w:t>）</w:t>
            </w:r>
          </w:p>
          <w:p w14:paraId="049BB580">
            <w:pPr>
              <w:pStyle w:val="34"/>
              <w:ind w:firstLine="0" w:firstLineChars="0"/>
            </w:pPr>
            <w:r>
              <w:t>银行账号：1202021809800125070</w:t>
            </w:r>
          </w:p>
        </w:tc>
      </w:tr>
      <w:tr w14:paraId="48D407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3"/>
            <w:vMerge w:val="restart"/>
            <w:vAlign w:val="center"/>
          </w:tcPr>
          <w:p w14:paraId="33F6E8BA">
            <w:pPr>
              <w:pStyle w:val="34"/>
              <w:ind w:firstLine="0" w:firstLineChars="0"/>
            </w:pPr>
            <w:r>
              <w:rPr>
                <w:rFonts w:hint="eastAsia"/>
              </w:rPr>
              <w:t>其他注意事项</w:t>
            </w:r>
          </w:p>
        </w:tc>
        <w:tc>
          <w:tcPr>
            <w:tcW w:w="3546" w:type="pct"/>
            <w:vAlign w:val="center"/>
          </w:tcPr>
          <w:p w14:paraId="7AC81A07">
            <w:pPr>
              <w:pStyle w:val="34"/>
              <w:ind w:firstLine="0" w:firstLineChars="0"/>
            </w:pPr>
            <w:r>
              <w:rPr>
                <w:rFonts w:hint="eastAsia"/>
              </w:rPr>
              <w:t>招标文件中部分加“</w:t>
            </w:r>
            <w:r>
              <w:rPr>
                <w:rFonts w:hint="eastAsia"/>
                <w:kern w:val="10"/>
              </w:rPr>
              <w:t>▲</w:t>
            </w:r>
            <w:r>
              <w:rPr>
                <w:rFonts w:hint="eastAsia"/>
              </w:rPr>
              <w:t>”的条款，属于招标文件的实质性要求和条件，着重提醒各投标人注意，并认真查看招标文件中的每一个条款及要求，因误读招标文件而造成的后果，招标人概不负责。</w:t>
            </w:r>
          </w:p>
        </w:tc>
      </w:tr>
      <w:tr w14:paraId="471435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3"/>
            <w:vMerge w:val="continue"/>
            <w:vAlign w:val="center"/>
          </w:tcPr>
          <w:p w14:paraId="35286076">
            <w:pPr>
              <w:pStyle w:val="34"/>
              <w:ind w:firstLine="0" w:firstLineChars="0"/>
            </w:pPr>
          </w:p>
        </w:tc>
        <w:tc>
          <w:tcPr>
            <w:tcW w:w="3546" w:type="pct"/>
            <w:vAlign w:val="center"/>
          </w:tcPr>
          <w:p w14:paraId="01CF9B2E">
            <w:pPr>
              <w:pStyle w:val="34"/>
              <w:ind w:firstLine="0" w:firstLineChars="0"/>
            </w:pPr>
            <w:r>
              <w:rPr>
                <w:rFonts w:hint="eastAsia"/>
              </w:rPr>
              <w:t>以上内容如有变化将另行通知，如通知其中某一项内容发生变化，其余未提及的内容将不作变动。</w:t>
            </w:r>
          </w:p>
        </w:tc>
      </w:tr>
      <w:tr w14:paraId="58F961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1453" w:type="pct"/>
            <w:gridSpan w:val="3"/>
            <w:vMerge w:val="continue"/>
            <w:vAlign w:val="center"/>
          </w:tcPr>
          <w:p w14:paraId="47379CB2">
            <w:pPr>
              <w:pStyle w:val="34"/>
              <w:ind w:firstLine="0" w:firstLineChars="0"/>
            </w:pPr>
          </w:p>
        </w:tc>
        <w:tc>
          <w:tcPr>
            <w:tcW w:w="3546" w:type="pct"/>
            <w:vAlign w:val="center"/>
          </w:tcPr>
          <w:p w14:paraId="6E0FE153">
            <w:pPr>
              <w:pStyle w:val="34"/>
              <w:ind w:firstLine="0" w:firstLineChars="0"/>
            </w:pPr>
            <w:r>
              <w:rPr>
                <w:rFonts w:hint="eastAsia"/>
                <w:lang w:eastAsia="zh-CN"/>
              </w:rPr>
              <w:t>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2099F803">
            <w:pPr>
              <w:pStyle w:val="34"/>
              <w:ind w:firstLine="0" w:firstLineChars="0"/>
              <w:rPr>
                <w:lang w:eastAsia="zh-CN"/>
              </w:rPr>
            </w:pPr>
            <w:r>
              <w:rPr>
                <w:rFonts w:hint="eastAsia"/>
                <w:lang w:eastAsia="zh-CN"/>
              </w:rPr>
              <w:t>电子标书生成可登录“政府采购云平台”，点击“前台大厅-服务中心（右上角）-帮助文档-项目采购（文档目录）”，查看相关编制帮助。</w:t>
            </w:r>
          </w:p>
        </w:tc>
      </w:tr>
    </w:tbl>
    <w:p w14:paraId="535AF0B3">
      <w:pPr>
        <w:pStyle w:val="36"/>
        <w:rPr>
          <w:rFonts w:cs="Times New Roman"/>
          <w:lang w:eastAsia="zh-CN"/>
        </w:rPr>
      </w:pPr>
      <w:r>
        <w:rPr>
          <w:rFonts w:hint="eastAsia"/>
          <w:sz w:val="24"/>
          <w:szCs w:val="24"/>
        </w:rPr>
        <w:br w:type="page"/>
      </w:r>
      <w:bookmarkStart w:id="16" w:name="_Toc233618972"/>
      <w:bookmarkEnd w:id="16"/>
      <w:bookmarkStart w:id="17" w:name="_Toc27693"/>
      <w:bookmarkStart w:id="18" w:name="_Toc9689"/>
      <w:bookmarkStart w:id="19" w:name="_Toc464483845"/>
      <w:bookmarkStart w:id="20" w:name="_Toc3088"/>
      <w:bookmarkStart w:id="21" w:name="_Toc13173"/>
      <w:bookmarkStart w:id="22" w:name="_Toc31948"/>
      <w:r>
        <w:rPr>
          <w:rFonts w:hint="eastAsia"/>
        </w:rPr>
        <w:t>总 则</w:t>
      </w:r>
      <w:bookmarkEnd w:id="17"/>
      <w:bookmarkEnd w:id="18"/>
      <w:bookmarkEnd w:id="19"/>
      <w:bookmarkEnd w:id="20"/>
      <w:bookmarkEnd w:id="21"/>
      <w:bookmarkEnd w:id="22"/>
    </w:p>
    <w:p w14:paraId="6DA17F94">
      <w:pPr>
        <w:pStyle w:val="37"/>
        <w:rPr>
          <w:rFonts w:ascii="宋体"/>
        </w:rPr>
      </w:pPr>
      <w:bookmarkStart w:id="23" w:name="_Hlt74730112"/>
      <w:bookmarkEnd w:id="23"/>
      <w:bookmarkStart w:id="24" w:name="_Hlt74714665"/>
      <w:bookmarkEnd w:id="24"/>
      <w:bookmarkStart w:id="25" w:name="_Hlt74730295"/>
      <w:bookmarkEnd w:id="25"/>
      <w:bookmarkStart w:id="26" w:name="_Hlt74730208"/>
      <w:r>
        <w:rPr>
          <w:rFonts w:hint="eastAsia"/>
        </w:rPr>
        <w:t>实施依据</w:t>
      </w:r>
      <w:bookmarkEnd w:id="26"/>
    </w:p>
    <w:p w14:paraId="2A9DFD9F">
      <w:pPr>
        <w:pStyle w:val="34"/>
        <w:ind w:firstLine="480"/>
      </w:pPr>
      <w:r>
        <w:rPr>
          <w:rFonts w:hint="eastAsia"/>
        </w:rPr>
        <w:t>本次招标工作按照《中华人民共和国政府采购法》等政府采购有关法律、法规、规章、文件的规定组织和实施。</w:t>
      </w:r>
    </w:p>
    <w:p w14:paraId="049959F1">
      <w:pPr>
        <w:pStyle w:val="37"/>
        <w:rPr>
          <w:rFonts w:ascii="宋体"/>
        </w:rPr>
      </w:pPr>
      <w:bookmarkStart w:id="27" w:name="_Toc91899873"/>
      <w:bookmarkEnd w:id="27"/>
      <w:r>
        <w:rPr>
          <w:rFonts w:hint="eastAsia"/>
        </w:rPr>
        <w:t>基本信息</w:t>
      </w:r>
    </w:p>
    <w:p w14:paraId="61E1B01D">
      <w:pPr>
        <w:pStyle w:val="34"/>
        <w:ind w:firstLine="480"/>
      </w:pPr>
      <w:r>
        <w:rPr>
          <w:rFonts w:hint="eastAsia"/>
          <w:lang w:eastAsia="zh-CN"/>
        </w:rPr>
        <w:t>有关本项目的基本信息</w:t>
      </w:r>
      <w:r>
        <w:rPr>
          <w:rFonts w:hint="eastAsia"/>
        </w:rPr>
        <w:t>见本项目“招标公告”。</w:t>
      </w:r>
      <w:bookmarkStart w:id="28" w:name="_Hlt74388212"/>
      <w:bookmarkEnd w:id="28"/>
      <w:bookmarkStart w:id="29" w:name="_Hlt68516771"/>
      <w:bookmarkEnd w:id="29"/>
    </w:p>
    <w:p w14:paraId="6591EC64">
      <w:pPr>
        <w:pStyle w:val="37"/>
      </w:pPr>
      <w:bookmarkStart w:id="30" w:name="_Hlt74730303"/>
      <w:bookmarkEnd w:id="30"/>
      <w:r>
        <w:rPr>
          <w:rFonts w:hint="eastAsia"/>
          <w:lang w:eastAsia="zh-CN"/>
        </w:rPr>
        <w:t>词条</w:t>
      </w:r>
      <w:r>
        <w:rPr>
          <w:rFonts w:hint="eastAsia"/>
        </w:rPr>
        <w:t>定义</w:t>
      </w:r>
    </w:p>
    <w:p w14:paraId="65031A18">
      <w:pPr>
        <w:pStyle w:val="34"/>
        <w:ind w:firstLine="482"/>
      </w:pPr>
      <w:r>
        <w:rPr>
          <w:rFonts w:hint="eastAsia"/>
          <w:b/>
          <w:bCs/>
          <w:lang w:eastAsia="zh-CN"/>
        </w:rPr>
        <w:t>“</w:t>
      </w:r>
      <w:r>
        <w:rPr>
          <w:rFonts w:hint="eastAsia"/>
          <w:b/>
          <w:bCs/>
        </w:rPr>
        <w:t>招标</w:t>
      </w:r>
      <w:r>
        <w:rPr>
          <w:rFonts w:hint="eastAsia"/>
          <w:b/>
          <w:bCs/>
          <w:lang w:eastAsia="zh-CN"/>
        </w:rPr>
        <w:t>人/</w:t>
      </w:r>
      <w:r>
        <w:rPr>
          <w:rFonts w:hint="eastAsia"/>
          <w:b/>
          <w:bCs/>
        </w:rPr>
        <w:t>采购人</w:t>
      </w:r>
      <w:r>
        <w:rPr>
          <w:rFonts w:hint="eastAsia"/>
          <w:b/>
          <w:bCs/>
          <w:lang w:eastAsia="zh-CN"/>
        </w:rPr>
        <w:t>/招标单位/</w:t>
      </w:r>
      <w:r>
        <w:rPr>
          <w:rFonts w:hint="eastAsia"/>
          <w:b/>
          <w:bCs/>
          <w:lang w:val="en-US" w:eastAsia="zh-Hans"/>
        </w:rPr>
        <w:t>采购</w:t>
      </w:r>
      <w:r>
        <w:rPr>
          <w:rFonts w:hint="eastAsia"/>
          <w:b/>
          <w:bCs/>
          <w:lang w:eastAsia="zh-CN"/>
        </w:rPr>
        <w:t>单位”</w:t>
      </w:r>
      <w:r>
        <w:rPr>
          <w:rFonts w:hint="eastAsia"/>
          <w:b/>
          <w:bCs/>
        </w:rPr>
        <w:t>：</w:t>
      </w:r>
      <w:r>
        <w:rPr>
          <w:rFonts w:hint="eastAsia"/>
          <w:lang w:eastAsia="zh-CN"/>
        </w:rPr>
        <w:t>系</w:t>
      </w:r>
      <w:r>
        <w:rPr>
          <w:rFonts w:hint="eastAsia"/>
        </w:rPr>
        <w:t>指依法进行政府采购的国家机关、事业单位、团体组织，见本项目“招标公告”；</w:t>
      </w:r>
    </w:p>
    <w:p w14:paraId="11716FEA">
      <w:pPr>
        <w:pStyle w:val="34"/>
        <w:ind w:firstLine="482"/>
      </w:pPr>
      <w:r>
        <w:rPr>
          <w:rFonts w:hint="eastAsia"/>
          <w:b/>
          <w:bCs/>
          <w:lang w:eastAsia="zh-CN"/>
        </w:rPr>
        <w:t>“</w:t>
      </w:r>
      <w:r>
        <w:rPr>
          <w:rFonts w:hint="eastAsia"/>
          <w:b/>
          <w:bCs/>
        </w:rPr>
        <w:t>招标</w:t>
      </w:r>
      <w:r>
        <w:rPr>
          <w:rFonts w:hint="eastAsia"/>
          <w:b/>
          <w:bCs/>
          <w:lang w:eastAsia="zh-CN"/>
        </w:rPr>
        <w:t>代理机构/</w:t>
      </w:r>
      <w:r>
        <w:rPr>
          <w:rFonts w:hint="eastAsia"/>
          <w:b/>
          <w:bCs/>
        </w:rPr>
        <w:t>采购代理机构</w:t>
      </w:r>
      <w:r>
        <w:rPr>
          <w:rFonts w:hint="eastAsia"/>
          <w:b/>
          <w:bCs/>
          <w:lang w:eastAsia="zh-CN"/>
        </w:rPr>
        <w:t>/</w:t>
      </w:r>
      <w:r>
        <w:rPr>
          <w:rFonts w:hint="eastAsia"/>
          <w:b/>
          <w:bCs/>
          <w:lang w:val="en-US" w:eastAsia="zh-Hans"/>
        </w:rPr>
        <w:t>招标</w:t>
      </w:r>
      <w:r>
        <w:rPr>
          <w:rFonts w:hint="eastAsia"/>
          <w:b/>
          <w:bCs/>
          <w:lang w:eastAsia="zh-CN"/>
        </w:rPr>
        <w:t>组织机构/采购组织机构”</w:t>
      </w:r>
      <w:r>
        <w:rPr>
          <w:rFonts w:hint="eastAsia"/>
          <w:b/>
          <w:bCs/>
        </w:rPr>
        <w:t>：</w:t>
      </w:r>
      <w:r>
        <w:rPr>
          <w:rFonts w:hint="eastAsia"/>
          <w:lang w:eastAsia="zh-CN"/>
        </w:rPr>
        <w:t>系指</w:t>
      </w:r>
      <w:r>
        <w:rPr>
          <w:rFonts w:hint="eastAsia"/>
        </w:rPr>
        <w:t>受招标人委托，在委托的范围内办理政府采购事宜并组织招标活动的机构，见本项目“招标公告”；</w:t>
      </w:r>
    </w:p>
    <w:p w14:paraId="0FBCCD21">
      <w:pPr>
        <w:pStyle w:val="34"/>
        <w:ind w:firstLine="482"/>
        <w:rPr>
          <w:lang w:eastAsia="zh-CN"/>
        </w:rPr>
      </w:pPr>
      <w:r>
        <w:rPr>
          <w:rFonts w:hint="eastAsia"/>
          <w:b/>
          <w:bCs/>
        </w:rPr>
        <w:t>“招标文件</w:t>
      </w:r>
      <w:r>
        <w:rPr>
          <w:rFonts w:hint="eastAsia"/>
          <w:b/>
          <w:bCs/>
          <w:lang w:eastAsia="zh-CN"/>
        </w:rPr>
        <w:t>/</w:t>
      </w:r>
      <w:r>
        <w:rPr>
          <w:rFonts w:hint="eastAsia"/>
          <w:b/>
          <w:bCs/>
        </w:rPr>
        <w:t>采购文件/公开招标采购文件”：</w:t>
      </w:r>
      <w:r>
        <w:rPr>
          <w:rFonts w:hint="eastAsia"/>
        </w:rPr>
        <w:t>均指本文件</w:t>
      </w:r>
      <w:r>
        <w:rPr>
          <w:rFonts w:hint="eastAsia"/>
          <w:lang w:eastAsia="zh-CN"/>
        </w:rPr>
        <w:t>；</w:t>
      </w:r>
    </w:p>
    <w:p w14:paraId="6824284A">
      <w:pPr>
        <w:pStyle w:val="34"/>
        <w:ind w:firstLine="482"/>
      </w:pPr>
      <w:r>
        <w:rPr>
          <w:rFonts w:hint="eastAsia"/>
          <w:b/>
          <w:bCs/>
          <w:lang w:eastAsia="zh-CN"/>
        </w:rPr>
        <w:t>“</w:t>
      </w:r>
      <w:r>
        <w:rPr>
          <w:rFonts w:hint="eastAsia"/>
          <w:b/>
          <w:bCs/>
        </w:rPr>
        <w:t>投标人</w:t>
      </w:r>
      <w:r>
        <w:rPr>
          <w:rFonts w:hint="eastAsia"/>
          <w:b/>
          <w:bCs/>
          <w:lang w:eastAsia="zh-CN"/>
        </w:rPr>
        <w:t>/投标单位/投标供应商”</w:t>
      </w:r>
      <w:r>
        <w:rPr>
          <w:rFonts w:hint="eastAsia"/>
          <w:b/>
          <w:bCs/>
        </w:rPr>
        <w:t>：</w:t>
      </w:r>
      <w:r>
        <w:rPr>
          <w:rFonts w:hint="eastAsia"/>
          <w:lang w:eastAsia="zh-CN"/>
        </w:rPr>
        <w:t xml:space="preserve"> 系指</w:t>
      </w:r>
      <w:r>
        <w:rPr>
          <w:rFonts w:hint="eastAsia"/>
        </w:rPr>
        <w:t>参加本政府采购项目投标的供应商；</w:t>
      </w:r>
    </w:p>
    <w:p w14:paraId="3374E61F">
      <w:pPr>
        <w:pStyle w:val="34"/>
        <w:ind w:firstLine="482"/>
        <w:rPr>
          <w:lang w:eastAsia="zh-CN"/>
        </w:rPr>
      </w:pPr>
      <w:r>
        <w:rPr>
          <w:rFonts w:hint="eastAsia"/>
          <w:b/>
          <w:bCs/>
          <w:lang w:eastAsia="zh-CN"/>
        </w:rPr>
        <w:t>“</w:t>
      </w:r>
      <w:r>
        <w:rPr>
          <w:rFonts w:hint="eastAsia"/>
          <w:b/>
          <w:bCs/>
        </w:rPr>
        <w:t>中标人</w:t>
      </w:r>
      <w:r>
        <w:rPr>
          <w:rFonts w:hint="eastAsia"/>
          <w:b/>
          <w:bCs/>
          <w:lang w:eastAsia="zh-CN"/>
        </w:rPr>
        <w:t>/中标单位/中标供应商”</w:t>
      </w:r>
      <w:r>
        <w:rPr>
          <w:rFonts w:hint="eastAsia"/>
          <w:b/>
          <w:bCs/>
        </w:rPr>
        <w:t>：</w:t>
      </w:r>
      <w:r>
        <w:rPr>
          <w:rFonts w:hint="eastAsia"/>
          <w:lang w:eastAsia="zh-CN"/>
        </w:rPr>
        <w:t xml:space="preserve"> 系指</w:t>
      </w:r>
      <w:r>
        <w:rPr>
          <w:rFonts w:hint="eastAsia"/>
        </w:rPr>
        <w:t>经评审获得本项目最终合同签订资格的投标人</w:t>
      </w:r>
      <w:r>
        <w:rPr>
          <w:rFonts w:hint="eastAsia"/>
          <w:lang w:eastAsia="zh-CN"/>
        </w:rPr>
        <w:t>；</w:t>
      </w:r>
    </w:p>
    <w:p w14:paraId="19552B0F">
      <w:pPr>
        <w:pStyle w:val="34"/>
        <w:ind w:firstLine="482"/>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指合同签订的一方，一般与招标人、用户相同；</w:t>
      </w:r>
    </w:p>
    <w:p w14:paraId="5F39D2C4">
      <w:pPr>
        <w:pStyle w:val="34"/>
        <w:ind w:firstLine="482"/>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指合同签订的另一方，一般与中标人相同；</w:t>
      </w:r>
    </w:p>
    <w:p w14:paraId="394506BD">
      <w:pPr>
        <w:pStyle w:val="34"/>
        <w:ind w:firstLine="482"/>
        <w:rPr>
          <w:lang w:eastAsia="zh-CN"/>
        </w:rPr>
      </w:pPr>
      <w:r>
        <w:rPr>
          <w:rFonts w:hint="eastAsia"/>
          <w:b/>
          <w:bCs/>
          <w:lang w:eastAsia="zh-CN"/>
        </w:rPr>
        <w:t xml:space="preserve"> “</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16383517">
      <w:pPr>
        <w:pStyle w:val="34"/>
        <w:ind w:firstLine="482"/>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系是指招标文件的效力性强制性规定</w:t>
      </w:r>
      <w:r>
        <w:rPr>
          <w:rFonts w:hint="eastAsia"/>
          <w:lang w:eastAsia="zh-CN"/>
        </w:rPr>
        <w:t>，包括：“技术要求”中的</w:t>
      </w:r>
      <w:r>
        <w:rPr>
          <w:rFonts w:hint="eastAsia"/>
          <w:lang w:val="en-US" w:eastAsia="zh-CN"/>
        </w:rPr>
        <w:t>采购内容（范围）、</w:t>
      </w:r>
      <w:r>
        <w:rPr>
          <w:rFonts w:hint="eastAsia"/>
          <w:lang w:eastAsia="zh-CN"/>
        </w:rPr>
        <w:t>重要技术参数以及一般性技术参数不允许偏离的范围和幅度等；“商务要求/合同条件”中的合同标的、数量、质量、价款及价款支付方式和条件、履行期限、履行地点及方式、违约责任和解决争议方式等；“招标投标规则”中投标有效期、投标保证金、投标报价、投标文件密封、投标文件签署与盖章等</w:t>
      </w:r>
      <w:r>
        <w:rPr>
          <w:rFonts w:hint="eastAsia"/>
        </w:rPr>
        <w:t>。</w:t>
      </w:r>
      <w:r>
        <w:rPr>
          <w:rFonts w:hint="eastAsia"/>
          <w:lang w:eastAsia="zh-CN"/>
        </w:rPr>
        <w:t>包括但不限于标记“▲”条款；</w:t>
      </w:r>
    </w:p>
    <w:p w14:paraId="6E19B1E4">
      <w:pPr>
        <w:pStyle w:val="34"/>
        <w:ind w:firstLine="482"/>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系指将会影响到招标文件规定的服务范围、质量标准，或会给合同中规定的招标人的权利和投标人的责任造成实质性限制，而纠正这些偏离或保留将对其他提交了实质性响应的投标文件的投标人产生不公平影响的</w:t>
      </w:r>
      <w:r>
        <w:rPr>
          <w:rFonts w:hint="eastAsia"/>
          <w:lang w:eastAsia="zh-CN"/>
        </w:rPr>
        <w:t>偏离或保留</w:t>
      </w:r>
      <w:r>
        <w:rPr>
          <w:rFonts w:hint="eastAsia"/>
        </w:rPr>
        <w:t>。</w:t>
      </w:r>
    </w:p>
    <w:p w14:paraId="17D200B9">
      <w:pPr>
        <w:pStyle w:val="37"/>
      </w:pPr>
      <w:r>
        <w:rPr>
          <w:rFonts w:hint="eastAsia"/>
          <w:lang w:eastAsia="zh-CN"/>
        </w:rPr>
        <w:t>符号</w:t>
      </w:r>
      <w:r>
        <w:rPr>
          <w:rFonts w:hint="eastAsia"/>
        </w:rPr>
        <w:t>定义</w:t>
      </w:r>
    </w:p>
    <w:p w14:paraId="3EA06EB0">
      <w:pPr>
        <w:pStyle w:val="34"/>
        <w:ind w:firstLine="480"/>
        <w:rPr>
          <w:lang w:eastAsia="zh-CN"/>
        </w:rPr>
      </w:pPr>
      <w:r>
        <w:rPr>
          <w:rFonts w:hint="eastAsia"/>
          <w:lang w:eastAsia="zh-CN"/>
        </w:rPr>
        <w:t>“▲”：系指实质性要求条款；</w:t>
      </w:r>
    </w:p>
    <w:p w14:paraId="6BDC4367">
      <w:pPr>
        <w:pStyle w:val="34"/>
        <w:ind w:firstLine="480"/>
        <w:rPr>
          <w:lang w:eastAsia="zh-CN"/>
        </w:rPr>
      </w:pPr>
      <w:r>
        <w:rPr>
          <w:lang w:eastAsia="zh-CN"/>
        </w:rPr>
        <w:t>“</w:t>
      </w:r>
      <w:sdt>
        <w:sdtPr>
          <w:id w:val="47733809"/>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5BA53A74">
      <w:pPr>
        <w:pStyle w:val="34"/>
        <w:ind w:firstLine="480"/>
        <w:rPr>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221A6462">
      <w:pPr>
        <w:pStyle w:val="34"/>
        <w:ind w:firstLine="480"/>
        <w:rPr>
          <w:lang w:eastAsia="zh-CN"/>
        </w:rPr>
      </w:pPr>
      <w:r>
        <w:rPr>
          <w:rFonts w:hint="eastAsia"/>
          <w:lang w:eastAsia="zh-CN"/>
        </w:rPr>
        <w:t>其他符号除非有明确说明，否则均仅作强调。</w:t>
      </w:r>
    </w:p>
    <w:p w14:paraId="19D5349C">
      <w:pPr>
        <w:pStyle w:val="37"/>
      </w:pPr>
      <w:r>
        <w:rPr>
          <w:rFonts w:hint="eastAsia"/>
        </w:rPr>
        <w:t>投标费用</w:t>
      </w:r>
    </w:p>
    <w:p w14:paraId="7A5779B6">
      <w:pPr>
        <w:pStyle w:val="34"/>
        <w:ind w:firstLine="480"/>
      </w:pPr>
      <w:r>
        <w:rPr>
          <w:rFonts w:hint="eastAsia"/>
        </w:rPr>
        <w:t>无论招投标过程中的做法和结果如何，投标人自行承担招投标活动中所发生的全部费用。</w:t>
      </w:r>
    </w:p>
    <w:p w14:paraId="7006AD15">
      <w:pPr>
        <w:pStyle w:val="37"/>
      </w:pPr>
      <w:r>
        <w:rPr>
          <w:rFonts w:hint="eastAsia"/>
        </w:rPr>
        <w:t>语言文字</w:t>
      </w:r>
    </w:p>
    <w:p w14:paraId="3D902A82">
      <w:pPr>
        <w:pStyle w:val="44"/>
        <w:bidi w:val="0"/>
      </w:pPr>
      <w:bookmarkStart w:id="31" w:name="_Hlt74707468"/>
      <w:bookmarkEnd w:id="31"/>
      <w:bookmarkStart w:id="32" w:name="_Hlt68057669"/>
      <w:bookmarkEnd w:id="32"/>
      <w:bookmarkStart w:id="33" w:name="_Toc91899879"/>
      <w:bookmarkEnd w:id="33"/>
      <w:bookmarkStart w:id="34" w:name="_Hlt68072990"/>
      <w:bookmarkEnd w:id="34"/>
      <w:bookmarkStart w:id="35" w:name="_Hlt74729768"/>
      <w:bookmarkEnd w:id="35"/>
      <w:bookmarkStart w:id="36" w:name="_Hlt75236290"/>
      <w:bookmarkEnd w:id="36"/>
      <w:r>
        <w:t>除专用术语外，投标文件以及投标人与招标人就有关投标的往来函电均应使用中文，否则视同未实质性响应招标文件要求。</w:t>
      </w:r>
    </w:p>
    <w:p w14:paraId="2124B80B">
      <w:pPr>
        <w:pStyle w:val="44"/>
        <w:bidi w:val="0"/>
      </w:pPr>
      <w:r>
        <w:t>投标人提交的支持性文件和印制的文件可以用另一种语言，但相应内容应翻译成中文，对不同文字文本投标文件的解释发生异议的，以中文文本为准。仅以中文以外的文字表述的材料视同未提供。</w:t>
      </w:r>
    </w:p>
    <w:p w14:paraId="3F6DBCD9">
      <w:pPr>
        <w:pStyle w:val="37"/>
      </w:pPr>
      <w:r>
        <w:rPr>
          <w:rFonts w:hint="eastAsia"/>
        </w:rPr>
        <w:t>计量单位</w:t>
      </w:r>
    </w:p>
    <w:p w14:paraId="5C990E88">
      <w:pPr>
        <w:pStyle w:val="34"/>
        <w:ind w:firstLine="480"/>
      </w:pPr>
      <w:r>
        <w:rPr>
          <w:rFonts w:hint="eastAsia"/>
        </w:rPr>
        <w:t>招标文件有明确规定的，适用招标文件规定的计量单位；招标文件没有规定的，应采用中华人民共和国法定计量单位，否则视同未</w:t>
      </w:r>
      <w:r>
        <w:rPr>
          <w:rFonts w:hint="eastAsia"/>
          <w:lang w:eastAsia="zh-CN"/>
        </w:rPr>
        <w:t>实质性</w:t>
      </w:r>
      <w:r>
        <w:rPr>
          <w:rFonts w:hint="eastAsia"/>
        </w:rPr>
        <w:t>响应</w:t>
      </w:r>
      <w:r>
        <w:rPr>
          <w:rFonts w:hint="eastAsia"/>
          <w:lang w:eastAsia="zh-CN"/>
        </w:rPr>
        <w:t>招标文件要求</w:t>
      </w:r>
      <w:r>
        <w:rPr>
          <w:rFonts w:hint="eastAsia"/>
        </w:rPr>
        <w:t>。</w:t>
      </w:r>
    </w:p>
    <w:p w14:paraId="0EA7C47C">
      <w:pPr>
        <w:pStyle w:val="37"/>
      </w:pPr>
      <w:r>
        <w:rPr>
          <w:rFonts w:hint="eastAsia"/>
        </w:rPr>
        <w:t>转包与分包</w:t>
      </w:r>
    </w:p>
    <w:p w14:paraId="48C9A075">
      <w:pPr>
        <w:pStyle w:val="33"/>
        <w:keepNext w:val="0"/>
        <w:keepLines w:val="0"/>
        <w:pageBreakBefore w:val="0"/>
        <w:widowControl w:val="0"/>
        <w:kinsoku/>
        <w:wordWrap/>
        <w:overflowPunct/>
        <w:topLinePunct w:val="0"/>
        <w:autoSpaceDE/>
        <w:autoSpaceDN/>
        <w:bidi w:val="0"/>
        <w:adjustRightInd w:val="0"/>
        <w:snapToGrid/>
        <w:textAlignment w:val="auto"/>
      </w:pPr>
      <w:r>
        <w:rPr>
          <w:rFonts w:hint="eastAsia"/>
          <w:lang w:val="en-US" w:eastAsia="zh-CN"/>
        </w:rPr>
        <w:t>转包</w:t>
      </w:r>
    </w:p>
    <w:p w14:paraId="454AA6FB">
      <w:pPr>
        <w:pStyle w:val="34"/>
        <w:bidi w:val="0"/>
      </w:pPr>
      <w:r>
        <w:t>本项目不允许转包。</w:t>
      </w:r>
    </w:p>
    <w:p w14:paraId="25947481">
      <w:pPr>
        <w:pStyle w:val="33"/>
        <w:bidi w:val="0"/>
      </w:pPr>
      <w:r>
        <w:rPr>
          <w:rFonts w:hint="eastAsia"/>
          <w:lang w:val="en-US" w:eastAsia="zh-CN"/>
        </w:rPr>
        <w:t>分包</w:t>
      </w:r>
    </w:p>
    <w:p w14:paraId="1D439C2A">
      <w:pPr>
        <w:pStyle w:val="44"/>
        <w:numPr>
          <w:ilvl w:val="0"/>
          <w:numId w:val="7"/>
        </w:numPr>
        <w:bidi w:val="0"/>
      </w:pPr>
      <w:r>
        <w:rPr>
          <w:rFonts w:hint="eastAsia"/>
          <w:lang w:val="en-US" w:eastAsia="zh-CN"/>
        </w:rPr>
        <w:t>本项目是否允许分包详见</w:t>
      </w:r>
      <w:r>
        <w:t>本章“前附表”规定</w:t>
      </w:r>
      <w:r>
        <w:rPr>
          <w:rFonts w:hint="eastAsia"/>
          <w:lang w:eastAsia="zh-CN"/>
        </w:rPr>
        <w:t>；</w:t>
      </w:r>
    </w:p>
    <w:p w14:paraId="2581F80B">
      <w:pPr>
        <w:pStyle w:val="44"/>
        <w:numPr>
          <w:ilvl w:val="0"/>
          <w:numId w:val="7"/>
        </w:numPr>
        <w:bidi w:val="0"/>
      </w:pPr>
      <w:r>
        <w:t>如本章“前附表”规定“</w:t>
      </w:r>
      <w:r>
        <w:rPr>
          <w:rFonts w:hint="eastAsia"/>
          <w:lang w:val="en-US" w:eastAsia="zh-CN"/>
        </w:rPr>
        <w:t>允许分包</w:t>
      </w:r>
      <w:r>
        <w:t>”的</w:t>
      </w:r>
      <w:r>
        <w:rPr>
          <w:rFonts w:hint="eastAsia"/>
          <w:lang w:eastAsia="zh-CN"/>
        </w:rPr>
        <w:t>，</w:t>
      </w:r>
      <w:r>
        <w:rPr>
          <w:rFonts w:hint="eastAsia"/>
        </w:rPr>
        <w:t>投标人根据采购项目的实际情况，拟在中标后将中标项目的非主体、非关键性工作分包的，应当在投标文件中载明分包承担主体，分包承担主体应当具备相应资质条件且不得再次分包</w:t>
      </w:r>
      <w:r>
        <w:rPr>
          <w:rFonts w:hint="eastAsia"/>
          <w:lang w:eastAsia="zh-CN"/>
        </w:rPr>
        <w:t>，</w:t>
      </w:r>
      <w:r>
        <w:rPr>
          <w:rFonts w:hint="eastAsia"/>
        </w:rPr>
        <w:t>中标供应商就采购项目和分包项目向采购人负责，分包供应商就分包项目承担责任</w:t>
      </w:r>
      <w:r>
        <w:t>。</w:t>
      </w:r>
    </w:p>
    <w:p w14:paraId="03293093">
      <w:pPr>
        <w:pStyle w:val="37"/>
      </w:pPr>
      <w:r>
        <w:rPr>
          <w:rFonts w:hint="eastAsia"/>
        </w:rPr>
        <w:t>踏勘现场</w:t>
      </w:r>
    </w:p>
    <w:p w14:paraId="1964DB7B">
      <w:pPr>
        <w:pStyle w:val="44"/>
        <w:numPr>
          <w:ilvl w:val="0"/>
          <w:numId w:val="8"/>
        </w:numPr>
        <w:bidi w:val="0"/>
      </w:pPr>
      <w:r>
        <w:rPr>
          <w:rFonts w:hint="eastAsia"/>
          <w:lang w:val="en-US" w:eastAsia="zh-CN"/>
        </w:rPr>
        <w:t>本项目是否组织</w:t>
      </w:r>
      <w:r>
        <w:rPr>
          <w:rFonts w:hint="eastAsia"/>
        </w:rPr>
        <w:t>踏勘现场</w:t>
      </w:r>
      <w:r>
        <w:rPr>
          <w:rFonts w:hint="eastAsia"/>
          <w:lang w:val="en-US" w:eastAsia="zh-CN"/>
        </w:rPr>
        <w:t>详见</w:t>
      </w:r>
      <w:r>
        <w:t>本章“前附表”规定</w:t>
      </w:r>
      <w:r>
        <w:rPr>
          <w:rFonts w:hint="eastAsia"/>
          <w:lang w:eastAsia="zh-CN"/>
        </w:rPr>
        <w:t>；</w:t>
      </w:r>
    </w:p>
    <w:p w14:paraId="78E4AAD3">
      <w:pPr>
        <w:pStyle w:val="44"/>
        <w:numPr>
          <w:ilvl w:val="0"/>
          <w:numId w:val="8"/>
        </w:numPr>
        <w:bidi w:val="0"/>
      </w:pPr>
      <w:r>
        <w:t>如本章“前附表”规定“不组织”的，供应商如觉得有必要，可自行前往踏勘现场。</w:t>
      </w:r>
    </w:p>
    <w:p w14:paraId="37DDF6E1">
      <w:pPr>
        <w:pStyle w:val="44"/>
        <w:numPr>
          <w:ilvl w:val="0"/>
          <w:numId w:val="8"/>
        </w:numPr>
        <w:bidi w:val="0"/>
      </w:pPr>
      <w:r>
        <w:rPr>
          <w:rFonts w:hint="eastAsia"/>
          <w:lang w:val="en-US" w:eastAsia="zh-Hans"/>
        </w:rPr>
        <w:t>如</w:t>
      </w:r>
      <w:r>
        <w:t>本章“前附表”规定“统一组织”的，供应商应按规定的时间、地点准时出席，否则将不予单独安排。</w:t>
      </w:r>
    </w:p>
    <w:p w14:paraId="26C9CDF9">
      <w:pPr>
        <w:pStyle w:val="44"/>
        <w:numPr>
          <w:ilvl w:val="0"/>
          <w:numId w:val="8"/>
        </w:numPr>
        <w:bidi w:val="0"/>
      </w:pPr>
      <w:r>
        <w:t>供应商踏勘现场发生的费用自理。</w:t>
      </w:r>
    </w:p>
    <w:p w14:paraId="340FEE98">
      <w:pPr>
        <w:pStyle w:val="44"/>
        <w:numPr>
          <w:ilvl w:val="0"/>
          <w:numId w:val="8"/>
        </w:numPr>
        <w:bidi w:val="0"/>
      </w:pPr>
      <w:r>
        <w:t>除招标人的原因外，供应商自行负责在踏勘现场中可能发生的人员伤亡和财产损失。</w:t>
      </w:r>
    </w:p>
    <w:p w14:paraId="6A420BC3">
      <w:pPr>
        <w:pStyle w:val="44"/>
        <w:numPr>
          <w:ilvl w:val="0"/>
          <w:numId w:val="8"/>
        </w:numPr>
        <w:bidi w:val="0"/>
      </w:pPr>
      <w:r>
        <w:t>招标人在踏勘现场中介绍的场地和相关的周边环境情况，供应商在编制投标文件时参考，招标人不对供应商据此作出的判断和决策负责。</w:t>
      </w:r>
    </w:p>
    <w:p w14:paraId="7FF0F65B">
      <w:pPr>
        <w:pStyle w:val="37"/>
      </w:pPr>
      <w:r>
        <w:rPr>
          <w:rFonts w:hint="eastAsia"/>
        </w:rPr>
        <w:t>投标预备会/答疑会</w:t>
      </w:r>
    </w:p>
    <w:p w14:paraId="410DB353">
      <w:pPr>
        <w:pStyle w:val="44"/>
        <w:numPr>
          <w:ilvl w:val="0"/>
          <w:numId w:val="9"/>
        </w:numPr>
        <w:bidi w:val="0"/>
      </w:pPr>
      <w:r>
        <w:rPr>
          <w:rFonts w:hint="eastAsia"/>
          <w:lang w:val="en-US" w:eastAsia="zh-CN"/>
        </w:rPr>
        <w:t>本项目是否召开</w:t>
      </w:r>
      <w:r>
        <w:rPr>
          <w:rFonts w:hint="eastAsia"/>
        </w:rPr>
        <w:t>投标预备会/答疑会</w:t>
      </w:r>
      <w:r>
        <w:rPr>
          <w:rFonts w:hint="eastAsia"/>
          <w:lang w:val="en-US" w:eastAsia="zh-CN"/>
        </w:rPr>
        <w:t>详见</w:t>
      </w:r>
      <w:r>
        <w:t>本章“前附表”规定</w:t>
      </w:r>
      <w:r>
        <w:rPr>
          <w:rFonts w:hint="eastAsia"/>
          <w:lang w:eastAsia="zh-CN"/>
        </w:rPr>
        <w:t>；</w:t>
      </w:r>
    </w:p>
    <w:p w14:paraId="2FFF6208">
      <w:pPr>
        <w:pStyle w:val="44"/>
        <w:numPr>
          <w:ilvl w:val="0"/>
          <w:numId w:val="4"/>
        </w:numPr>
        <w:bidi w:val="0"/>
      </w:pPr>
      <w:r>
        <w:t>如本章“前附表”规定</w:t>
      </w:r>
      <w:r>
        <w:rPr>
          <w:rFonts w:hint="eastAsia"/>
          <w:lang w:eastAsia="zh-CN"/>
        </w:rPr>
        <w:t>“</w:t>
      </w:r>
      <w:r>
        <w:t>召开</w:t>
      </w:r>
      <w:r>
        <w:rPr>
          <w:rFonts w:hint="eastAsia"/>
          <w:lang w:eastAsia="zh-CN"/>
        </w:rPr>
        <w:t>”</w:t>
      </w:r>
      <w:r>
        <w:t>答疑会的，招标人将按规定的时间、地点准时召开答疑会，澄清供应商提出的问题，供应商应按规定准时出席，否则将不予单独安排答疑。</w:t>
      </w:r>
    </w:p>
    <w:p w14:paraId="77F6F54B">
      <w:pPr>
        <w:pStyle w:val="44"/>
        <w:numPr>
          <w:ilvl w:val="0"/>
          <w:numId w:val="4"/>
        </w:numPr>
        <w:bidi w:val="0"/>
      </w:pPr>
      <w:r>
        <w:t>供应商应在答疑会时间的前一天，以书面形式将提出的问题送达招标人，以便招标人在会议期间澄清。</w:t>
      </w:r>
    </w:p>
    <w:p w14:paraId="6BE0EDA2">
      <w:pPr>
        <w:pStyle w:val="44"/>
        <w:numPr>
          <w:ilvl w:val="0"/>
          <w:numId w:val="4"/>
        </w:numPr>
        <w:bidi w:val="0"/>
      </w:pPr>
      <w:r>
        <w:t>答疑会后，招标人将按规定对供应商所提问题进行书面澄清答复。</w:t>
      </w:r>
    </w:p>
    <w:p w14:paraId="663E16A2">
      <w:pPr>
        <w:pStyle w:val="37"/>
      </w:pPr>
      <w:r>
        <w:rPr>
          <w:rFonts w:hint="eastAsia"/>
        </w:rPr>
        <w:t>联合体</w:t>
      </w:r>
      <w:r>
        <w:rPr>
          <w:rFonts w:hint="eastAsia"/>
          <w:lang w:eastAsia="zh-CN"/>
        </w:rPr>
        <w:t>投标</w:t>
      </w:r>
    </w:p>
    <w:p w14:paraId="3B72E0A5">
      <w:pPr>
        <w:pStyle w:val="34"/>
        <w:ind w:firstLine="480"/>
        <w:rPr>
          <w:rFonts w:hint="default"/>
          <w:lang w:val="en-US" w:eastAsia="zh-CN"/>
        </w:rPr>
      </w:pPr>
      <w:r>
        <w:rPr>
          <w:rFonts w:hint="eastAsia"/>
          <w:lang w:val="en-US" w:eastAsia="zh-CN"/>
        </w:rPr>
        <w:t>本项目是否接受联合体投标详见本项目招标公告。</w:t>
      </w:r>
    </w:p>
    <w:p w14:paraId="1C1648C1">
      <w:pPr>
        <w:pStyle w:val="34"/>
        <w:ind w:firstLine="480"/>
      </w:pPr>
      <w:r>
        <w:rPr>
          <w:rFonts w:hint="eastAsia"/>
          <w:lang w:eastAsia="zh-CN"/>
        </w:rPr>
        <w:t>如</w:t>
      </w:r>
      <w:r>
        <w:rPr>
          <w:rFonts w:hint="eastAsia"/>
        </w:rPr>
        <w:t>“招标公告”规定</w:t>
      </w:r>
      <w:r>
        <w:rPr>
          <w:rFonts w:hint="eastAsia"/>
          <w:lang w:eastAsia="zh-CN"/>
        </w:rPr>
        <w:t>本项目接受</w:t>
      </w:r>
      <w:r>
        <w:rPr>
          <w:rFonts w:hint="eastAsia"/>
        </w:rPr>
        <w:t>联合体投标的，</w:t>
      </w:r>
      <w:r>
        <w:rPr>
          <w:rFonts w:hint="eastAsia"/>
          <w:lang w:eastAsia="zh-CN"/>
        </w:rPr>
        <w:t>则</w:t>
      </w:r>
      <w:r>
        <w:rPr>
          <w:rFonts w:hint="eastAsia"/>
        </w:rPr>
        <w:t>应遵守以下规定：</w:t>
      </w:r>
    </w:p>
    <w:p w14:paraId="5ED4C69C">
      <w:pPr>
        <w:pStyle w:val="44"/>
        <w:numPr>
          <w:ilvl w:val="0"/>
          <w:numId w:val="10"/>
        </w:numPr>
        <w:bidi w:val="0"/>
        <w:rPr>
          <w:rFonts w:hint="default"/>
        </w:rPr>
      </w:pPr>
      <w:r>
        <w:t>两个以上供应商可以组成一个联合体，以一个供应商的身份共同参加投标。以联合体形式参加本项目投标的，联合体的各成员均应当具备“招标公告”中“申请人的资格要求”规定的“基本资格”且联合体各方中至少应当有一方符合招标人规定的“特定资格”，如由同一专业的供应商组成联合体的，评审时以资质最低的一方为评审依据；</w:t>
      </w:r>
    </w:p>
    <w:p w14:paraId="1B3F5070">
      <w:pPr>
        <w:pStyle w:val="44"/>
        <w:numPr>
          <w:ilvl w:val="0"/>
          <w:numId w:val="10"/>
        </w:numPr>
        <w:bidi w:val="0"/>
        <w:rPr>
          <w:rFonts w:hint="default"/>
        </w:rPr>
      </w:pPr>
      <w:r>
        <w:t>联合体各方之间须签订联合投标协议，明确约定联合体各方承担的工作和相应的责任以及各方的协议合同金额比例，在投标联合协议中指定本项目主办人，并将联合投标协议作为投标文件组成的一部分。本项目的主体、关键性工作须由主办人完成，并在投标联合协议中进行说明；</w:t>
      </w:r>
    </w:p>
    <w:p w14:paraId="6A07D479">
      <w:pPr>
        <w:pStyle w:val="44"/>
        <w:numPr>
          <w:ilvl w:val="0"/>
          <w:numId w:val="10"/>
        </w:numPr>
        <w:bidi w:val="0"/>
        <w:rPr>
          <w:rFonts w:hint="default"/>
        </w:rPr>
      </w:pPr>
      <w:r>
        <w:t>联合体各方签订投标联合协议后，不得再以自己名义单独在本项目中参加投标，也不得组成新的联合体参加本项目投标；</w:t>
      </w:r>
    </w:p>
    <w:p w14:paraId="1DD42B64">
      <w:pPr>
        <w:pStyle w:val="44"/>
        <w:numPr>
          <w:ilvl w:val="0"/>
          <w:numId w:val="10"/>
        </w:numPr>
        <w:bidi w:val="0"/>
        <w:rPr>
          <w:rFonts w:hint="default"/>
        </w:rPr>
      </w:pPr>
      <w:r>
        <w:t>由联合投标协议书中载明的主办人按规定进行签、章以及采购合同签订，对联合体各成员方同样具有约束力；</w:t>
      </w:r>
    </w:p>
    <w:p w14:paraId="401A4DC4">
      <w:pPr>
        <w:pStyle w:val="44"/>
        <w:numPr>
          <w:ilvl w:val="0"/>
          <w:numId w:val="10"/>
        </w:numPr>
        <w:bidi w:val="0"/>
        <w:rPr>
          <w:rFonts w:hint="default"/>
        </w:rPr>
      </w:pPr>
      <w:r>
        <w:t>联合体形式参加政府采购的，履约保证金、采购代理服务费可由主办人一方缴纳，也可以由联合体各方按联合投标协议书约定共同缴纳。</w:t>
      </w:r>
    </w:p>
    <w:p w14:paraId="18280F31">
      <w:pPr>
        <w:pStyle w:val="37"/>
      </w:pPr>
      <w:r>
        <w:rPr>
          <w:rFonts w:hint="eastAsia"/>
        </w:rPr>
        <w:t>本项目需要落实的政府采购政策</w:t>
      </w:r>
    </w:p>
    <w:p w14:paraId="6D10F8AD">
      <w:pPr>
        <w:pStyle w:val="33"/>
        <w:bidi w:val="0"/>
      </w:pPr>
      <w:r>
        <w:rPr>
          <w:rFonts w:hint="eastAsia"/>
        </w:rPr>
        <w:t>支持中小企业、残疾人福利性单位、监狱企业发展</w:t>
      </w:r>
    </w:p>
    <w:p w14:paraId="39DAA7AE">
      <w:pPr>
        <w:pStyle w:val="38"/>
        <w:keepNext w:val="0"/>
        <w:keepLines w:val="0"/>
        <w:pageBreakBefore w:val="0"/>
        <w:widowControl w:val="0"/>
        <w:kinsoku/>
        <w:wordWrap/>
        <w:overflowPunct/>
        <w:topLinePunct w:val="0"/>
        <w:autoSpaceDE/>
        <w:autoSpaceDN/>
        <w:bidi w:val="0"/>
        <w:adjustRightInd w:val="0"/>
        <w:snapToGrid/>
        <w:ind w:left="0" w:firstLine="482"/>
        <w:textAlignment w:val="auto"/>
      </w:pPr>
      <w:r>
        <w:rPr>
          <w:rFonts w:hint="eastAsia"/>
        </w:rPr>
        <w:t>支持对象</w:t>
      </w:r>
    </w:p>
    <w:p w14:paraId="05D9F91A">
      <w:pPr>
        <w:pStyle w:val="34"/>
        <w:ind w:firstLine="480"/>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33C7F2BE">
      <w:pPr>
        <w:pStyle w:val="34"/>
        <w:ind w:firstLine="482"/>
        <w:rPr>
          <w:b/>
          <w:bCs/>
          <w:lang w:eastAsia="zh-CN"/>
        </w:rPr>
      </w:pPr>
      <w:r>
        <w:rPr>
          <w:rFonts w:hint="eastAsia"/>
          <w:b/>
          <w:bCs/>
          <w:lang w:eastAsia="zh-CN"/>
        </w:rPr>
        <w:t>本项目采购标的对应的中小企业划分标准所属行业见本章“前附表”。</w:t>
      </w:r>
    </w:p>
    <w:p w14:paraId="0341F1BB">
      <w:pPr>
        <w:pStyle w:val="46"/>
        <w:ind w:firstLine="480"/>
      </w:pPr>
      <w:r>
        <w:rPr>
          <w:rFonts w:hint="eastAsia"/>
        </w:rPr>
        <w:t>符合中小企业划分标准的个体工商户以及专业合作社、家庭农场等新型农业经营主体，在政府采购活动中视同中小企业；</w:t>
      </w:r>
    </w:p>
    <w:p w14:paraId="1F3B07A5">
      <w:pPr>
        <w:pStyle w:val="46"/>
        <w:ind w:firstLine="480"/>
      </w:pPr>
      <w:r>
        <w:rPr>
          <w:rFonts w:hint="eastAsia"/>
        </w:rPr>
        <w:t>符合《关于促进残疾人就业政府采购政策的通知》（财库〔2017〕141号）规定的条件并提供《残疾人福利性单位声明函》的残疾人福利性单位视同小型、微型企业；</w:t>
      </w:r>
    </w:p>
    <w:p w14:paraId="373B1470">
      <w:pPr>
        <w:pStyle w:val="46"/>
        <w:ind w:firstLine="480"/>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B5A1469">
      <w:pPr>
        <w:pStyle w:val="46"/>
        <w:ind w:firstLine="480"/>
      </w:pPr>
      <w:r>
        <w:rPr>
          <w:rFonts w:hint="eastAsia"/>
        </w:rPr>
        <w:t>以联合体形式参加政府采购活动，联合体各方均为中小企业的，联合体视同中小企业。其中，联合体各方均为小微企业的，联合体视同小微企业。</w:t>
      </w:r>
    </w:p>
    <w:p w14:paraId="06F27E0D">
      <w:pPr>
        <w:pStyle w:val="34"/>
        <w:ind w:firstLine="480"/>
        <w:rPr>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6EC478E2">
      <w:pPr>
        <w:pStyle w:val="38"/>
        <w:ind w:firstLine="482"/>
      </w:pPr>
      <w:r>
        <w:rPr>
          <w:rFonts w:hint="eastAsia"/>
        </w:rPr>
        <w:t>支持条件</w:t>
      </w:r>
    </w:p>
    <w:p w14:paraId="2F9D7098">
      <w:pPr>
        <w:pStyle w:val="44"/>
        <w:numPr>
          <w:ilvl w:val="0"/>
          <w:numId w:val="11"/>
        </w:numPr>
        <w:bidi w:val="0"/>
        <w:rPr>
          <w:u w:val="single"/>
        </w:rPr>
      </w:pPr>
      <w:r>
        <w:rPr>
          <w:rFonts w:hint="eastAsia"/>
          <w:u w:val="single"/>
        </w:rPr>
        <w:t>在政府采购活动中，投标人提供的货物、工程或者服务符合下列情形的，享受中小企业扶持政策：</w:t>
      </w:r>
    </w:p>
    <w:p w14:paraId="7FC34247">
      <w:pPr>
        <w:pStyle w:val="45"/>
        <w:bidi w:val="0"/>
      </w:pPr>
      <w:r>
        <w:rPr>
          <w:rFonts w:hint="eastAsia"/>
        </w:rPr>
        <w:t>在货物采购项目中，货物全部由中小企业制造，即货物全部由中小企业生产且使用该中小企业商号或者注册商标；</w:t>
      </w:r>
    </w:p>
    <w:p w14:paraId="4B48D378">
      <w:pPr>
        <w:pStyle w:val="45"/>
        <w:bidi w:val="0"/>
      </w:pPr>
      <w:r>
        <w:rPr>
          <w:rFonts w:hint="eastAsia"/>
        </w:rPr>
        <w:t>在工程采购项目中，工程全部由中小企业承建，即工程施工单位为全部中小企业；</w:t>
      </w:r>
    </w:p>
    <w:p w14:paraId="4A7AE831">
      <w:pPr>
        <w:pStyle w:val="45"/>
        <w:bidi w:val="0"/>
      </w:pPr>
      <w:r>
        <w:rPr>
          <w:rFonts w:hint="eastAsia"/>
        </w:rPr>
        <w:t>在服务采购项目中，服务全部由中小企业承接，即提供服务的人员全部为中小企业依照《中华人民共和国劳动合同法》订立劳动合同的从业人员。</w:t>
      </w:r>
    </w:p>
    <w:p w14:paraId="4BD70D11">
      <w:pPr>
        <w:pStyle w:val="44"/>
        <w:bidi w:val="0"/>
        <w:rPr>
          <w:u w:val="single"/>
        </w:rPr>
      </w:pPr>
      <w:r>
        <w:rPr>
          <w:rFonts w:hint="eastAsia"/>
          <w:u w:val="single"/>
        </w:rPr>
        <w:t>以下情形不享受中小企业扶持政策，即在未</w:t>
      </w:r>
      <w:r>
        <w:rPr>
          <w:u w:val="single"/>
        </w:rPr>
        <w:t>专门面向中小企业预留采购份额</w:t>
      </w:r>
      <w:r>
        <w:rPr>
          <w:rFonts w:hint="eastAsia"/>
          <w:u w:val="single"/>
        </w:rPr>
        <w:t>得项目中不享受价格扣除优惠政策，在</w:t>
      </w:r>
      <w:r>
        <w:rPr>
          <w:u w:val="single"/>
        </w:rPr>
        <w:t>专门面向中小企业预留采购份额</w:t>
      </w:r>
      <w:r>
        <w:rPr>
          <w:rFonts w:hint="eastAsia"/>
          <w:u w:val="single"/>
        </w:rPr>
        <w:t>的项目中视为资格审查不通过：</w:t>
      </w:r>
    </w:p>
    <w:p w14:paraId="603F1F36">
      <w:pPr>
        <w:pStyle w:val="45"/>
        <w:numPr>
          <w:ilvl w:val="0"/>
          <w:numId w:val="12"/>
        </w:numPr>
        <w:bidi w:val="0"/>
      </w:pPr>
      <w:r>
        <w:rPr>
          <w:rFonts w:hint="eastAsia"/>
        </w:rPr>
        <w:t>在货物采购项目中，投标人提供的货物既有中小企业制造货物，也有大型企业制造货物的；</w:t>
      </w:r>
    </w:p>
    <w:p w14:paraId="5A17A986">
      <w:pPr>
        <w:pStyle w:val="45"/>
        <w:numPr>
          <w:ilvl w:val="0"/>
          <w:numId w:val="12"/>
        </w:numPr>
        <w:bidi w:val="0"/>
      </w:pPr>
      <w:r>
        <w:rPr>
          <w:rFonts w:hint="eastAsia"/>
        </w:rPr>
        <w:t>组成联合体或者接受分包的小微企业与联合体内其他企业、分包企业之间存在直接控股、管理关系的；</w:t>
      </w:r>
    </w:p>
    <w:p w14:paraId="0E8E0B7C">
      <w:pPr>
        <w:pStyle w:val="45"/>
        <w:numPr>
          <w:ilvl w:val="0"/>
          <w:numId w:val="12"/>
        </w:numPr>
        <w:bidi w:val="0"/>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0816783B">
      <w:pPr>
        <w:pStyle w:val="38"/>
        <w:bidi w:val="0"/>
      </w:pPr>
      <w:r>
        <w:rPr>
          <w:rFonts w:hint="eastAsia"/>
        </w:rPr>
        <w:t>支持方式</w:t>
      </w:r>
    </w:p>
    <w:p w14:paraId="7AC876C0">
      <w:pPr>
        <w:pStyle w:val="44"/>
        <w:numPr>
          <w:ilvl w:val="0"/>
          <w:numId w:val="13"/>
        </w:numPr>
        <w:bidi w:val="0"/>
        <w:rPr>
          <w:u w:val="single"/>
        </w:rPr>
      </w:pPr>
      <w:r>
        <w:rPr>
          <w:rFonts w:hint="eastAsia"/>
          <w:u w:val="single"/>
        </w:rPr>
        <w:t>对于预留份额专门面向中小企业的政府采购项目通过下列措施之一进行：</w:t>
      </w:r>
    </w:p>
    <w:p w14:paraId="42F57A86">
      <w:pPr>
        <w:pStyle w:val="45"/>
        <w:numPr>
          <w:ilvl w:val="0"/>
          <w:numId w:val="14"/>
        </w:numPr>
        <w:bidi w:val="0"/>
      </w:pPr>
      <w:r>
        <w:t>将采购项目整体或者设置采购包专门面向中小企 业采购；</w:t>
      </w:r>
    </w:p>
    <w:p w14:paraId="379B216C">
      <w:pPr>
        <w:pStyle w:val="45"/>
        <w:numPr>
          <w:ilvl w:val="0"/>
          <w:numId w:val="14"/>
        </w:numPr>
        <w:bidi w:val="0"/>
      </w:pPr>
      <w:r>
        <w:t>要求供应商以联合体形式参加采购活动，且联合体中中小企业承担的部分达到一定比例；</w:t>
      </w:r>
    </w:p>
    <w:p w14:paraId="095FBF3D">
      <w:pPr>
        <w:pStyle w:val="45"/>
        <w:numPr>
          <w:ilvl w:val="0"/>
          <w:numId w:val="14"/>
        </w:numPr>
        <w:bidi w:val="0"/>
      </w:pPr>
      <w:r>
        <w:t>要求获得采购合同的供应商将采购项目中的一定比例分包给一家或者多家中小企业。</w:t>
      </w:r>
    </w:p>
    <w:p w14:paraId="394D80EE">
      <w:pPr>
        <w:pStyle w:val="44"/>
        <w:bidi w:val="0"/>
        <w:rPr>
          <w:u w:val="single"/>
        </w:rPr>
      </w:pPr>
      <w:r>
        <w:rPr>
          <w:rFonts w:hint="eastAsia"/>
          <w:u w:val="single"/>
        </w:rPr>
        <w:t>对于未预留份额专门面向中小企业的政府采购项目，以及预留份额政府采购项目中的非预留部分标项：</w:t>
      </w:r>
    </w:p>
    <w:p w14:paraId="779C39F1">
      <w:pPr>
        <w:pStyle w:val="45"/>
        <w:numPr>
          <w:ilvl w:val="0"/>
          <w:numId w:val="15"/>
        </w:numPr>
        <w:bidi w:val="0"/>
      </w:pPr>
      <w:r>
        <w:rPr>
          <w:rFonts w:hint="eastAsia"/>
        </w:rPr>
        <w:t>对小型和微型企业的投标报价给予一定比例的扣除，用扣除后的价格参与评审；</w:t>
      </w:r>
    </w:p>
    <w:p w14:paraId="38A28634">
      <w:pPr>
        <w:pStyle w:val="45"/>
        <w:numPr>
          <w:ilvl w:val="0"/>
          <w:numId w:val="15"/>
        </w:numPr>
        <w:bidi w:val="0"/>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3C680EE5">
      <w:pPr>
        <w:pStyle w:val="34"/>
        <w:ind w:firstLine="480"/>
        <w:rPr>
          <w:u w:val="single"/>
        </w:rPr>
      </w:pPr>
      <w:r>
        <w:rPr>
          <w:rFonts w:hint="eastAsia"/>
          <w:u w:val="single"/>
        </w:rPr>
        <w:t>本项目具体支持方式见“招标公告”及“第五章 评审办法和标准”。</w:t>
      </w:r>
    </w:p>
    <w:p w14:paraId="5E74E332">
      <w:pPr>
        <w:pStyle w:val="44"/>
        <w:bidi w:val="0"/>
        <w:rPr>
          <w:rFonts w:hint="default"/>
          <w:u w:val="single"/>
        </w:rPr>
      </w:pPr>
      <w:r>
        <w:rPr>
          <w:u w:val="single"/>
        </w:rPr>
        <w:t>投标人提供的声明或证明材料与实际情况不符的，属于提供虚假材料谋取中标、成交的行为，不享受中小企业扶持政策且将依法承担法律责任。</w:t>
      </w:r>
    </w:p>
    <w:p w14:paraId="1F8F8343">
      <w:pPr>
        <w:pStyle w:val="33"/>
        <w:bidi w:val="0"/>
      </w:pPr>
      <w:bookmarkStart w:id="37" w:name="_Toc661102123"/>
      <w:r>
        <w:t>支持绿色发展</w:t>
      </w:r>
      <w:bookmarkEnd w:id="37"/>
    </w:p>
    <w:p w14:paraId="7991F9E1">
      <w:pPr>
        <w:pStyle w:val="34"/>
        <w:ind w:firstLine="480"/>
      </w:pPr>
      <w:r>
        <w:rPr>
          <w:rFonts w:hint="eastAsia"/>
          <w:lang w:eastAsia="zh-CN"/>
        </w:rPr>
        <w:t>招标</w:t>
      </w:r>
      <w:r>
        <w:t>人拟采购的产品属于节能产品、环境标志产品实施品目清单范围的，将依据国家确定的认证机构出具的、处于有效期之内的节能产品、环境标志产品认证证书，对获得证书的产品实施政府优先采购或强制采购。供应商须按采购文件要求提供相关产品认证证书。</w:t>
      </w:r>
    </w:p>
    <w:p w14:paraId="03E8EFC5">
      <w:pPr>
        <w:pStyle w:val="34"/>
        <w:ind w:firstLine="480"/>
      </w:pPr>
      <w:r>
        <w:rPr>
          <w:rFonts w:hint="eastAsia"/>
          <w:lang w:eastAsia="zh-CN"/>
        </w:rPr>
        <w:t>招标</w:t>
      </w:r>
      <w:r>
        <w:t>人拟采购的产品属于政府强制采购的节能产品品目清单范围的，供应商未按采购文件要求提供国家确定的认证机构出具的、处于有效期之内的节能产品认证证书的，响应文件无效。</w:t>
      </w:r>
    </w:p>
    <w:p w14:paraId="69F3802D">
      <w:pPr>
        <w:pStyle w:val="33"/>
        <w:ind w:firstLine="482"/>
      </w:pPr>
      <w:bookmarkStart w:id="38" w:name="_Toc62991683"/>
      <w:r>
        <w:t>支持创新发展</w:t>
      </w:r>
      <w:bookmarkEnd w:id="38"/>
    </w:p>
    <w:p w14:paraId="0782A45F">
      <w:pPr>
        <w:pStyle w:val="34"/>
        <w:ind w:firstLine="480"/>
      </w:pPr>
      <w:r>
        <w:rPr>
          <w:rFonts w:hint="eastAsia"/>
          <w:lang w:eastAsia="zh-CN"/>
        </w:rPr>
        <w:t>招标</w:t>
      </w:r>
      <w:r>
        <w:t>人优先采购被认定为</w:t>
      </w:r>
      <w:r>
        <w:rPr>
          <w:rFonts w:hint="eastAsia"/>
          <w:lang w:eastAsia="zh-CN"/>
        </w:rPr>
        <w:t>“</w:t>
      </w:r>
      <w:r>
        <w:t>首台套产品</w:t>
      </w:r>
      <w:r>
        <w:rPr>
          <w:rFonts w:hint="eastAsia"/>
          <w:lang w:eastAsia="zh-CN"/>
        </w:rPr>
        <w:t>”</w:t>
      </w:r>
      <w:r>
        <w:t>和“制造精品”的自主创新产品。</w:t>
      </w:r>
    </w:p>
    <w:p w14:paraId="11CAA3B0">
      <w:pPr>
        <w:pStyle w:val="34"/>
        <w:ind w:firstLine="480"/>
      </w:pPr>
      <w:r>
        <w:t>“首台套产品</w:t>
      </w:r>
      <w:r>
        <w:rPr>
          <w:rFonts w:hint="eastAsia"/>
          <w:lang w:eastAsia="zh-CN"/>
        </w:rPr>
        <w:t>”</w:t>
      </w:r>
      <w:r>
        <w:t>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2213376">
      <w:pPr>
        <w:pStyle w:val="33"/>
        <w:ind w:firstLine="482"/>
      </w:pPr>
      <w:bookmarkStart w:id="39" w:name="_Toc2139261857"/>
      <w:r>
        <w:rPr>
          <w:rFonts w:hint="eastAsia"/>
        </w:rPr>
        <w:t>支持本国生产的货物</w:t>
      </w:r>
      <w:bookmarkEnd w:id="39"/>
    </w:p>
    <w:p w14:paraId="5C9ABECC">
      <w:pPr>
        <w:pStyle w:val="34"/>
        <w:bidi w:val="0"/>
        <w:rPr>
          <w:rFonts w:hint="eastAsia" w:eastAsia="宋体"/>
          <w:lang w:eastAsia="zh-CN"/>
        </w:rPr>
      </w:pPr>
      <w:r>
        <w:rPr>
          <w:rFonts w:hint="eastAsia"/>
        </w:rPr>
        <w:t>本项目原则上采购本国生产的货物</w:t>
      </w:r>
      <w:r>
        <w:rPr>
          <w:rFonts w:hint="eastAsia"/>
          <w:lang w:eastAsia="zh-CN"/>
        </w:rPr>
        <w:t>，</w:t>
      </w:r>
      <w:r>
        <w:rPr>
          <w:rFonts w:hint="eastAsia"/>
          <w:lang w:val="en-US" w:eastAsia="zh-CN"/>
        </w:rPr>
        <w:t>是否“允许采购进口产品”详见</w:t>
      </w:r>
      <w:r>
        <w:t>本章“前附表”规定</w:t>
      </w:r>
      <w:r>
        <w:rPr>
          <w:rFonts w:hint="eastAsia"/>
          <w:lang w:eastAsia="zh-CN"/>
        </w:rPr>
        <w:t>。</w:t>
      </w:r>
    </w:p>
    <w:p w14:paraId="183A61BE">
      <w:pPr>
        <w:pStyle w:val="34"/>
        <w:ind w:firstLine="480"/>
        <w:rPr>
          <w:lang w:eastAsia="zh-CN"/>
        </w:rPr>
      </w:pPr>
      <w:r>
        <w:rPr>
          <w:rFonts w:hint="eastAsia"/>
          <w:highlight w:val="none"/>
          <w:lang w:eastAsia="zh-CN"/>
        </w:rPr>
        <w:t>如本章“前附表”规定“允许</w:t>
      </w:r>
      <w:r>
        <w:rPr>
          <w:rFonts w:hint="eastAsia"/>
          <w:highlight w:val="none"/>
          <w:lang w:val="en-US" w:eastAsia="zh-CN"/>
        </w:rPr>
        <w:t>采购进口产品</w:t>
      </w:r>
      <w:r>
        <w:rPr>
          <w:rFonts w:hint="eastAsia"/>
          <w:highlight w:val="none"/>
          <w:lang w:eastAsia="zh-CN"/>
        </w:rPr>
        <w:t>”的，</w:t>
      </w:r>
      <w:r>
        <w:rPr>
          <w:rFonts w:hint="eastAsia"/>
        </w:rPr>
        <w:t>表明招标人已经在采购活动开始前向财政部门提出申请并获得财政部门审核同意允许采购进口产品</w:t>
      </w:r>
      <w:r>
        <w:rPr>
          <w:rFonts w:hint="eastAsia"/>
          <w:lang w:eastAsia="zh-CN"/>
        </w:rPr>
        <w:t>。</w:t>
      </w:r>
    </w:p>
    <w:p w14:paraId="755A69EB">
      <w:pPr>
        <w:pStyle w:val="34"/>
        <w:ind w:firstLine="480"/>
      </w:pPr>
      <w:r>
        <w:rPr>
          <w:rFonts w:hint="eastAsia"/>
        </w:rPr>
        <w:t>即使允许采购进口产品但不排斥满足需求的国内产品参与采购公平竞争。</w:t>
      </w:r>
    </w:p>
    <w:p w14:paraId="37CF0E91">
      <w:pPr>
        <w:pStyle w:val="34"/>
        <w:ind w:firstLine="480"/>
      </w:pPr>
      <w:r>
        <w:rPr>
          <w:rFonts w:hint="eastAsia"/>
        </w:rPr>
        <w:t>优先采购向我国企业转让技术、与我国企业签订消化吸收再创新方案的供应商的进口产品；</w:t>
      </w:r>
    </w:p>
    <w:p w14:paraId="6B5BAE7B">
      <w:pPr>
        <w:pStyle w:val="34"/>
        <w:rPr>
          <w:rFonts w:hint="default"/>
        </w:rPr>
      </w:pPr>
      <w:r>
        <w:rPr>
          <w:rFonts w:hint="eastAsia"/>
        </w:rPr>
        <w:t>若进口产品需从中华人民共和国境外提供的，货物的最终用户须为招标人，投标人应委托招标人指定机构或者经招标人同意后自行委托具有进出口代理权的机构办理相关进口事宜，并承担因此产生的所有费用。</w:t>
      </w:r>
    </w:p>
    <w:p w14:paraId="0D3128AE">
      <w:pPr>
        <w:pStyle w:val="37"/>
      </w:pPr>
      <w:r>
        <w:rPr>
          <w:rFonts w:hint="eastAsia"/>
        </w:rPr>
        <w:t>对供应商的限制</w:t>
      </w:r>
    </w:p>
    <w:p w14:paraId="6E180D89">
      <w:pPr>
        <w:pStyle w:val="34"/>
        <w:ind w:firstLine="480"/>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的投标均无效：</w:t>
      </w:r>
    </w:p>
    <w:p w14:paraId="56BC7154">
      <w:pPr>
        <w:pStyle w:val="44"/>
        <w:numPr>
          <w:ilvl w:val="0"/>
          <w:numId w:val="16"/>
        </w:numPr>
        <w:bidi w:val="0"/>
      </w:pPr>
      <w:r>
        <w:rPr>
          <w:rFonts w:hint="eastAsia"/>
        </w:rPr>
        <w:t>单位负责人（指法定代表人或者法律、行政法规规定代表单位行使职权的主要负责人）为同一人或者存在直接控股、管理关系的不同投标人不得分别参加同一合同项下的采购活动。</w:t>
      </w:r>
    </w:p>
    <w:p w14:paraId="539E05CD">
      <w:pPr>
        <w:pStyle w:val="44"/>
        <w:numPr>
          <w:ilvl w:val="0"/>
          <w:numId w:val="16"/>
        </w:numPr>
        <w:bidi w:val="0"/>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287086F7">
      <w:pPr>
        <w:pStyle w:val="44"/>
        <w:numPr>
          <w:ilvl w:val="0"/>
          <w:numId w:val="16"/>
        </w:numPr>
        <w:bidi w:val="0"/>
      </w:pPr>
      <w:r>
        <w:rPr>
          <w:rFonts w:hint="eastAsia"/>
        </w:rPr>
        <w:t>以联合体形式参加政府采购活动的，联合体各方不得再单独参加或者与其他供应商另外组成联合体参加同一合同项下的政府采购活动；</w:t>
      </w:r>
    </w:p>
    <w:p w14:paraId="1D2B97FA">
      <w:pPr>
        <w:pStyle w:val="44"/>
        <w:numPr>
          <w:ilvl w:val="0"/>
          <w:numId w:val="16"/>
        </w:numPr>
        <w:bidi w:val="0"/>
      </w:pPr>
      <w:r>
        <w:rPr>
          <w:rFonts w:hint="eastAsia"/>
        </w:rPr>
        <w:t>公益一类事业单位、使用事业编制且由财政拨款保障的群团组织不作为政府购买服务</w:t>
      </w:r>
      <w:r>
        <w:rPr>
          <w:rFonts w:hint="eastAsia"/>
          <w:lang w:val="en-US" w:eastAsia="zh-CN"/>
        </w:rPr>
        <w:t>的</w:t>
      </w:r>
      <w:r>
        <w:rPr>
          <w:rFonts w:hint="eastAsia"/>
        </w:rPr>
        <w:t>承接主体‌。</w:t>
      </w:r>
    </w:p>
    <w:p w14:paraId="10E172BF">
      <w:pPr>
        <w:pStyle w:val="37"/>
      </w:pPr>
      <w:r>
        <w:rPr>
          <w:rFonts w:hint="eastAsia"/>
        </w:rPr>
        <w:t>询问、质疑与投诉</w:t>
      </w:r>
    </w:p>
    <w:p w14:paraId="480D433D">
      <w:pPr>
        <w:pStyle w:val="34"/>
        <w:ind w:firstLine="480"/>
        <w:rPr>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2493FC21">
      <w:pPr>
        <w:pStyle w:val="33"/>
        <w:ind w:firstLine="482"/>
      </w:pPr>
      <w:r>
        <w:rPr>
          <w:rFonts w:hint="eastAsia"/>
        </w:rPr>
        <w:t>询问</w:t>
      </w:r>
    </w:p>
    <w:p w14:paraId="6BA4802E">
      <w:pPr>
        <w:pStyle w:val="44"/>
        <w:numPr>
          <w:ilvl w:val="0"/>
          <w:numId w:val="17"/>
        </w:numPr>
        <w:bidi w:val="0"/>
      </w:pPr>
      <w:r>
        <w:t>在采购活动中供应商可以就某一事项向采购组织机构发出“询问”，采购组织机构将在收到供应商“询问”后三个工作日内予以答复，但规定不予答复的内容除外。</w:t>
      </w:r>
    </w:p>
    <w:p w14:paraId="46D683EA">
      <w:pPr>
        <w:pStyle w:val="44"/>
        <w:numPr>
          <w:ilvl w:val="0"/>
          <w:numId w:val="17"/>
        </w:numPr>
        <w:bidi w:val="0"/>
      </w:pPr>
      <w:r>
        <w:t>供应商提出的询问超出招标人对采购代理机构委托授权范围的，采购代理机构应当告知供应商向招标人提出。</w:t>
      </w:r>
    </w:p>
    <w:p w14:paraId="1F5B4CC0">
      <w:pPr>
        <w:pStyle w:val="44"/>
        <w:numPr>
          <w:ilvl w:val="0"/>
          <w:numId w:val="17"/>
        </w:numPr>
        <w:bidi w:val="0"/>
      </w:pPr>
      <w:r>
        <w:t>在线询问路径为：政采云平台-项目采购-询问质疑投诉-询问列表。</w:t>
      </w:r>
    </w:p>
    <w:p w14:paraId="6B2E1D3E">
      <w:pPr>
        <w:pStyle w:val="33"/>
        <w:ind w:firstLine="482"/>
      </w:pPr>
      <w:r>
        <w:rPr>
          <w:rFonts w:hint="eastAsia"/>
        </w:rPr>
        <w:t>质疑</w:t>
      </w:r>
    </w:p>
    <w:p w14:paraId="4AF2E9D5">
      <w:pPr>
        <w:pStyle w:val="44"/>
        <w:numPr>
          <w:ilvl w:val="0"/>
          <w:numId w:val="18"/>
        </w:numPr>
        <w:bidi w:val="0"/>
      </w:pPr>
      <w:r>
        <w:t>提出质疑的供应商应当是参与所质疑项目采购活动的供应商，即已</w:t>
      </w:r>
      <w:r>
        <w:rPr>
          <w:rFonts w:hint="eastAsia"/>
          <w:lang w:val="en-US" w:eastAsia="zh-Hans"/>
        </w:rPr>
        <w:t>按</w:t>
      </w:r>
      <w:r>
        <w:t>“招标公告”要求依法获取其可质疑的招标文件的供应商。</w:t>
      </w:r>
    </w:p>
    <w:p w14:paraId="6BF448D2">
      <w:pPr>
        <w:pStyle w:val="44"/>
        <w:numPr>
          <w:ilvl w:val="0"/>
          <w:numId w:val="18"/>
        </w:numPr>
        <w:bidi w:val="0"/>
      </w:pPr>
      <w:r>
        <w:t>供应商认为招标文件、招标过程和招标结果使自己的合法权益受到损害的，应当在知道或者应知其权益受到损害之日起七个工作日内，以书面形式一次性向招标人、招标组织机构提出质疑，否则招标人、招标组织组织机构可不予受理。</w:t>
      </w:r>
    </w:p>
    <w:p w14:paraId="3ECA4241">
      <w:pPr>
        <w:pStyle w:val="34"/>
        <w:ind w:firstLine="480"/>
        <w:rPr>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34E7A5B1">
      <w:pPr>
        <w:pStyle w:val="46"/>
        <w:ind w:firstLine="480"/>
      </w:pPr>
      <w:r>
        <w:t>对</w:t>
      </w:r>
      <w:r>
        <w:rPr>
          <w:rFonts w:hint="eastAsia"/>
        </w:rPr>
        <w:t>招标</w:t>
      </w:r>
      <w:r>
        <w:t>文件提出质疑的，为获取</w:t>
      </w:r>
      <w:r>
        <w:rPr>
          <w:rFonts w:hint="eastAsia"/>
        </w:rPr>
        <w:t>招标</w:t>
      </w:r>
      <w:r>
        <w:t>文件之日或者</w:t>
      </w:r>
      <w:r>
        <w:rPr>
          <w:rFonts w:hint="eastAsia"/>
        </w:rPr>
        <w:t>招标</w:t>
      </w:r>
      <w:r>
        <w:t>文件公告期限届满之日（</w:t>
      </w:r>
      <w:r>
        <w:rPr>
          <w:rFonts w:hint="eastAsia"/>
        </w:rPr>
        <w:t>招标</w:t>
      </w:r>
      <w:r>
        <w:t>文件公告期限届满后获取</w:t>
      </w:r>
      <w:r>
        <w:rPr>
          <w:rFonts w:hint="eastAsia"/>
        </w:rPr>
        <w:t>招标</w:t>
      </w:r>
      <w:r>
        <w:t>文件的，以</w:t>
      </w:r>
      <w:r>
        <w:rPr>
          <w:rFonts w:hint="eastAsia"/>
        </w:rPr>
        <w:t>招标</w:t>
      </w:r>
      <w:r>
        <w:t>文件公告期限届满之日为准）；</w:t>
      </w:r>
    </w:p>
    <w:p w14:paraId="3E439026">
      <w:pPr>
        <w:pStyle w:val="46"/>
        <w:ind w:firstLine="480"/>
      </w:pPr>
      <w:r>
        <w:t>对</w:t>
      </w:r>
      <w:r>
        <w:rPr>
          <w:rFonts w:hint="eastAsia"/>
        </w:rPr>
        <w:t>招标</w:t>
      </w:r>
      <w:r>
        <w:t>过程提出质疑的，为各</w:t>
      </w:r>
      <w:r>
        <w:rPr>
          <w:rFonts w:hint="eastAsia"/>
        </w:rPr>
        <w:t>招标</w:t>
      </w:r>
      <w:r>
        <w:t>程序环节结束之日；</w:t>
      </w:r>
    </w:p>
    <w:p w14:paraId="7531C2CE">
      <w:pPr>
        <w:pStyle w:val="46"/>
        <w:ind w:firstLine="480"/>
      </w:pPr>
      <w:r>
        <w:t>对中标或者成交结果提出质疑的，为中标或者成交结果公告期限届满之日。</w:t>
      </w:r>
    </w:p>
    <w:p w14:paraId="144FBC12">
      <w:pPr>
        <w:pStyle w:val="44"/>
        <w:bidi w:val="0"/>
      </w:pPr>
      <w:r>
        <w:t>供应商提出质疑应当提交质疑函和必要的证明材料。质疑函应当包括下列内容：</w:t>
      </w:r>
    </w:p>
    <w:p w14:paraId="5207DD88">
      <w:pPr>
        <w:pStyle w:val="45"/>
        <w:numPr>
          <w:ilvl w:val="0"/>
          <w:numId w:val="19"/>
        </w:numPr>
        <w:bidi w:val="0"/>
      </w:pPr>
      <w:r>
        <w:t>供应商的姓名或者名称、地址、邮编、联系人及联系电话；</w:t>
      </w:r>
    </w:p>
    <w:p w14:paraId="3ED8B022">
      <w:pPr>
        <w:pStyle w:val="45"/>
        <w:numPr>
          <w:ilvl w:val="0"/>
          <w:numId w:val="19"/>
        </w:numPr>
        <w:bidi w:val="0"/>
      </w:pPr>
      <w:r>
        <w:t>质疑项目的名称、编号；</w:t>
      </w:r>
    </w:p>
    <w:p w14:paraId="70C8DCAD">
      <w:pPr>
        <w:pStyle w:val="45"/>
        <w:numPr>
          <w:ilvl w:val="0"/>
          <w:numId w:val="19"/>
        </w:numPr>
        <w:bidi w:val="0"/>
      </w:pPr>
      <w:r>
        <w:t>具体、明确的质疑事项和与质疑事项相关的请求；</w:t>
      </w:r>
    </w:p>
    <w:p w14:paraId="1548B6CF">
      <w:pPr>
        <w:pStyle w:val="45"/>
        <w:numPr>
          <w:ilvl w:val="0"/>
          <w:numId w:val="19"/>
        </w:numPr>
        <w:bidi w:val="0"/>
      </w:pPr>
      <w:r>
        <w:t>事实依据；</w:t>
      </w:r>
    </w:p>
    <w:p w14:paraId="6F675D94">
      <w:pPr>
        <w:pStyle w:val="45"/>
        <w:numPr>
          <w:ilvl w:val="0"/>
          <w:numId w:val="19"/>
        </w:numPr>
        <w:bidi w:val="0"/>
      </w:pPr>
      <w:r>
        <w:t>必要的法律依据；</w:t>
      </w:r>
    </w:p>
    <w:p w14:paraId="6C37D373">
      <w:pPr>
        <w:pStyle w:val="45"/>
        <w:numPr>
          <w:ilvl w:val="0"/>
          <w:numId w:val="19"/>
        </w:numPr>
        <w:bidi w:val="0"/>
      </w:pPr>
      <w:r>
        <w:t>提出质疑的日期。</w:t>
      </w:r>
    </w:p>
    <w:p w14:paraId="4B4F3605">
      <w:pPr>
        <w:pStyle w:val="44"/>
        <w:bidi w:val="0"/>
      </w:pPr>
      <w:r>
        <w:t>对同一招标程序环节的质疑，供应商须在法定质疑期内一次性提出。</w:t>
      </w:r>
    </w:p>
    <w:p w14:paraId="7B91F5C5">
      <w:pPr>
        <w:pStyle w:val="44"/>
        <w:bidi w:val="0"/>
      </w:pPr>
      <w:r>
        <w:t>招标或者招标组织机构将在收到供应商的书面质疑后七个工作日内作出答复，并以书面形式通知质疑供应商和其他与质疑处理结果有利害关系的政府采购当事人，但答复的内容涉及商业秘密的除外。</w:t>
      </w:r>
    </w:p>
    <w:p w14:paraId="7964F9E7">
      <w:pPr>
        <w:pStyle w:val="44"/>
        <w:bidi w:val="0"/>
      </w:pPr>
      <w:r>
        <w:t>在线质疑路径为：政采云品台-项目采购-询问质疑投诉-质疑列表。</w:t>
      </w:r>
    </w:p>
    <w:p w14:paraId="37563C10">
      <w:pPr>
        <w:pStyle w:val="33"/>
        <w:ind w:firstLine="482"/>
      </w:pPr>
      <w:r>
        <w:t>投诉</w:t>
      </w:r>
    </w:p>
    <w:p w14:paraId="00CF6EF1">
      <w:pPr>
        <w:pStyle w:val="44"/>
        <w:numPr>
          <w:ilvl w:val="0"/>
          <w:numId w:val="20"/>
        </w:numPr>
        <w:bidi w:val="0"/>
      </w:pPr>
      <w:r>
        <w:t>供应商对招标人、招标组织机构的质疑答复不满意或者招标人、招标组织组织机构未在规定时间内作出答复的，可以在答复期满后十五个工作日内向同级采购监管部门投诉。</w:t>
      </w:r>
    </w:p>
    <w:p w14:paraId="746D104A">
      <w:pPr>
        <w:pStyle w:val="44"/>
        <w:numPr>
          <w:ilvl w:val="0"/>
          <w:numId w:val="20"/>
        </w:numPr>
        <w:bidi w:val="0"/>
      </w:pPr>
      <w:r>
        <w:t>供应商投诉的事项不得超出已质疑事项的范围，基于质疑答复内容提出的投诉事项除外。</w:t>
      </w:r>
    </w:p>
    <w:p w14:paraId="58EDA792">
      <w:pPr>
        <w:pStyle w:val="44"/>
        <w:numPr>
          <w:ilvl w:val="0"/>
          <w:numId w:val="20"/>
        </w:numPr>
        <w:bidi w:val="0"/>
      </w:pPr>
      <w:r>
        <w:t>供应商投诉应当有明确的请求和必要的证明材料。</w:t>
      </w:r>
    </w:p>
    <w:p w14:paraId="6EE0B125">
      <w:pPr>
        <w:pStyle w:val="44"/>
        <w:numPr>
          <w:ilvl w:val="0"/>
          <w:numId w:val="20"/>
        </w:numPr>
        <w:bidi w:val="0"/>
      </w:pPr>
      <w:r>
        <w:t>在线投诉路径为：浙江政府服务网-</w:t>
      </w:r>
      <w:r>
        <w:rPr>
          <w:rFonts w:hint="eastAsia"/>
          <w:lang w:val="en-US" w:eastAsia="zh-Hans"/>
        </w:rPr>
        <w:t>咨询建言举报</w:t>
      </w:r>
      <w:r>
        <w:rPr>
          <w:rFonts w:hint="default"/>
          <w:lang w:eastAsia="zh-Hans"/>
        </w:rPr>
        <w:t>/</w:t>
      </w:r>
      <w:r>
        <w:rPr>
          <w:rFonts w:hint="eastAsia"/>
          <w:lang w:val="en-US" w:eastAsia="zh-Hans"/>
        </w:rPr>
        <w:t>投诉</w:t>
      </w:r>
      <w:r>
        <w:rPr>
          <w:rFonts w:hint="default"/>
          <w:lang w:eastAsia="zh-Hans"/>
        </w:rPr>
        <w:t>-</w:t>
      </w:r>
      <w:r>
        <w:t>政府采购投诉-在线办理。</w:t>
      </w:r>
    </w:p>
    <w:p w14:paraId="5BA69112">
      <w:pPr>
        <w:pStyle w:val="37"/>
      </w:pPr>
      <w:r>
        <w:rPr>
          <w:rFonts w:hint="eastAsia"/>
        </w:rPr>
        <w:t>其他注意事项</w:t>
      </w:r>
    </w:p>
    <w:p w14:paraId="2A890FB5">
      <w:pPr>
        <w:pStyle w:val="44"/>
        <w:numPr>
          <w:ilvl w:val="0"/>
          <w:numId w:val="21"/>
        </w:numPr>
        <w:bidi w:val="0"/>
      </w:pPr>
      <w: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6C557818">
      <w:pPr>
        <w:pStyle w:val="44"/>
        <w:numPr>
          <w:ilvl w:val="0"/>
          <w:numId w:val="21"/>
        </w:numPr>
        <w:bidi w:val="0"/>
      </w:pPr>
      <w:r>
        <w:t>不论招标人、招标代理机构向供应商发送的资料文件，还是供应商提出的问题，均以书面形式为准。</w:t>
      </w:r>
    </w:p>
    <w:p w14:paraId="3C25C505">
      <w:pPr>
        <w:pStyle w:val="44"/>
        <w:numPr>
          <w:ilvl w:val="0"/>
          <w:numId w:val="21"/>
        </w:numPr>
        <w:bidi w:val="0"/>
      </w:pPr>
      <w:r>
        <w:t>投标人应保证</w:t>
      </w:r>
      <w:r>
        <w:rPr>
          <w:rFonts w:hint="eastAsia"/>
          <w:lang w:val="en-US" w:eastAsia="zh-Hans"/>
        </w:rPr>
        <w:t>服务过程中</w:t>
      </w:r>
      <w:r>
        <w:t>免受第三方提出的侵犯其专利权、商标权、著作权或其他知识产权的起诉。投标人应承担由此可能产生的一切法律责任和费用。</w:t>
      </w:r>
    </w:p>
    <w:p w14:paraId="2CBA2671">
      <w:pPr>
        <w:pStyle w:val="44"/>
        <w:numPr>
          <w:ilvl w:val="0"/>
          <w:numId w:val="21"/>
        </w:numPr>
        <w:bidi w:val="0"/>
      </w:pPr>
      <w:r>
        <w:t>为证明投标人拥有的业绩、荣誉、知识产权、项目案例等而在投标文件中提供的证明材料必须为投标人自身所有。不同法人、其他组织的资料与投标人无关。</w:t>
      </w:r>
    </w:p>
    <w:p w14:paraId="10F99CED">
      <w:pPr>
        <w:pStyle w:val="37"/>
      </w:pPr>
      <w:r>
        <w:rPr>
          <w:rFonts w:hint="eastAsia"/>
        </w:rPr>
        <w:t>保密</w:t>
      </w:r>
    </w:p>
    <w:p w14:paraId="2C568FE5">
      <w:pPr>
        <w:pStyle w:val="34"/>
        <w:ind w:firstLine="480"/>
      </w:pPr>
      <w:r>
        <w:rPr>
          <w:rFonts w:hint="eastAsia"/>
        </w:rPr>
        <w:t>参与招标投标活动的各方应对招标文件和投标文件中的商业和技术等秘密保密，违者应对此造成的后果承担法律责任。</w:t>
      </w:r>
    </w:p>
    <w:p w14:paraId="1787F28E">
      <w:pPr>
        <w:pStyle w:val="34"/>
        <w:ind w:firstLine="480"/>
      </w:pPr>
      <w:r>
        <w:rPr>
          <w:rFonts w:hint="eastAsia"/>
        </w:rPr>
        <w:t>在</w:t>
      </w:r>
      <w:r>
        <w:rPr>
          <w:rFonts w:hint="eastAsia"/>
          <w:lang w:eastAsia="zh-CN"/>
        </w:rPr>
        <w:t>招标</w:t>
      </w:r>
      <w:r>
        <w:rPr>
          <w:rFonts w:hint="eastAsia"/>
        </w:rPr>
        <w:t>人或</w:t>
      </w:r>
      <w:r>
        <w:rPr>
          <w:rFonts w:hint="eastAsia"/>
          <w:lang w:eastAsia="zh-CN"/>
        </w:rPr>
        <w:t>招标</w:t>
      </w:r>
      <w:r>
        <w:rPr>
          <w:rFonts w:hint="eastAsia"/>
        </w:rPr>
        <w:t>代理机构认为适当时</w:t>
      </w:r>
      <w:r>
        <w:rPr>
          <w:rFonts w:hint="eastAsia"/>
          <w:lang w:eastAsia="zh-CN"/>
        </w:rPr>
        <w:t>或</w:t>
      </w:r>
      <w:r>
        <w:rPr>
          <w:rFonts w:hint="eastAsia"/>
        </w:rPr>
        <w:t>国家机关调查、审查、审计时以及其他符合法律规定的情形下，</w:t>
      </w:r>
      <w:r>
        <w:rPr>
          <w:rFonts w:hint="eastAsia"/>
          <w:lang w:eastAsia="zh-CN"/>
        </w:rPr>
        <w:t>招标</w:t>
      </w:r>
      <w:r>
        <w:rPr>
          <w:rFonts w:hint="eastAsia"/>
        </w:rPr>
        <w:t>人或</w:t>
      </w:r>
      <w:r>
        <w:rPr>
          <w:rFonts w:hint="eastAsia"/>
          <w:lang w:eastAsia="zh-CN"/>
        </w:rPr>
        <w:t>招标</w:t>
      </w:r>
      <w:r>
        <w:rPr>
          <w:rFonts w:hint="eastAsia"/>
        </w:rPr>
        <w:t>代理机构无须事先征求</w:t>
      </w:r>
      <w:r>
        <w:rPr>
          <w:rFonts w:hint="eastAsia"/>
          <w:lang w:eastAsia="zh-CN"/>
        </w:rPr>
        <w:t>投标人</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lang w:eastAsia="zh-CN"/>
        </w:rPr>
        <w:t>投标人</w:t>
      </w:r>
      <w:r>
        <w:rPr>
          <w:rFonts w:hint="eastAsia"/>
        </w:rPr>
        <w:t>已经泄露或公开的，无须再承担保密责任。</w:t>
      </w:r>
    </w:p>
    <w:p w14:paraId="64DEB94B">
      <w:pPr>
        <w:pStyle w:val="34"/>
        <w:ind w:firstLine="480"/>
      </w:pPr>
      <w:r>
        <w:rPr>
          <w:rFonts w:hint="eastAsia"/>
        </w:rPr>
        <w:t xml:space="preserve"> </w:t>
      </w:r>
    </w:p>
    <w:p w14:paraId="168D9D65">
      <w:pPr>
        <w:pStyle w:val="36"/>
      </w:pPr>
      <w:bookmarkStart w:id="40" w:name="_Toc233618973"/>
      <w:bookmarkEnd w:id="40"/>
      <w:bookmarkStart w:id="41" w:name="_Toc23595"/>
      <w:bookmarkStart w:id="42" w:name="_Toc464483846"/>
      <w:bookmarkStart w:id="43" w:name="_Toc22678"/>
      <w:bookmarkStart w:id="44" w:name="_Toc19165"/>
      <w:bookmarkStart w:id="45" w:name="_Toc23856"/>
      <w:bookmarkStart w:id="46" w:name="_Toc16139"/>
      <w:r>
        <w:rPr>
          <w:rFonts w:hint="eastAsia"/>
        </w:rPr>
        <w:t>招标文件</w:t>
      </w:r>
      <w:bookmarkEnd w:id="41"/>
      <w:bookmarkEnd w:id="42"/>
      <w:bookmarkEnd w:id="43"/>
      <w:bookmarkEnd w:id="44"/>
      <w:bookmarkEnd w:id="45"/>
      <w:bookmarkEnd w:id="46"/>
    </w:p>
    <w:p w14:paraId="71B98B89">
      <w:pPr>
        <w:pStyle w:val="37"/>
      </w:pPr>
      <w:bookmarkStart w:id="47" w:name="_Toc91899880"/>
      <w:bookmarkEnd w:id="47"/>
      <w:bookmarkStart w:id="48" w:name="_Hlt74730307"/>
      <w:r>
        <w:rPr>
          <w:rFonts w:hint="eastAsia"/>
        </w:rPr>
        <w:t>招标文件的</w:t>
      </w:r>
      <w:bookmarkEnd w:id="48"/>
      <w:r>
        <w:rPr>
          <w:rFonts w:hint="eastAsia"/>
        </w:rPr>
        <w:t>组成</w:t>
      </w:r>
    </w:p>
    <w:p w14:paraId="01EAB752">
      <w:pPr>
        <w:pStyle w:val="34"/>
        <w:ind w:firstLine="480"/>
        <w:rPr>
          <w:lang w:eastAsia="zh-CN"/>
        </w:rPr>
      </w:pPr>
      <w:r>
        <w:rPr>
          <w:rFonts w:hint="eastAsia"/>
        </w:rPr>
        <w:t>招标文件包括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1704B662">
      <w:pPr>
        <w:pStyle w:val="37"/>
      </w:pPr>
      <w:r>
        <w:rPr>
          <w:rFonts w:hint="eastAsia"/>
        </w:rPr>
        <w:t>招标文件的解释</w:t>
      </w:r>
    </w:p>
    <w:p w14:paraId="4759238A">
      <w:pPr>
        <w:pStyle w:val="44"/>
        <w:numPr>
          <w:ilvl w:val="0"/>
          <w:numId w:val="22"/>
        </w:numPr>
        <w:bidi w:val="0"/>
        <w:rPr>
          <w:color w:val="auto"/>
        </w:rPr>
      </w:pPr>
      <w:r>
        <w:rPr>
          <w:rFonts w:hint="eastAsia"/>
          <w:color w:val="auto"/>
        </w:rPr>
        <w:t>构成本招标文件的各个组成文件应互为解释，互为说明；如有不明确或不一致，除招标文件中另有特别规定外，仅适用于招标投标阶段的规定，按招标公告（投标邀请）、投标人须知前附表、投标人须知、货物技术规格参数与要求、评标办法、合同条款、投标文件格式的先后顺序解释；同一组成文件中就同一事项规定或约定不一致的，以编排顺序在后者为准；同一组成文件不同版本之间有不一致的，以形成时间后者为准。</w:t>
      </w:r>
    </w:p>
    <w:p w14:paraId="666BD72C">
      <w:pPr>
        <w:pStyle w:val="44"/>
        <w:numPr>
          <w:ilvl w:val="0"/>
          <w:numId w:val="22"/>
        </w:numPr>
        <w:bidi w:val="0"/>
      </w:pPr>
      <w:r>
        <w:t>供应商一旦参与本次招标活动，即被视为接受了本招标文件的所有内容，如有任何异议，均应在答疑截止时间前提出。</w:t>
      </w:r>
    </w:p>
    <w:p w14:paraId="493D3E15">
      <w:pPr>
        <w:pStyle w:val="44"/>
        <w:numPr>
          <w:ilvl w:val="0"/>
          <w:numId w:val="22"/>
        </w:numPr>
        <w:bidi w:val="0"/>
      </w:pPr>
      <w:r>
        <w:t>招标文件澄清、答复、修改、补充等书面内容均作为招标文件的补充文件，是招标文件的组成部分，将以传真、网上公告、电子邮件等形式书面告知所有购买招标文件的供应商，并对所有投标人均有约束力。当招标文件与补充文件就同一内容的表述不一致时，以最后发出的书面文件为准。</w:t>
      </w:r>
    </w:p>
    <w:p w14:paraId="22FC90C8">
      <w:pPr>
        <w:pStyle w:val="44"/>
        <w:numPr>
          <w:ilvl w:val="0"/>
          <w:numId w:val="22"/>
        </w:numPr>
        <w:bidi w:val="0"/>
      </w:pPr>
      <w:r>
        <w:t>招标文件的解释权归招标人、招标代理机构所有。</w:t>
      </w:r>
    </w:p>
    <w:p w14:paraId="7141647C">
      <w:pPr>
        <w:pStyle w:val="37"/>
      </w:pPr>
      <w:r>
        <w:rPr>
          <w:rFonts w:hint="eastAsia"/>
        </w:rPr>
        <w:t>招标文件的修改</w:t>
      </w:r>
    </w:p>
    <w:p w14:paraId="0462CD7B">
      <w:pPr>
        <w:pStyle w:val="44"/>
        <w:numPr>
          <w:ilvl w:val="0"/>
          <w:numId w:val="23"/>
        </w:numPr>
        <w:bidi w:val="0"/>
      </w:pPr>
      <w:r>
        <w:t>由于各种原因招标人可能在投标截止时间前以澄清、答复、修改、补充文件的形式修改完善招标文件。</w:t>
      </w:r>
    </w:p>
    <w:p w14:paraId="449F6C2E">
      <w:pPr>
        <w:pStyle w:val="44"/>
        <w:numPr>
          <w:ilvl w:val="0"/>
          <w:numId w:val="23"/>
        </w:numPr>
        <w:bidi w:val="0"/>
      </w:pPr>
      <w:r>
        <w:t>澄清、答复、修改、补充文件发出后，除法律法规规定的情形外原则上不改变招标文件规定的投标截止时间及开标时间。供应商如认为澄清、答复、修改、补充文件内容影响投标文件编制，需延长投标截止时间的，必须在收到澄清、答复、修改、补充文件后 24 小时内将意见和理由以书面形式向招标代理机构提出，否则，招标代理机构视供应商完全接受并有足够的时间编制投标文件且按规定时间进行投标。</w:t>
      </w:r>
    </w:p>
    <w:p w14:paraId="543B141C">
      <w:pPr>
        <w:pStyle w:val="44"/>
        <w:numPr>
          <w:ilvl w:val="0"/>
          <w:numId w:val="23"/>
        </w:numPr>
        <w:bidi w:val="0"/>
      </w:pPr>
      <w:r>
        <w:t>供应商在收到澄清、答复、修改、补充文件后，应在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12065347">
      <w:pPr>
        <w:pStyle w:val="34"/>
        <w:ind w:firstLine="480"/>
      </w:pPr>
    </w:p>
    <w:p w14:paraId="6B5F7D30">
      <w:pPr>
        <w:pStyle w:val="36"/>
      </w:pPr>
      <w:bookmarkStart w:id="49" w:name="_Toc91899884"/>
      <w:bookmarkEnd w:id="49"/>
      <w:bookmarkStart w:id="50" w:name="_Toc464483847"/>
      <w:bookmarkEnd w:id="50"/>
      <w:bookmarkStart w:id="51" w:name="_Toc233618974"/>
      <w:bookmarkStart w:id="52" w:name="_Toc19697"/>
      <w:bookmarkStart w:id="53" w:name="_Toc22516"/>
      <w:bookmarkStart w:id="54" w:name="_Toc26964"/>
      <w:bookmarkStart w:id="55" w:name="_Toc12621"/>
      <w:bookmarkStart w:id="56" w:name="_Toc16331"/>
      <w:r>
        <w:rPr>
          <w:rFonts w:hint="eastAsia"/>
        </w:rPr>
        <w:t>投标文件</w:t>
      </w:r>
      <w:bookmarkEnd w:id="51"/>
      <w:bookmarkEnd w:id="52"/>
      <w:bookmarkEnd w:id="53"/>
      <w:bookmarkEnd w:id="54"/>
      <w:bookmarkEnd w:id="55"/>
      <w:bookmarkEnd w:id="56"/>
    </w:p>
    <w:p w14:paraId="64686B9E">
      <w:pPr>
        <w:pStyle w:val="37"/>
      </w:pPr>
      <w:r>
        <w:rPr>
          <w:rFonts w:hint="eastAsia"/>
        </w:rPr>
        <w:t>投标文件的组成</w:t>
      </w:r>
    </w:p>
    <w:p w14:paraId="1B9B9BF8">
      <w:pPr>
        <w:pStyle w:val="34"/>
        <w:ind w:firstLine="480"/>
        <w:rPr>
          <w:highlight w:val="none"/>
        </w:rPr>
      </w:pPr>
      <w:r>
        <w:rPr>
          <w:rFonts w:hint="eastAsia"/>
          <w:highlight w:val="none"/>
          <w:lang w:eastAsia="zh-CN"/>
        </w:rPr>
        <w:t>投标文件包括资格文件、商务技术文件和报价文件，包含但不限于以下内容：</w:t>
      </w:r>
    </w:p>
    <w:p w14:paraId="626AF7CE">
      <w:pPr>
        <w:pStyle w:val="33"/>
        <w:ind w:firstLine="482"/>
        <w:rPr>
          <w:highlight w:val="none"/>
        </w:rPr>
      </w:pPr>
      <w:r>
        <w:rPr>
          <w:rFonts w:hint="eastAsia"/>
          <w:highlight w:val="none"/>
        </w:rPr>
        <w:t>资格文件</w:t>
      </w:r>
    </w:p>
    <w:p w14:paraId="7991330B">
      <w:pPr>
        <w:pStyle w:val="44"/>
        <w:numPr>
          <w:ilvl w:val="0"/>
          <w:numId w:val="24"/>
        </w:numPr>
        <w:bidi w:val="0"/>
        <w:rPr>
          <w:highlight w:val="none"/>
        </w:rPr>
      </w:pPr>
      <w:r>
        <w:rPr>
          <w:rFonts w:hint="eastAsia"/>
          <w:highlight w:val="none"/>
        </w:rPr>
        <w:t xml:space="preserve">符合参加政府采购活动应当具备的一般条件的承诺函（见“第六章 投标文件部分格式文本 </w:t>
      </w:r>
      <w:r>
        <w:rPr>
          <w:rFonts w:hint="eastAsia"/>
          <w:highlight w:val="none"/>
          <w:lang w:val="en-US" w:eastAsia="zh-Hans"/>
        </w:rPr>
        <w:t>二</w:t>
      </w:r>
      <w:r>
        <w:rPr>
          <w:rFonts w:hint="eastAsia"/>
          <w:highlight w:val="none"/>
        </w:rPr>
        <w:t>、”）；</w:t>
      </w:r>
    </w:p>
    <w:p w14:paraId="481C9BC9">
      <w:pPr>
        <w:pStyle w:val="44"/>
        <w:numPr>
          <w:ilvl w:val="0"/>
          <w:numId w:val="24"/>
        </w:numPr>
        <w:bidi w:val="0"/>
        <w:rPr>
          <w:highlight w:val="none"/>
        </w:rPr>
      </w:pPr>
      <w:r>
        <w:rPr>
          <w:rFonts w:hint="eastAsia"/>
          <w:highlight w:val="none"/>
        </w:rPr>
        <w:t>营业执照</w:t>
      </w:r>
      <w:r>
        <w:rPr>
          <w:highlight w:val="none"/>
        </w:rPr>
        <w:t>（或事业单位法人证书或执业许可证或自然人有效身份证明）</w:t>
      </w:r>
      <w:r>
        <w:rPr>
          <w:rFonts w:hint="eastAsia"/>
          <w:highlight w:val="none"/>
          <w:lang w:val="en-US" w:eastAsia="zh-Hans"/>
        </w:rPr>
        <w:t>复制件</w:t>
      </w:r>
      <w:r>
        <w:rPr>
          <w:rFonts w:hint="eastAsia"/>
          <w:highlight w:val="none"/>
        </w:rPr>
        <w:t>；</w:t>
      </w:r>
    </w:p>
    <w:p w14:paraId="3AAD35E5">
      <w:pPr>
        <w:pStyle w:val="44"/>
        <w:numPr>
          <w:ilvl w:val="0"/>
          <w:numId w:val="24"/>
        </w:numPr>
        <w:bidi w:val="0"/>
        <w:rPr>
          <w:highlight w:val="none"/>
        </w:rPr>
      </w:pPr>
      <w:r>
        <w:rPr>
          <w:rFonts w:hint="eastAsia"/>
          <w:highlight w:val="none"/>
        </w:rPr>
        <w:t xml:space="preserve">联合协议（见“第六章 投标文件部分格式文本 </w:t>
      </w:r>
      <w:r>
        <w:rPr>
          <w:rFonts w:hint="eastAsia"/>
          <w:highlight w:val="none"/>
          <w:lang w:val="en-US" w:eastAsia="zh-Hans"/>
        </w:rPr>
        <w:t>七</w:t>
      </w:r>
      <w:r>
        <w:rPr>
          <w:rFonts w:hint="eastAsia"/>
          <w:highlight w:val="none"/>
        </w:rPr>
        <w:t>、”，</w:t>
      </w:r>
      <w:r>
        <w:rPr>
          <w:highlight w:val="none"/>
        </w:rPr>
        <w:t>本项目不接受联合体投标或者投标人不以联合体形式投标的，则</w:t>
      </w:r>
      <w:r>
        <w:rPr>
          <w:rFonts w:hint="eastAsia"/>
          <w:highlight w:val="none"/>
        </w:rPr>
        <w:t>本项内容无需</w:t>
      </w:r>
      <w:r>
        <w:rPr>
          <w:highlight w:val="none"/>
        </w:rPr>
        <w:t>提供</w:t>
      </w:r>
      <w:r>
        <w:rPr>
          <w:rFonts w:hint="eastAsia"/>
          <w:highlight w:val="none"/>
        </w:rPr>
        <w:t>）；</w:t>
      </w:r>
    </w:p>
    <w:p w14:paraId="71608309">
      <w:pPr>
        <w:pStyle w:val="44"/>
        <w:numPr>
          <w:ilvl w:val="0"/>
          <w:numId w:val="24"/>
        </w:numPr>
        <w:bidi w:val="0"/>
        <w:rPr>
          <w:highlight w:val="none"/>
        </w:rPr>
      </w:pPr>
      <w:r>
        <w:rPr>
          <w:rFonts w:hint="eastAsia"/>
          <w:highlight w:val="none"/>
        </w:rPr>
        <w:t xml:space="preserve">根据招标公告落实政府采购政策需满足的资格要求选择提供相应的材料（见“第六章 投标文件部分格式文本 </w:t>
      </w:r>
      <w:r>
        <w:rPr>
          <w:rFonts w:hint="eastAsia"/>
          <w:highlight w:val="none"/>
          <w:lang w:val="en-US" w:eastAsia="zh-Hans"/>
        </w:rPr>
        <w:t>七</w:t>
      </w:r>
      <w:r>
        <w:rPr>
          <w:rFonts w:hint="eastAsia"/>
          <w:highlight w:val="none"/>
        </w:rPr>
        <w:t>、</w:t>
      </w:r>
      <w:r>
        <w:rPr>
          <w:rFonts w:hint="eastAsia"/>
          <w:highlight w:val="none"/>
          <w:lang w:val="en-US" w:eastAsia="zh-Hans"/>
        </w:rPr>
        <w:t>八</w:t>
      </w:r>
      <w:r>
        <w:rPr>
          <w:rFonts w:hint="eastAsia"/>
          <w:highlight w:val="none"/>
        </w:rPr>
        <w:t>、十</w:t>
      </w:r>
      <w:r>
        <w:rPr>
          <w:rFonts w:hint="eastAsia"/>
          <w:highlight w:val="none"/>
          <w:lang w:val="en-US" w:eastAsia="zh-Hans"/>
        </w:rPr>
        <w:t>一</w:t>
      </w:r>
      <w:r>
        <w:rPr>
          <w:rFonts w:hint="eastAsia"/>
          <w:highlight w:val="none"/>
        </w:rPr>
        <w:t>、十</w:t>
      </w:r>
      <w:r>
        <w:rPr>
          <w:rFonts w:hint="eastAsia"/>
          <w:highlight w:val="none"/>
          <w:lang w:val="en-US" w:eastAsia="zh-Hans"/>
        </w:rPr>
        <w:t>二</w:t>
      </w:r>
      <w:r>
        <w:rPr>
          <w:rFonts w:hint="eastAsia"/>
          <w:highlight w:val="none"/>
        </w:rPr>
        <w:t>”），其中</w:t>
      </w:r>
    </w:p>
    <w:p w14:paraId="6C071EDF">
      <w:pPr>
        <w:pStyle w:val="46"/>
        <w:ind w:firstLine="480"/>
        <w:rPr>
          <w:highlight w:val="none"/>
        </w:rPr>
      </w:pPr>
      <w:r>
        <w:rPr>
          <w:rFonts w:hint="eastAsia"/>
          <w:highlight w:val="none"/>
        </w:rPr>
        <w:t>项目专门面向中小企业的，</w:t>
      </w:r>
      <w:r>
        <w:rPr>
          <w:rFonts w:hint="eastAsia"/>
          <w:highlight w:val="none"/>
          <w:lang w:val="en-US" w:eastAsia="zh-CN"/>
        </w:rPr>
        <w:t>服务</w:t>
      </w:r>
      <w:r>
        <w:rPr>
          <w:rFonts w:hint="eastAsia"/>
          <w:highlight w:val="none"/>
        </w:rPr>
        <w:t>全部由符合政策要求的中小企业（或小微企业）</w:t>
      </w:r>
      <w:r>
        <w:rPr>
          <w:rFonts w:hint="eastAsia"/>
          <w:highlight w:val="none"/>
          <w:lang w:val="en-US" w:eastAsia="zh-CN"/>
        </w:rPr>
        <w:t>承接</w:t>
      </w:r>
      <w:r>
        <w:rPr>
          <w:rFonts w:hint="eastAsia"/>
          <w:highlight w:val="none"/>
        </w:rPr>
        <w:t xml:space="preserve">的，提供相应的中小企业声明函（或残疾人福利性企业声明函或监狱企业证明文件）； </w:t>
      </w:r>
    </w:p>
    <w:p w14:paraId="535A9D8E">
      <w:pPr>
        <w:pStyle w:val="46"/>
        <w:ind w:firstLine="480"/>
        <w:rPr>
          <w:highlight w:val="none"/>
        </w:rPr>
      </w:pPr>
      <w:r>
        <w:rPr>
          <w:rFonts w:hint="eastAsia"/>
          <w:highlight w:val="none"/>
        </w:rPr>
        <w:t>项目要求以联合体形式参加的，提供联合协议和中小企业声明函（或残疾人福利性企业声明函或监狱企业证明文件），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7BE4B271">
      <w:pPr>
        <w:pStyle w:val="46"/>
        <w:ind w:firstLine="480"/>
        <w:rPr>
          <w:highlight w:val="none"/>
        </w:rPr>
      </w:pPr>
      <w:r>
        <w:rPr>
          <w:rFonts w:hint="eastAsia"/>
          <w:highlight w:val="none"/>
        </w:rPr>
        <w:t>项目要求合同分包的，提供分包意向协议和中小企业声明函（或残疾人福利性企业声明函或监狱企业证明文件），分包意向协议中中小企业合同金额应当达到招标公告载明的比例；如果供应商本身提供所有标的均由中小企业制造的，视同符合了资格条件，无需再向中小企业分包，无需提供分包意向协议；</w:t>
      </w:r>
    </w:p>
    <w:p w14:paraId="5742F9C8">
      <w:pPr>
        <w:pStyle w:val="46"/>
        <w:ind w:firstLine="480"/>
        <w:rPr>
          <w:rFonts w:ascii="Times New Roman" w:hAnsi="Times New Roman"/>
          <w:sz w:val="21"/>
          <w:highlight w:val="none"/>
        </w:rPr>
      </w:pPr>
      <w:r>
        <w:rPr>
          <w:rFonts w:hint="eastAsia"/>
          <w:highlight w:val="none"/>
        </w:rPr>
        <w:t>项目无落实政府采购政策需满足的资格要求的，则本项内容无需提供。</w:t>
      </w:r>
    </w:p>
    <w:p w14:paraId="09A39F77">
      <w:pPr>
        <w:pStyle w:val="44"/>
        <w:bidi w:val="0"/>
        <w:rPr>
          <w:highlight w:val="none"/>
        </w:rPr>
      </w:pPr>
      <w:r>
        <w:rPr>
          <w:rFonts w:hint="eastAsia"/>
          <w:highlight w:val="none"/>
        </w:rPr>
        <w:t>本项目的特定资格要求</w:t>
      </w:r>
      <w:r>
        <w:rPr>
          <w:rFonts w:hint="eastAsia"/>
          <w:highlight w:val="none"/>
          <w:lang w:eastAsia="zh-Hans"/>
        </w:rPr>
        <w:t>（</w:t>
      </w:r>
      <w:r>
        <w:rPr>
          <w:rFonts w:hint="eastAsia"/>
          <w:highlight w:val="none"/>
        </w:rPr>
        <w:t>根据招标公告本项目的特定资格要求提供相应的证明材料；项目无特定资格要求的，则本项内容无需提供</w:t>
      </w:r>
      <w:r>
        <w:rPr>
          <w:rFonts w:hint="eastAsia"/>
          <w:highlight w:val="none"/>
          <w:lang w:eastAsia="zh-Hans"/>
        </w:rPr>
        <w:t>）</w:t>
      </w:r>
      <w:r>
        <w:rPr>
          <w:rFonts w:hint="eastAsia"/>
          <w:highlight w:val="none"/>
        </w:rPr>
        <w:t>。</w:t>
      </w:r>
    </w:p>
    <w:p w14:paraId="7002FCCE">
      <w:pPr>
        <w:pStyle w:val="33"/>
        <w:ind w:firstLine="482"/>
        <w:rPr>
          <w:highlight w:val="none"/>
        </w:rPr>
      </w:pPr>
      <w:r>
        <w:rPr>
          <w:highlight w:val="none"/>
        </w:rPr>
        <w:t>商务技术文件</w:t>
      </w:r>
    </w:p>
    <w:p w14:paraId="1D9AFC0B">
      <w:pPr>
        <w:pStyle w:val="44"/>
        <w:numPr>
          <w:ilvl w:val="0"/>
          <w:numId w:val="25"/>
        </w:numPr>
        <w:ind w:firstLine="480"/>
        <w:rPr>
          <w:highlight w:val="none"/>
        </w:rPr>
      </w:pPr>
      <w:r>
        <w:rPr>
          <w:highlight w:val="none"/>
        </w:rPr>
        <w:t>投标函</w:t>
      </w:r>
      <w:r>
        <w:rPr>
          <w:rFonts w:hint="eastAsia"/>
          <w:highlight w:val="none"/>
        </w:rPr>
        <w:t>（见“第六章 投标文件部分格式文本 三、”）</w:t>
      </w:r>
      <w:r>
        <w:rPr>
          <w:highlight w:val="none"/>
        </w:rPr>
        <w:t xml:space="preserve">； </w:t>
      </w:r>
    </w:p>
    <w:p w14:paraId="589D8331">
      <w:pPr>
        <w:pStyle w:val="44"/>
        <w:numPr>
          <w:ilvl w:val="0"/>
          <w:numId w:val="25"/>
        </w:numPr>
        <w:ind w:firstLine="480"/>
        <w:rPr>
          <w:highlight w:val="none"/>
        </w:rPr>
      </w:pPr>
      <w:r>
        <w:rPr>
          <w:highlight w:val="none"/>
        </w:rPr>
        <w:t>政府采购供应商廉洁自律承诺书</w:t>
      </w:r>
      <w:r>
        <w:rPr>
          <w:rFonts w:hint="eastAsia"/>
          <w:highlight w:val="none"/>
        </w:rPr>
        <w:t xml:space="preserve">（见“第六章 投标文件部分格式文本 </w:t>
      </w:r>
      <w:r>
        <w:rPr>
          <w:rFonts w:hint="eastAsia"/>
          <w:highlight w:val="none"/>
          <w:lang w:val="en-US" w:eastAsia="zh-Hans"/>
        </w:rPr>
        <w:t>四</w:t>
      </w:r>
      <w:r>
        <w:rPr>
          <w:rFonts w:hint="eastAsia"/>
          <w:highlight w:val="none"/>
        </w:rPr>
        <w:t>、”）</w:t>
      </w:r>
      <w:r>
        <w:rPr>
          <w:highlight w:val="none"/>
        </w:rPr>
        <w:t>；</w:t>
      </w:r>
    </w:p>
    <w:p w14:paraId="02293E75">
      <w:pPr>
        <w:pStyle w:val="44"/>
        <w:numPr>
          <w:ilvl w:val="0"/>
          <w:numId w:val="25"/>
        </w:numPr>
        <w:ind w:firstLine="480"/>
        <w:rPr>
          <w:highlight w:val="none"/>
        </w:rPr>
      </w:pPr>
      <w:r>
        <w:rPr>
          <w:highlight w:val="none"/>
        </w:rPr>
        <w:t>法定代表人（单位负责人、自然人本人）身份证明</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五</w:t>
      </w:r>
      <w:r>
        <w:rPr>
          <w:rFonts w:hint="eastAsia"/>
          <w:highlight w:val="none"/>
        </w:rPr>
        <w:t>、”）或包含法定代表人、授权代表人身份证明的</w:t>
      </w:r>
      <w:r>
        <w:rPr>
          <w:highlight w:val="none"/>
        </w:rPr>
        <w:t>授权委托书</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六</w:t>
      </w:r>
      <w:r>
        <w:rPr>
          <w:rFonts w:hint="eastAsia"/>
          <w:highlight w:val="none"/>
        </w:rPr>
        <w:t>、”）</w:t>
      </w:r>
      <w:r>
        <w:rPr>
          <w:highlight w:val="none"/>
        </w:rPr>
        <w:t>；</w:t>
      </w:r>
    </w:p>
    <w:p w14:paraId="6C5CE030">
      <w:pPr>
        <w:pStyle w:val="44"/>
        <w:numPr>
          <w:ilvl w:val="0"/>
          <w:numId w:val="25"/>
        </w:numPr>
        <w:ind w:firstLine="480"/>
        <w:rPr>
          <w:highlight w:val="none"/>
        </w:rPr>
      </w:pPr>
      <w:r>
        <w:rPr>
          <w:highlight w:val="none"/>
        </w:rPr>
        <w:t>商务</w:t>
      </w:r>
      <w:r>
        <w:rPr>
          <w:rFonts w:hint="eastAsia"/>
          <w:highlight w:val="none"/>
        </w:rPr>
        <w:t>及</w:t>
      </w:r>
      <w:r>
        <w:rPr>
          <w:highlight w:val="none"/>
        </w:rPr>
        <w:t>技术偏离表</w:t>
      </w:r>
      <w:r>
        <w:rPr>
          <w:rFonts w:hint="eastAsia"/>
          <w:highlight w:val="none"/>
        </w:rPr>
        <w:t>（见“第六章 投标文件部分格式文本 十</w:t>
      </w:r>
      <w:r>
        <w:rPr>
          <w:rFonts w:hint="eastAsia"/>
          <w:highlight w:val="none"/>
          <w:lang w:val="en-US" w:eastAsia="zh-Hans"/>
        </w:rPr>
        <w:t>三</w:t>
      </w:r>
      <w:r>
        <w:rPr>
          <w:rFonts w:hint="eastAsia"/>
          <w:highlight w:val="none"/>
        </w:rPr>
        <w:t>、”如有偏离均应编制偏离表，如不填写，招标人有权视作投标文件完全响应招标文件要求）</w:t>
      </w:r>
      <w:r>
        <w:rPr>
          <w:highlight w:val="none"/>
        </w:rPr>
        <w:t>；</w:t>
      </w:r>
    </w:p>
    <w:p w14:paraId="2C105BEF">
      <w:pPr>
        <w:pStyle w:val="44"/>
        <w:numPr>
          <w:ilvl w:val="0"/>
          <w:numId w:val="25"/>
        </w:numPr>
        <w:ind w:firstLine="480"/>
        <w:rPr>
          <w:highlight w:val="none"/>
        </w:rPr>
      </w:pPr>
      <w:r>
        <w:rPr>
          <w:rFonts w:hint="eastAsia"/>
          <w:highlight w:val="none"/>
          <w:lang w:eastAsia="zh-CN"/>
        </w:rPr>
        <w:t>评分标准</w:t>
      </w:r>
      <w:r>
        <w:rPr>
          <w:highlight w:val="none"/>
        </w:rPr>
        <w:t>相应的商务技术资料</w:t>
      </w:r>
      <w:r>
        <w:rPr>
          <w:rFonts w:hint="eastAsia"/>
          <w:highlight w:val="none"/>
        </w:rPr>
        <w:t>，其中：</w:t>
      </w:r>
    </w:p>
    <w:p w14:paraId="17CD22E4">
      <w:pPr>
        <w:pStyle w:val="46"/>
        <w:ind w:firstLine="480"/>
        <w:rPr>
          <w:highlight w:val="none"/>
        </w:rPr>
      </w:pPr>
      <w:r>
        <w:rPr>
          <w:rFonts w:hint="eastAsia"/>
          <w:highlight w:val="none"/>
        </w:rPr>
        <w:t>涉及以往业绩证明的应当在业绩证明材料前附</w:t>
      </w:r>
      <w:r>
        <w:rPr>
          <w:rFonts w:hint="eastAsia"/>
          <w:highlight w:val="none"/>
          <w:lang w:eastAsia="zh-Hans"/>
        </w:rPr>
        <w:t>《……</w:t>
      </w:r>
      <w:r>
        <w:rPr>
          <w:rFonts w:hint="eastAsia"/>
          <w:highlight w:val="none"/>
        </w:rPr>
        <w:t>业绩汇总表</w:t>
      </w:r>
      <w:r>
        <w:rPr>
          <w:rFonts w:hint="eastAsia"/>
          <w:highlight w:val="none"/>
          <w:lang w:eastAsia="zh-Hans"/>
        </w:rPr>
        <w:t>》</w:t>
      </w:r>
      <w:r>
        <w:rPr>
          <w:rFonts w:hint="eastAsia"/>
          <w:highlight w:val="none"/>
        </w:rPr>
        <w:t>（</w:t>
      </w:r>
      <w:r>
        <w:rPr>
          <w:rFonts w:hint="eastAsia"/>
          <w:highlight w:val="none"/>
          <w:lang w:val="en-US" w:eastAsia="zh-Hans"/>
        </w:rPr>
        <w:t>格式自拟</w:t>
      </w:r>
      <w:r>
        <w:rPr>
          <w:rFonts w:hint="eastAsia"/>
          <w:highlight w:val="none"/>
        </w:rPr>
        <w:t>），</w:t>
      </w:r>
      <w:r>
        <w:rPr>
          <w:rFonts w:hint="eastAsia"/>
          <w:highlight w:val="none"/>
          <w:lang w:val="en-US" w:eastAsia="zh-Hans"/>
        </w:rPr>
        <w:t>内容</w:t>
      </w:r>
      <w:r>
        <w:rPr>
          <w:rFonts w:hint="eastAsia"/>
          <w:highlight w:val="none"/>
        </w:rPr>
        <w:t>至少包括</w:t>
      </w:r>
      <w:r>
        <w:rPr>
          <w:rFonts w:hint="eastAsia"/>
          <w:highlight w:val="none"/>
          <w:lang w:val="en-US" w:eastAsia="zh-Hans"/>
        </w:rPr>
        <w:t>项目名称、合同签订时间、合同金额、合同甲方联系方式等对应评审所需信息；</w:t>
      </w:r>
    </w:p>
    <w:p w14:paraId="3B168844">
      <w:pPr>
        <w:pStyle w:val="46"/>
        <w:ind w:firstLine="480"/>
        <w:rPr>
          <w:highlight w:val="none"/>
        </w:rPr>
      </w:pPr>
      <w:r>
        <w:rPr>
          <w:rFonts w:hint="eastAsia"/>
          <w:highlight w:val="none"/>
        </w:rPr>
        <w:t>涉及服务团队人员证明</w:t>
      </w:r>
      <w:r>
        <w:rPr>
          <w:rFonts w:hint="eastAsia"/>
          <w:highlight w:val="none"/>
          <w:lang w:val="en-US" w:eastAsia="zh-Hans"/>
        </w:rPr>
        <w:t>的</w:t>
      </w:r>
      <w:r>
        <w:rPr>
          <w:rFonts w:hint="eastAsia"/>
          <w:highlight w:val="none"/>
        </w:rPr>
        <w:t>应当在人员证明材料前附</w:t>
      </w:r>
      <w:r>
        <w:rPr>
          <w:rFonts w:hint="eastAsia"/>
          <w:highlight w:val="none"/>
          <w:lang w:eastAsia="zh-Hans"/>
        </w:rPr>
        <w:t>《</w:t>
      </w:r>
      <w:r>
        <w:rPr>
          <w:rFonts w:hint="eastAsia"/>
          <w:highlight w:val="none"/>
          <w:lang w:val="en-US" w:eastAsia="zh-Hans"/>
        </w:rPr>
        <w:t>服务团队人员汇总表》格式自拟</w:t>
      </w:r>
      <w:r>
        <w:rPr>
          <w:rFonts w:hint="eastAsia"/>
          <w:highlight w:val="none"/>
        </w:rPr>
        <w:t>）</w:t>
      </w:r>
      <w:r>
        <w:rPr>
          <w:rFonts w:hint="eastAsia"/>
          <w:highlight w:val="none"/>
          <w:lang w:eastAsia="zh-Hans"/>
        </w:rPr>
        <w:t>，</w:t>
      </w:r>
      <w:r>
        <w:rPr>
          <w:rFonts w:hint="eastAsia"/>
          <w:highlight w:val="none"/>
          <w:lang w:val="en-US" w:eastAsia="zh-Hans"/>
        </w:rPr>
        <w:t>内容至少包括姓名、年龄、职称</w:t>
      </w:r>
      <w:r>
        <w:rPr>
          <w:rFonts w:hint="default"/>
          <w:highlight w:val="none"/>
          <w:lang w:eastAsia="zh-Hans"/>
        </w:rPr>
        <w:t>/</w:t>
      </w:r>
      <w:r>
        <w:rPr>
          <w:rFonts w:hint="eastAsia"/>
          <w:highlight w:val="none"/>
          <w:lang w:val="en-US" w:eastAsia="zh-Hans"/>
        </w:rPr>
        <w:t>职务、学历</w:t>
      </w:r>
      <w:r>
        <w:rPr>
          <w:rFonts w:hint="default"/>
          <w:highlight w:val="none"/>
          <w:lang w:eastAsia="zh-Hans"/>
        </w:rPr>
        <w:t>/</w:t>
      </w:r>
      <w:r>
        <w:rPr>
          <w:rFonts w:hint="eastAsia"/>
          <w:highlight w:val="none"/>
          <w:lang w:val="en-US" w:eastAsia="zh-Hans"/>
        </w:rPr>
        <w:t>资格、本项目中拟担任职务等对应评审所需信息。</w:t>
      </w:r>
    </w:p>
    <w:p w14:paraId="02297591">
      <w:pPr>
        <w:pStyle w:val="44"/>
        <w:numPr>
          <w:ilvl w:val="0"/>
          <w:numId w:val="25"/>
        </w:numPr>
        <w:ind w:firstLine="480"/>
        <w:rPr>
          <w:highlight w:val="none"/>
        </w:rPr>
      </w:pPr>
      <w:r>
        <w:rPr>
          <w:rFonts w:hint="eastAsia"/>
          <w:highlight w:val="none"/>
        </w:rPr>
        <w:t>其他商务技术文件或说明（如拟分包情况等其他投标人认为有必要需要说明的商务技术文件。如无，则本项内容无需提供）。</w:t>
      </w:r>
    </w:p>
    <w:p w14:paraId="626DFCCD">
      <w:pPr>
        <w:pStyle w:val="33"/>
        <w:ind w:firstLine="482"/>
        <w:rPr>
          <w:highlight w:val="none"/>
        </w:rPr>
      </w:pPr>
      <w:r>
        <w:rPr>
          <w:highlight w:val="none"/>
        </w:rPr>
        <w:t xml:space="preserve">报价文件 </w:t>
      </w:r>
    </w:p>
    <w:p w14:paraId="66013623">
      <w:pPr>
        <w:pStyle w:val="44"/>
        <w:numPr>
          <w:ilvl w:val="0"/>
          <w:numId w:val="26"/>
        </w:numPr>
        <w:ind w:firstLine="480"/>
        <w:rPr>
          <w:highlight w:val="none"/>
        </w:rPr>
      </w:pPr>
      <w:r>
        <w:rPr>
          <w:highlight w:val="none"/>
        </w:rPr>
        <w:t>开标一览表（报价表）</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CN"/>
        </w:rPr>
        <w:t>九</w:t>
      </w:r>
      <w:r>
        <w:rPr>
          <w:rFonts w:hint="eastAsia"/>
          <w:highlight w:val="none"/>
        </w:rPr>
        <w:t>、”）</w:t>
      </w:r>
      <w:r>
        <w:rPr>
          <w:highlight w:val="none"/>
        </w:rPr>
        <w:t>；</w:t>
      </w:r>
    </w:p>
    <w:p w14:paraId="7283266B">
      <w:pPr>
        <w:pStyle w:val="44"/>
        <w:numPr>
          <w:ilvl w:val="0"/>
          <w:numId w:val="26"/>
        </w:numPr>
        <w:ind w:firstLine="480"/>
        <w:rPr>
          <w:highlight w:val="none"/>
        </w:rPr>
      </w:pPr>
      <w:r>
        <w:rPr>
          <w:rFonts w:hint="eastAsia"/>
          <w:highlight w:val="none"/>
        </w:rPr>
        <w:t>报价明细表</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CN"/>
        </w:rPr>
        <w:t>十</w:t>
      </w:r>
      <w:r>
        <w:rPr>
          <w:rFonts w:hint="eastAsia"/>
          <w:highlight w:val="none"/>
        </w:rPr>
        <w:t>、”）</w:t>
      </w:r>
    </w:p>
    <w:p w14:paraId="66E40E20">
      <w:pPr>
        <w:pStyle w:val="44"/>
        <w:numPr>
          <w:ilvl w:val="0"/>
          <w:numId w:val="26"/>
        </w:numPr>
        <w:ind w:firstLine="480"/>
        <w:rPr>
          <w:highlight w:val="none"/>
        </w:rPr>
      </w:pPr>
      <w:r>
        <w:rPr>
          <w:rFonts w:hint="eastAsia"/>
          <w:highlight w:val="none"/>
        </w:rPr>
        <w:t>如招标公告中无落实政府采购政策需满足的资格要求的，提供</w:t>
      </w:r>
      <w:r>
        <w:rPr>
          <w:highlight w:val="none"/>
        </w:rPr>
        <w:t>中小企业声明函</w:t>
      </w:r>
      <w:r>
        <w:rPr>
          <w:rFonts w:hint="eastAsia"/>
          <w:highlight w:val="none"/>
        </w:rPr>
        <w:t>或残疾人福利性企业声明函或监狱企业证明文件，（见“第六章 投标文件部分格式文本 十</w:t>
      </w:r>
      <w:r>
        <w:rPr>
          <w:rFonts w:hint="eastAsia"/>
          <w:highlight w:val="none"/>
          <w:lang w:val="en-US" w:eastAsia="zh-Hans"/>
        </w:rPr>
        <w:t>一</w:t>
      </w:r>
      <w:r>
        <w:rPr>
          <w:rFonts w:hint="eastAsia"/>
          <w:highlight w:val="none"/>
        </w:rPr>
        <w:t>、十</w:t>
      </w:r>
      <w:r>
        <w:rPr>
          <w:rFonts w:hint="eastAsia"/>
          <w:highlight w:val="none"/>
          <w:lang w:val="en-US" w:eastAsia="zh-Hans"/>
        </w:rPr>
        <w:t>二</w:t>
      </w:r>
      <w:r>
        <w:rPr>
          <w:rFonts w:hint="eastAsia"/>
          <w:highlight w:val="none"/>
        </w:rPr>
        <w:t>”，如不是上述企业本项内容无需提供）。</w:t>
      </w:r>
    </w:p>
    <w:p w14:paraId="3ED7CEE3">
      <w:pPr>
        <w:pStyle w:val="34"/>
        <w:ind w:firstLine="482"/>
        <w:rPr>
          <w:b/>
          <w:bCs/>
          <w:highlight w:val="none"/>
          <w:u w:val="single"/>
          <w:lang w:eastAsia="zh-CN"/>
        </w:rPr>
      </w:pPr>
      <w:r>
        <w:rPr>
          <w:rFonts w:hint="eastAsia"/>
          <w:b/>
          <w:bCs/>
          <w:highlight w:val="none"/>
          <w:u w:val="single"/>
          <w:lang w:eastAsia="zh-CN"/>
        </w:rPr>
        <w:t>除有说明</w:t>
      </w:r>
      <w:r>
        <w:rPr>
          <w:rFonts w:hint="eastAsia"/>
          <w:b/>
          <w:bCs/>
          <w:highlight w:val="none"/>
          <w:u w:val="single"/>
          <w:lang w:val="en-US" w:eastAsia="zh-Hans"/>
        </w:rPr>
        <w:t>或明示</w:t>
      </w:r>
      <w:r>
        <w:rPr>
          <w:rFonts w:hint="eastAsia"/>
          <w:b/>
          <w:bCs/>
          <w:highlight w:val="none"/>
          <w:u w:val="single"/>
          <w:lang w:eastAsia="zh-CN"/>
        </w:rPr>
        <w:t>可不提供的情形外，未完整提供上述内容的投标文件将被视为无效投标文件。</w:t>
      </w:r>
    </w:p>
    <w:p w14:paraId="273DFB3A">
      <w:pPr>
        <w:pStyle w:val="37"/>
        <w:rPr>
          <w:highlight w:val="none"/>
        </w:rPr>
      </w:pPr>
      <w:r>
        <w:rPr>
          <w:rFonts w:hint="eastAsia"/>
          <w:highlight w:val="none"/>
        </w:rPr>
        <w:t>投标文件的编制</w:t>
      </w:r>
    </w:p>
    <w:p w14:paraId="57DC0FD7">
      <w:pPr>
        <w:pStyle w:val="44"/>
        <w:numPr>
          <w:ilvl w:val="0"/>
          <w:numId w:val="27"/>
        </w:numPr>
        <w:bidi w:val="0"/>
        <w:rPr>
          <w:highlight w:val="none"/>
        </w:rPr>
      </w:pPr>
      <w:r>
        <w:rPr>
          <w:highlight w:val="none"/>
        </w:rPr>
        <w:t>供应商应仔细阅读招标文件规定的所有内容，以保证能全面准确理解招标文件，并按照招标文件要求，详细编制投标文件，投标文件内容必须针对本次招标要求进行响应。</w:t>
      </w:r>
    </w:p>
    <w:p w14:paraId="7F9A3D7D">
      <w:pPr>
        <w:pStyle w:val="44"/>
        <w:numPr>
          <w:ilvl w:val="0"/>
          <w:numId w:val="27"/>
        </w:numPr>
        <w:bidi w:val="0"/>
        <w:rPr>
          <w:highlight w:val="none"/>
        </w:rPr>
      </w:pPr>
      <w:r>
        <w:rPr>
          <w:highlight w:val="none"/>
        </w:rPr>
        <w:t>投标人必须按招标文件的要求提供相关资料，并对招标文件中提出的所有内容要求给予实质性响应，须保证投标文件的准确、真实、有效。投标文件响应内容对招标文件要求如有偏离均应填写偏离表，如不填写，招标人有权视作投标文件完全响应招标文件要求。</w:t>
      </w:r>
    </w:p>
    <w:p w14:paraId="2B1BF65A">
      <w:pPr>
        <w:pStyle w:val="44"/>
        <w:numPr>
          <w:ilvl w:val="0"/>
          <w:numId w:val="27"/>
        </w:numPr>
        <w:bidi w:val="0"/>
        <w:rPr>
          <w:highlight w:val="none"/>
        </w:rPr>
      </w:pPr>
      <w:r>
        <w:rPr>
          <w:highlight w:val="none"/>
        </w:rPr>
        <w:t>投标文件应按照本节“1.投标文件的组成”及“政采云投标客户端”中的要求和顺序进行编写。招标文件有提供格式文本的，应按照格式文本进行编制（格式中要求提供相关证明材料的还需后附相关证明材料），并按格式文本要求在指定位置根据要求进行签章，否则视为未提供；招标文件未提供格式的，供应商可自行拟定格式。</w:t>
      </w:r>
    </w:p>
    <w:p w14:paraId="706BD7A7">
      <w:pPr>
        <w:pStyle w:val="44"/>
        <w:numPr>
          <w:ilvl w:val="0"/>
          <w:numId w:val="27"/>
        </w:numPr>
        <w:bidi w:val="0"/>
        <w:rPr>
          <w:highlight w:val="none"/>
        </w:rPr>
      </w:pPr>
      <w:r>
        <w:rPr>
          <w:highlight w:val="none"/>
        </w:rPr>
        <w:t>投标文件内容不完整、编排混乱或表达不清导致投标文件被误读、漏读或者查找不到相关内容的，是投标人的责任。</w:t>
      </w:r>
    </w:p>
    <w:p w14:paraId="05FB8627">
      <w:pPr>
        <w:pStyle w:val="44"/>
        <w:numPr>
          <w:ilvl w:val="0"/>
          <w:numId w:val="27"/>
        </w:numPr>
        <w:bidi w:val="0"/>
        <w:rPr>
          <w:highlight w:val="none"/>
        </w:rPr>
      </w:pPr>
      <w:r>
        <w:rPr>
          <w:highlight w:val="none"/>
        </w:rPr>
        <w:t>投标人没有按照招标文件要求提供全部资料，或者没有仔细阅读招标文件，或者没有对招标文件在各方面的要求作出实质性响应是投标人的风险，由此造成的一切后果由投标人自行承担。</w:t>
      </w:r>
    </w:p>
    <w:p w14:paraId="46C38E2F">
      <w:pPr>
        <w:pStyle w:val="44"/>
        <w:numPr>
          <w:ilvl w:val="0"/>
          <w:numId w:val="27"/>
        </w:numPr>
        <w:bidi w:val="0"/>
        <w:rPr>
          <w:highlight w:val="none"/>
        </w:rPr>
      </w:pPr>
      <w:r>
        <w:rPr>
          <w:highlight w:val="none"/>
        </w:rPr>
        <w:t>投标人不得递交任何的投标备选（替代）方案，否则作无效标处理。</w:t>
      </w:r>
    </w:p>
    <w:p w14:paraId="38DB58D6">
      <w:pPr>
        <w:pStyle w:val="37"/>
        <w:rPr>
          <w:highlight w:val="none"/>
        </w:rPr>
      </w:pPr>
      <w:r>
        <w:rPr>
          <w:rFonts w:hint="eastAsia"/>
          <w:highlight w:val="none"/>
        </w:rPr>
        <w:t>投标文件的签署</w:t>
      </w:r>
    </w:p>
    <w:p w14:paraId="1AEEC418">
      <w:pPr>
        <w:pStyle w:val="44"/>
        <w:numPr>
          <w:ilvl w:val="0"/>
          <w:numId w:val="28"/>
        </w:numPr>
        <w:bidi w:val="0"/>
      </w:pPr>
      <w:r>
        <w:t>招标文件中提供了投标文件格式文本的必须按照格式本文的要求签字或盖章。授权代表签字的，投标文件应附法定代表人签署的授权委托书。应签章而未签章的材料视为未提供。</w:t>
      </w:r>
    </w:p>
    <w:p w14:paraId="3FA25389">
      <w:pPr>
        <w:pStyle w:val="44"/>
        <w:numPr>
          <w:ilvl w:val="0"/>
          <w:numId w:val="28"/>
        </w:numPr>
        <w:bidi w:val="0"/>
      </w:pPr>
      <w:r>
        <w:t>所有</w:t>
      </w:r>
      <w:r>
        <w:rPr>
          <w:rFonts w:hint="eastAsia"/>
          <w:lang w:val="en-US" w:eastAsia="zh-Hans"/>
        </w:rPr>
        <w:t>扫描件、</w:t>
      </w:r>
      <w:r>
        <w:t>复印件（如各类资格资质证书、业绩材料、许可材料、荣誉证书、产品注册登记材料、产品检测材料、验收材料等）均须加盖投标人</w:t>
      </w:r>
      <w:r>
        <w:rPr>
          <w:rFonts w:hint="eastAsia"/>
          <w:lang w:val="en-US" w:eastAsia="zh-Hans"/>
        </w:rPr>
        <w:t>电子签章或</w:t>
      </w:r>
      <w:r>
        <w:t>公章。评审委员会可视情况要求投标人提供原件，如投标人不能在规定时间内提供原件核实，其投标文件中提供的</w:t>
      </w:r>
      <w:r>
        <w:rPr>
          <w:rFonts w:hint="eastAsia"/>
          <w:lang w:val="en-US" w:eastAsia="zh-CN"/>
        </w:rPr>
        <w:t>复制件</w:t>
      </w:r>
      <w:r>
        <w:t>视为未提供。</w:t>
      </w:r>
    </w:p>
    <w:p w14:paraId="5D3E8D89">
      <w:pPr>
        <w:pStyle w:val="37"/>
      </w:pPr>
      <w:r>
        <w:rPr>
          <w:rFonts w:hint="eastAsia"/>
        </w:rPr>
        <w:t>投标报价</w:t>
      </w:r>
    </w:p>
    <w:p w14:paraId="31077529">
      <w:pPr>
        <w:pStyle w:val="33"/>
        <w:ind w:firstLine="482"/>
      </w:pPr>
      <w:r>
        <w:rPr>
          <w:rFonts w:hint="eastAsia"/>
        </w:rPr>
        <w:t>报价组成</w:t>
      </w:r>
    </w:p>
    <w:p w14:paraId="274A94F1">
      <w:pPr>
        <w:pStyle w:val="34"/>
        <w:ind w:firstLine="480"/>
        <w:rPr>
          <w:rFonts w:hint="eastAsia"/>
        </w:rPr>
      </w:pPr>
      <w:r>
        <w:rPr>
          <w:rFonts w:hint="eastAsia"/>
        </w:rPr>
        <w:t>投标报价是履行合同的最终价格，包括完成本项目</w:t>
      </w:r>
      <w:r>
        <w:rPr>
          <w:rFonts w:hint="eastAsia"/>
          <w:lang w:val="en-US" w:eastAsia="zh-CN"/>
        </w:rPr>
        <w:t>合同履行并且</w:t>
      </w:r>
      <w:r>
        <w:rPr>
          <w:rFonts w:hint="eastAsia"/>
        </w:rPr>
        <w:t>产品</w:t>
      </w:r>
      <w:r>
        <w:rPr>
          <w:rFonts w:hint="eastAsia"/>
          <w:lang w:val="en-US" w:eastAsia="zh-CN"/>
        </w:rPr>
        <w:t>及</w:t>
      </w:r>
      <w:r>
        <w:rPr>
          <w:rFonts w:hint="eastAsia"/>
        </w:rPr>
        <w:t>服务须达到招标文件规定的质量标准</w:t>
      </w:r>
      <w:r>
        <w:rPr>
          <w:rFonts w:hint="eastAsia"/>
          <w:lang w:eastAsia="zh-CN"/>
        </w:rPr>
        <w:t>、</w:t>
      </w:r>
      <w:r>
        <w:rPr>
          <w:rFonts w:hint="eastAsia"/>
        </w:rPr>
        <w:t>使用要求所需的全部费用</w:t>
      </w:r>
      <w:r>
        <w:rPr>
          <w:rFonts w:hint="eastAsia"/>
          <w:lang w:val="en-US" w:eastAsia="zh-CN"/>
        </w:rPr>
        <w:t>以及</w:t>
      </w:r>
      <w:r>
        <w:rPr>
          <w:rFonts w:hint="default"/>
        </w:rPr>
        <w:t>采购文件</w:t>
      </w:r>
      <w:r>
        <w:rPr>
          <w:rFonts w:hint="eastAsia"/>
        </w:rPr>
        <w:t>及合同明示或者暗示的所有责任、义务和风险。</w:t>
      </w:r>
    </w:p>
    <w:p w14:paraId="4069072A">
      <w:pPr>
        <w:pStyle w:val="34"/>
        <w:ind w:firstLine="480"/>
        <w:rPr>
          <w:u w:val="single"/>
        </w:rPr>
      </w:pPr>
      <w:r>
        <w:rPr>
          <w:rFonts w:hint="eastAsia"/>
          <w:u w:val="single"/>
          <w:lang w:val="en-US" w:eastAsia="zh-CN"/>
        </w:rPr>
        <w:t>如</w:t>
      </w:r>
      <w:r>
        <w:rPr>
          <w:rFonts w:hint="eastAsia"/>
          <w:u w:val="single"/>
        </w:rPr>
        <w:t>本章“前附表”规定</w:t>
      </w:r>
      <w:r>
        <w:rPr>
          <w:rFonts w:hint="eastAsia"/>
          <w:u w:val="single"/>
          <w:lang w:eastAsia="zh-CN"/>
        </w:rPr>
        <w:t>“</w:t>
      </w:r>
      <w:r>
        <w:rPr>
          <w:rFonts w:hint="eastAsia"/>
          <w:u w:val="single"/>
        </w:rPr>
        <w:t>允许</w:t>
      </w:r>
      <w:r>
        <w:rPr>
          <w:rFonts w:hint="eastAsia"/>
          <w:u w:val="single"/>
          <w:lang w:val="en-US" w:eastAsia="zh-CN"/>
        </w:rPr>
        <w:t>采购</w:t>
      </w:r>
      <w:r>
        <w:rPr>
          <w:rFonts w:hint="eastAsia"/>
          <w:u w:val="single"/>
        </w:rPr>
        <w:t>进口产品</w:t>
      </w:r>
      <w:r>
        <w:rPr>
          <w:rFonts w:hint="eastAsia"/>
          <w:u w:val="single"/>
          <w:lang w:eastAsia="zh-CN"/>
        </w:rPr>
        <w:t>”</w:t>
      </w:r>
      <w:r>
        <w:rPr>
          <w:rFonts w:hint="eastAsia"/>
          <w:u w:val="single"/>
        </w:rPr>
        <w:t>的，投标报价还应包括：</w:t>
      </w:r>
    </w:p>
    <w:p w14:paraId="2115772D">
      <w:pPr>
        <w:pStyle w:val="44"/>
        <w:numPr>
          <w:ilvl w:val="0"/>
          <w:numId w:val="29"/>
        </w:numPr>
        <w:ind w:firstLine="480"/>
      </w:pPr>
      <w:r>
        <w:rPr>
          <w:rFonts w:hint="eastAsia"/>
        </w:rPr>
        <w:t>投标截止时间前已经进口的货物：货物在从关境外进口时已交纳或应交纳的全部关税、增值税和其它税；</w:t>
      </w:r>
    </w:p>
    <w:p w14:paraId="161E6D57">
      <w:pPr>
        <w:pStyle w:val="44"/>
        <w:numPr>
          <w:ilvl w:val="0"/>
          <w:numId w:val="29"/>
        </w:numPr>
        <w:ind w:firstLine="480"/>
      </w:pPr>
      <w:r>
        <w:rPr>
          <w:rFonts w:hint="eastAsia"/>
        </w:rPr>
        <w:t>需从中华人民共和国境外提供的货物：货物在从关境外进口时已交纳或应交纳的全部关税、增值税和其它税（本章“前附表”规定可办理免税的除外）以及委托具有进出口代理权的机构办理进口事宜所需的所有费用。</w:t>
      </w:r>
    </w:p>
    <w:p w14:paraId="0B537381">
      <w:pPr>
        <w:pStyle w:val="44"/>
        <w:numPr>
          <w:ilvl w:val="0"/>
          <w:numId w:val="29"/>
        </w:numPr>
        <w:ind w:firstLine="480"/>
      </w:pPr>
      <w:r>
        <w:rPr>
          <w:rFonts w:hint="eastAsia"/>
        </w:rPr>
        <w:t>本章“前附表”即使明确可免关税，如因国家（海关）政策等原因导致无法免关税的，关税由招标人承担；如因供应商原因导致无法办理的，合同价不予调整，关税由中标人承担，报价范围按前款（1）条执行。</w:t>
      </w:r>
    </w:p>
    <w:p w14:paraId="4581531F">
      <w:pPr>
        <w:pStyle w:val="33"/>
        <w:ind w:firstLine="482"/>
      </w:pPr>
      <w:r>
        <w:rPr>
          <w:rFonts w:hint="eastAsia"/>
        </w:rPr>
        <w:t>其它费用处理</w:t>
      </w:r>
    </w:p>
    <w:p w14:paraId="79B0D981">
      <w:pPr>
        <w:pStyle w:val="34"/>
        <w:ind w:firstLine="480"/>
        <w:rPr>
          <w:rFonts w:hint="eastAsia"/>
        </w:rPr>
      </w:pPr>
      <w:r>
        <w:rPr>
          <w:rFonts w:hint="eastAsia"/>
        </w:rPr>
        <w:t>招标文件未列明，而投标人认为必需的费用也需列入报价。投标人在投标报价中应充分考虑所有可能发生的费用，否则招标人将视投标总价中已包括所有费用。</w:t>
      </w:r>
    </w:p>
    <w:p w14:paraId="269BA8AF">
      <w:pPr>
        <w:pStyle w:val="34"/>
        <w:ind w:firstLine="480"/>
      </w:pPr>
      <w:r>
        <w:rPr>
          <w:rFonts w:hint="eastAsia" w:ascii="宋体" w:hAnsi="宋体"/>
          <w:spacing w:val="-4"/>
          <w:sz w:val="24"/>
          <w:szCs w:val="22"/>
        </w:rPr>
        <w:t>参与本项目竞争需要的工作成本、成交后</w:t>
      </w:r>
      <w:r>
        <w:rPr>
          <w:rFonts w:hint="eastAsia" w:ascii="宋体" w:hAnsi="宋体"/>
          <w:sz w:val="24"/>
        </w:rPr>
        <w:t>向采购代理机构支付的代理服务费、合同履行过程中项目需求变动引起工作量的缩减等涉及的费用不需要单列报价子项，但均应由供应商考虑并包含在企业运营成本或报价因素中。</w:t>
      </w:r>
    </w:p>
    <w:p w14:paraId="3FECD08D">
      <w:pPr>
        <w:pStyle w:val="33"/>
        <w:ind w:firstLine="482"/>
      </w:pPr>
      <w:r>
        <w:rPr>
          <w:rFonts w:hint="eastAsia"/>
        </w:rPr>
        <w:t>投标货币</w:t>
      </w:r>
    </w:p>
    <w:p w14:paraId="52049430">
      <w:pPr>
        <w:pStyle w:val="34"/>
        <w:ind w:firstLine="480"/>
      </w:pPr>
      <w:r>
        <w:rPr>
          <w:rFonts w:hint="eastAsia"/>
        </w:rPr>
        <w:t>投标文件中价格全部采用人民币报价。</w:t>
      </w:r>
    </w:p>
    <w:p w14:paraId="435F4C51">
      <w:pPr>
        <w:pStyle w:val="34"/>
        <w:ind w:firstLine="480"/>
      </w:pPr>
      <w:r>
        <w:rPr>
          <w:rFonts w:hint="eastAsia"/>
        </w:rPr>
        <w:t>报价应是唯一的，不接受有选择的报价。</w:t>
      </w:r>
    </w:p>
    <w:p w14:paraId="3B368563">
      <w:pPr>
        <w:pStyle w:val="33"/>
        <w:ind w:firstLine="482"/>
      </w:pPr>
      <w:r>
        <w:rPr>
          <w:rFonts w:hint="eastAsia"/>
        </w:rPr>
        <w:t>特别说明</w:t>
      </w:r>
    </w:p>
    <w:p w14:paraId="194D2529">
      <w:pPr>
        <w:pStyle w:val="46"/>
        <w:ind w:firstLine="480"/>
      </w:pPr>
      <w:r>
        <w:rPr>
          <w:rFonts w:hint="eastAsia"/>
        </w:rPr>
        <w:t>投标人对在合同执行中，除上述费用及招标文件规定的由中标人负责的工作范围以外需要招标人协调或提供便利的工作应当在投标文件中说明。</w:t>
      </w:r>
      <w:bookmarkStart w:id="57" w:name="_Hlt75236011"/>
      <w:bookmarkEnd w:id="57"/>
    </w:p>
    <w:p w14:paraId="02C96969">
      <w:pPr>
        <w:pStyle w:val="46"/>
        <w:ind w:firstLine="480"/>
        <w:rPr>
          <w:b/>
        </w:rPr>
      </w:pPr>
      <w:r>
        <w:rPr>
          <w:rFonts w:hint="eastAsia"/>
          <w:u w:val="single"/>
        </w:rPr>
        <w:t>报价是中标的一个重要因素，但最低报价不是中标的唯一依据。</w:t>
      </w:r>
    </w:p>
    <w:p w14:paraId="481AFBDE">
      <w:pPr>
        <w:pStyle w:val="37"/>
      </w:pPr>
      <w:bookmarkStart w:id="58" w:name="_Toc91899887"/>
      <w:bookmarkEnd w:id="58"/>
      <w:r>
        <w:rPr>
          <w:rFonts w:hint="eastAsia"/>
        </w:rPr>
        <w:t>投标有效期</w:t>
      </w:r>
    </w:p>
    <w:p w14:paraId="752C5721">
      <w:pPr>
        <w:pStyle w:val="44"/>
        <w:numPr>
          <w:ilvl w:val="0"/>
          <w:numId w:val="30"/>
        </w:numPr>
        <w:bidi w:val="0"/>
      </w:pPr>
      <w:r>
        <w:t>投标文件合格投递后，自投标截止日期起，至前附表规定的日期内有效。合同签订后，投标文件作为合同附件，投标文件有效期延长至与合同有效期相同。</w:t>
      </w:r>
    </w:p>
    <w:p w14:paraId="4B6AEAC9">
      <w:pPr>
        <w:pStyle w:val="44"/>
        <w:numPr>
          <w:ilvl w:val="0"/>
          <w:numId w:val="30"/>
        </w:numPr>
        <w:bidi w:val="0"/>
      </w:pPr>
      <w:r>
        <w:t>招标人如因故推迟投标截止时间，将以书面形式通知所有投标人。在这种情况下，招标人与投标人以前在投标截止期方面的全部权利、责任和义务，将适用于延长至新的投标截止期。</w:t>
      </w:r>
    </w:p>
    <w:p w14:paraId="7F9423F9">
      <w:pPr>
        <w:pStyle w:val="44"/>
        <w:numPr>
          <w:ilvl w:val="0"/>
          <w:numId w:val="30"/>
        </w:numPr>
        <w:bidi w:val="0"/>
      </w:pPr>
      <w:r>
        <w:t>投标人可拒绝接受延期要求，拒绝延期要求视同未实质性响应招标文件要求。同意延长有效期的投标人不能修改投标文件。</w:t>
      </w:r>
    </w:p>
    <w:p w14:paraId="410664C6">
      <w:pPr>
        <w:pStyle w:val="37"/>
        <w:rPr>
          <w:lang w:eastAsia="zh-CN"/>
        </w:rPr>
      </w:pPr>
      <w:r>
        <w:rPr>
          <w:rFonts w:hint="eastAsia"/>
        </w:rPr>
        <w:t>电子标书的</w:t>
      </w:r>
      <w:r>
        <w:rPr>
          <w:rFonts w:hint="eastAsia"/>
          <w:lang w:eastAsia="zh-CN"/>
        </w:rPr>
        <w:t>生成</w:t>
      </w:r>
    </w:p>
    <w:p w14:paraId="47FF7042">
      <w:pPr>
        <w:pStyle w:val="33"/>
        <w:ind w:firstLine="482"/>
      </w:pPr>
      <w:r>
        <w:rPr>
          <w:rFonts w:hint="eastAsia"/>
        </w:rPr>
        <w:t>登录客户端</w:t>
      </w:r>
    </w:p>
    <w:p w14:paraId="3EF3FAA2">
      <w:pPr>
        <w:pStyle w:val="34"/>
        <w:ind w:firstLine="480"/>
      </w:pPr>
      <w:r>
        <w:rPr>
          <w:rFonts w:hint="eastAsia"/>
          <w:lang w:eastAsia="zh-CN"/>
        </w:rPr>
        <w:t>电子标书的生成须在“</w:t>
      </w:r>
      <w:r>
        <w:t>政采云投标客户端</w:t>
      </w:r>
      <w:r>
        <w:rPr>
          <w:rFonts w:hint="eastAsia"/>
          <w:lang w:eastAsia="zh-CN"/>
        </w:rPr>
        <w:t>”（非政采云平台网页）中进行，投标人生成电子标书须具备以下前置条件：</w:t>
      </w:r>
    </w:p>
    <w:p w14:paraId="121DCDF7">
      <w:pPr>
        <w:pStyle w:val="44"/>
        <w:numPr>
          <w:ilvl w:val="0"/>
          <w:numId w:val="31"/>
        </w:numPr>
        <w:ind w:firstLine="480"/>
      </w:pPr>
      <w:r>
        <w:t>已在</w:t>
      </w:r>
      <w:r>
        <w:rPr>
          <w:rFonts w:hint="eastAsia"/>
        </w:rPr>
        <w:t>浙江省</w:t>
      </w:r>
      <w:r>
        <w:t>政府采购网下载并安装</w:t>
      </w:r>
      <w:r>
        <w:rPr>
          <w:rFonts w:hint="eastAsia"/>
        </w:rPr>
        <w:t>“</w:t>
      </w:r>
      <w:r>
        <w:t>政采云投标客户端</w:t>
      </w:r>
      <w:r>
        <w:rPr>
          <w:rFonts w:hint="eastAsia"/>
        </w:rPr>
        <w:t>”；</w:t>
      </w:r>
    </w:p>
    <w:p w14:paraId="57900B1D">
      <w:pPr>
        <w:pStyle w:val="44"/>
        <w:numPr>
          <w:ilvl w:val="0"/>
          <w:numId w:val="31"/>
        </w:numPr>
        <w:ind w:firstLine="480"/>
      </w:pPr>
      <w:r>
        <w:t>已完成CA申领，并在政采云平台与账号绑定</w:t>
      </w:r>
      <w:r>
        <w:rPr>
          <w:rFonts w:hint="eastAsia"/>
        </w:rPr>
        <w:t>；</w:t>
      </w:r>
    </w:p>
    <w:p w14:paraId="4789889E">
      <w:pPr>
        <w:pStyle w:val="44"/>
        <w:numPr>
          <w:ilvl w:val="0"/>
          <w:numId w:val="31"/>
        </w:numPr>
        <w:ind w:firstLine="480"/>
      </w:pPr>
      <w:r>
        <w:t>已下载并安装CA驱动。</w:t>
      </w:r>
    </w:p>
    <w:p w14:paraId="5EA792C8">
      <w:pPr>
        <w:pStyle w:val="34"/>
        <w:ind w:firstLine="480"/>
        <w:rPr>
          <w:u w:val="single"/>
          <w:lang w:eastAsia="zh-CN"/>
        </w:rPr>
      </w:pPr>
      <w:r>
        <w:rPr>
          <w:rFonts w:hint="eastAsia"/>
          <w:u w:val="single"/>
          <w:lang w:val="en-US" w:eastAsia="zh-Hans"/>
        </w:rPr>
        <w:t>建议</w:t>
      </w:r>
      <w:r>
        <w:rPr>
          <w:rFonts w:hint="eastAsia"/>
          <w:u w:val="single"/>
          <w:lang w:eastAsia="zh-CN"/>
        </w:rPr>
        <w:t>使用实体CA锁而非移动数字CA登录投标客户端。</w:t>
      </w:r>
    </w:p>
    <w:p w14:paraId="7F845D09">
      <w:pPr>
        <w:pStyle w:val="33"/>
        <w:ind w:firstLine="482"/>
      </w:pPr>
      <w:r>
        <w:rPr>
          <w:rFonts w:hint="eastAsia"/>
        </w:rPr>
        <w:t>制作投标文件</w:t>
      </w:r>
    </w:p>
    <w:p w14:paraId="0CC5B718">
      <w:pPr>
        <w:pStyle w:val="34"/>
        <w:ind w:firstLine="480"/>
        <w:rPr>
          <w:u w:val="single"/>
        </w:rPr>
      </w:pPr>
      <w:r>
        <w:rPr>
          <w:rFonts w:hint="eastAsia"/>
          <w:u w:val="single"/>
        </w:rPr>
        <w:t>菜单路径：政采云投标客户端</w:t>
      </w:r>
      <w:r>
        <w:rPr>
          <w:u w:val="single"/>
        </w:rPr>
        <w:t>-</w:t>
      </w:r>
      <w:r>
        <w:rPr>
          <w:rFonts w:hint="eastAsia"/>
          <w:u w:val="single"/>
        </w:rPr>
        <w:t>投标响应文件编制</w:t>
      </w:r>
    </w:p>
    <w:p w14:paraId="5E4B1E89">
      <w:pPr>
        <w:pStyle w:val="34"/>
        <w:ind w:firstLine="480"/>
        <w:rPr>
          <w:lang w:eastAsia="zh-CN"/>
        </w:rPr>
      </w:pPr>
      <w:r>
        <w:rPr>
          <w:rFonts w:hint="eastAsia"/>
          <w:lang w:eastAsia="zh-CN"/>
        </w:rPr>
        <w:t>投标人需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7C89F88A">
      <w:pPr>
        <w:pStyle w:val="33"/>
        <w:ind w:firstLine="482"/>
      </w:pPr>
      <w:r>
        <w:rPr>
          <w:rFonts w:hint="eastAsia"/>
        </w:rPr>
        <w:t>基本信息</w:t>
      </w:r>
    </w:p>
    <w:p w14:paraId="62585C7E">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基本信息</w:t>
      </w:r>
    </w:p>
    <w:p w14:paraId="0496F50A">
      <w:pPr>
        <w:pStyle w:val="34"/>
        <w:ind w:firstLine="480"/>
      </w:pPr>
      <w:r>
        <w:rPr>
          <w:rFonts w:hint="eastAsia"/>
          <w:lang w:eastAsia="zh-CN"/>
        </w:rPr>
        <w:t>如本项目</w:t>
      </w:r>
      <w:r>
        <w:rPr>
          <w:rFonts w:hint="eastAsia"/>
        </w:rPr>
        <w:t>“招标公告”规定接受联合体投标的</w:t>
      </w:r>
      <w:r>
        <w:t>，</w:t>
      </w:r>
      <w:r>
        <w:rPr>
          <w:rFonts w:hint="eastAsia"/>
          <w:lang w:eastAsia="zh-CN"/>
        </w:rPr>
        <w:t>且投标人</w:t>
      </w:r>
      <w:r>
        <w:t>需要以联合体身份投标</w:t>
      </w:r>
      <w:r>
        <w:rPr>
          <w:rFonts w:hint="eastAsia"/>
          <w:lang w:eastAsia="zh-CN"/>
        </w:rPr>
        <w:t>的，投标人需在本环节开启“联合体投标”按钮，并录入联合体成员信息。</w:t>
      </w:r>
    </w:p>
    <w:p w14:paraId="793EC217">
      <w:pPr>
        <w:pStyle w:val="33"/>
        <w:ind w:firstLine="482"/>
      </w:pPr>
      <w:r>
        <w:rPr>
          <w:rFonts w:hint="eastAsia"/>
        </w:rPr>
        <w:t>导入投标（响应）文件</w:t>
      </w:r>
    </w:p>
    <w:p w14:paraId="2014865B">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制作和导入投标（响应）文件</w:t>
      </w:r>
    </w:p>
    <w:p w14:paraId="33F33C28">
      <w:pPr>
        <w:pStyle w:val="34"/>
        <w:ind w:firstLine="480"/>
        <w:rPr>
          <w:lang w:eastAsia="zh-CN"/>
        </w:rPr>
      </w:pPr>
      <w:r>
        <w:rPr>
          <w:rFonts w:hint="eastAsia"/>
          <w:lang w:eastAsia="zh-CN"/>
        </w:rPr>
        <w:t>投标人需在本环节导入事先制作好的资格文件、商务技术文件及报价文件的PDF版本。其中资格文件可以引用资质库中的资质，也可以直接上传本地文件。</w:t>
      </w:r>
    </w:p>
    <w:p w14:paraId="0D6C489C">
      <w:pPr>
        <w:pStyle w:val="34"/>
        <w:ind w:firstLine="480"/>
        <w:rPr>
          <w:lang w:eastAsia="zh-CN"/>
        </w:rPr>
      </w:pPr>
      <w:r>
        <w:rPr>
          <w:rFonts w:hint="eastAsia"/>
          <w:lang w:eastAsia="zh-CN"/>
        </w:rPr>
        <w:t>建议对应客户端中显示的各资格项分页上传资格文件各部分内容。</w:t>
      </w:r>
    </w:p>
    <w:p w14:paraId="518E22DC">
      <w:pPr>
        <w:pStyle w:val="34"/>
        <w:ind w:firstLine="480"/>
        <w:rPr>
          <w:lang w:eastAsia="zh-CN"/>
        </w:rPr>
      </w:pPr>
      <w:r>
        <w:rPr>
          <w:rFonts w:hint="eastAsia"/>
          <w:lang w:eastAsia="zh-CN"/>
        </w:rPr>
        <w:t>在生成电子标书前如需修改投标文件，可在任何阶段返回本环节重新导入文件并重新开始后续步骤。</w:t>
      </w:r>
    </w:p>
    <w:p w14:paraId="5C03D6C9">
      <w:pPr>
        <w:pStyle w:val="33"/>
        <w:ind w:firstLine="482"/>
      </w:pPr>
      <w:r>
        <w:rPr>
          <w:rFonts w:hint="eastAsia"/>
        </w:rPr>
        <w:t>标书关联</w:t>
      </w:r>
    </w:p>
    <w:p w14:paraId="1C8CFA35">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标书关联</w:t>
      </w:r>
    </w:p>
    <w:p w14:paraId="63E6221D">
      <w:pPr>
        <w:pStyle w:val="34"/>
        <w:ind w:firstLine="480"/>
        <w:rPr>
          <w:lang w:eastAsia="zh-CN"/>
        </w:rPr>
      </w:pPr>
      <w:r>
        <w:rPr>
          <w:rFonts w:hint="eastAsia"/>
          <w:lang w:eastAsia="zh-CN"/>
        </w:rPr>
        <w:t>投标人需在本环节</w:t>
      </w:r>
      <w:r>
        <w:rPr>
          <w:lang w:eastAsia="zh-CN"/>
        </w:rPr>
        <w:t>填写</w:t>
      </w:r>
      <w:r>
        <w:rPr>
          <w:rFonts w:hint="eastAsia"/>
          <w:lang w:eastAsia="zh-CN"/>
        </w:rPr>
        <w:t>“</w:t>
      </w:r>
      <w:r>
        <w:rPr>
          <w:lang w:eastAsia="zh-CN"/>
        </w:rPr>
        <w:t>开标一览表</w:t>
      </w:r>
      <w:r>
        <w:rPr>
          <w:rFonts w:hint="eastAsia"/>
          <w:lang w:eastAsia="zh-CN"/>
        </w:rPr>
        <w:t>”</w:t>
      </w:r>
      <w:r>
        <w:rPr>
          <w:lang w:eastAsia="zh-CN"/>
        </w:rPr>
        <w:t>，并将各响应项关联至</w:t>
      </w:r>
      <w:r>
        <w:rPr>
          <w:rFonts w:hint="eastAsia"/>
          <w:lang w:eastAsia="zh-CN"/>
        </w:rPr>
        <w:t>投标文件</w:t>
      </w:r>
      <w:r>
        <w:rPr>
          <w:lang w:eastAsia="zh-CN"/>
        </w:rPr>
        <w:t>对应页码，方便专家评审。</w:t>
      </w:r>
    </w:p>
    <w:p w14:paraId="21B5AF27">
      <w:pPr>
        <w:pStyle w:val="34"/>
        <w:ind w:firstLine="480"/>
        <w:rPr>
          <w:lang w:eastAsia="zh-CN"/>
        </w:rPr>
      </w:pPr>
      <w:r>
        <w:rPr>
          <w:rFonts w:hint="eastAsia"/>
          <w:lang w:eastAsia="zh-CN"/>
        </w:rPr>
        <w:t>此处“开标一览表”的信息录入须与报价文件中的《开标一览表》内容一致。</w:t>
      </w:r>
    </w:p>
    <w:p w14:paraId="1BAF35A7">
      <w:pPr>
        <w:pStyle w:val="34"/>
        <w:ind w:firstLine="480"/>
        <w:rPr>
          <w:lang w:eastAsia="zh-CN"/>
        </w:rPr>
      </w:pPr>
      <w:r>
        <w:rPr>
          <w:rFonts w:hint="eastAsia"/>
          <w:lang w:eastAsia="zh-CN"/>
        </w:rPr>
        <w:t>除符合性要求的关联可指向文件封面外，其他响应项均应正确“关联定位”投标文件对应位置；无响应内容的，投标人可选择“放弃关联”。</w:t>
      </w:r>
    </w:p>
    <w:p w14:paraId="05391AF2">
      <w:pPr>
        <w:pStyle w:val="34"/>
        <w:ind w:firstLine="480"/>
        <w:rPr>
          <w:lang w:eastAsia="zh-CN"/>
        </w:rPr>
      </w:pPr>
      <w:r>
        <w:rPr>
          <w:rFonts w:hint="eastAsia"/>
          <w:lang w:eastAsia="zh-CN"/>
        </w:rPr>
        <w:t>因投标人未正确关联</w:t>
      </w:r>
      <w:r>
        <w:rPr>
          <w:lang w:eastAsia="zh-CN"/>
        </w:rPr>
        <w:t>导致</w:t>
      </w:r>
      <w:r>
        <w:rPr>
          <w:rFonts w:hint="eastAsia"/>
          <w:lang w:eastAsia="zh-CN"/>
        </w:rPr>
        <w:t>投标文件</w:t>
      </w:r>
      <w:r>
        <w:rPr>
          <w:lang w:eastAsia="zh-CN"/>
        </w:rPr>
        <w:t>被误读、漏读或者查找不到相关内容的，是投标</w:t>
      </w:r>
      <w:r>
        <w:rPr>
          <w:rFonts w:hint="eastAsia"/>
          <w:lang w:eastAsia="zh-CN"/>
        </w:rPr>
        <w:t>人</w:t>
      </w:r>
      <w:r>
        <w:rPr>
          <w:lang w:eastAsia="zh-CN"/>
        </w:rPr>
        <w:t>的责任。</w:t>
      </w:r>
    </w:p>
    <w:p w14:paraId="5747FC7D">
      <w:pPr>
        <w:pStyle w:val="33"/>
        <w:ind w:firstLine="482"/>
      </w:pPr>
      <w:r>
        <w:rPr>
          <w:rFonts w:hint="eastAsia"/>
        </w:rPr>
        <w:t>标书检查</w:t>
      </w:r>
    </w:p>
    <w:p w14:paraId="0CABFE15">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标书检查</w:t>
      </w:r>
    </w:p>
    <w:p w14:paraId="4A64C730">
      <w:pPr>
        <w:pStyle w:val="34"/>
        <w:ind w:firstLine="480"/>
        <w:rPr>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795B3EAD">
      <w:pPr>
        <w:pStyle w:val="34"/>
        <w:ind w:firstLine="480"/>
        <w:rPr>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5856615D">
      <w:pPr>
        <w:pStyle w:val="33"/>
        <w:ind w:firstLine="482"/>
      </w:pPr>
      <w:r>
        <w:rPr>
          <w:rFonts w:hint="eastAsia"/>
        </w:rPr>
        <w:t>电子签名</w:t>
      </w:r>
    </w:p>
    <w:p w14:paraId="6BD33D11">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电子签名</w:t>
      </w:r>
    </w:p>
    <w:p w14:paraId="48EFA5F5">
      <w:pPr>
        <w:pStyle w:val="34"/>
        <w:ind w:firstLine="480"/>
        <w:rPr>
          <w:lang w:eastAsia="zh-CN"/>
        </w:rPr>
      </w:pPr>
      <w:r>
        <w:rPr>
          <w:rFonts w:hint="eastAsia"/>
          <w:lang w:eastAsia="zh-CN"/>
        </w:rPr>
        <w:t>投标人须在本环节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59067BAD">
      <w:pPr>
        <w:pStyle w:val="34"/>
        <w:ind w:firstLine="480"/>
        <w:rPr>
          <w:lang w:eastAsia="zh-CN"/>
        </w:rPr>
      </w:pPr>
      <w:r>
        <w:rPr>
          <w:lang w:eastAsia="zh-CN"/>
        </w:rPr>
        <w:t>招标文件对投标文件签署、盖章的要求适用于电子签名</w:t>
      </w:r>
      <w:r>
        <w:rPr>
          <w:rFonts w:hint="eastAsia"/>
          <w:lang w:eastAsia="zh-CN"/>
        </w:rPr>
        <w:t>。</w:t>
      </w:r>
    </w:p>
    <w:p w14:paraId="294BF22A">
      <w:pPr>
        <w:pStyle w:val="34"/>
        <w:ind w:firstLine="480"/>
        <w:rPr>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为确保网上操作合法、有效和安全，投标人应当在投标截止时间前完成在“政府采购云平台”的身份认证，确保在电子投标过程中能够对相关数据电文进行加密和使用电子签名。</w:t>
      </w:r>
    </w:p>
    <w:p w14:paraId="18259A05">
      <w:pPr>
        <w:pStyle w:val="33"/>
        <w:ind w:firstLine="482"/>
      </w:pPr>
      <w:r>
        <w:rPr>
          <w:rFonts w:hint="eastAsia"/>
        </w:rPr>
        <w:t>生成电子标书</w:t>
      </w:r>
    </w:p>
    <w:p w14:paraId="7CD7DA80">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生成电子标书</w:t>
      </w:r>
    </w:p>
    <w:p w14:paraId="62697956">
      <w:pPr>
        <w:pStyle w:val="34"/>
        <w:ind w:firstLine="480"/>
        <w:rPr>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2469780E">
      <w:pPr>
        <w:pStyle w:val="34"/>
        <w:ind w:firstLine="480"/>
        <w:rPr>
          <w:u w:val="single"/>
        </w:rPr>
      </w:pPr>
      <w:r>
        <w:rPr>
          <w:rFonts w:hint="eastAsia"/>
          <w:u w:val="single"/>
        </w:rPr>
        <w:t>投标人</w:t>
      </w:r>
      <w:r>
        <w:rPr>
          <w:rFonts w:hint="eastAsia"/>
          <w:u w:val="single"/>
          <w:lang w:eastAsia="zh-CN"/>
        </w:rPr>
        <w:t>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5A7474F3">
      <w:pPr>
        <w:pStyle w:val="34"/>
        <w:ind w:firstLine="480"/>
        <w:rPr>
          <w:u w:val="single"/>
        </w:rPr>
      </w:pPr>
      <w:r>
        <w:rPr>
          <w:rFonts w:hint="eastAsia"/>
          <w:u w:val="single"/>
        </w:rPr>
        <w:t>如有疑问，可致电政府采购云平台技术支持热线咨询，联系方式：400-881-7190；CA问题联系电话（人工）：汇信CA 400-888-4636；天谷CA 400-087-8198。</w:t>
      </w:r>
    </w:p>
    <w:p w14:paraId="7AB7F760">
      <w:pPr>
        <w:pStyle w:val="34"/>
        <w:ind w:firstLine="480"/>
        <w:rPr>
          <w:u w:val="single"/>
        </w:rPr>
      </w:pPr>
    </w:p>
    <w:p w14:paraId="063EDA1A">
      <w:pPr>
        <w:pStyle w:val="36"/>
      </w:pPr>
      <w:bookmarkStart w:id="59" w:name="_Toc464483848"/>
      <w:bookmarkEnd w:id="59"/>
      <w:bookmarkStart w:id="60" w:name="_Toc29007"/>
      <w:bookmarkStart w:id="61" w:name="_Toc26945"/>
      <w:bookmarkStart w:id="62" w:name="_Toc15339"/>
      <w:bookmarkStart w:id="63" w:name="_Toc25511"/>
      <w:bookmarkStart w:id="64" w:name="_Toc6274"/>
      <w:r>
        <w:rPr>
          <w:rFonts w:hint="eastAsia"/>
        </w:rPr>
        <w:t>投 标</w:t>
      </w:r>
      <w:bookmarkEnd w:id="60"/>
      <w:bookmarkEnd w:id="61"/>
      <w:bookmarkEnd w:id="62"/>
      <w:bookmarkEnd w:id="63"/>
      <w:bookmarkEnd w:id="64"/>
    </w:p>
    <w:p w14:paraId="3CC967E4">
      <w:pPr>
        <w:pStyle w:val="37"/>
      </w:pPr>
      <w:r>
        <w:rPr>
          <w:rFonts w:hint="eastAsia"/>
          <w:lang w:val="en-US" w:eastAsia="zh-Hans"/>
        </w:rPr>
        <w:t>投标范围</w:t>
      </w:r>
    </w:p>
    <w:p w14:paraId="3837B1E6">
      <w:pPr>
        <w:pStyle w:val="34"/>
        <w:bidi w:val="0"/>
        <w:rPr>
          <w:rFonts w:hint="default"/>
          <w:lang w:val="en-US" w:eastAsia="zh-Hans"/>
        </w:rPr>
      </w:pPr>
      <w:r>
        <w:rPr>
          <w:rFonts w:hint="eastAsia"/>
          <w:lang w:val="en-US" w:eastAsia="zh-Hans"/>
        </w:rPr>
        <w:t>本项目如存在多个标项的，投标人可选择一个或多个标项进行投报，中标规则见“前附表”。</w:t>
      </w:r>
    </w:p>
    <w:p w14:paraId="23621132">
      <w:pPr>
        <w:pStyle w:val="44"/>
        <w:numPr>
          <w:ilvl w:val="0"/>
          <w:numId w:val="0"/>
        </w:numPr>
        <w:bidi w:val="0"/>
        <w:ind w:leftChars="200"/>
      </w:pPr>
      <w:r>
        <w:t>投标人对所投标项内的采购内容必须全部进行投标。</w:t>
      </w:r>
    </w:p>
    <w:p w14:paraId="4845B6B3">
      <w:pPr>
        <w:pStyle w:val="37"/>
      </w:pPr>
      <w:r>
        <w:rPr>
          <w:rFonts w:hint="eastAsia"/>
        </w:rPr>
        <w:t>投标文件的上传（递交）</w:t>
      </w:r>
    </w:p>
    <w:p w14:paraId="2738AC60">
      <w:pPr>
        <w:pStyle w:val="34"/>
        <w:ind w:firstLine="480"/>
        <w:rPr>
          <w:lang w:eastAsia="zh-CN"/>
        </w:rPr>
      </w:pPr>
      <w:r>
        <w:rPr>
          <w:rFonts w:hint="eastAsia"/>
          <w:lang w:eastAsia="zh-CN"/>
        </w:rPr>
        <w:t>投标人</w:t>
      </w:r>
      <w:r>
        <w:rPr>
          <w:rFonts w:hint="eastAsia"/>
        </w:rPr>
        <w:t>生成加密标书后，需在投标截止时间前将加密的投标文件上传至</w:t>
      </w:r>
      <w:r>
        <w:t>“政府采购云平台”（网页）</w:t>
      </w:r>
      <w:r>
        <w:rPr>
          <w:rFonts w:hint="eastAsia"/>
          <w:lang w:eastAsia="zh-CN"/>
        </w:rPr>
        <w:t>。</w:t>
      </w:r>
    </w:p>
    <w:p w14:paraId="23ABBC06">
      <w:pPr>
        <w:pStyle w:val="34"/>
        <w:ind w:firstLine="480"/>
        <w:rPr>
          <w:u w:val="single"/>
        </w:rPr>
      </w:pPr>
      <w:r>
        <w:rPr>
          <w:u w:val="single"/>
        </w:rPr>
        <w:t>菜单路径：我的工作台-项目采购-投标文件上传</w:t>
      </w:r>
    </w:p>
    <w:p w14:paraId="4CE6698F">
      <w:pPr>
        <w:pStyle w:val="34"/>
        <w:ind w:firstLine="480"/>
        <w:rPr>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（该联系信息用于接收开评标期间的有关信息，务必真实并确保联系畅通。）</w:t>
      </w:r>
    </w:p>
    <w:p w14:paraId="2B880E75">
      <w:pPr>
        <w:pStyle w:val="34"/>
        <w:ind w:firstLine="480"/>
        <w:rPr>
          <w:u w:val="single"/>
        </w:rPr>
      </w:pPr>
      <w:r>
        <w:rPr>
          <w:u w:val="single"/>
        </w:rPr>
        <w:t>投标截止时间后传输递交的投标文件，“政府采购云平台”将予以拒收。</w:t>
      </w:r>
    </w:p>
    <w:p w14:paraId="72B07A65">
      <w:pPr>
        <w:pStyle w:val="37"/>
      </w:pPr>
      <w:r>
        <w:rPr>
          <w:rFonts w:hint="eastAsia"/>
        </w:rPr>
        <w:t>投标文件的补充、修改、撤回</w:t>
      </w:r>
    </w:p>
    <w:p w14:paraId="7144F978">
      <w:pPr>
        <w:pStyle w:val="34"/>
        <w:ind w:firstLine="480"/>
        <w:rPr>
          <w:lang w:eastAsia="zh-CN"/>
        </w:rPr>
      </w:pPr>
      <w:r>
        <w:t>在投标截止时间前，</w:t>
      </w:r>
      <w:r>
        <w:rPr>
          <w:rFonts w:hint="eastAsia"/>
          <w:lang w:eastAsia="zh-CN"/>
        </w:rPr>
        <w:t>投标人</w:t>
      </w:r>
      <w:r>
        <w:t>可</w:t>
      </w:r>
      <w:r>
        <w:rPr>
          <w:rFonts w:hint="eastAsia"/>
          <w:lang w:eastAsia="zh-CN"/>
        </w:rPr>
        <w:t>在</w:t>
      </w:r>
      <w:r>
        <w:t>“政府采购云平台”（网页）</w:t>
      </w:r>
      <w:r>
        <w:rPr>
          <w:rFonts w:hint="eastAsia"/>
          <w:lang w:eastAsia="zh-CN"/>
        </w:rPr>
        <w:t>中“</w:t>
      </w:r>
      <w:r>
        <w:t>我的工作台-项目采购-投标文件上传</w:t>
      </w:r>
      <w:r>
        <w:rPr>
          <w:rFonts w:hint="eastAsia"/>
          <w:lang w:eastAsia="zh-CN"/>
        </w:rPr>
        <w:t>”页面</w:t>
      </w:r>
      <w:r>
        <w:t>撤回</w:t>
      </w:r>
      <w:r>
        <w:rPr>
          <w:rFonts w:hint="eastAsia"/>
          <w:lang w:eastAsia="zh-CN"/>
        </w:rPr>
        <w:t>本项目</w:t>
      </w:r>
      <w:r>
        <w:t>投标文件，</w:t>
      </w:r>
      <w:r>
        <w:rPr>
          <w:rFonts w:hint="eastAsia"/>
          <w:lang w:eastAsia="zh-CN"/>
        </w:rPr>
        <w:t>也可在撤回后在“</w:t>
      </w:r>
      <w:r>
        <w:t>政采云投标客户端</w:t>
      </w:r>
      <w:r>
        <w:rPr>
          <w:rFonts w:hint="eastAsia"/>
          <w:lang w:eastAsia="zh-CN"/>
        </w:rPr>
        <w:t>”中补充、修改并重新生成电子加密标书重新上传。</w:t>
      </w:r>
      <w:r>
        <w:rPr>
          <w:lang w:eastAsia="zh-CN"/>
        </w:rPr>
        <w:t>投标截止时间前未重新完成</w:t>
      </w:r>
      <w:r>
        <w:rPr>
          <w:rFonts w:hint="eastAsia"/>
          <w:lang w:eastAsia="zh-CN"/>
        </w:rPr>
        <w:t>上传</w:t>
      </w:r>
      <w:r>
        <w:rPr>
          <w:lang w:eastAsia="zh-CN"/>
        </w:rPr>
        <w:t>的，视为撤回投标文件。</w:t>
      </w:r>
    </w:p>
    <w:p w14:paraId="485AC798">
      <w:pPr>
        <w:pStyle w:val="34"/>
        <w:ind w:firstLine="480"/>
      </w:pPr>
      <w:r>
        <w:rPr>
          <w:rFonts w:hint="eastAsia"/>
          <w:lang w:eastAsia="zh-CN"/>
        </w:rPr>
        <w:t>在投标截止时间后，投标人</w:t>
      </w:r>
      <w:r>
        <w:rPr>
          <w:lang w:eastAsia="zh-CN"/>
        </w:rPr>
        <w:t>不得对投标文件进行补充、修改或撤回。</w:t>
      </w:r>
    </w:p>
    <w:p w14:paraId="4CCCF2EA">
      <w:pPr>
        <w:pStyle w:val="37"/>
      </w:pPr>
      <w:r>
        <w:rPr>
          <w:rFonts w:hint="eastAsia"/>
        </w:rPr>
        <w:t>投标文件的备份文件</w:t>
      </w:r>
    </w:p>
    <w:p w14:paraId="0B9025FE">
      <w:pPr>
        <w:pStyle w:val="33"/>
        <w:ind w:firstLine="482"/>
      </w:pPr>
      <w:r>
        <w:rPr>
          <w:rFonts w:hint="eastAsia"/>
        </w:rPr>
        <w:t>备份文件的生成</w:t>
      </w:r>
    </w:p>
    <w:p w14:paraId="2A94D951">
      <w:pPr>
        <w:pStyle w:val="34"/>
        <w:ind w:firstLine="480"/>
      </w:pPr>
      <w:r>
        <w:rPr>
          <w:rFonts w:hint="eastAsia"/>
          <w:lang w:eastAsia="zh-CN"/>
        </w:rPr>
        <w:t>投标人递</w:t>
      </w:r>
      <w:r>
        <w:t>交的备份投标文件应当是通过“政采云电子交易客户端”完成投标文件编制后，与电子加密“投标文件”同时生成的数据电文形式的未加密的备份投标文件，文件格式</w:t>
      </w:r>
      <w:r>
        <w:rPr>
          <w:rFonts w:hint="eastAsia"/>
          <w:lang w:eastAsia="zh-CN"/>
        </w:rPr>
        <w:t>为</w:t>
      </w:r>
      <w:r>
        <w:t>“.bfbs”。</w:t>
      </w:r>
    </w:p>
    <w:p w14:paraId="6161D93D">
      <w:pPr>
        <w:pStyle w:val="34"/>
        <w:ind w:firstLine="480"/>
      </w:pPr>
      <w:r>
        <w:t>以其他方式编制的“备份投标文件”视为无效“备份投标文件”。</w:t>
      </w:r>
    </w:p>
    <w:p w14:paraId="444C47A2">
      <w:pPr>
        <w:pStyle w:val="33"/>
        <w:ind w:firstLine="482"/>
      </w:pPr>
      <w:r>
        <w:t>备份投标文件的递交与接收</w:t>
      </w:r>
    </w:p>
    <w:p w14:paraId="0A4751EE">
      <w:pPr>
        <w:pStyle w:val="34"/>
        <w:ind w:firstLine="480"/>
      </w:pPr>
      <w:r>
        <w:rPr>
          <w:rFonts w:hint="eastAsia"/>
          <w:lang w:eastAsia="zh-CN"/>
        </w:rPr>
        <w:t>投标人可以在</w:t>
      </w:r>
      <w:r>
        <w:t>投标截止时间前以邮寄等方式</w:t>
      </w:r>
      <w:r>
        <w:rPr>
          <w:rFonts w:hint="eastAsia"/>
          <w:lang w:eastAsia="zh-CN"/>
        </w:rPr>
        <w:t>将密封包装的</w:t>
      </w:r>
      <w:r>
        <w:t>备份投标文件</w:t>
      </w:r>
      <w:r>
        <w:rPr>
          <w:rFonts w:hint="eastAsia"/>
          <w:lang w:eastAsia="zh-CN"/>
        </w:rPr>
        <w:t>送至招标</w:t>
      </w:r>
      <w:r>
        <w:t>代理机构（</w:t>
      </w:r>
      <w:r>
        <w:rPr>
          <w:rFonts w:hint="eastAsia"/>
          <w:lang w:eastAsia="zh-CN"/>
        </w:rPr>
        <w:t>联系方式见招标公告</w:t>
      </w:r>
      <w:r>
        <w:t>），送达时间以</w:t>
      </w:r>
      <w:r>
        <w:rPr>
          <w:rFonts w:hint="eastAsia"/>
          <w:lang w:eastAsia="zh-CN"/>
        </w:rPr>
        <w:t>招标</w:t>
      </w:r>
      <w:r>
        <w:t>代理机构工作人员实际签收时间为准</w:t>
      </w:r>
      <w:r>
        <w:rPr>
          <w:rFonts w:hint="eastAsia"/>
          <w:lang w:eastAsia="zh-CN"/>
        </w:rPr>
        <w:t>。</w:t>
      </w:r>
      <w:r>
        <w:t>“备份投标文件”逾期送达的视为未递交。</w:t>
      </w:r>
    </w:p>
    <w:p w14:paraId="4D4B806A">
      <w:pPr>
        <w:pStyle w:val="34"/>
        <w:ind w:firstLine="480"/>
        <w:rPr>
          <w:u w:val="single"/>
        </w:rPr>
      </w:pPr>
      <w:r>
        <w:rPr>
          <w:u w:val="single"/>
        </w:rPr>
        <w:t>“备份投标文件”由</w:t>
      </w:r>
      <w:r>
        <w:rPr>
          <w:rFonts w:hint="eastAsia"/>
          <w:u w:val="single"/>
          <w:lang w:eastAsia="zh-CN"/>
        </w:rPr>
        <w:t>投标人</w:t>
      </w:r>
      <w:r>
        <w:rPr>
          <w:u w:val="single"/>
        </w:rPr>
        <w:t>自愿提交，不作强制性要求，但供应商仅递交了“备份投标文件”的，投标无效。</w:t>
      </w:r>
    </w:p>
    <w:p w14:paraId="4AED32BF">
      <w:pPr>
        <w:pStyle w:val="33"/>
        <w:ind w:firstLine="482"/>
      </w:pPr>
      <w:r>
        <w:t>备份投标文件的</w:t>
      </w:r>
      <w:r>
        <w:rPr>
          <w:rFonts w:hint="eastAsia"/>
        </w:rPr>
        <w:t>存储、</w:t>
      </w:r>
      <w:r>
        <w:t>密封包装</w:t>
      </w:r>
      <w:r>
        <w:rPr>
          <w:rFonts w:hint="eastAsia"/>
        </w:rPr>
        <w:t>及</w:t>
      </w:r>
      <w:r>
        <w:t>标识</w:t>
      </w:r>
    </w:p>
    <w:p w14:paraId="04A9991B">
      <w:pPr>
        <w:pStyle w:val="34"/>
        <w:ind w:firstLine="480"/>
      </w:pPr>
      <w:r>
        <w:t>备份投标文件应当密封包装并在外包装上标注投标项目名称、投标单位名称并加盖公章。“备份投标文件”没有密封包装或标识或盖章的视为未递交。</w:t>
      </w:r>
    </w:p>
    <w:p w14:paraId="0558DD68">
      <w:pPr>
        <w:pStyle w:val="33"/>
        <w:ind w:firstLine="482"/>
      </w:pPr>
      <w:r>
        <w:rPr>
          <w:rFonts w:hint="eastAsia"/>
        </w:rPr>
        <w:t>备份投标文件的使用与失效</w:t>
      </w:r>
    </w:p>
    <w:p w14:paraId="661F2423">
      <w:pPr>
        <w:pStyle w:val="34"/>
        <w:ind w:firstLine="480"/>
      </w:pPr>
      <w:r>
        <w:rPr>
          <w:rFonts w:hint="eastAsia"/>
        </w:rPr>
        <w:t>合格的备份投标文件在电子加密“投标文件”解密异常时拆封、使用，电子加密“投标文件”正常解密的备份投标文件自动失效，不再拆封、使用。</w:t>
      </w:r>
    </w:p>
    <w:p w14:paraId="617BA297">
      <w:pPr>
        <w:pStyle w:val="34"/>
        <w:ind w:firstLine="480"/>
        <w:rPr>
          <w:rFonts w:hint="eastAsia"/>
        </w:rPr>
      </w:pPr>
      <w:r>
        <w:rPr>
          <w:rFonts w:hint="eastAsia"/>
        </w:rPr>
        <w:t>“备份投标文件”与电子加密的“投标文件”同时生成，不属于投标备选（替代）方案。</w:t>
      </w:r>
    </w:p>
    <w:p w14:paraId="74C1BA4D">
      <w:pPr>
        <w:pStyle w:val="37"/>
      </w:pPr>
      <w:bookmarkStart w:id="65" w:name="_Toc2026166791"/>
      <w:r>
        <w:rPr>
          <w:rFonts w:hint="eastAsia"/>
        </w:rPr>
        <w:t>投标样品的递交与退还</w:t>
      </w:r>
      <w:bookmarkEnd w:id="65"/>
    </w:p>
    <w:p w14:paraId="2B102D7B">
      <w:pPr>
        <w:pStyle w:val="44"/>
        <w:numPr>
          <w:ilvl w:val="0"/>
          <w:numId w:val="32"/>
        </w:numPr>
        <w:bidi w:val="0"/>
      </w:pPr>
      <w:r>
        <w:t>投标人应按本章“前附表”及“第三章 项目技术及服务要求”的要求提供样品。</w:t>
      </w:r>
    </w:p>
    <w:p w14:paraId="1BB05C7B">
      <w:pPr>
        <w:pStyle w:val="44"/>
        <w:numPr>
          <w:ilvl w:val="0"/>
          <w:numId w:val="32"/>
        </w:numPr>
        <w:bidi w:val="0"/>
      </w:pPr>
      <w:r>
        <w:t>样品为投标文件的补充，仅作辅助评标用，但其应能真实反应投标货物的参数性能指标，所提供样品与投标文件不符以投标文件为准。</w:t>
      </w:r>
    </w:p>
    <w:p w14:paraId="2B3217CE">
      <w:pPr>
        <w:pStyle w:val="44"/>
        <w:numPr>
          <w:ilvl w:val="0"/>
          <w:numId w:val="32"/>
        </w:numPr>
        <w:bidi w:val="0"/>
      </w:pPr>
      <w:r>
        <w:t>本章“前附表”规定样品标识为“明标”的，投标人须在样品本体明显位置标注“项目（标项）；投标人全称；样品总件数-第几件”（例：A项目，标项B，XX公司 16-1）。</w:t>
      </w:r>
    </w:p>
    <w:p w14:paraId="337C87C7">
      <w:pPr>
        <w:pStyle w:val="44"/>
        <w:numPr>
          <w:ilvl w:val="0"/>
          <w:numId w:val="32"/>
        </w:numPr>
        <w:bidi w:val="0"/>
      </w:pPr>
      <w:r>
        <w:t>本章“前附表”规定样品标识为“暗标”的，投标人样品任何地方均不得出现投标人信息，否则视同未提交样品。</w:t>
      </w:r>
    </w:p>
    <w:p w14:paraId="18163467">
      <w:pPr>
        <w:pStyle w:val="44"/>
        <w:numPr>
          <w:ilvl w:val="0"/>
          <w:numId w:val="32"/>
        </w:numPr>
        <w:bidi w:val="0"/>
      </w:pPr>
      <w:r>
        <w:t>投标人样品应于投标截止时间前到达本章“前附表”规定的地点，否则视为未提交样品。</w:t>
      </w:r>
    </w:p>
    <w:p w14:paraId="1AE635B9">
      <w:pPr>
        <w:pStyle w:val="44"/>
        <w:numPr>
          <w:ilvl w:val="0"/>
          <w:numId w:val="32"/>
        </w:numPr>
        <w:bidi w:val="0"/>
      </w:pPr>
      <w:r>
        <w:t>投标人样品应于本章“前附表”规定的时间起5个工作日取回。</w:t>
      </w:r>
    </w:p>
    <w:p w14:paraId="7CC5AFCC">
      <w:pPr>
        <w:pStyle w:val="44"/>
        <w:numPr>
          <w:ilvl w:val="0"/>
          <w:numId w:val="32"/>
        </w:numPr>
        <w:bidi w:val="0"/>
      </w:pPr>
      <w:r>
        <w:t>本章“前附表”规定中标样品“封存至验收”或“抵扣采购数量”的，中标人应将样品运送至招标人指定地点，期间应保证到达目的地的样品与评标样品完全一致。</w:t>
      </w:r>
    </w:p>
    <w:p w14:paraId="41F5B62B">
      <w:pPr>
        <w:pStyle w:val="44"/>
        <w:numPr>
          <w:ilvl w:val="0"/>
          <w:numId w:val="32"/>
        </w:numPr>
        <w:bidi w:val="0"/>
      </w:pPr>
      <w:r>
        <w:t>样品制作、安装、运输、拆除等递交、退还样品所需要费用由投标人自行承担。</w:t>
      </w:r>
    </w:p>
    <w:p w14:paraId="32F6783F">
      <w:pPr>
        <w:pStyle w:val="34"/>
        <w:ind w:firstLine="480"/>
        <w:rPr>
          <w:rFonts w:hint="eastAsia"/>
        </w:rPr>
      </w:pPr>
      <w:r>
        <w:t>样品的包装应方便样品运输、保存并二次包装，否则投标人取回样品时需自行携带包装。</w:t>
      </w:r>
    </w:p>
    <w:p w14:paraId="7711647D">
      <w:pPr>
        <w:pStyle w:val="36"/>
      </w:pPr>
      <w:bookmarkStart w:id="66" w:name="_Toc91899897"/>
      <w:bookmarkEnd w:id="66"/>
      <w:bookmarkStart w:id="67" w:name="_Toc464483849"/>
      <w:bookmarkEnd w:id="67"/>
      <w:bookmarkStart w:id="68" w:name="_Toc27635"/>
      <w:bookmarkStart w:id="69" w:name="_Toc13657"/>
      <w:bookmarkStart w:id="70" w:name="_Toc30373"/>
      <w:bookmarkStart w:id="71" w:name="_Toc14676"/>
      <w:bookmarkStart w:id="72" w:name="_Toc10536"/>
      <w:r>
        <w:rPr>
          <w:rFonts w:hint="eastAsia"/>
        </w:rPr>
        <w:t>开 标</w:t>
      </w:r>
      <w:bookmarkEnd w:id="68"/>
      <w:bookmarkEnd w:id="69"/>
      <w:bookmarkEnd w:id="70"/>
      <w:bookmarkEnd w:id="71"/>
      <w:bookmarkEnd w:id="72"/>
    </w:p>
    <w:p w14:paraId="4BFB3F0C">
      <w:pPr>
        <w:pStyle w:val="37"/>
      </w:pPr>
      <w:r>
        <w:t>开标组织</w:t>
      </w:r>
    </w:p>
    <w:p w14:paraId="50A6B04F">
      <w:pPr>
        <w:pStyle w:val="34"/>
        <w:ind w:firstLine="480"/>
      </w:pPr>
      <w:r>
        <w:t>本项目开标现场活动由</w:t>
      </w:r>
      <w:r>
        <w:rPr>
          <w:rFonts w:hint="eastAsia"/>
          <w:lang w:eastAsia="zh-CN"/>
        </w:rPr>
        <w:t>招标</w:t>
      </w:r>
      <w:r>
        <w:t>代理机构组织实施，准备工作由</w:t>
      </w:r>
      <w:r>
        <w:rPr>
          <w:rFonts w:hint="eastAsia"/>
          <w:lang w:eastAsia="zh-CN"/>
        </w:rPr>
        <w:t>招标</w:t>
      </w:r>
      <w:r>
        <w:t>代理机构负责落实，开标过程由</w:t>
      </w:r>
      <w:r>
        <w:rPr>
          <w:rFonts w:hint="eastAsia"/>
          <w:lang w:eastAsia="zh-CN"/>
        </w:rPr>
        <w:t>招标</w:t>
      </w:r>
      <w:r>
        <w:t>代理机构负责记录，开标现场由</w:t>
      </w:r>
      <w:r>
        <w:rPr>
          <w:rFonts w:hint="eastAsia"/>
          <w:lang w:eastAsia="zh-CN"/>
        </w:rPr>
        <w:t>招标</w:t>
      </w:r>
      <w:r>
        <w:t>代理机构人员主持。</w:t>
      </w:r>
    </w:p>
    <w:p w14:paraId="5FF8A6A5">
      <w:pPr>
        <w:pStyle w:val="34"/>
        <w:ind w:firstLine="480"/>
      </w:pPr>
      <w:r>
        <w:t>本项目采用电子交易，</w:t>
      </w:r>
      <w:r>
        <w:rPr>
          <w:rFonts w:hint="eastAsia"/>
          <w:lang w:eastAsia="zh-CN"/>
        </w:rPr>
        <w:t>招标</w:t>
      </w:r>
      <w:r>
        <w:t>代理机构将按照</w:t>
      </w:r>
      <w:r>
        <w:rPr>
          <w:rFonts w:hint="eastAsia"/>
          <w:lang w:eastAsia="zh-CN"/>
        </w:rPr>
        <w:t>招标</w:t>
      </w:r>
      <w:r>
        <w:t>文件规定的开标时间在“政府采购云平台”组织开标、开启投标文件，所有</w:t>
      </w:r>
      <w:r>
        <w:rPr>
          <w:rFonts w:hint="eastAsia"/>
          <w:lang w:eastAsia="zh-CN"/>
        </w:rPr>
        <w:t>投标人</w:t>
      </w:r>
      <w:r>
        <w:t>均应当准时在线参加。</w:t>
      </w:r>
    </w:p>
    <w:p w14:paraId="1036E214">
      <w:pPr>
        <w:pStyle w:val="34"/>
        <w:ind w:firstLine="480"/>
      </w:pPr>
      <w:r>
        <w:rPr>
          <w:rFonts w:hint="eastAsia"/>
          <w:lang w:eastAsia="zh-CN"/>
        </w:rPr>
        <w:t>投标人</w:t>
      </w:r>
      <w:r>
        <w:t>对开标过程和开标记录有疑义，以及认为</w:t>
      </w:r>
      <w:r>
        <w:rPr>
          <w:rFonts w:hint="eastAsia"/>
          <w:lang w:eastAsia="zh-CN"/>
        </w:rPr>
        <w:t>招标</w:t>
      </w:r>
      <w:r>
        <w:t>人、</w:t>
      </w:r>
      <w:r>
        <w:rPr>
          <w:rFonts w:hint="eastAsia"/>
          <w:lang w:eastAsia="zh-CN"/>
        </w:rPr>
        <w:t>招标</w:t>
      </w:r>
      <w:r>
        <w:t>代理机构相关工作人员有需要回避的情形的，应当场提出询问或回避申请。</w:t>
      </w:r>
      <w:r>
        <w:rPr>
          <w:rFonts w:hint="eastAsia"/>
          <w:lang w:eastAsia="zh-CN"/>
        </w:rPr>
        <w:t>投标人</w:t>
      </w:r>
      <w:r>
        <w:t>未参加开标的视同认可开标结果。</w:t>
      </w:r>
    </w:p>
    <w:p w14:paraId="566F7C6E">
      <w:pPr>
        <w:pStyle w:val="37"/>
      </w:pPr>
      <w:r>
        <w:t>开标流程</w:t>
      </w:r>
    </w:p>
    <w:p w14:paraId="7BB3F8BF">
      <w:pPr>
        <w:pStyle w:val="34"/>
        <w:ind w:firstLine="480"/>
      </w:pPr>
      <w:r>
        <w:t>本项目由采购代理机构通过“政府采购云平台”按以下流程顺序组织实施开标：</w:t>
      </w:r>
    </w:p>
    <w:p w14:paraId="4866AD4B">
      <w:pPr>
        <w:pStyle w:val="44"/>
        <w:numPr>
          <w:ilvl w:val="0"/>
          <w:numId w:val="33"/>
        </w:numPr>
        <w:bidi w:val="0"/>
      </w:pPr>
      <w:r>
        <w:t>投标截止时间后，招标代理机构将在“政府采购云平台”发出投标文件【开始解密】通知，投标人应当登录“政府采购云平台”并在规定的“在线解密时间期限（30分钟）”内自行完成投标文件的解密。</w:t>
      </w:r>
    </w:p>
    <w:p w14:paraId="363CEB8E">
      <w:pPr>
        <w:pStyle w:val="34"/>
        <w:ind w:firstLine="480"/>
        <w:rPr>
          <w:u w:val="single"/>
        </w:rPr>
      </w:pPr>
      <w:r>
        <w:rPr>
          <w:u w:val="single"/>
          <w:lang w:eastAsia="zh-CN"/>
        </w:rPr>
        <w:t>解密标书时使用的CA锁必须与制作投标文件时使用的为同一把</w:t>
      </w:r>
      <w:r>
        <w:rPr>
          <w:rFonts w:hint="eastAsia"/>
          <w:u w:val="single"/>
          <w:lang w:eastAsia="zh-CN"/>
        </w:rPr>
        <w:t>。</w:t>
      </w:r>
    </w:p>
    <w:p w14:paraId="061879F7">
      <w:pPr>
        <w:pStyle w:val="34"/>
        <w:ind w:firstLine="480"/>
      </w:pPr>
      <w:r>
        <w:rPr>
          <w:rFonts w:hint="eastAsia"/>
          <w:lang w:eastAsia="zh-CN"/>
        </w:rPr>
        <w:t>如遇投标人上传</w:t>
      </w:r>
      <w:r>
        <w:t>至“政府采购云平台”的电子加密“投标文件”无法按时解密时，按以下规定处理：</w:t>
      </w:r>
    </w:p>
    <w:p w14:paraId="3C1A4330">
      <w:pPr>
        <w:pStyle w:val="45"/>
        <w:numPr>
          <w:ilvl w:val="0"/>
          <w:numId w:val="34"/>
        </w:numPr>
        <w:bidi w:val="0"/>
      </w:pPr>
      <w:r>
        <w:t>已按规定递交了合格的备份投标文件的，</w:t>
      </w:r>
      <w:r>
        <w:rPr>
          <w:rFonts w:hint="eastAsia"/>
        </w:rPr>
        <w:t>招标</w:t>
      </w:r>
      <w:r>
        <w:t>代理机构将拆封</w:t>
      </w:r>
      <w:r>
        <w:rPr>
          <w:rFonts w:hint="eastAsia"/>
        </w:rPr>
        <w:t>投标人</w:t>
      </w:r>
      <w:r>
        <w:t>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14:paraId="2D330CD4">
      <w:pPr>
        <w:pStyle w:val="45"/>
        <w:numPr>
          <w:ilvl w:val="0"/>
          <w:numId w:val="34"/>
        </w:numPr>
        <w:bidi w:val="0"/>
      </w:pPr>
      <w:r>
        <w:t>未按规定递交合格的备份投标文件的或递交的备份投标文件无法成功上传的，视为投标文件撤回。</w:t>
      </w:r>
    </w:p>
    <w:p w14:paraId="05F3057F">
      <w:pPr>
        <w:pStyle w:val="45"/>
        <w:numPr>
          <w:ilvl w:val="0"/>
          <w:numId w:val="34"/>
        </w:numPr>
        <w:bidi w:val="0"/>
      </w:pPr>
      <w:r>
        <w:t>备份投标文件上传成功后视为投标文件解密成功，供应商可以继续进入后续评审。</w:t>
      </w:r>
    </w:p>
    <w:p w14:paraId="2C05BEB0">
      <w:pPr>
        <w:pStyle w:val="44"/>
        <w:bidi w:val="0"/>
      </w:pPr>
      <w:r>
        <w:t>公布投标文件解密情况（包括成功解密投标文件的供应商名单等信息）；</w:t>
      </w:r>
    </w:p>
    <w:p w14:paraId="112CBA32">
      <w:pPr>
        <w:pStyle w:val="44"/>
        <w:bidi w:val="0"/>
      </w:pPr>
      <w:r>
        <w:t>开启所有已成功解密投标文件的投标人的资格文件，进行资格审查（包括信用信息查询）。资格审查结束后，公布投标人资格审查结果，告知不合格名称及理由；</w:t>
      </w:r>
    </w:p>
    <w:p w14:paraId="2D823161">
      <w:pPr>
        <w:pStyle w:val="44"/>
        <w:bidi w:val="0"/>
      </w:pPr>
      <w:r>
        <w:t>开启所有资格审查合格的投标人的商务技术文件，进入符合性审查和商务技术部分评审；</w:t>
      </w:r>
    </w:p>
    <w:p w14:paraId="3FCB5149">
      <w:pPr>
        <w:pStyle w:val="44"/>
        <w:bidi w:val="0"/>
      </w:pPr>
      <w:r>
        <w:t>符合性审查和商务技术评审结束后，公布经评审的无效标供应商名称及理由；公布经评审的有效供应商名单，同时公布其商务技术得分情况；</w:t>
      </w:r>
    </w:p>
    <w:p w14:paraId="0CA19B57">
      <w:pPr>
        <w:pStyle w:val="44"/>
        <w:bidi w:val="0"/>
      </w:pPr>
      <w:r>
        <w:t>开启有效投标人的报价文件，公布开标一览表有关内容，制作开标记录表，并在线发起“报价确认”，投标人代表及相关人员应及时进行报价确认，供应商不予确认的应说明理由，否则视为无异议；</w:t>
      </w:r>
    </w:p>
    <w:p w14:paraId="4770FCEE">
      <w:pPr>
        <w:pStyle w:val="44"/>
        <w:bidi w:val="0"/>
      </w:pPr>
      <w:r>
        <w:t>进入</w:t>
      </w:r>
      <w:r>
        <w:rPr>
          <w:rFonts w:hint="eastAsia"/>
          <w:lang w:val="en-US" w:eastAsia="zh-Hans"/>
        </w:rPr>
        <w:t>报价文件</w:t>
      </w:r>
      <w:r>
        <w:t>符合性审查和</w:t>
      </w:r>
      <w:r>
        <w:rPr>
          <w:rFonts w:hint="eastAsia"/>
          <w:lang w:val="en-US" w:eastAsia="zh-Hans"/>
        </w:rPr>
        <w:t>报价</w:t>
      </w:r>
      <w:r>
        <w:t>部分评审</w:t>
      </w:r>
      <w:r>
        <w:rPr>
          <w:rFonts w:hint="eastAsia"/>
          <w:lang w:eastAsia="zh-Hans"/>
        </w:rPr>
        <w:t>；</w:t>
      </w:r>
    </w:p>
    <w:p w14:paraId="11C90ABA">
      <w:pPr>
        <w:pStyle w:val="44"/>
        <w:bidi w:val="0"/>
      </w:pPr>
      <w:r>
        <w:t>公布报价文件无效供应商名称及理由，公布有效投标人的报价得分；</w:t>
      </w:r>
    </w:p>
    <w:p w14:paraId="328600A7">
      <w:pPr>
        <w:pStyle w:val="44"/>
        <w:bidi w:val="0"/>
      </w:pPr>
      <w:r>
        <w:t>公布评审结果、中标候选供应商名单及采购人最终确定中标或成交供应商名单的时间和公告方式等。</w:t>
      </w:r>
    </w:p>
    <w:p w14:paraId="3C5248A3">
      <w:pPr>
        <w:pStyle w:val="37"/>
      </w:pPr>
      <w:r>
        <w:t>开标过程特殊情况说明</w:t>
      </w:r>
    </w:p>
    <w:p w14:paraId="4F3F8D54">
      <w:pPr>
        <w:pStyle w:val="44"/>
        <w:numPr>
          <w:ilvl w:val="0"/>
          <w:numId w:val="35"/>
        </w:numPr>
        <w:bidi w:val="0"/>
      </w:pPr>
      <w:r>
        <w:t>如遇“政府采购云平台”电子化开标或评审程序调整的，按调整后程序执行，不再另行通知。</w:t>
      </w:r>
    </w:p>
    <w:p w14:paraId="1D86BB3A">
      <w:pPr>
        <w:pStyle w:val="44"/>
        <w:numPr>
          <w:ilvl w:val="0"/>
          <w:numId w:val="35"/>
        </w:numPr>
        <w:bidi w:val="0"/>
      </w:pPr>
      <w:r>
        <w:t>开标过程中需要相关当事人进行签字或盖章确认的材料将通过“政府采购云平台”进行，若因“政府采购云平台”技术问题无法进行签字或盖章确认的，招标代理机构将通过邮件等形式组织确认。</w:t>
      </w:r>
    </w:p>
    <w:p w14:paraId="41377BAA">
      <w:pPr>
        <w:pStyle w:val="34"/>
        <w:ind w:firstLine="480"/>
      </w:pPr>
      <w:bookmarkStart w:id="73" w:name="_Toc464483850"/>
      <w:bookmarkEnd w:id="73"/>
    </w:p>
    <w:p w14:paraId="7BE3C7A7">
      <w:pPr>
        <w:pStyle w:val="36"/>
      </w:pPr>
      <w:bookmarkStart w:id="74" w:name="_Toc3305"/>
      <w:bookmarkStart w:id="75" w:name="_Toc19936"/>
      <w:bookmarkStart w:id="76" w:name="_Toc30076"/>
      <w:bookmarkStart w:id="77" w:name="_Toc22764"/>
      <w:bookmarkStart w:id="78" w:name="_Toc25543"/>
      <w:r>
        <w:t>资格审查</w:t>
      </w:r>
      <w:bookmarkEnd w:id="74"/>
      <w:bookmarkEnd w:id="75"/>
      <w:bookmarkEnd w:id="76"/>
      <w:bookmarkEnd w:id="77"/>
      <w:bookmarkEnd w:id="78"/>
    </w:p>
    <w:p w14:paraId="51497279">
      <w:pPr>
        <w:pStyle w:val="44"/>
        <w:numPr>
          <w:ilvl w:val="0"/>
          <w:numId w:val="36"/>
        </w:numPr>
        <w:bidi w:val="0"/>
      </w:pPr>
      <w:r>
        <w:t>开标后，</w:t>
      </w:r>
      <w:r>
        <w:rPr>
          <w:rFonts w:hint="eastAsia"/>
          <w:lang w:eastAsia="zh-CN"/>
        </w:rPr>
        <w:t>招标人</w:t>
      </w:r>
      <w:r>
        <w:t>或</w:t>
      </w:r>
      <w:r>
        <w:rPr>
          <w:rFonts w:hint="eastAsia"/>
          <w:lang w:eastAsia="zh-CN"/>
        </w:rPr>
        <w:t>招标</w:t>
      </w:r>
      <w:r>
        <w:t>代理机构首先依法对投标</w:t>
      </w:r>
      <w:r>
        <w:rPr>
          <w:rFonts w:hint="eastAsia"/>
          <w:lang w:eastAsia="zh-CN"/>
        </w:rPr>
        <w:t>人</w:t>
      </w:r>
      <w:r>
        <w:t>的资格文件进行审查，审查各投标人的资格符合情况。</w:t>
      </w:r>
      <w:r>
        <w:rPr>
          <w:rFonts w:hint="eastAsia"/>
          <w:lang w:eastAsia="zh-CN"/>
        </w:rPr>
        <w:t>招标人</w:t>
      </w:r>
      <w:r>
        <w:t>或</w:t>
      </w:r>
      <w:r>
        <w:rPr>
          <w:rFonts w:hint="eastAsia"/>
          <w:lang w:eastAsia="zh-CN"/>
        </w:rPr>
        <w:t>招标</w:t>
      </w:r>
      <w:r>
        <w:t>代理机构仅对投标</w:t>
      </w:r>
      <w:r>
        <w:rPr>
          <w:rFonts w:hint="eastAsia"/>
          <w:lang w:eastAsia="zh-CN"/>
        </w:rPr>
        <w:t>人</w:t>
      </w:r>
      <w:r>
        <w:t>所提交的资格证明材料内容负审核的责任，不对资格证明材料的真实性负责。如发现投标</w:t>
      </w:r>
      <w:r>
        <w:rPr>
          <w:rFonts w:hint="eastAsia"/>
          <w:lang w:eastAsia="zh-CN"/>
        </w:rPr>
        <w:t>人</w:t>
      </w:r>
      <w:r>
        <w:t>所提交的资格证明材料存在弄虚作假或其他与事实不符的情形，</w:t>
      </w:r>
      <w:r>
        <w:rPr>
          <w:rFonts w:hint="eastAsia"/>
          <w:lang w:eastAsia="zh-CN"/>
        </w:rPr>
        <w:t>招标</w:t>
      </w:r>
      <w:r>
        <w:t>人可依法取消其中标资格并追究投标人的法律责任。</w:t>
      </w:r>
    </w:p>
    <w:p w14:paraId="7FD8868A">
      <w:pPr>
        <w:pStyle w:val="44"/>
        <w:numPr>
          <w:ilvl w:val="0"/>
          <w:numId w:val="36"/>
        </w:numPr>
        <w:bidi w:val="0"/>
      </w:pPr>
      <w:r>
        <w:t>投标</w:t>
      </w:r>
      <w:r>
        <w:rPr>
          <w:rFonts w:hint="eastAsia"/>
          <w:lang w:eastAsia="zh-CN"/>
        </w:rPr>
        <w:t>人</w:t>
      </w:r>
      <w:r>
        <w:t>提交的资格文件内的资格证明材料无法证明其符合</w:t>
      </w:r>
      <w:r>
        <w:rPr>
          <w:rFonts w:hint="eastAsia"/>
          <w:lang w:eastAsia="zh-CN"/>
        </w:rPr>
        <w:t>招标</w:t>
      </w:r>
      <w:r>
        <w:t>文件规定的“投标人资格要求（申请人的资格要求）”的，</w:t>
      </w:r>
      <w:r>
        <w:rPr>
          <w:rFonts w:hint="eastAsia"/>
          <w:lang w:eastAsia="zh-CN"/>
        </w:rPr>
        <w:t>招标人</w:t>
      </w:r>
      <w:r>
        <w:t>或</w:t>
      </w:r>
      <w:r>
        <w:rPr>
          <w:rFonts w:hint="eastAsia"/>
          <w:lang w:eastAsia="zh-CN"/>
        </w:rPr>
        <w:t>招标</w:t>
      </w:r>
      <w:r>
        <w:t>代理机构将对其作“资格审查不合格”处理，并不再将其商务技术文件、报价文件提交评审委员会进行后续评审。</w:t>
      </w:r>
    </w:p>
    <w:p w14:paraId="685ED9FF">
      <w:pPr>
        <w:pStyle w:val="44"/>
        <w:numPr>
          <w:ilvl w:val="0"/>
          <w:numId w:val="36"/>
        </w:numPr>
        <w:bidi w:val="0"/>
      </w:pPr>
      <w:r>
        <w:rPr>
          <w:rFonts w:hint="eastAsia"/>
          <w:lang w:eastAsia="zh-CN"/>
        </w:rPr>
        <w:t>投标人</w:t>
      </w:r>
      <w:r>
        <w:t>信用记录查询与使用</w:t>
      </w:r>
    </w:p>
    <w:p w14:paraId="3855916D">
      <w:pPr>
        <w:pStyle w:val="34"/>
        <w:ind w:firstLine="480"/>
      </w:pPr>
      <w:r>
        <w:t>根据《财政部关于在政府采购活动中查询及使用信用记录的通知》（财库〔2016〕125号）相关规定，</w:t>
      </w:r>
      <w:r>
        <w:rPr>
          <w:rFonts w:hint="eastAsia"/>
          <w:lang w:eastAsia="zh-CN"/>
        </w:rPr>
        <w:t>招标</w:t>
      </w:r>
      <w:r>
        <w:t>组织机构将统一通过“信用中国”网站（www.creditchina.gov.cn）、中国政府采购网（www.ccgp.gov.cn）等渠道查询供应商信用记录，对</w:t>
      </w:r>
      <w:r>
        <w:rPr>
          <w:rFonts w:hint="eastAsia"/>
          <w:lang w:eastAsia="zh-CN"/>
        </w:rPr>
        <w:t>投标人</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2B5824C5">
      <w:pPr>
        <w:pStyle w:val="34"/>
        <w:ind w:firstLine="480"/>
      </w:pPr>
      <w:r>
        <w:t>查询工作在资格审查时由</w:t>
      </w:r>
      <w:r>
        <w:rPr>
          <w:rFonts w:hint="eastAsia"/>
          <w:lang w:eastAsia="zh-CN"/>
        </w:rPr>
        <w:t>招标</w:t>
      </w:r>
      <w:r>
        <w:t>组织机构统一进行，查询结果打印后留存备案。</w:t>
      </w:r>
    </w:p>
    <w:p w14:paraId="5AB9D78F">
      <w:pPr>
        <w:pStyle w:val="34"/>
        <w:ind w:firstLine="480"/>
      </w:pPr>
      <w:r>
        <w:t>以联合体形式参加采购活动的，</w:t>
      </w:r>
      <w:r>
        <w:rPr>
          <w:rFonts w:hint="eastAsia"/>
          <w:lang w:val="en-US" w:eastAsia="zh-Hans"/>
        </w:rPr>
        <w:t>将</w:t>
      </w:r>
      <w:r>
        <w:t>对所有联合体成员进行信用记录查询，联合体成员存在不良信用记录的，视同联合体存在不良信用记录。</w:t>
      </w:r>
    </w:p>
    <w:p w14:paraId="52E9CDC4">
      <w:pPr>
        <w:pStyle w:val="44"/>
        <w:bidi w:val="0"/>
      </w:pPr>
      <w:r>
        <w:t>资格审查合格的投标人不足三家的，项目不再进行评审。除采购任务取消情形外，采购人可选择以下方式之一处理：</w:t>
      </w:r>
    </w:p>
    <w:p w14:paraId="5812B522">
      <w:pPr>
        <w:pStyle w:val="45"/>
        <w:numPr>
          <w:ilvl w:val="0"/>
          <w:numId w:val="37"/>
        </w:numPr>
        <w:bidi w:val="0"/>
      </w:pPr>
      <w:r>
        <w:t>将本标项作废标处理，重新组织采购；</w:t>
      </w:r>
    </w:p>
    <w:p w14:paraId="4DF3CA02">
      <w:pPr>
        <w:pStyle w:val="45"/>
        <w:numPr>
          <w:ilvl w:val="0"/>
          <w:numId w:val="37"/>
        </w:numPr>
        <w:bidi w:val="0"/>
      </w:pPr>
      <w:r>
        <w:t>按同级政府采购监督管理部门审批意见采用其他采购方式组织采购。</w:t>
      </w:r>
    </w:p>
    <w:p w14:paraId="71715737">
      <w:pPr>
        <w:pStyle w:val="34"/>
        <w:ind w:firstLine="480"/>
      </w:pPr>
    </w:p>
    <w:p w14:paraId="477349AB">
      <w:pPr>
        <w:pStyle w:val="36"/>
      </w:pPr>
      <w:bookmarkStart w:id="79" w:name="_Toc14201"/>
      <w:bookmarkStart w:id="80" w:name="_Toc7410"/>
      <w:bookmarkStart w:id="81" w:name="_Toc28985"/>
      <w:bookmarkStart w:id="82" w:name="_Toc27901"/>
      <w:bookmarkStart w:id="83" w:name="_Toc30569"/>
      <w:r>
        <w:rPr>
          <w:rFonts w:hint="eastAsia"/>
        </w:rPr>
        <w:t>评 审</w:t>
      </w:r>
      <w:bookmarkEnd w:id="79"/>
      <w:bookmarkEnd w:id="80"/>
      <w:bookmarkEnd w:id="81"/>
      <w:bookmarkEnd w:id="82"/>
      <w:bookmarkEnd w:id="83"/>
    </w:p>
    <w:p w14:paraId="27C855C7">
      <w:pPr>
        <w:pStyle w:val="37"/>
      </w:pPr>
      <w:bookmarkStart w:id="84" w:name="_Toc91899903"/>
      <w:bookmarkEnd w:id="84"/>
      <w:r>
        <w:t>评审组织</w:t>
      </w:r>
    </w:p>
    <w:p w14:paraId="3BE6BDF0">
      <w:pPr>
        <w:pStyle w:val="44"/>
        <w:numPr>
          <w:ilvl w:val="0"/>
          <w:numId w:val="38"/>
        </w:numPr>
        <w:bidi w:val="0"/>
      </w:pPr>
      <w:r>
        <w:t>招标人或招标代理机构负责组织本项目的评审工作，并依法履行职责。</w:t>
      </w:r>
    </w:p>
    <w:p w14:paraId="419775B4">
      <w:pPr>
        <w:pStyle w:val="44"/>
        <w:numPr>
          <w:ilvl w:val="0"/>
          <w:numId w:val="38"/>
        </w:numPr>
        <w:bidi w:val="0"/>
      </w:pPr>
      <w:r>
        <w:t>评审委员会由招标人或招标代理机构依法组建，成员由招标人代表和评审专家组成，成员人数为五人或以上单数，其中评审专家不少于成员总数的三分之二。</w:t>
      </w:r>
    </w:p>
    <w:p w14:paraId="5AB8EFE0">
      <w:pPr>
        <w:pStyle w:val="44"/>
        <w:numPr>
          <w:ilvl w:val="0"/>
          <w:numId w:val="38"/>
        </w:numPr>
        <w:bidi w:val="0"/>
      </w:pPr>
      <w:r>
        <w:t>评审专家从省级或以上财政部门设立的政府采购评审专家库中通过随机方式抽取产生。评审委员会成员名单在采购结果公告前保密。</w:t>
      </w:r>
    </w:p>
    <w:p w14:paraId="4548F8A7">
      <w:pPr>
        <w:pStyle w:val="37"/>
      </w:pPr>
      <w:r>
        <w:t>评</w:t>
      </w:r>
      <w:r>
        <w:rPr>
          <w:rFonts w:hint="eastAsia"/>
          <w:lang w:eastAsia="zh-CN"/>
        </w:rPr>
        <w:t>审</w:t>
      </w:r>
      <w:r>
        <w:t>委员会的职责</w:t>
      </w:r>
    </w:p>
    <w:p w14:paraId="3AF4945C">
      <w:pPr>
        <w:pStyle w:val="34"/>
        <w:ind w:firstLine="480"/>
      </w:pPr>
      <w:r>
        <w:t>评</w:t>
      </w:r>
      <w:r>
        <w:rPr>
          <w:rFonts w:hint="eastAsia"/>
          <w:lang w:eastAsia="zh-CN"/>
        </w:rPr>
        <w:t>审</w:t>
      </w:r>
      <w:r>
        <w:t>委员会负责具体评审事务，并独立履行下列职责：</w:t>
      </w:r>
    </w:p>
    <w:p w14:paraId="629C0EA1">
      <w:pPr>
        <w:pStyle w:val="44"/>
        <w:numPr>
          <w:ilvl w:val="0"/>
          <w:numId w:val="39"/>
        </w:numPr>
        <w:ind w:firstLine="480"/>
      </w:pPr>
      <w:r>
        <w:t>审查、评价投标文件是否符合采购文件的商务、技术等实质性要求；</w:t>
      </w:r>
    </w:p>
    <w:p w14:paraId="5F514E78">
      <w:pPr>
        <w:pStyle w:val="44"/>
        <w:numPr>
          <w:ilvl w:val="0"/>
          <w:numId w:val="39"/>
        </w:numPr>
        <w:ind w:firstLine="480"/>
      </w:pPr>
      <w:r>
        <w:t>要求投标</w:t>
      </w:r>
      <w:r>
        <w:rPr>
          <w:rFonts w:hint="eastAsia"/>
        </w:rPr>
        <w:t>人</w:t>
      </w:r>
      <w:r>
        <w:t>对投标文件有关事项作出澄清或者说明；</w:t>
      </w:r>
    </w:p>
    <w:p w14:paraId="12895AAC">
      <w:pPr>
        <w:pStyle w:val="44"/>
        <w:numPr>
          <w:ilvl w:val="0"/>
          <w:numId w:val="39"/>
        </w:numPr>
        <w:ind w:firstLine="480"/>
      </w:pPr>
      <w:r>
        <w:t>对投标文件进行</w:t>
      </w:r>
      <w:r>
        <w:rPr>
          <w:rFonts w:hint="eastAsia"/>
        </w:rPr>
        <w:t>详细</w:t>
      </w:r>
      <w:r>
        <w:t>评价；</w:t>
      </w:r>
    </w:p>
    <w:p w14:paraId="1EE4C2FA">
      <w:pPr>
        <w:pStyle w:val="44"/>
        <w:numPr>
          <w:ilvl w:val="0"/>
          <w:numId w:val="39"/>
        </w:numPr>
        <w:ind w:firstLine="480"/>
      </w:pPr>
      <w:r>
        <w:t>确定中标候选供应商名单</w:t>
      </w:r>
      <w:r>
        <w:rPr>
          <w:rFonts w:hint="eastAsia"/>
        </w:rPr>
        <w:t>或</w:t>
      </w:r>
      <w:r>
        <w:t>根据</w:t>
      </w:r>
      <w:r>
        <w:rPr>
          <w:rFonts w:hint="eastAsia"/>
        </w:rPr>
        <w:t>招标</w:t>
      </w:r>
      <w:r>
        <w:t>人委托直接确定中标供应商；</w:t>
      </w:r>
    </w:p>
    <w:p w14:paraId="729E5DB5">
      <w:pPr>
        <w:pStyle w:val="44"/>
        <w:numPr>
          <w:ilvl w:val="0"/>
          <w:numId w:val="39"/>
        </w:numPr>
        <w:ind w:firstLine="480"/>
      </w:pPr>
      <w:r>
        <w:t>向</w:t>
      </w:r>
      <w:r>
        <w:rPr>
          <w:rFonts w:hint="eastAsia"/>
        </w:rPr>
        <w:t>招标人、招标</w:t>
      </w:r>
      <w:r>
        <w:t>代理机构或者有关部门报告评审中发现的违法行为。</w:t>
      </w:r>
    </w:p>
    <w:p w14:paraId="56105FF6">
      <w:pPr>
        <w:pStyle w:val="37"/>
      </w:pPr>
      <w:r>
        <w:t>评审原则</w:t>
      </w:r>
    </w:p>
    <w:p w14:paraId="0CAFB9E7">
      <w:pPr>
        <w:pStyle w:val="44"/>
        <w:numPr>
          <w:ilvl w:val="0"/>
          <w:numId w:val="40"/>
        </w:numPr>
        <w:bidi w:val="0"/>
      </w:pPr>
      <w:r>
        <w:t>评审原则：评审委员会按照客观、公正、审慎、择优的原则，根据采购文件规定的评审程序、评审方法和评审标准进行独立评审。</w:t>
      </w:r>
    </w:p>
    <w:p w14:paraId="0B09E6C2">
      <w:pPr>
        <w:pStyle w:val="44"/>
        <w:numPr>
          <w:ilvl w:val="0"/>
          <w:numId w:val="40"/>
        </w:numPr>
        <w:bidi w:val="0"/>
      </w:pPr>
      <w:r>
        <w:t>评审工作将依据招标文件、投标文件及采购文件中事先已列明的内容进行（如方案讲解、演示、样品等）。</w:t>
      </w:r>
    </w:p>
    <w:p w14:paraId="43034B59">
      <w:pPr>
        <w:pStyle w:val="37"/>
      </w:pPr>
      <w:r>
        <w:t>评</w:t>
      </w:r>
      <w:r>
        <w:rPr>
          <w:rFonts w:hint="eastAsia"/>
          <w:lang w:eastAsia="zh-CN"/>
        </w:rPr>
        <w:t>审</w:t>
      </w:r>
      <w:r>
        <w:t>意见的争议处理</w:t>
      </w:r>
    </w:p>
    <w:p w14:paraId="428D272C">
      <w:pPr>
        <w:pStyle w:val="34"/>
        <w:ind w:firstLine="480"/>
        <w:rPr>
          <w:lang w:eastAsia="zh-CN"/>
        </w:rPr>
      </w:pPr>
      <w:r>
        <w:t>评</w:t>
      </w:r>
      <w:r>
        <w:rPr>
          <w:rFonts w:hint="eastAsia"/>
        </w:rPr>
        <w:t>审</w:t>
      </w:r>
      <w:r>
        <w:t>委员会成员对需要共同认定的事项存在争议的，按照少数服从多数的原则作出结论。持不同意见的评</w:t>
      </w:r>
      <w:r>
        <w:rPr>
          <w:rFonts w:hint="eastAsia"/>
        </w:rPr>
        <w:t>审</w:t>
      </w:r>
      <w:r>
        <w:t>委员会成员应当在评</w:t>
      </w:r>
      <w:r>
        <w:rPr>
          <w:rFonts w:hint="eastAsia"/>
        </w:rPr>
        <w:t>审</w:t>
      </w:r>
      <w:r>
        <w:t>报告上签署不同意见及理由，否则视为同意评</w:t>
      </w:r>
      <w:r>
        <w:rPr>
          <w:rFonts w:hint="eastAsia"/>
        </w:rPr>
        <w:t>审</w:t>
      </w:r>
      <w:r>
        <w:t>报告</w:t>
      </w:r>
      <w:r>
        <w:rPr>
          <w:rFonts w:hint="eastAsia"/>
        </w:rPr>
        <w:t>。</w:t>
      </w:r>
    </w:p>
    <w:p w14:paraId="2217DA76">
      <w:pPr>
        <w:pStyle w:val="37"/>
      </w:pPr>
      <w:r>
        <w:t>评</w:t>
      </w:r>
      <w:r>
        <w:rPr>
          <w:rFonts w:hint="eastAsia"/>
          <w:lang w:eastAsia="zh-CN"/>
        </w:rPr>
        <w:t>审</w:t>
      </w:r>
      <w:r>
        <w:t>纪律</w:t>
      </w:r>
    </w:p>
    <w:p w14:paraId="0324A3AD">
      <w:pPr>
        <w:pStyle w:val="34"/>
        <w:ind w:firstLine="480"/>
      </w:pPr>
      <w:r>
        <w:rPr>
          <w:rFonts w:hint="eastAsia"/>
        </w:rPr>
        <w:t>评审委员会成员要严格遵守评标纪律、保密、回避等相关规定，依法独立履行评标职责，客观、公正、审慎参与评标工作：</w:t>
      </w:r>
    </w:p>
    <w:p w14:paraId="6B074138">
      <w:pPr>
        <w:pStyle w:val="44"/>
        <w:numPr>
          <w:ilvl w:val="0"/>
          <w:numId w:val="41"/>
        </w:numPr>
        <w:ind w:firstLine="480"/>
      </w:pPr>
      <w:r>
        <w:rPr>
          <w:rFonts w:hint="eastAsia"/>
        </w:rPr>
        <w:t>严格遵守评标时间，因突发情况确实不能按时参加评标的，应事先告知招标组织机构；</w:t>
      </w:r>
    </w:p>
    <w:p w14:paraId="4A78A6D8">
      <w:pPr>
        <w:pStyle w:val="44"/>
        <w:numPr>
          <w:ilvl w:val="0"/>
          <w:numId w:val="41"/>
        </w:numPr>
        <w:ind w:firstLine="480"/>
      </w:pPr>
      <w:r>
        <w:rPr>
          <w:rFonts w:hint="eastAsia"/>
        </w:rPr>
        <w:t>服从招标组织机构的现场管理，主动出示身份证明，进入评标区域后应主动寄存移动通讯工具，按要求佩戴工作牌；</w:t>
      </w:r>
    </w:p>
    <w:p w14:paraId="27F58867">
      <w:pPr>
        <w:pStyle w:val="44"/>
        <w:numPr>
          <w:ilvl w:val="0"/>
          <w:numId w:val="41"/>
        </w:numPr>
        <w:ind w:firstLine="480"/>
      </w:pPr>
      <w:r>
        <w:rPr>
          <w:rFonts w:hint="eastAsia"/>
        </w:rPr>
        <w:t>与投标人或评审委员会其他成员存在利害关系的，要主动回避，自觉签订《政府采购评审人员廉洁自律承诺书》；</w:t>
      </w:r>
    </w:p>
    <w:p w14:paraId="7EDB63D8">
      <w:pPr>
        <w:pStyle w:val="44"/>
        <w:numPr>
          <w:ilvl w:val="0"/>
          <w:numId w:val="41"/>
        </w:numPr>
        <w:ind w:firstLine="480"/>
      </w:pPr>
      <w:r>
        <w:rPr>
          <w:rFonts w:hint="eastAsia"/>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6FCFA08E">
      <w:pPr>
        <w:pStyle w:val="44"/>
        <w:numPr>
          <w:ilvl w:val="0"/>
          <w:numId w:val="41"/>
        </w:numPr>
        <w:ind w:firstLine="480"/>
      </w:pPr>
      <w:r>
        <w:rPr>
          <w:rFonts w:hint="eastAsia"/>
        </w:rPr>
        <w:t>自觉遵守职业道德，尊重招标人代表和投标人代表，配合招标组织机构回答投标人代表提出的有关异议；</w:t>
      </w:r>
    </w:p>
    <w:p w14:paraId="7B274D1E">
      <w:pPr>
        <w:pStyle w:val="44"/>
        <w:numPr>
          <w:ilvl w:val="0"/>
          <w:numId w:val="41"/>
        </w:numPr>
        <w:ind w:firstLine="480"/>
      </w:pPr>
      <w:r>
        <w:rPr>
          <w:rFonts w:hint="eastAsia"/>
        </w:rPr>
        <w:t>不得将评标过程、结果和投标人的商业秘密透露给任何单位和个人。未公告评标结果前不准泄露评标结果，不准将评标资料带出会场；</w:t>
      </w:r>
    </w:p>
    <w:p w14:paraId="162E1676">
      <w:pPr>
        <w:pStyle w:val="44"/>
        <w:numPr>
          <w:ilvl w:val="0"/>
          <w:numId w:val="41"/>
        </w:numPr>
        <w:ind w:firstLine="480"/>
      </w:pPr>
      <w:r>
        <w:rPr>
          <w:rFonts w:hint="eastAsia"/>
        </w:rPr>
        <w:t>评标过程中，涉及到相关法律法规不清楚之处的，由招标人监管部门或请示权威部门作出法定解释，涉及到招标文件的由编制招标文件的机构和部门负责解释。</w:t>
      </w:r>
    </w:p>
    <w:p w14:paraId="6B312EE5">
      <w:pPr>
        <w:pStyle w:val="37"/>
      </w:pPr>
      <w:r>
        <w:t>评</w:t>
      </w:r>
      <w:r>
        <w:rPr>
          <w:rFonts w:hint="eastAsia"/>
          <w:lang w:eastAsia="zh-CN"/>
        </w:rPr>
        <w:t>审</w:t>
      </w:r>
      <w:r>
        <w:t>方法和标准</w:t>
      </w:r>
    </w:p>
    <w:p w14:paraId="510CA694">
      <w:pPr>
        <w:pStyle w:val="34"/>
        <w:bidi w:val="0"/>
      </w:pPr>
      <w:r>
        <w:t>评审委员会将按照采购文件中规定的评审方法和标准，对符合性审查合格的投标文件进行商务和技术评估，综合评价。详细评审方法和标准见本招标文件“第五章 评审方法和标准”。</w:t>
      </w:r>
    </w:p>
    <w:p w14:paraId="4E2CAC3F">
      <w:pPr>
        <w:pStyle w:val="37"/>
      </w:pPr>
      <w:r>
        <w:rPr>
          <w:rFonts w:hint="eastAsia"/>
        </w:rPr>
        <w:t>评</w:t>
      </w:r>
      <w:r>
        <w:rPr>
          <w:rFonts w:hint="eastAsia"/>
          <w:lang w:eastAsia="zh-CN"/>
        </w:rPr>
        <w:t>审</w:t>
      </w:r>
      <w:r>
        <w:rPr>
          <w:rFonts w:hint="eastAsia"/>
        </w:rPr>
        <w:t>内容的保密</w:t>
      </w:r>
    </w:p>
    <w:p w14:paraId="4F2855C1">
      <w:pPr>
        <w:pStyle w:val="44"/>
        <w:numPr>
          <w:ilvl w:val="0"/>
          <w:numId w:val="42"/>
        </w:numPr>
        <w:bidi w:val="0"/>
      </w:pPr>
      <w:r>
        <w:t>公开开标后，直到公告中标单位止，凡属于审查、澄清、评价和比较投标的所有资料，都不向投标人或与评标无关的其他人泄露。</w:t>
      </w:r>
    </w:p>
    <w:p w14:paraId="0E1671BE">
      <w:pPr>
        <w:pStyle w:val="44"/>
        <w:numPr>
          <w:ilvl w:val="0"/>
          <w:numId w:val="42"/>
        </w:numPr>
        <w:bidi w:val="0"/>
      </w:pPr>
      <w:r>
        <w:t>在投标文件的审查、澄清、评价和比较以及确定中标人过程中，投标人对招标人、招标代理机构和评审委员会施加影响的任何行为，都将导致取消资格。</w:t>
      </w:r>
    </w:p>
    <w:p w14:paraId="56E0A4F7">
      <w:pPr>
        <w:pStyle w:val="34"/>
        <w:ind w:firstLine="480"/>
      </w:pPr>
    </w:p>
    <w:p w14:paraId="0CBD5C57">
      <w:pPr>
        <w:pStyle w:val="36"/>
      </w:pPr>
      <w:bookmarkStart w:id="85" w:name="_Toc26305"/>
      <w:bookmarkStart w:id="86" w:name="_Toc16843"/>
      <w:bookmarkStart w:id="87" w:name="_Toc17985"/>
      <w:bookmarkStart w:id="88" w:name="_Toc30761"/>
      <w:bookmarkStart w:id="89" w:name="_Toc5751"/>
      <w:r>
        <w:rPr>
          <w:rFonts w:hint="eastAsia"/>
        </w:rPr>
        <w:t>定 标</w:t>
      </w:r>
      <w:bookmarkEnd w:id="85"/>
      <w:bookmarkEnd w:id="86"/>
      <w:bookmarkEnd w:id="87"/>
      <w:bookmarkEnd w:id="88"/>
      <w:bookmarkEnd w:id="89"/>
    </w:p>
    <w:p w14:paraId="4EAF3BA2">
      <w:pPr>
        <w:pStyle w:val="37"/>
      </w:pPr>
      <w:r>
        <w:rPr>
          <w:rFonts w:hint="eastAsia"/>
        </w:rPr>
        <w:t>定标</w:t>
      </w:r>
      <w:r>
        <w:rPr>
          <w:rFonts w:hint="eastAsia"/>
        </w:rPr>
        <w:tab/>
      </w:r>
    </w:p>
    <w:p w14:paraId="03411D34">
      <w:pPr>
        <w:pStyle w:val="34"/>
        <w:ind w:firstLine="480"/>
      </w:pPr>
      <w:r>
        <w:rPr>
          <w:rFonts w:hint="eastAsia"/>
        </w:rPr>
        <w:t>评审委员会将根据招标文件和有关规定，履行评标工作职责，以评标办法为标准，推荐中标候选人的先后顺序，并按顺序提出授标建议。招标人按政府采购法有关规定最终确定招标结果。</w:t>
      </w:r>
    </w:p>
    <w:p w14:paraId="3EC4EF69">
      <w:pPr>
        <w:pStyle w:val="37"/>
      </w:pPr>
      <w:r>
        <w:rPr>
          <w:rFonts w:hint="eastAsia"/>
        </w:rPr>
        <w:t>招标结果公告</w:t>
      </w:r>
      <w:r>
        <w:rPr>
          <w:rFonts w:hint="eastAsia"/>
        </w:rPr>
        <w:tab/>
      </w:r>
    </w:p>
    <w:p w14:paraId="2B4C55FF">
      <w:pPr>
        <w:pStyle w:val="34"/>
        <w:ind w:firstLine="480"/>
      </w:pPr>
      <w:r>
        <w:rPr>
          <w:rFonts w:hint="eastAsia"/>
        </w:rPr>
        <w:t>在招标人确认招标结果后招标代理机构按相关政府采购规定将招标结果发布在原招标公告发布媒体。</w:t>
      </w:r>
    </w:p>
    <w:p w14:paraId="3A4ED337">
      <w:pPr>
        <w:pStyle w:val="34"/>
        <w:ind w:firstLine="480"/>
      </w:pPr>
      <w:r>
        <w:rPr>
          <w:rFonts w:hint="eastAsia"/>
        </w:rPr>
        <w:t>结果公告内容包括</w:t>
      </w:r>
      <w:r>
        <w:rPr>
          <w:rFonts w:hint="eastAsia"/>
          <w:lang w:eastAsia="zh-CN"/>
        </w:rPr>
        <w:t>招标</w:t>
      </w:r>
      <w:r>
        <w:rPr>
          <w:rFonts w:hint="eastAsia"/>
        </w:rPr>
        <w:t>人</w:t>
      </w:r>
      <w:r>
        <w:rPr>
          <w:rFonts w:hint="eastAsia"/>
          <w:lang w:eastAsia="zh-CN"/>
        </w:rPr>
        <w:t>、招标代理</w:t>
      </w:r>
      <w:r>
        <w:rPr>
          <w:rFonts w:hint="eastAsia"/>
        </w:rPr>
        <w:t>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w:t>
      </w:r>
      <w:r>
        <w:rPr>
          <w:rFonts w:hint="eastAsia"/>
          <w:lang w:eastAsia="zh-CN"/>
        </w:rPr>
        <w:t>情况</w:t>
      </w:r>
      <w:r>
        <w:rPr>
          <w:rFonts w:hint="eastAsia"/>
        </w:rPr>
        <w:t>。</w:t>
      </w:r>
    </w:p>
    <w:p w14:paraId="03F57626">
      <w:pPr>
        <w:pStyle w:val="34"/>
        <w:ind w:firstLine="480"/>
      </w:pPr>
      <w:r>
        <w:rPr>
          <w:rFonts w:hint="eastAsia"/>
        </w:rPr>
        <w:t>公告有效期为1个工作日。</w:t>
      </w:r>
    </w:p>
    <w:p w14:paraId="2E79148A">
      <w:pPr>
        <w:pStyle w:val="34"/>
        <w:ind w:firstLine="480"/>
      </w:pPr>
      <w:r>
        <w:rPr>
          <w:rFonts w:hint="eastAsia"/>
        </w:rPr>
        <w:t>招标人、招标代理机构及评审委员会对未中标的投标人不作落标原因解释。</w:t>
      </w:r>
    </w:p>
    <w:p w14:paraId="17648807">
      <w:pPr>
        <w:pStyle w:val="37"/>
      </w:pPr>
      <w:bookmarkStart w:id="90" w:name="_Toc86216995"/>
      <w:bookmarkEnd w:id="90"/>
      <w:bookmarkStart w:id="91" w:name="_Hlt75236103"/>
      <w:bookmarkEnd w:id="91"/>
      <w:bookmarkStart w:id="92" w:name="_Toc91899910"/>
      <w:r>
        <w:rPr>
          <w:rFonts w:hint="eastAsia"/>
        </w:rPr>
        <w:t>中标通知书</w:t>
      </w:r>
      <w:bookmarkEnd w:id="92"/>
      <w:r>
        <w:rPr>
          <w:rFonts w:hint="eastAsia"/>
        </w:rPr>
        <w:tab/>
      </w:r>
    </w:p>
    <w:p w14:paraId="17EA7837">
      <w:pPr>
        <w:pStyle w:val="34"/>
        <w:ind w:firstLine="480"/>
      </w:pPr>
      <w:r>
        <w:rPr>
          <w:rFonts w:hint="eastAsia"/>
        </w:rPr>
        <w:t>招标代理机构将以书面形式向中标人发出《中标通知书》。</w:t>
      </w:r>
    </w:p>
    <w:p w14:paraId="6F123777">
      <w:pPr>
        <w:pStyle w:val="34"/>
        <w:ind w:firstLine="480"/>
      </w:pPr>
    </w:p>
    <w:p w14:paraId="1CF25EC7">
      <w:pPr>
        <w:pStyle w:val="36"/>
      </w:pPr>
      <w:bookmarkStart w:id="93" w:name="_Toc13403"/>
      <w:bookmarkStart w:id="94" w:name="_Toc11289"/>
      <w:bookmarkStart w:id="95" w:name="_Toc14217"/>
      <w:bookmarkStart w:id="96" w:name="_Toc13136"/>
      <w:bookmarkStart w:id="97" w:name="_Toc32286"/>
      <w:r>
        <w:t>合同签订和履约担保</w:t>
      </w:r>
      <w:bookmarkEnd w:id="93"/>
      <w:bookmarkEnd w:id="94"/>
      <w:bookmarkEnd w:id="95"/>
      <w:bookmarkEnd w:id="96"/>
      <w:bookmarkEnd w:id="97"/>
    </w:p>
    <w:p w14:paraId="2B94B516">
      <w:pPr>
        <w:pStyle w:val="37"/>
      </w:pPr>
      <w:r>
        <w:t>合同</w:t>
      </w:r>
      <w:r>
        <w:rPr>
          <w:rFonts w:hint="eastAsia"/>
          <w:lang w:eastAsia="zh-CN"/>
        </w:rPr>
        <w:t>签订</w:t>
      </w:r>
    </w:p>
    <w:p w14:paraId="4D821171">
      <w:pPr>
        <w:pStyle w:val="44"/>
        <w:numPr>
          <w:ilvl w:val="0"/>
          <w:numId w:val="43"/>
        </w:numPr>
        <w:bidi w:val="0"/>
      </w:pPr>
      <w:r>
        <w:t>中标人应在《中标通知书》发出后30天内的时间内，通过“政府采购云平台”或线下与招标人签订政府采购合同。所签订的合同不得对招标文件确定的事项和中标供应商投标文件作实质性修改。招标代理机构将根据招标人的委托，对合同内容进行审查，如发现与招标结果和投标承诺内容不一致的，将予以纠正。</w:t>
      </w:r>
    </w:p>
    <w:p w14:paraId="58A8053A">
      <w:pPr>
        <w:pStyle w:val="44"/>
        <w:numPr>
          <w:ilvl w:val="0"/>
          <w:numId w:val="43"/>
        </w:numPr>
        <w:bidi w:val="0"/>
      </w:pPr>
      <w:r>
        <w:t>招标文件及补充文件、中标人的投标文件及投标修改文件、评标过程中有关澄清文件和中标通知书均作为合同附件。</w:t>
      </w:r>
    </w:p>
    <w:p w14:paraId="1AC630C0">
      <w:pPr>
        <w:pStyle w:val="44"/>
        <w:numPr>
          <w:ilvl w:val="0"/>
          <w:numId w:val="43"/>
        </w:numPr>
        <w:bidi w:val="0"/>
      </w:pPr>
      <w:r>
        <w:t>中标人拒绝与招标人签订合同的，须按项目预算金额的5%进行赔偿（赔偿金额不足叁万的按叁万计），赔偿用于支付采购代理服务费、专家评审费、其他采购组织费用以及因中标人拒绝签订合同给招标人、招标代理机构造成的其他损失，同时招标组织机构将视情对其失信行为上报至同级政府采购监督管理部门对其依法处理。</w:t>
      </w:r>
    </w:p>
    <w:p w14:paraId="4B6DEE90">
      <w:pPr>
        <w:pStyle w:val="44"/>
        <w:numPr>
          <w:ilvl w:val="0"/>
          <w:numId w:val="43"/>
        </w:numPr>
        <w:bidi w:val="0"/>
      </w:pPr>
      <w:r>
        <w:t>中标人拒绝与招标人签订合同的，招标人可以按照评审报告推荐的中标或者成交候选人名单排序，确定下一候选人为中标供应商，也可以重新开展政府采购活动。</w:t>
      </w:r>
    </w:p>
    <w:p w14:paraId="58EF22F9">
      <w:pPr>
        <w:pStyle w:val="44"/>
        <w:numPr>
          <w:ilvl w:val="0"/>
          <w:numId w:val="43"/>
        </w:numPr>
        <w:bidi w:val="0"/>
      </w:pPr>
      <w:r>
        <w:t>如中标人为联合体的，由联合体成员各方法定代表人或其授权代表与招标人代表签订合同。</w:t>
      </w:r>
    </w:p>
    <w:p w14:paraId="0A19EA4F">
      <w:pPr>
        <w:pStyle w:val="37"/>
      </w:pPr>
      <w:r>
        <w:t>履约担保（履约保证金）</w:t>
      </w:r>
    </w:p>
    <w:p w14:paraId="3EBCC246">
      <w:pPr>
        <w:pStyle w:val="44"/>
        <w:numPr>
          <w:ilvl w:val="0"/>
          <w:numId w:val="44"/>
        </w:numPr>
        <w:bidi w:val="0"/>
      </w:pPr>
      <w:r>
        <w:t>履约担保提交要求：见本章“前附表”，中标人应提交而未提交履约担保的，合同款不予支付、合同验收不予通过。</w:t>
      </w:r>
    </w:p>
    <w:p w14:paraId="5AF53637">
      <w:pPr>
        <w:pStyle w:val="44"/>
        <w:numPr>
          <w:ilvl w:val="0"/>
          <w:numId w:val="44"/>
        </w:numPr>
        <w:bidi w:val="0"/>
      </w:pPr>
      <w:r>
        <w:t>采购合同签订后，中标人不按合同约定履约的，招标人可以解除采购合同，并对中标人已缴纳的履约保证金作“不予退还”处理；此外，中标人还须按以下约定向招标人支付违约金、承担违约责任：</w:t>
      </w:r>
    </w:p>
    <w:p w14:paraId="2ABB927A">
      <w:pPr>
        <w:pStyle w:val="45"/>
        <w:numPr>
          <w:ilvl w:val="0"/>
          <w:numId w:val="45"/>
        </w:numPr>
        <w:bidi w:val="0"/>
      </w:pPr>
      <w:r>
        <w:rPr>
          <w:rFonts w:hint="eastAsia"/>
        </w:rPr>
        <w:t>招标</w:t>
      </w:r>
      <w:r>
        <w:t>人已向中标</w:t>
      </w:r>
      <w:r>
        <w:rPr>
          <w:rFonts w:hint="eastAsia"/>
        </w:rPr>
        <w:t>人</w:t>
      </w:r>
      <w:r>
        <w:t>支付了合同款的，中标</w:t>
      </w:r>
      <w:r>
        <w:rPr>
          <w:rFonts w:hint="eastAsia"/>
        </w:rPr>
        <w:t>人</w:t>
      </w:r>
      <w:r>
        <w:t>须一次性退还</w:t>
      </w:r>
      <w:r>
        <w:rPr>
          <w:rFonts w:hint="eastAsia"/>
        </w:rPr>
        <w:t>招标人</w:t>
      </w:r>
      <w:r>
        <w:t>已支付的合同款，并向</w:t>
      </w:r>
      <w:r>
        <w:rPr>
          <w:rFonts w:hint="eastAsia"/>
        </w:rPr>
        <w:t>招标人</w:t>
      </w:r>
      <w:r>
        <w:t>支付等额的违约金；</w:t>
      </w:r>
    </w:p>
    <w:p w14:paraId="0DD80B43">
      <w:pPr>
        <w:pStyle w:val="45"/>
        <w:numPr>
          <w:ilvl w:val="0"/>
          <w:numId w:val="45"/>
        </w:numPr>
        <w:bidi w:val="0"/>
      </w:pPr>
      <w:r>
        <w:rPr>
          <w:rFonts w:hint="eastAsia"/>
        </w:rPr>
        <w:t>招标人</w:t>
      </w:r>
      <w:r>
        <w:t>还未向中标</w:t>
      </w:r>
      <w:r>
        <w:rPr>
          <w:rFonts w:hint="eastAsia"/>
        </w:rPr>
        <w:t>人</w:t>
      </w:r>
      <w:r>
        <w:t>支付合同款的，</w:t>
      </w:r>
      <w:r>
        <w:rPr>
          <w:rFonts w:hint="eastAsia"/>
        </w:rPr>
        <w:t>中标人</w:t>
      </w:r>
      <w:r>
        <w:t>须一次性向</w:t>
      </w:r>
      <w:r>
        <w:rPr>
          <w:rFonts w:hint="eastAsia"/>
        </w:rPr>
        <w:t>招标人</w:t>
      </w:r>
      <w:r>
        <w:t>支付合同总额30%的违约金。</w:t>
      </w:r>
    </w:p>
    <w:p w14:paraId="6665A134">
      <w:pPr>
        <w:pStyle w:val="44"/>
        <w:bidi w:val="0"/>
      </w:pPr>
      <w:r>
        <w:t>中标人的违约金用于弥补招标人、招标代理机构的损失，以及支付采购代理服务费、专家评审费等采购组织费用。</w:t>
      </w:r>
    </w:p>
    <w:p w14:paraId="5A9C2206">
      <w:pPr>
        <w:pStyle w:val="44"/>
        <w:bidi w:val="0"/>
      </w:pPr>
      <w:r>
        <w:t>履约保证金在中标人按约定履约完毕后退还（具体退还方式以合同签订时约定为准）。</w:t>
      </w:r>
    </w:p>
    <w:p w14:paraId="53CA1737">
      <w:pPr>
        <w:pStyle w:val="44"/>
        <w:bidi w:val="0"/>
      </w:pPr>
      <w:r>
        <w:t>中标人不按合同履约的，招标人将对其行为上报至同级政府采购监督管理部门对其依法处理。</w:t>
      </w:r>
    </w:p>
    <w:p w14:paraId="0967B8C0">
      <w:pPr>
        <w:rPr>
          <w:rFonts w:ascii="宋体" w:hAnsi="宋体"/>
        </w:rPr>
      </w:pPr>
      <w:bookmarkStart w:id="98" w:name="_Toc464483851"/>
      <w:bookmarkEnd w:id="98"/>
    </w:p>
    <w:p w14:paraId="649518E0">
      <w:pPr>
        <w:pStyle w:val="36"/>
      </w:pPr>
      <w:bookmarkStart w:id="99" w:name="_Toc464483852"/>
      <w:bookmarkEnd w:id="99"/>
      <w:bookmarkStart w:id="100" w:name="_Toc5604"/>
      <w:bookmarkStart w:id="101" w:name="_Toc18345"/>
      <w:bookmarkStart w:id="102" w:name="_Toc18284"/>
      <w:bookmarkStart w:id="103" w:name="_Toc7058"/>
      <w:bookmarkStart w:id="104" w:name="_Toc16550"/>
      <w:r>
        <w:rPr>
          <w:rFonts w:hint="eastAsia"/>
          <w:lang w:eastAsia="zh-CN"/>
        </w:rPr>
        <w:t>招标</w:t>
      </w:r>
      <w:r>
        <w:t>代理服务费</w:t>
      </w:r>
      <w:bookmarkEnd w:id="100"/>
      <w:bookmarkEnd w:id="101"/>
      <w:bookmarkEnd w:id="102"/>
      <w:bookmarkEnd w:id="103"/>
      <w:bookmarkEnd w:id="104"/>
    </w:p>
    <w:p w14:paraId="7EACF2B1">
      <w:pPr>
        <w:pStyle w:val="44"/>
        <w:numPr>
          <w:ilvl w:val="0"/>
          <w:numId w:val="46"/>
        </w:numPr>
        <w:bidi w:val="0"/>
      </w:pPr>
      <w:r>
        <w:rPr>
          <w:rFonts w:hint="eastAsia"/>
          <w:lang w:eastAsia="zh-CN"/>
        </w:rPr>
        <w:t>招标</w:t>
      </w:r>
      <w:r>
        <w:t>代理服务费的支付方：见</w:t>
      </w:r>
      <w:r>
        <w:rPr>
          <w:rFonts w:hint="eastAsia"/>
          <w:lang w:eastAsia="zh-CN"/>
        </w:rPr>
        <w:t>本章“</w:t>
      </w:r>
      <w:r>
        <w:t>前附表</w:t>
      </w:r>
      <w:r>
        <w:rPr>
          <w:rFonts w:hint="eastAsia"/>
          <w:lang w:eastAsia="zh-CN"/>
        </w:rPr>
        <w:t>”</w:t>
      </w:r>
    </w:p>
    <w:p w14:paraId="6CB0C259">
      <w:pPr>
        <w:pStyle w:val="44"/>
        <w:numPr>
          <w:ilvl w:val="0"/>
          <w:numId w:val="46"/>
        </w:numPr>
        <w:bidi w:val="0"/>
      </w:pPr>
      <w:r>
        <w:t>收取标准或金额：见</w:t>
      </w:r>
      <w:r>
        <w:rPr>
          <w:rFonts w:hint="eastAsia"/>
          <w:lang w:eastAsia="zh-CN"/>
        </w:rPr>
        <w:t>本章“</w:t>
      </w:r>
      <w:r>
        <w:t>前附表</w:t>
      </w:r>
      <w:r>
        <w:rPr>
          <w:rFonts w:hint="eastAsia"/>
          <w:lang w:eastAsia="zh-CN"/>
        </w:rPr>
        <w:t>”</w:t>
      </w:r>
      <w:r>
        <w:t>。</w:t>
      </w:r>
    </w:p>
    <w:p w14:paraId="71B739DA">
      <w:pPr>
        <w:pStyle w:val="44"/>
        <w:numPr>
          <w:ilvl w:val="0"/>
          <w:numId w:val="46"/>
        </w:numPr>
        <w:bidi w:val="0"/>
      </w:pPr>
      <w:r>
        <w:t>缴纳时间：见</w:t>
      </w:r>
      <w:r>
        <w:rPr>
          <w:rFonts w:hint="eastAsia"/>
          <w:lang w:eastAsia="zh-CN"/>
        </w:rPr>
        <w:t>本章“</w:t>
      </w:r>
      <w:r>
        <w:t>前附表</w:t>
      </w:r>
      <w:r>
        <w:rPr>
          <w:rFonts w:hint="eastAsia"/>
          <w:lang w:eastAsia="zh-CN"/>
        </w:rPr>
        <w:t>”</w:t>
      </w:r>
      <w:r>
        <w:t>。</w:t>
      </w:r>
    </w:p>
    <w:p w14:paraId="22C7FB24">
      <w:pPr>
        <w:pStyle w:val="44"/>
        <w:numPr>
          <w:ilvl w:val="0"/>
          <w:numId w:val="46"/>
        </w:numPr>
        <w:bidi w:val="0"/>
      </w:pPr>
      <w:r>
        <w:t>缴纳形式：电汇、转账、支票、汇票</w:t>
      </w:r>
    </w:p>
    <w:p w14:paraId="484F8CE7">
      <w:pPr>
        <w:pStyle w:val="44"/>
        <w:numPr>
          <w:ilvl w:val="0"/>
          <w:numId w:val="46"/>
        </w:numPr>
        <w:bidi w:val="0"/>
      </w:pPr>
      <w:r>
        <w:rPr>
          <w:rFonts w:hint="eastAsia"/>
        </w:rPr>
        <w:t>招标</w:t>
      </w:r>
      <w:r>
        <w:t>代理服务费缴纳凭证将作为</w:t>
      </w:r>
      <w:r>
        <w:rPr>
          <w:rFonts w:hint="eastAsia"/>
        </w:rPr>
        <w:t>招标</w:t>
      </w:r>
      <w:r>
        <w:t>人合同付款和验收的前提条件，中标</w:t>
      </w:r>
      <w:r>
        <w:rPr>
          <w:rFonts w:hint="eastAsia"/>
        </w:rPr>
        <w:t>人</w:t>
      </w:r>
      <w:r>
        <w:t>未按上述规定和投标承诺缴纳</w:t>
      </w:r>
      <w:r>
        <w:rPr>
          <w:rFonts w:hint="eastAsia"/>
        </w:rPr>
        <w:t>招标</w:t>
      </w:r>
      <w:r>
        <w:t>代理服务费的，合同款不予支付、合同验收不予通过</w:t>
      </w:r>
      <w:r>
        <w:rPr>
          <w:rFonts w:hint="eastAsia"/>
        </w:rPr>
        <w:t>。</w:t>
      </w:r>
    </w:p>
    <w:p w14:paraId="58527E9C">
      <w:pPr>
        <w:pStyle w:val="44"/>
        <w:bidi w:val="0"/>
      </w:pPr>
      <w:r>
        <w:t>中标</w:t>
      </w:r>
      <w:r>
        <w:rPr>
          <w:rFonts w:hint="eastAsia"/>
          <w:lang w:eastAsia="zh-CN"/>
        </w:rPr>
        <w:t>人</w:t>
      </w:r>
      <w:r>
        <w:t>确定后，中标</w:t>
      </w:r>
      <w:r>
        <w:rPr>
          <w:rFonts w:hint="eastAsia"/>
          <w:lang w:eastAsia="zh-CN"/>
        </w:rPr>
        <w:t>人</w:t>
      </w:r>
      <w:r>
        <w:t>拒绝签订合同的，或因自身原因被取消中标资格或放弃中标的，已收取的</w:t>
      </w:r>
      <w:r>
        <w:rPr>
          <w:rFonts w:hint="eastAsia"/>
          <w:lang w:eastAsia="zh-CN"/>
        </w:rPr>
        <w:t>招标</w:t>
      </w:r>
      <w:r>
        <w:t>代理服务费不予退还，未支付的采购代理服务费从中标</w:t>
      </w:r>
      <w:r>
        <w:rPr>
          <w:rFonts w:hint="eastAsia"/>
          <w:lang w:eastAsia="zh-CN"/>
        </w:rPr>
        <w:t>人</w:t>
      </w:r>
      <w:r>
        <w:t>的赔偿款中扣缴。</w:t>
      </w:r>
    </w:p>
    <w:p w14:paraId="150C264D">
      <w:pPr>
        <w:pStyle w:val="34"/>
        <w:ind w:firstLine="0" w:firstLineChars="0"/>
      </w:pPr>
    </w:p>
    <w:p w14:paraId="2C093A9C">
      <w:pPr>
        <w:pStyle w:val="34"/>
        <w:ind w:firstLine="480"/>
      </w:pPr>
    </w:p>
    <w:p w14:paraId="5E34ABA7">
      <w:pPr>
        <w:widowControl/>
        <w:jc w:val="left"/>
        <w:rPr>
          <w:rFonts w:ascii="黑体" w:hAnsi="黑体" w:eastAsia="黑体" w:cs="黑体"/>
          <w:bCs/>
          <w:sz w:val="36"/>
          <w:szCs w:val="44"/>
          <w:lang w:eastAsia="zh-Hans"/>
        </w:rPr>
      </w:pPr>
      <w:r>
        <w:br w:type="page"/>
      </w:r>
    </w:p>
    <w:p w14:paraId="0B0F0C8C">
      <w:pPr>
        <w:pStyle w:val="35"/>
        <w:rPr>
          <w:rFonts w:hint="eastAsia"/>
        </w:rPr>
      </w:pPr>
      <w:bookmarkStart w:id="105" w:name="_Toc20241"/>
      <w:bookmarkStart w:id="106" w:name="_Toc7082"/>
      <w:bookmarkStart w:id="107" w:name="_Toc17760"/>
      <w:bookmarkStart w:id="108" w:name="_Toc22317"/>
      <w:bookmarkStart w:id="109" w:name="_Toc29897"/>
      <w:r>
        <w:rPr>
          <w:rFonts w:hint="eastAsia"/>
          <w:lang w:eastAsia="zh-CN"/>
        </w:rPr>
        <w:t>项目技术及服务要求</w:t>
      </w:r>
      <w:bookmarkEnd w:id="105"/>
      <w:bookmarkEnd w:id="106"/>
      <w:bookmarkEnd w:id="107"/>
      <w:bookmarkEnd w:id="108"/>
      <w:bookmarkEnd w:id="109"/>
    </w:p>
    <w:p w14:paraId="641A7ED1">
      <w:pPr>
        <w:pStyle w:val="36"/>
        <w:numPr>
          <w:ilvl w:val="1"/>
          <w:numId w:val="47"/>
        </w:numPr>
        <w:bidi w:val="0"/>
        <w:rPr>
          <w:color w:val="auto"/>
          <w:highlight w:val="none"/>
        </w:rPr>
      </w:pPr>
      <w:bookmarkStart w:id="110" w:name="_Toc1723"/>
      <w:bookmarkStart w:id="111" w:name="_Toc9787"/>
      <w:bookmarkStart w:id="112" w:name="_Toc2410"/>
      <w:bookmarkStart w:id="113" w:name="_Toc24966"/>
      <w:bookmarkStart w:id="114" w:name="_Toc27807"/>
      <w:bookmarkStart w:id="115" w:name="_Toc133506066"/>
      <w:bookmarkStart w:id="116" w:name="_Toc13043"/>
      <w:bookmarkStart w:id="117" w:name="_Toc663425773"/>
      <w:bookmarkStart w:id="118" w:name="_Toc13926"/>
      <w:r>
        <w:rPr>
          <w:rFonts w:hint="eastAsia"/>
          <w:color w:val="auto"/>
          <w:highlight w:val="none"/>
          <w:lang w:val="en-US" w:eastAsia="zh-CN"/>
        </w:rPr>
        <w:t>预算安排</w:t>
      </w:r>
      <w:bookmarkEnd w:id="110"/>
      <w:bookmarkEnd w:id="111"/>
      <w:bookmarkEnd w:id="112"/>
      <w:bookmarkEnd w:id="113"/>
      <w:bookmarkEnd w:id="114"/>
    </w:p>
    <w:p w14:paraId="740B1C87">
      <w:pPr>
        <w:pStyle w:val="34"/>
        <w:rPr>
          <w:rFonts w:hint="eastAsia"/>
          <w:lang w:val="en-US" w:eastAsia="zh-CN"/>
        </w:rPr>
      </w:pPr>
      <w:r>
        <w:rPr>
          <w:rFonts w:hint="eastAsia"/>
          <w:sz w:val="24"/>
          <w:szCs w:val="24"/>
          <w:lang w:val="en-US" w:eastAsia="zh-CN"/>
        </w:rPr>
        <w:t>▲</w:t>
      </w:r>
      <w:r>
        <w:rPr>
          <w:rFonts w:hint="eastAsia"/>
          <w:b/>
          <w:bCs/>
          <w:u w:val="single"/>
          <w:lang w:val="en-US" w:eastAsia="zh-CN"/>
        </w:rPr>
        <w:t>本项目采购内容各分项预算安排如下（分项报价超过分项预算安排的视为无效投标文件</w:t>
      </w:r>
      <w:r>
        <w:rPr>
          <w:rFonts w:hint="eastAsia"/>
          <w:lang w:val="en-US" w:eastAsia="zh-CN"/>
        </w:rPr>
        <w: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615"/>
        <w:gridCol w:w="2060"/>
        <w:gridCol w:w="1694"/>
        <w:gridCol w:w="1696"/>
      </w:tblGrid>
      <w:tr w14:paraId="11A6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shd w:val="clear" w:color="auto" w:fill="CFCECE" w:themeFill="background2" w:themeFillShade="E5"/>
            <w:vAlign w:val="center"/>
          </w:tcPr>
          <w:p w14:paraId="67399DE1">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序号</w:t>
            </w:r>
          </w:p>
        </w:tc>
        <w:tc>
          <w:tcPr>
            <w:tcW w:w="2630" w:type="dxa"/>
            <w:shd w:val="clear" w:color="auto" w:fill="CFCECE" w:themeFill="background2" w:themeFillShade="E5"/>
            <w:vAlign w:val="center"/>
          </w:tcPr>
          <w:p w14:paraId="168688AE">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采购内容</w:t>
            </w:r>
          </w:p>
        </w:tc>
        <w:tc>
          <w:tcPr>
            <w:tcW w:w="2071" w:type="dxa"/>
            <w:shd w:val="clear" w:color="auto" w:fill="CFCECE" w:themeFill="background2" w:themeFillShade="E5"/>
            <w:vAlign w:val="center"/>
          </w:tcPr>
          <w:p w14:paraId="7DF7B807">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子采购内容</w:t>
            </w:r>
          </w:p>
        </w:tc>
        <w:tc>
          <w:tcPr>
            <w:tcW w:w="1704" w:type="dxa"/>
            <w:shd w:val="clear" w:color="auto" w:fill="CFCECE" w:themeFill="background2" w:themeFillShade="E5"/>
            <w:vAlign w:val="center"/>
          </w:tcPr>
          <w:p w14:paraId="06F0F274">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驻场人数</w:t>
            </w:r>
          </w:p>
        </w:tc>
        <w:tc>
          <w:tcPr>
            <w:tcW w:w="1704" w:type="dxa"/>
            <w:shd w:val="clear" w:color="auto" w:fill="CFCECE" w:themeFill="background2" w:themeFillShade="E5"/>
            <w:vAlign w:val="center"/>
          </w:tcPr>
          <w:p w14:paraId="47B96722">
            <w:pPr>
              <w:pStyle w:val="34"/>
              <w:ind w:left="0" w:leftChars="0" w:firstLine="0" w:firstLineChars="0"/>
              <w:jc w:val="center"/>
              <w:rPr>
                <w:rFonts w:hint="default"/>
                <w:b/>
                <w:bCs/>
                <w:vertAlign w:val="baseline"/>
                <w:lang w:val="en-US" w:eastAsia="zh-CN"/>
              </w:rPr>
            </w:pPr>
            <w:r>
              <w:rPr>
                <w:rFonts w:hint="eastAsia"/>
                <w:b/>
                <w:bCs/>
                <w:color w:val="auto"/>
                <w:highlight w:val="none"/>
                <w:vertAlign w:val="baseline"/>
                <w:lang w:val="en-US" w:eastAsia="zh-CN"/>
              </w:rPr>
              <w:t>报价限价（万元）</w:t>
            </w:r>
          </w:p>
        </w:tc>
      </w:tr>
      <w:tr w14:paraId="6FBE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14:paraId="2C87DB42">
            <w:pPr>
              <w:pStyle w:val="34"/>
              <w:numPr>
                <w:ilvl w:val="0"/>
                <w:numId w:val="48"/>
              </w:numPr>
              <w:spacing w:line="360" w:lineRule="auto"/>
              <w:ind w:left="425" w:leftChars="0" w:hanging="425" w:firstLineChars="0"/>
              <w:jc w:val="center"/>
              <w:rPr>
                <w:rFonts w:hint="eastAsia"/>
                <w:vertAlign w:val="baseline"/>
                <w:lang w:val="en-US" w:eastAsia="zh-CN"/>
              </w:rPr>
            </w:pPr>
          </w:p>
        </w:tc>
        <w:tc>
          <w:tcPr>
            <w:tcW w:w="2630" w:type="dxa"/>
            <w:vAlign w:val="center"/>
          </w:tcPr>
          <w:p w14:paraId="43E136EF">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防汛防台视频可视化支撑系统维保服务项目</w:t>
            </w:r>
          </w:p>
        </w:tc>
        <w:tc>
          <w:tcPr>
            <w:tcW w:w="2071" w:type="dxa"/>
            <w:vAlign w:val="center"/>
          </w:tcPr>
          <w:p w14:paraId="77A45701">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防汛防台视频可视化支撑系统维保服务项目</w:t>
            </w:r>
          </w:p>
        </w:tc>
        <w:tc>
          <w:tcPr>
            <w:tcW w:w="1704" w:type="dxa"/>
            <w:vAlign w:val="center"/>
          </w:tcPr>
          <w:p w14:paraId="1C4AA7CF">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1人</w:t>
            </w:r>
          </w:p>
        </w:tc>
        <w:tc>
          <w:tcPr>
            <w:tcW w:w="1704" w:type="dxa"/>
            <w:vAlign w:val="center"/>
          </w:tcPr>
          <w:p w14:paraId="0D45CAD1">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18</w:t>
            </w:r>
          </w:p>
        </w:tc>
      </w:tr>
      <w:tr w14:paraId="12F4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14:paraId="1AEEB2EC">
            <w:pPr>
              <w:pStyle w:val="34"/>
              <w:numPr>
                <w:ilvl w:val="0"/>
                <w:numId w:val="48"/>
              </w:numPr>
              <w:spacing w:line="360" w:lineRule="auto"/>
              <w:ind w:left="425" w:leftChars="0" w:hanging="425" w:firstLineChars="0"/>
              <w:jc w:val="center"/>
              <w:rPr>
                <w:rFonts w:hint="eastAsia"/>
                <w:vertAlign w:val="baseline"/>
                <w:lang w:val="en-US" w:eastAsia="zh-CN"/>
              </w:rPr>
            </w:pPr>
          </w:p>
        </w:tc>
        <w:tc>
          <w:tcPr>
            <w:tcW w:w="2630" w:type="dxa"/>
            <w:vAlign w:val="center"/>
          </w:tcPr>
          <w:p w14:paraId="7731F4C9">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应急指挥车维护服务</w:t>
            </w:r>
          </w:p>
        </w:tc>
        <w:tc>
          <w:tcPr>
            <w:tcW w:w="2071" w:type="dxa"/>
            <w:vAlign w:val="center"/>
          </w:tcPr>
          <w:p w14:paraId="4E2E8CCA">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应急指挥车维护服务</w:t>
            </w:r>
          </w:p>
        </w:tc>
        <w:tc>
          <w:tcPr>
            <w:tcW w:w="1704" w:type="dxa"/>
            <w:vAlign w:val="center"/>
          </w:tcPr>
          <w:p w14:paraId="30A61134">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w:t>
            </w:r>
          </w:p>
        </w:tc>
        <w:tc>
          <w:tcPr>
            <w:tcW w:w="1704" w:type="dxa"/>
            <w:vAlign w:val="center"/>
          </w:tcPr>
          <w:p w14:paraId="56155A17">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32</w:t>
            </w:r>
          </w:p>
        </w:tc>
      </w:tr>
      <w:tr w14:paraId="1C23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14:paraId="480CEB77">
            <w:pPr>
              <w:pStyle w:val="34"/>
              <w:numPr>
                <w:ilvl w:val="0"/>
                <w:numId w:val="48"/>
              </w:numPr>
              <w:spacing w:line="360" w:lineRule="auto"/>
              <w:ind w:left="425" w:leftChars="0" w:hanging="425" w:firstLineChars="0"/>
              <w:jc w:val="center"/>
              <w:rPr>
                <w:rFonts w:hint="eastAsia"/>
                <w:vertAlign w:val="baseline"/>
                <w:lang w:val="en-US" w:eastAsia="zh-CN"/>
              </w:rPr>
            </w:pPr>
          </w:p>
        </w:tc>
        <w:tc>
          <w:tcPr>
            <w:tcW w:w="2630" w:type="dxa"/>
            <w:vAlign w:val="center"/>
          </w:tcPr>
          <w:p w14:paraId="63A22272">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浙里焊数字化拓展推广应用项目运维</w:t>
            </w:r>
          </w:p>
        </w:tc>
        <w:tc>
          <w:tcPr>
            <w:tcW w:w="2071" w:type="dxa"/>
            <w:vAlign w:val="center"/>
          </w:tcPr>
          <w:p w14:paraId="23298944">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浙里焊数字化拓展推广应用项目运维</w:t>
            </w:r>
          </w:p>
        </w:tc>
        <w:tc>
          <w:tcPr>
            <w:tcW w:w="1704" w:type="dxa"/>
            <w:vAlign w:val="center"/>
          </w:tcPr>
          <w:p w14:paraId="3B9B8E35">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w:t>
            </w:r>
          </w:p>
        </w:tc>
        <w:tc>
          <w:tcPr>
            <w:tcW w:w="1704" w:type="dxa"/>
            <w:vAlign w:val="center"/>
          </w:tcPr>
          <w:p w14:paraId="5E7EDBDD">
            <w:pPr>
              <w:pStyle w:val="34"/>
              <w:spacing w:line="360" w:lineRule="auto"/>
              <w:ind w:firstLine="0" w:firstLineChars="0"/>
              <w:jc w:val="center"/>
              <w:rPr>
                <w:rFonts w:hint="default" w:cs="Times New Roman"/>
                <w:vertAlign w:val="baseline"/>
                <w:lang w:val="en-US" w:eastAsia="zh-CN"/>
              </w:rPr>
            </w:pPr>
            <w:r>
              <w:rPr>
                <w:rFonts w:hint="eastAsia" w:cs="Times New Roman"/>
                <w:vertAlign w:val="baseline"/>
                <w:lang w:val="en-US" w:eastAsia="zh-CN"/>
              </w:rPr>
              <w:t>13</w:t>
            </w:r>
          </w:p>
        </w:tc>
      </w:tr>
      <w:tr w14:paraId="4228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14:paraId="3C5FBDFE">
            <w:pPr>
              <w:pStyle w:val="34"/>
              <w:numPr>
                <w:ilvl w:val="0"/>
                <w:numId w:val="48"/>
              </w:numPr>
              <w:spacing w:line="360" w:lineRule="auto"/>
              <w:ind w:left="425" w:leftChars="0" w:hanging="425" w:firstLineChars="0"/>
              <w:jc w:val="center"/>
              <w:rPr>
                <w:rFonts w:hint="eastAsia"/>
                <w:vertAlign w:val="baseline"/>
                <w:lang w:val="en-US" w:eastAsia="zh-CN"/>
              </w:rPr>
            </w:pPr>
          </w:p>
        </w:tc>
        <w:tc>
          <w:tcPr>
            <w:tcW w:w="2630" w:type="dxa"/>
            <w:vAlign w:val="center"/>
          </w:tcPr>
          <w:p w14:paraId="41754993">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2025年浙江省应急管理厅危化品安全风险监测预警系统维护服务</w:t>
            </w:r>
          </w:p>
        </w:tc>
        <w:tc>
          <w:tcPr>
            <w:tcW w:w="2071" w:type="dxa"/>
            <w:vAlign w:val="center"/>
          </w:tcPr>
          <w:p w14:paraId="336CE926">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2025年浙江省应急管理厅危化品安全风险监测预警系统维护服务</w:t>
            </w:r>
          </w:p>
        </w:tc>
        <w:tc>
          <w:tcPr>
            <w:tcW w:w="1704" w:type="dxa"/>
            <w:vAlign w:val="center"/>
          </w:tcPr>
          <w:p w14:paraId="7969D1D4">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w:t>
            </w:r>
          </w:p>
        </w:tc>
        <w:tc>
          <w:tcPr>
            <w:tcW w:w="1704" w:type="dxa"/>
            <w:vAlign w:val="center"/>
          </w:tcPr>
          <w:p w14:paraId="13A0C499">
            <w:pPr>
              <w:pStyle w:val="34"/>
              <w:spacing w:line="360" w:lineRule="auto"/>
              <w:ind w:firstLine="0" w:firstLineChars="0"/>
              <w:jc w:val="center"/>
              <w:rPr>
                <w:rFonts w:hint="default" w:cs="Times New Roman"/>
                <w:vertAlign w:val="baseline"/>
                <w:lang w:val="en-US" w:eastAsia="zh-CN"/>
              </w:rPr>
            </w:pPr>
            <w:r>
              <w:rPr>
                <w:rFonts w:hint="eastAsia" w:cs="Times New Roman"/>
                <w:vertAlign w:val="baseline"/>
                <w:lang w:val="en-US" w:eastAsia="zh-CN"/>
              </w:rPr>
              <w:t>41.7</w:t>
            </w:r>
          </w:p>
        </w:tc>
      </w:tr>
      <w:tr w14:paraId="7074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14:paraId="7C5F39CA">
            <w:pPr>
              <w:pStyle w:val="34"/>
              <w:numPr>
                <w:ilvl w:val="0"/>
                <w:numId w:val="48"/>
              </w:numPr>
              <w:spacing w:line="360" w:lineRule="auto"/>
              <w:ind w:left="425" w:leftChars="0" w:hanging="425" w:firstLineChars="0"/>
              <w:jc w:val="center"/>
              <w:rPr>
                <w:rFonts w:hint="eastAsia"/>
                <w:vertAlign w:val="baseline"/>
                <w:lang w:val="en-US" w:eastAsia="zh-CN"/>
              </w:rPr>
            </w:pPr>
          </w:p>
        </w:tc>
        <w:tc>
          <w:tcPr>
            <w:tcW w:w="2630" w:type="dxa"/>
            <w:vAlign w:val="center"/>
          </w:tcPr>
          <w:p w14:paraId="4B48848B">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2025年浙江省应急管理厅危化品风险防控大数据平台维护服务</w:t>
            </w:r>
          </w:p>
        </w:tc>
        <w:tc>
          <w:tcPr>
            <w:tcW w:w="2071" w:type="dxa"/>
            <w:vAlign w:val="center"/>
          </w:tcPr>
          <w:p w14:paraId="4CBBDDDB">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2025年浙江省应急管理厅危化品风险防控大数据平台维护服务</w:t>
            </w:r>
          </w:p>
        </w:tc>
        <w:tc>
          <w:tcPr>
            <w:tcW w:w="1704" w:type="dxa"/>
            <w:vAlign w:val="center"/>
          </w:tcPr>
          <w:p w14:paraId="31EE8DB7">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w:t>
            </w:r>
          </w:p>
        </w:tc>
        <w:tc>
          <w:tcPr>
            <w:tcW w:w="1704" w:type="dxa"/>
            <w:vAlign w:val="center"/>
          </w:tcPr>
          <w:p w14:paraId="6D129E6F">
            <w:pPr>
              <w:pStyle w:val="34"/>
              <w:spacing w:line="360" w:lineRule="auto"/>
              <w:ind w:firstLine="0" w:firstLineChars="0"/>
              <w:jc w:val="center"/>
              <w:rPr>
                <w:rFonts w:hint="default" w:cs="Times New Roman"/>
                <w:vertAlign w:val="baseline"/>
                <w:lang w:val="en-US" w:eastAsia="zh-CN"/>
              </w:rPr>
            </w:pPr>
            <w:r>
              <w:rPr>
                <w:rFonts w:hint="eastAsia" w:cs="Times New Roman"/>
                <w:vertAlign w:val="baseline"/>
                <w:lang w:val="en-US" w:eastAsia="zh-CN"/>
              </w:rPr>
              <w:t>22.5</w:t>
            </w:r>
          </w:p>
        </w:tc>
      </w:tr>
      <w:tr w14:paraId="30DF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14:paraId="5BF02E5A">
            <w:pPr>
              <w:pStyle w:val="34"/>
              <w:numPr>
                <w:ilvl w:val="0"/>
                <w:numId w:val="48"/>
              </w:numPr>
              <w:spacing w:line="360" w:lineRule="auto"/>
              <w:ind w:left="425" w:leftChars="0" w:hanging="425" w:firstLineChars="0"/>
              <w:jc w:val="center"/>
              <w:rPr>
                <w:rFonts w:hint="eastAsia"/>
                <w:vertAlign w:val="baseline"/>
                <w:lang w:val="en-US" w:eastAsia="zh-CN"/>
              </w:rPr>
            </w:pPr>
          </w:p>
        </w:tc>
        <w:tc>
          <w:tcPr>
            <w:tcW w:w="2630" w:type="dxa"/>
            <w:vAlign w:val="center"/>
          </w:tcPr>
          <w:p w14:paraId="28F9C191">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服务总线系统运维服务</w:t>
            </w:r>
          </w:p>
        </w:tc>
        <w:tc>
          <w:tcPr>
            <w:tcW w:w="2071" w:type="dxa"/>
            <w:vAlign w:val="center"/>
          </w:tcPr>
          <w:p w14:paraId="00025008">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服务总线系统运维服务</w:t>
            </w:r>
          </w:p>
        </w:tc>
        <w:tc>
          <w:tcPr>
            <w:tcW w:w="1704" w:type="dxa"/>
            <w:vAlign w:val="center"/>
          </w:tcPr>
          <w:p w14:paraId="13664E1E">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1人</w:t>
            </w:r>
          </w:p>
        </w:tc>
        <w:tc>
          <w:tcPr>
            <w:tcW w:w="1704" w:type="dxa"/>
            <w:vAlign w:val="center"/>
          </w:tcPr>
          <w:p w14:paraId="46709C2C">
            <w:pPr>
              <w:pStyle w:val="34"/>
              <w:spacing w:line="360" w:lineRule="auto"/>
              <w:ind w:firstLine="0" w:firstLineChars="0"/>
              <w:jc w:val="center"/>
              <w:rPr>
                <w:rFonts w:hint="default" w:cs="Times New Roman"/>
                <w:vertAlign w:val="baseline"/>
                <w:lang w:val="en-US" w:eastAsia="zh-CN"/>
              </w:rPr>
            </w:pPr>
            <w:r>
              <w:rPr>
                <w:rFonts w:hint="eastAsia" w:cs="Times New Roman"/>
                <w:vertAlign w:val="baseline"/>
                <w:lang w:val="en-US" w:eastAsia="zh-CN"/>
              </w:rPr>
              <w:t>41</w:t>
            </w:r>
          </w:p>
        </w:tc>
      </w:tr>
      <w:tr w14:paraId="10E7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14:paraId="4D77D40B">
            <w:pPr>
              <w:pStyle w:val="34"/>
              <w:numPr>
                <w:ilvl w:val="0"/>
                <w:numId w:val="48"/>
              </w:numPr>
              <w:spacing w:line="360" w:lineRule="auto"/>
              <w:ind w:left="425" w:leftChars="0" w:hanging="425" w:firstLineChars="0"/>
              <w:jc w:val="center"/>
              <w:rPr>
                <w:rFonts w:hint="eastAsia"/>
                <w:vertAlign w:val="baseline"/>
                <w:lang w:val="en-US" w:eastAsia="zh-CN"/>
              </w:rPr>
            </w:pPr>
          </w:p>
        </w:tc>
        <w:tc>
          <w:tcPr>
            <w:tcW w:w="2630" w:type="dxa"/>
            <w:vAlign w:val="center"/>
          </w:tcPr>
          <w:p w14:paraId="1C385B35">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移动视频终端及公网链路</w:t>
            </w:r>
          </w:p>
        </w:tc>
        <w:tc>
          <w:tcPr>
            <w:tcW w:w="2071" w:type="dxa"/>
            <w:vAlign w:val="center"/>
          </w:tcPr>
          <w:p w14:paraId="76299F2B">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移动视频终端及公网链路</w:t>
            </w:r>
          </w:p>
        </w:tc>
        <w:tc>
          <w:tcPr>
            <w:tcW w:w="1704" w:type="dxa"/>
            <w:vAlign w:val="center"/>
          </w:tcPr>
          <w:p w14:paraId="7C99C411">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w:t>
            </w:r>
          </w:p>
        </w:tc>
        <w:tc>
          <w:tcPr>
            <w:tcW w:w="1704" w:type="dxa"/>
            <w:vAlign w:val="center"/>
          </w:tcPr>
          <w:p w14:paraId="60477E57">
            <w:pPr>
              <w:pStyle w:val="34"/>
              <w:spacing w:line="360" w:lineRule="auto"/>
              <w:ind w:firstLine="0" w:firstLineChars="0"/>
              <w:jc w:val="center"/>
              <w:rPr>
                <w:rFonts w:hint="default" w:cs="Times New Roman"/>
                <w:vertAlign w:val="baseline"/>
                <w:lang w:val="en-US" w:eastAsia="zh-CN"/>
              </w:rPr>
            </w:pPr>
            <w:r>
              <w:rPr>
                <w:rFonts w:hint="eastAsia" w:cs="Times New Roman"/>
                <w:vertAlign w:val="baseline"/>
                <w:lang w:val="en-US" w:eastAsia="zh-CN"/>
              </w:rPr>
              <w:t>5</w:t>
            </w:r>
          </w:p>
        </w:tc>
      </w:tr>
      <w:tr w14:paraId="1598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14:paraId="1CC6076F">
            <w:pPr>
              <w:pStyle w:val="34"/>
              <w:numPr>
                <w:ilvl w:val="0"/>
                <w:numId w:val="48"/>
              </w:numPr>
              <w:spacing w:line="360" w:lineRule="auto"/>
              <w:ind w:left="425" w:leftChars="0" w:hanging="425" w:firstLineChars="0"/>
              <w:jc w:val="center"/>
              <w:rPr>
                <w:rFonts w:hint="eastAsia"/>
                <w:vertAlign w:val="baseline"/>
                <w:lang w:val="en-US" w:eastAsia="zh-CN"/>
              </w:rPr>
            </w:pPr>
          </w:p>
        </w:tc>
        <w:tc>
          <w:tcPr>
            <w:tcW w:w="2630" w:type="dxa"/>
            <w:vAlign w:val="center"/>
          </w:tcPr>
          <w:p w14:paraId="13C67F0C">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移动视频会议终端购置</w:t>
            </w:r>
          </w:p>
        </w:tc>
        <w:tc>
          <w:tcPr>
            <w:tcW w:w="2071" w:type="dxa"/>
            <w:vAlign w:val="center"/>
          </w:tcPr>
          <w:p w14:paraId="21B7F745">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移动视频会议终端购置</w:t>
            </w:r>
          </w:p>
        </w:tc>
        <w:tc>
          <w:tcPr>
            <w:tcW w:w="1704" w:type="dxa"/>
            <w:vAlign w:val="center"/>
          </w:tcPr>
          <w:p w14:paraId="7A0C6CD1">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w:t>
            </w:r>
          </w:p>
        </w:tc>
        <w:tc>
          <w:tcPr>
            <w:tcW w:w="1704" w:type="dxa"/>
            <w:vAlign w:val="center"/>
          </w:tcPr>
          <w:p w14:paraId="15C3E9FE">
            <w:pPr>
              <w:pStyle w:val="34"/>
              <w:spacing w:line="360" w:lineRule="auto"/>
              <w:ind w:firstLine="0" w:firstLineChars="0"/>
              <w:jc w:val="center"/>
              <w:rPr>
                <w:rFonts w:hint="default" w:cs="Times New Roman"/>
                <w:vertAlign w:val="baseline"/>
                <w:lang w:val="en-US" w:eastAsia="zh-CN"/>
              </w:rPr>
            </w:pPr>
            <w:r>
              <w:rPr>
                <w:rFonts w:hint="eastAsia" w:cs="Times New Roman"/>
                <w:vertAlign w:val="baseline"/>
                <w:lang w:val="en-US" w:eastAsia="zh-CN"/>
              </w:rPr>
              <w:t>8</w:t>
            </w:r>
          </w:p>
        </w:tc>
      </w:tr>
      <w:tr w14:paraId="7752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14:paraId="0B0EA409">
            <w:pPr>
              <w:pStyle w:val="34"/>
              <w:numPr>
                <w:ilvl w:val="0"/>
                <w:numId w:val="48"/>
              </w:numPr>
              <w:spacing w:line="360" w:lineRule="auto"/>
              <w:ind w:left="425" w:leftChars="0" w:hanging="425" w:firstLineChars="0"/>
              <w:jc w:val="center"/>
              <w:rPr>
                <w:rFonts w:hint="eastAsia"/>
                <w:vertAlign w:val="baseline"/>
                <w:lang w:val="en-US" w:eastAsia="zh-CN"/>
              </w:rPr>
            </w:pPr>
          </w:p>
        </w:tc>
        <w:tc>
          <w:tcPr>
            <w:tcW w:w="2630" w:type="dxa"/>
            <w:vAlign w:val="center"/>
          </w:tcPr>
          <w:p w14:paraId="7A8D4C3E">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视频资源接入服务链路</w:t>
            </w:r>
          </w:p>
        </w:tc>
        <w:tc>
          <w:tcPr>
            <w:tcW w:w="2071" w:type="dxa"/>
            <w:vAlign w:val="center"/>
          </w:tcPr>
          <w:p w14:paraId="59538EF8">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视频资源接入服务链路</w:t>
            </w:r>
          </w:p>
        </w:tc>
        <w:tc>
          <w:tcPr>
            <w:tcW w:w="1704" w:type="dxa"/>
            <w:vAlign w:val="center"/>
          </w:tcPr>
          <w:p w14:paraId="29422473">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w:t>
            </w:r>
          </w:p>
        </w:tc>
        <w:tc>
          <w:tcPr>
            <w:tcW w:w="1704" w:type="dxa"/>
            <w:vAlign w:val="center"/>
          </w:tcPr>
          <w:p w14:paraId="7764B5CD">
            <w:pPr>
              <w:pStyle w:val="34"/>
              <w:spacing w:line="360" w:lineRule="auto"/>
              <w:ind w:firstLine="0" w:firstLineChars="0"/>
              <w:jc w:val="center"/>
              <w:rPr>
                <w:rFonts w:hint="default" w:cs="Times New Roman"/>
                <w:vertAlign w:val="baseline"/>
                <w:lang w:val="en-US" w:eastAsia="zh-CN"/>
              </w:rPr>
            </w:pPr>
            <w:r>
              <w:rPr>
                <w:rFonts w:hint="eastAsia" w:cs="Times New Roman"/>
                <w:vertAlign w:val="baseline"/>
                <w:lang w:val="en-US" w:eastAsia="zh-CN"/>
              </w:rPr>
              <w:t>3.8</w:t>
            </w:r>
          </w:p>
        </w:tc>
      </w:tr>
      <w:tr w14:paraId="4315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14:paraId="2901BA7D">
            <w:pPr>
              <w:pStyle w:val="34"/>
              <w:numPr>
                <w:ilvl w:val="0"/>
                <w:numId w:val="48"/>
              </w:numPr>
              <w:spacing w:line="360" w:lineRule="auto"/>
              <w:ind w:left="425" w:leftChars="0" w:hanging="425" w:firstLineChars="0"/>
              <w:jc w:val="center"/>
              <w:rPr>
                <w:rFonts w:hint="eastAsia"/>
                <w:vertAlign w:val="baseline"/>
                <w:lang w:val="en-US" w:eastAsia="zh-CN"/>
              </w:rPr>
            </w:pPr>
          </w:p>
        </w:tc>
        <w:tc>
          <w:tcPr>
            <w:tcW w:w="2630" w:type="dxa"/>
            <w:vAlign w:val="center"/>
          </w:tcPr>
          <w:p w14:paraId="3EA90585">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西溪河下88号应急管理宣传教育中心考试监控专线</w:t>
            </w:r>
          </w:p>
        </w:tc>
        <w:tc>
          <w:tcPr>
            <w:tcW w:w="2071" w:type="dxa"/>
            <w:vAlign w:val="center"/>
          </w:tcPr>
          <w:p w14:paraId="19EDECC1">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西溪河下88号应急管理宣传教育中心考试监控专线</w:t>
            </w:r>
          </w:p>
        </w:tc>
        <w:tc>
          <w:tcPr>
            <w:tcW w:w="1704" w:type="dxa"/>
            <w:vAlign w:val="center"/>
          </w:tcPr>
          <w:p w14:paraId="09DD30EE">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w:t>
            </w:r>
          </w:p>
        </w:tc>
        <w:tc>
          <w:tcPr>
            <w:tcW w:w="1704" w:type="dxa"/>
            <w:vAlign w:val="center"/>
          </w:tcPr>
          <w:p w14:paraId="0AED0A99">
            <w:pPr>
              <w:pStyle w:val="34"/>
              <w:spacing w:line="360" w:lineRule="auto"/>
              <w:ind w:firstLine="0" w:firstLineChars="0"/>
              <w:jc w:val="center"/>
              <w:rPr>
                <w:rFonts w:hint="default" w:cs="Times New Roman"/>
                <w:vertAlign w:val="baseline"/>
                <w:lang w:val="en-US" w:eastAsia="zh-CN"/>
              </w:rPr>
            </w:pPr>
            <w:r>
              <w:rPr>
                <w:rFonts w:hint="eastAsia" w:cs="Times New Roman"/>
                <w:vertAlign w:val="baseline"/>
                <w:lang w:val="en-US" w:eastAsia="zh-CN"/>
              </w:rPr>
              <w:t>1.5</w:t>
            </w:r>
          </w:p>
        </w:tc>
      </w:tr>
      <w:tr w14:paraId="5666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14:paraId="491081FF">
            <w:pPr>
              <w:pStyle w:val="34"/>
              <w:numPr>
                <w:ilvl w:val="0"/>
                <w:numId w:val="48"/>
              </w:numPr>
              <w:spacing w:line="360" w:lineRule="auto"/>
              <w:ind w:left="425" w:leftChars="0" w:hanging="425" w:firstLineChars="0"/>
              <w:jc w:val="center"/>
              <w:rPr>
                <w:rFonts w:hint="eastAsia"/>
                <w:vertAlign w:val="baseline"/>
                <w:lang w:val="en-US" w:eastAsia="zh-CN"/>
              </w:rPr>
            </w:pPr>
          </w:p>
        </w:tc>
        <w:tc>
          <w:tcPr>
            <w:tcW w:w="2630" w:type="dxa"/>
            <w:vAlign w:val="center"/>
          </w:tcPr>
          <w:p w14:paraId="4A05D4B3">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全省重大危险源和可视化平台专线</w:t>
            </w:r>
          </w:p>
        </w:tc>
        <w:tc>
          <w:tcPr>
            <w:tcW w:w="2071" w:type="dxa"/>
            <w:vAlign w:val="center"/>
          </w:tcPr>
          <w:p w14:paraId="3182AEC1">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全省重大危险源和可视化平台专线</w:t>
            </w:r>
          </w:p>
        </w:tc>
        <w:tc>
          <w:tcPr>
            <w:tcW w:w="1704" w:type="dxa"/>
            <w:vAlign w:val="center"/>
          </w:tcPr>
          <w:p w14:paraId="2D21EA66">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w:t>
            </w:r>
          </w:p>
        </w:tc>
        <w:tc>
          <w:tcPr>
            <w:tcW w:w="1704" w:type="dxa"/>
            <w:vAlign w:val="center"/>
          </w:tcPr>
          <w:p w14:paraId="3F3F168E">
            <w:pPr>
              <w:pStyle w:val="34"/>
              <w:spacing w:line="360" w:lineRule="auto"/>
              <w:ind w:firstLine="0" w:firstLineChars="0"/>
              <w:jc w:val="center"/>
              <w:rPr>
                <w:rFonts w:hint="default" w:cs="Times New Roman"/>
                <w:vertAlign w:val="baseline"/>
                <w:lang w:val="en-US" w:eastAsia="zh-CN"/>
              </w:rPr>
            </w:pPr>
            <w:r>
              <w:rPr>
                <w:rFonts w:hint="eastAsia" w:cs="Times New Roman"/>
                <w:vertAlign w:val="baseline"/>
                <w:lang w:val="en-US" w:eastAsia="zh-CN"/>
              </w:rPr>
              <w:t>21.2</w:t>
            </w:r>
          </w:p>
        </w:tc>
      </w:tr>
    </w:tbl>
    <w:p w14:paraId="2426D652">
      <w:pPr>
        <w:pStyle w:val="36"/>
        <w:numPr>
          <w:ilvl w:val="1"/>
          <w:numId w:val="0"/>
        </w:numPr>
        <w:bidi w:val="0"/>
        <w:jc w:val="both"/>
        <w:outlineLvl w:val="9"/>
        <w:rPr>
          <w:sz w:val="24"/>
          <w:szCs w:val="24"/>
        </w:rPr>
      </w:pPr>
      <w:r>
        <w:rPr>
          <w:rFonts w:hint="eastAsia"/>
          <w:sz w:val="24"/>
          <w:szCs w:val="24"/>
          <w:lang w:val="en-US" w:eastAsia="zh-CN"/>
        </w:rPr>
        <w:t>▲本项目各项采购内容要求提供的驻场人员应分别提供，不得复用（即不得一人承担多项采购内容驻场工作）。除驻场人员外，其他项目组成员可以复用。供应商在投标文件中应明确人员在项目组中的职务，未明确人员职务或驻场人员多项采购内容复用的，视为无效投标。</w:t>
      </w:r>
    </w:p>
    <w:bookmarkEnd w:id="115"/>
    <w:bookmarkEnd w:id="116"/>
    <w:bookmarkEnd w:id="117"/>
    <w:bookmarkEnd w:id="118"/>
    <w:p w14:paraId="0F60C39C">
      <w:pPr>
        <w:pStyle w:val="36"/>
        <w:numPr>
          <w:ilvl w:val="1"/>
          <w:numId w:val="47"/>
        </w:numPr>
        <w:bidi w:val="0"/>
      </w:pPr>
      <w:bookmarkStart w:id="119" w:name="_Toc22687"/>
      <w:bookmarkStart w:id="120" w:name="_Toc26716"/>
      <w:bookmarkStart w:id="121" w:name="_Toc24113"/>
      <w:bookmarkStart w:id="122" w:name="_Toc4002"/>
      <w:bookmarkStart w:id="123" w:name="_Toc29200"/>
      <w:r>
        <w:rPr>
          <w:rFonts w:hint="eastAsia"/>
          <w:lang w:val="en-US" w:eastAsia="zh-CN"/>
        </w:rPr>
        <w:t>具体采购需求</w:t>
      </w:r>
      <w:bookmarkEnd w:id="119"/>
      <w:bookmarkEnd w:id="120"/>
      <w:bookmarkEnd w:id="121"/>
      <w:bookmarkEnd w:id="122"/>
      <w:bookmarkEnd w:id="123"/>
    </w:p>
    <w:p w14:paraId="495AC79F">
      <w:pPr>
        <w:pStyle w:val="36"/>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24" w:name="_Toc11873"/>
      <w:bookmarkStart w:id="125" w:name="_Toc12844"/>
      <w:bookmarkStart w:id="126" w:name="_Toc7178"/>
      <w:bookmarkStart w:id="127" w:name="_Toc11640"/>
      <w:bookmarkStart w:id="128" w:name="_Toc24017"/>
      <w:r>
        <w:rPr>
          <w:rFonts w:hint="eastAsia"/>
          <w:sz w:val="28"/>
          <w:szCs w:val="28"/>
          <w:lang w:val="en-US" w:eastAsia="zh-CN"/>
        </w:rPr>
        <w:t>防汛防台视频可视化支撑系统维保服务项目</w:t>
      </w:r>
      <w:bookmarkEnd w:id="124"/>
      <w:bookmarkEnd w:id="125"/>
      <w:bookmarkEnd w:id="126"/>
      <w:bookmarkEnd w:id="127"/>
      <w:bookmarkEnd w:id="128"/>
    </w:p>
    <w:p w14:paraId="643851B3">
      <w:pPr>
        <w:pStyle w:val="37"/>
        <w:keepNext w:val="0"/>
        <w:keepLines w:val="0"/>
        <w:pageBreakBefore w:val="0"/>
        <w:widowControl w:val="0"/>
        <w:numPr>
          <w:ilvl w:val="2"/>
          <w:numId w:val="2"/>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技术要求</w:t>
      </w:r>
    </w:p>
    <w:p w14:paraId="48B5A3B3">
      <w:pPr>
        <w:pStyle w:val="33"/>
        <w:keepNext w:val="0"/>
        <w:keepLines w:val="0"/>
        <w:pageBreakBefore w:val="0"/>
        <w:widowControl w:val="0"/>
        <w:numPr>
          <w:ilvl w:val="3"/>
          <w:numId w:val="2"/>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cs="Times New Roman"/>
          <w:lang w:val="en-US" w:eastAsia="zh-CN"/>
        </w:rPr>
        <w:t>系统运维服务</w:t>
      </w:r>
    </w:p>
    <w:p w14:paraId="35279D7E">
      <w:pPr>
        <w:pStyle w:val="34"/>
        <w:numPr>
          <w:ilvl w:val="0"/>
          <w:numId w:val="50"/>
        </w:numPr>
        <w:rPr>
          <w:rFonts w:hint="eastAsia"/>
          <w:lang w:val="en-US" w:eastAsia="zh-CN"/>
        </w:rPr>
      </w:pPr>
      <w:r>
        <w:rPr>
          <w:rFonts w:hint="eastAsia"/>
          <w:lang w:val="en-US" w:eastAsia="zh-CN"/>
        </w:rPr>
        <w:t>做好日常数据维护工作。包括至少每周一次的数据冗余清理、数据备份检验、存储余量检查等。应制订系统备份恢复计划，定期对数据进行备份并检查备份数据的完整性，定期进行备份恢复的演练操作。</w:t>
      </w:r>
    </w:p>
    <w:p w14:paraId="291D0E43">
      <w:pPr>
        <w:pStyle w:val="34"/>
        <w:numPr>
          <w:ilvl w:val="0"/>
          <w:numId w:val="50"/>
        </w:numPr>
        <w:rPr>
          <w:rFonts w:hint="eastAsia"/>
          <w:lang w:val="en-US" w:eastAsia="zh-CN"/>
        </w:rPr>
      </w:pPr>
      <w:r>
        <w:rPr>
          <w:rFonts w:hint="eastAsia"/>
          <w:lang w:val="en-US" w:eastAsia="zh-CN"/>
        </w:rPr>
        <w:t>做好系统日常巡检工作。系统日常巡检是指至少每周一次定时巡检，检查可视化支撑系统各功能模块的运行情况，确保各模块都能正常工作；当发现系统运行不稳定或者出现明显可疑情况时，应立即将事件报告管理员，发生重大安全事件时，应立即启动响应机制。</w:t>
      </w:r>
    </w:p>
    <w:p w14:paraId="1BE8D4C6">
      <w:pPr>
        <w:pStyle w:val="34"/>
        <w:numPr>
          <w:ilvl w:val="0"/>
          <w:numId w:val="50"/>
        </w:numPr>
        <w:rPr>
          <w:rFonts w:hint="eastAsia" w:ascii="宋体" w:hAnsi="宋体" w:eastAsia="宋体" w:cs="Times New Roman"/>
          <w:lang w:val="en-US" w:eastAsia="zh-CN"/>
        </w:rPr>
      </w:pPr>
      <w:r>
        <w:rPr>
          <w:rFonts w:hint="eastAsia" w:ascii="宋体" w:hAnsi="宋体" w:eastAsia="宋体" w:cs="Times New Roman"/>
          <w:lang w:val="en-US" w:eastAsia="zh-CN"/>
        </w:rPr>
        <w:t>做好云资源日常巡查工作。云资源日常巡查是指安排工程师每天对可视化支撑系统涉及云主机进行日常检查，了解云主机的运行状况信息，云主机快照备份情况，确保及时发现异常事件，保障系统运行稳定。日常巡查需要完成相关巡检内容的制定，对云主机、存储、网络运行日常检查，发现与指标不符及时处理操作系统出现的异常信息，对系统巡检中 发觉的异常事件进行申告建单、以及处理或配合支撑。</w:t>
      </w:r>
    </w:p>
    <w:p w14:paraId="6741059E">
      <w:pPr>
        <w:pStyle w:val="34"/>
        <w:numPr>
          <w:ilvl w:val="0"/>
          <w:numId w:val="50"/>
        </w:numPr>
        <w:rPr>
          <w:rFonts w:hint="eastAsia" w:ascii="宋体" w:hAnsi="宋体" w:eastAsia="宋体" w:cs="Times New Roman"/>
          <w:lang w:val="en-US" w:eastAsia="zh-CN"/>
        </w:rPr>
      </w:pPr>
      <w:r>
        <w:rPr>
          <w:rFonts w:hint="eastAsia" w:ascii="宋体" w:hAnsi="宋体" w:eastAsia="宋体" w:cs="Times New Roman"/>
          <w:lang w:val="en-US" w:eastAsia="zh-CN"/>
        </w:rPr>
        <w:t>做好日常运行中的使用指引服务，及时更新操作手册。</w:t>
      </w:r>
    </w:p>
    <w:p w14:paraId="564EC80F">
      <w:pPr>
        <w:pStyle w:val="34"/>
        <w:numPr>
          <w:ilvl w:val="0"/>
          <w:numId w:val="50"/>
        </w:numPr>
        <w:rPr>
          <w:rFonts w:hint="eastAsia" w:ascii="宋体" w:hAnsi="宋体" w:eastAsia="宋体" w:cs="Times New Roman"/>
          <w:lang w:val="en-US" w:eastAsia="zh-CN"/>
        </w:rPr>
      </w:pPr>
      <w:r>
        <w:rPr>
          <w:rFonts w:hint="eastAsia" w:ascii="宋体" w:hAnsi="宋体" w:eastAsia="宋体" w:cs="Times New Roman"/>
          <w:lang w:val="en-US" w:eastAsia="zh-CN"/>
        </w:rPr>
        <w:t>做好日常使用中系统问题进行修正。</w:t>
      </w:r>
    </w:p>
    <w:p w14:paraId="76FF9D3C">
      <w:pPr>
        <w:pStyle w:val="34"/>
        <w:numPr>
          <w:ilvl w:val="0"/>
          <w:numId w:val="50"/>
        </w:numPr>
        <w:rPr>
          <w:rFonts w:hint="eastAsia" w:ascii="宋体" w:hAnsi="宋体" w:eastAsia="宋体" w:cs="Times New Roman"/>
          <w:lang w:val="en-US" w:eastAsia="zh-CN"/>
        </w:rPr>
      </w:pPr>
      <w:r>
        <w:rPr>
          <w:rFonts w:hint="eastAsia" w:ascii="宋体" w:hAnsi="宋体" w:eastAsia="宋体" w:cs="Times New Roman"/>
          <w:lang w:val="en-US" w:eastAsia="zh-CN"/>
        </w:rPr>
        <w:t>保证系统的系统日志处于运行状态，系统维护人员应定期对日志进行审计分析，至少每月审计一次，重点对登录的用户、登录时间、所做的配置和操作做检查。系统维护人员应设置应用系统日志归档保存功能，历史记录保持时间不应低于三个月。</w:t>
      </w:r>
    </w:p>
    <w:p w14:paraId="68E9D9FE">
      <w:pPr>
        <w:pStyle w:val="34"/>
        <w:numPr>
          <w:ilvl w:val="0"/>
          <w:numId w:val="50"/>
        </w:numPr>
        <w:rPr>
          <w:rFonts w:hint="eastAsia" w:ascii="宋体" w:hAnsi="宋体" w:eastAsia="宋体" w:cs="Times New Roman"/>
          <w:lang w:val="en-US" w:eastAsia="zh-CN"/>
        </w:rPr>
      </w:pPr>
      <w:r>
        <w:rPr>
          <w:rFonts w:hint="eastAsia" w:ascii="宋体" w:hAnsi="宋体" w:eastAsia="宋体" w:cs="Times New Roman"/>
          <w:lang w:val="en-US" w:eastAsia="zh-CN"/>
        </w:rPr>
        <w:t>在运维服务期内提供7*24小时响应，以确保系统的正常使用。维保期内出现故障，在接到通知后，在7*8小时工作时间内现场实时响应，在非工作时间远程支持，出现问题30分钟内响应，2小时内到达现场，对于不能解决的，4小时内派专家到达现场处理。故障发生后8小时内不能修复的，完成项目应急预案落地。</w:t>
      </w:r>
    </w:p>
    <w:p w14:paraId="1164F32E">
      <w:pPr>
        <w:pStyle w:val="34"/>
        <w:numPr>
          <w:ilvl w:val="0"/>
          <w:numId w:val="50"/>
        </w:numPr>
        <w:rPr>
          <w:rFonts w:hint="eastAsia" w:ascii="宋体" w:hAnsi="宋体" w:eastAsia="宋体" w:cs="Times New Roman"/>
          <w:lang w:val="en-US" w:eastAsia="zh-CN"/>
        </w:rPr>
      </w:pPr>
      <w:r>
        <w:rPr>
          <w:rFonts w:hint="eastAsia" w:ascii="宋体" w:hAnsi="宋体" w:eastAsia="宋体" w:cs="Times New Roman"/>
          <w:lang w:val="en-US" w:eastAsia="zh-CN"/>
        </w:rPr>
        <w:t>运维单位应按照业主方需求，对系统进行维护调整。包括但不限于增加资源有效申请率、年度月度资源新增情况、XC操作系统适配、国产数据库适配等。</w:t>
      </w:r>
    </w:p>
    <w:p w14:paraId="38B6864F">
      <w:pPr>
        <w:pStyle w:val="33"/>
        <w:keepNext w:val="0"/>
        <w:keepLines w:val="0"/>
        <w:pageBreakBefore w:val="0"/>
        <w:widowControl w:val="0"/>
        <w:numPr>
          <w:ilvl w:val="3"/>
          <w:numId w:val="2"/>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服务保障工作</w:t>
      </w:r>
    </w:p>
    <w:p w14:paraId="40537D32">
      <w:pPr>
        <w:pStyle w:val="34"/>
        <w:numPr>
          <w:ilvl w:val="0"/>
          <w:numId w:val="51"/>
        </w:numPr>
        <w:rPr>
          <w:rFonts w:hint="default" w:ascii="宋体" w:hAnsi="宋体" w:eastAsia="宋体" w:cs="Times New Roman"/>
          <w:lang w:val="en-US" w:eastAsia="zh-CN"/>
        </w:rPr>
      </w:pPr>
      <w:r>
        <w:rPr>
          <w:rFonts w:hint="default" w:ascii="宋体" w:hAnsi="宋体" w:eastAsia="宋体" w:cs="Times New Roman"/>
          <w:lang w:val="en-US" w:eastAsia="zh-CN"/>
        </w:rPr>
        <w:t>做好运维方案和应急预案，配合用户要求下的自然灾害风险防范和应急救援。</w:t>
      </w:r>
    </w:p>
    <w:p w14:paraId="498FA03C">
      <w:pPr>
        <w:pStyle w:val="34"/>
        <w:numPr>
          <w:ilvl w:val="0"/>
          <w:numId w:val="51"/>
        </w:numPr>
        <w:rPr>
          <w:rFonts w:hint="default" w:ascii="宋体" w:hAnsi="宋体" w:eastAsia="宋体" w:cs="Times New Roman"/>
          <w:lang w:val="en-US" w:eastAsia="zh-CN"/>
        </w:rPr>
      </w:pPr>
      <w:r>
        <w:rPr>
          <w:rFonts w:hint="default" w:ascii="宋体" w:hAnsi="宋体" w:eastAsia="宋体" w:cs="Times New Roman"/>
          <w:lang w:val="en-US" w:eastAsia="zh-CN"/>
        </w:rPr>
        <w:t>因政策要求或重大自然灾害风险防范和应急救援保障期间，增加驻点支撑人员，提供7*24小时的现场值守，提供紧急救援、性能调优、健康诊断等服务，确保满足其业务发展需求，全方位的保障业务连续，稳定，高效地发展，确保做好重大保障调研、保障方案制定、现场及远程保障实施、保障总结收尾。</w:t>
      </w:r>
    </w:p>
    <w:p w14:paraId="25809C03">
      <w:pPr>
        <w:pStyle w:val="34"/>
        <w:numPr>
          <w:ilvl w:val="0"/>
          <w:numId w:val="51"/>
        </w:numPr>
        <w:rPr>
          <w:rFonts w:hint="default" w:ascii="宋体" w:hAnsi="宋体" w:eastAsia="宋体" w:cs="Times New Roman"/>
          <w:lang w:val="en-US" w:eastAsia="zh-CN"/>
        </w:rPr>
      </w:pPr>
      <w:r>
        <w:rPr>
          <w:rFonts w:hint="default" w:ascii="宋体" w:hAnsi="宋体" w:eastAsia="宋体" w:cs="Times New Roman"/>
          <w:lang w:val="en-US" w:eastAsia="zh-CN"/>
        </w:rPr>
        <w:t>在用户使用主流品牌的硬件、软件产品出现兼容性问题时，配合有关硬件、软件厂商和最终用户分析问题原因、协助其寻求解决方案。</w:t>
      </w:r>
    </w:p>
    <w:p w14:paraId="2A25BA96">
      <w:pPr>
        <w:pStyle w:val="34"/>
        <w:numPr>
          <w:ilvl w:val="0"/>
          <w:numId w:val="51"/>
        </w:numPr>
        <w:rPr>
          <w:rFonts w:hint="default" w:ascii="宋体" w:hAnsi="宋体" w:eastAsia="宋体" w:cs="Times New Roman"/>
          <w:lang w:val="en-US" w:eastAsia="zh-CN"/>
        </w:rPr>
      </w:pPr>
      <w:r>
        <w:rPr>
          <w:rFonts w:hint="default" w:ascii="宋体" w:hAnsi="宋体" w:eastAsia="宋体" w:cs="Times New Roman"/>
          <w:lang w:val="en-US" w:eastAsia="zh-CN"/>
        </w:rPr>
        <w:t>在用户实施重要的项目（如安装、升级、联网、业务合并或拓展等）时，如需要配合或协助，在得到通知后积极予以响应并派工程师到设备现场。</w:t>
      </w:r>
    </w:p>
    <w:p w14:paraId="0D875FCD">
      <w:pPr>
        <w:pStyle w:val="34"/>
        <w:numPr>
          <w:ilvl w:val="0"/>
          <w:numId w:val="51"/>
        </w:numPr>
        <w:rPr>
          <w:rFonts w:hint="default" w:ascii="宋体" w:hAnsi="宋体" w:eastAsia="宋体" w:cs="Times New Roman"/>
          <w:lang w:val="en-US" w:eastAsia="zh-CN"/>
        </w:rPr>
      </w:pPr>
      <w:r>
        <w:rPr>
          <w:rFonts w:hint="default" w:ascii="宋体" w:hAnsi="宋体" w:eastAsia="宋体" w:cs="Times New Roman"/>
          <w:lang w:val="en-US" w:eastAsia="zh-CN"/>
        </w:rPr>
        <w:t>系统维护人员应对所负责的应用系统进行检查，保障现有已开发完成正式上线的可视化支撑系统和视频资源取流接口等的日常正常运行。</w:t>
      </w:r>
    </w:p>
    <w:p w14:paraId="45A28DB4">
      <w:pPr>
        <w:pStyle w:val="33"/>
        <w:keepNext w:val="0"/>
        <w:keepLines w:val="0"/>
        <w:pageBreakBefore w:val="0"/>
        <w:widowControl w:val="0"/>
        <w:numPr>
          <w:ilvl w:val="3"/>
          <w:numId w:val="2"/>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服务原则</w:t>
      </w:r>
    </w:p>
    <w:p w14:paraId="6A459B41">
      <w:pPr>
        <w:pStyle w:val="34"/>
        <w:numPr>
          <w:ilvl w:val="0"/>
          <w:numId w:val="52"/>
        </w:numPr>
        <w:rPr>
          <w:rFonts w:hint="default" w:ascii="宋体" w:hAnsi="宋体" w:eastAsia="宋体" w:cs="Times New Roman"/>
          <w:lang w:val="en-US" w:eastAsia="zh-CN"/>
        </w:rPr>
      </w:pPr>
      <w:r>
        <w:rPr>
          <w:rFonts w:hint="default" w:ascii="宋体" w:hAnsi="宋体" w:eastAsia="宋体" w:cs="Times New Roman"/>
          <w:lang w:val="en-US" w:eastAsia="zh-CN"/>
        </w:rPr>
        <w:t>整体性原则。综合考虑系统的现状，提出整体的售后服务策略，有效保障系统运行中各环节的不间断运行，并综合使用不同层次的技术手段，为可视化支撑系统和所依托的基础环境提供全方位的监控管理和服务。</w:t>
      </w:r>
    </w:p>
    <w:p w14:paraId="1D29EF08">
      <w:pPr>
        <w:pStyle w:val="34"/>
        <w:numPr>
          <w:ilvl w:val="0"/>
          <w:numId w:val="52"/>
        </w:numPr>
        <w:rPr>
          <w:rFonts w:hint="default" w:ascii="宋体" w:hAnsi="宋体" w:eastAsia="宋体" w:cs="Times New Roman"/>
          <w:lang w:val="en-US" w:eastAsia="zh-CN"/>
        </w:rPr>
      </w:pPr>
      <w:r>
        <w:rPr>
          <w:rFonts w:hint="default" w:ascii="宋体" w:hAnsi="宋体" w:eastAsia="宋体" w:cs="Times New Roman"/>
          <w:lang w:val="en-US" w:eastAsia="zh-CN"/>
        </w:rPr>
        <w:t>有效性原则。将充分利用各种现代技术手段，进行系统运维监控，结合科学合理的运行管理机制，对系统的稳定可靠运行提供有效的保障。</w:t>
      </w:r>
    </w:p>
    <w:p w14:paraId="52692B0A">
      <w:pPr>
        <w:pStyle w:val="34"/>
        <w:numPr>
          <w:ilvl w:val="0"/>
          <w:numId w:val="52"/>
        </w:numPr>
        <w:rPr>
          <w:rFonts w:hint="default" w:ascii="宋体" w:hAnsi="宋体" w:eastAsia="宋体" w:cs="Times New Roman"/>
          <w:lang w:val="en-US" w:eastAsia="zh-CN"/>
        </w:rPr>
      </w:pPr>
      <w:r>
        <w:rPr>
          <w:rFonts w:hint="default" w:ascii="宋体" w:hAnsi="宋体" w:eastAsia="宋体" w:cs="Times New Roman"/>
          <w:lang w:val="en-US" w:eastAsia="zh-CN"/>
        </w:rPr>
        <w:t>可靠性原则。对维护工作中后续应用系统模块的开发设计中，采用成熟可靠的技术和产品，同时配合完善的项目控制规范和质量保证体系，保证系统升级维护中的严格的质量控制，保证系统开发和运行的安全可靠。</w:t>
      </w:r>
    </w:p>
    <w:p w14:paraId="567757BB">
      <w:pPr>
        <w:pStyle w:val="34"/>
        <w:numPr>
          <w:ilvl w:val="0"/>
          <w:numId w:val="52"/>
        </w:numPr>
        <w:rPr>
          <w:rFonts w:hint="default" w:ascii="宋体" w:hAnsi="宋体" w:eastAsia="宋体" w:cs="Times New Roman"/>
          <w:lang w:val="en-US" w:eastAsia="zh-CN"/>
        </w:rPr>
      </w:pPr>
      <w:r>
        <w:rPr>
          <w:rFonts w:hint="default" w:ascii="宋体" w:hAnsi="宋体" w:eastAsia="宋体" w:cs="Times New Roman"/>
          <w:lang w:val="en-US" w:eastAsia="zh-CN"/>
        </w:rPr>
        <w:t>反馈性原则。实现运维中发现、需要解决的问题要及时反馈给开发组进行完善，利于优化机构、岗位设置，利于业务流程的改进。</w:t>
      </w:r>
    </w:p>
    <w:p w14:paraId="24C4415F">
      <w:pPr>
        <w:pStyle w:val="34"/>
        <w:numPr>
          <w:ilvl w:val="0"/>
          <w:numId w:val="52"/>
        </w:numPr>
        <w:rPr>
          <w:rFonts w:hint="default"/>
          <w:lang w:val="en-US" w:eastAsia="zh-CN"/>
        </w:rPr>
      </w:pPr>
      <w:r>
        <w:rPr>
          <w:rFonts w:hint="default" w:ascii="宋体" w:hAnsi="宋体" w:eastAsia="宋体" w:cs="Times New Roman"/>
          <w:lang w:val="en-US" w:eastAsia="zh-CN"/>
        </w:rPr>
        <w:t>防范预警原则。运维服务体系应包含各种预案，争取实现在故障、问题出现时有章可循，在紧急状态有应急措施，提高运维效率，将故障代价减小到最小。</w:t>
      </w:r>
    </w:p>
    <w:p w14:paraId="2F6D00EA">
      <w:pPr>
        <w:pStyle w:val="37"/>
        <w:keepNext w:val="0"/>
        <w:keepLines w:val="0"/>
        <w:pageBreakBefore w:val="0"/>
        <w:widowControl w:val="0"/>
        <w:numPr>
          <w:ilvl w:val="2"/>
          <w:numId w:val="2"/>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商务要求</w:t>
      </w:r>
    </w:p>
    <w:p w14:paraId="47CABBE8">
      <w:pPr>
        <w:pStyle w:val="33"/>
        <w:keepNext w:val="0"/>
        <w:keepLines w:val="0"/>
        <w:pageBreakBefore w:val="0"/>
        <w:widowControl w:val="0"/>
        <w:numPr>
          <w:ilvl w:val="3"/>
          <w:numId w:val="2"/>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cs="Times New Roman"/>
          <w:lang w:val="en-US" w:eastAsia="zh-CN"/>
        </w:rPr>
        <w:t>实施和服务要求</w:t>
      </w:r>
    </w:p>
    <w:p w14:paraId="2C5CCA8D">
      <w:pPr>
        <w:pStyle w:val="38"/>
        <w:keepNext w:val="0"/>
        <w:keepLines w:val="0"/>
        <w:pageBreakBefore w:val="0"/>
        <w:widowControl w:val="0"/>
        <w:numPr>
          <w:ilvl w:val="4"/>
          <w:numId w:val="53"/>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服务方式</w:t>
      </w:r>
    </w:p>
    <w:p w14:paraId="1E683001">
      <w:pPr>
        <w:pStyle w:val="34"/>
        <w:numPr>
          <w:ilvl w:val="0"/>
          <w:numId w:val="54"/>
        </w:numPr>
        <w:rPr>
          <w:rFonts w:hint="default" w:ascii="宋体" w:hAnsi="宋体" w:eastAsia="宋体" w:cs="Times New Roman"/>
          <w:lang w:val="en-US" w:eastAsia="zh-CN"/>
        </w:rPr>
      </w:pPr>
      <w:r>
        <w:rPr>
          <w:rFonts w:hint="default" w:ascii="宋体" w:hAnsi="宋体" w:eastAsia="宋体" w:cs="Times New Roman"/>
          <w:lang w:val="en-US" w:eastAsia="zh-CN"/>
        </w:rPr>
        <w:t>24小时热线电话</w:t>
      </w:r>
    </w:p>
    <w:p w14:paraId="0A3324AC">
      <w:pPr>
        <w:pStyle w:val="34"/>
        <w:rPr>
          <w:rFonts w:hint="default"/>
          <w:lang w:val="en-US" w:eastAsia="zh-CN"/>
        </w:rPr>
      </w:pPr>
      <w:r>
        <w:rPr>
          <w:rFonts w:hint="default"/>
          <w:lang w:val="en-US" w:eastAsia="zh-CN"/>
        </w:rPr>
        <w:t>1）每周7×24，全年365天；</w:t>
      </w:r>
    </w:p>
    <w:p w14:paraId="20244192">
      <w:pPr>
        <w:pStyle w:val="34"/>
        <w:rPr>
          <w:rFonts w:hint="default"/>
          <w:lang w:val="en-US" w:eastAsia="zh-CN"/>
        </w:rPr>
      </w:pPr>
      <w:r>
        <w:rPr>
          <w:rFonts w:hint="default"/>
          <w:lang w:val="en-US" w:eastAsia="zh-CN"/>
        </w:rPr>
        <w:t>2）电话立即响应，2小时内到达现场，8小时之内系统恢复正常；</w:t>
      </w:r>
    </w:p>
    <w:p w14:paraId="07B318BA">
      <w:pPr>
        <w:pStyle w:val="34"/>
        <w:rPr>
          <w:rFonts w:hint="default"/>
          <w:lang w:val="en-US" w:eastAsia="zh-CN"/>
        </w:rPr>
      </w:pPr>
      <w:r>
        <w:rPr>
          <w:rFonts w:hint="default"/>
          <w:lang w:val="en-US" w:eastAsia="zh-CN"/>
        </w:rPr>
        <w:t>3）非系统崩溃的情况，接到问题报告后30分钟内提供电话支持服务；</w:t>
      </w:r>
    </w:p>
    <w:p w14:paraId="6D0DD132">
      <w:pPr>
        <w:pStyle w:val="34"/>
        <w:rPr>
          <w:rFonts w:hint="default"/>
          <w:lang w:val="en-US" w:eastAsia="zh-CN"/>
        </w:rPr>
      </w:pPr>
      <w:r>
        <w:rPr>
          <w:rFonts w:hint="default"/>
          <w:lang w:val="en-US" w:eastAsia="zh-CN"/>
        </w:rPr>
        <w:t>4）两小时内到达现场；</w:t>
      </w:r>
    </w:p>
    <w:p w14:paraId="4D6FCB46">
      <w:pPr>
        <w:pStyle w:val="34"/>
        <w:rPr>
          <w:rFonts w:hint="default"/>
          <w:lang w:val="en-US" w:eastAsia="zh-CN"/>
        </w:rPr>
      </w:pPr>
      <w:r>
        <w:rPr>
          <w:rFonts w:hint="default"/>
          <w:lang w:val="en-US" w:eastAsia="zh-CN"/>
        </w:rPr>
        <w:t>5）多级别服务支持。</w:t>
      </w:r>
    </w:p>
    <w:p w14:paraId="3E34F0D5">
      <w:pPr>
        <w:pStyle w:val="34"/>
        <w:numPr>
          <w:ilvl w:val="0"/>
          <w:numId w:val="54"/>
        </w:numPr>
        <w:rPr>
          <w:rFonts w:hint="default" w:ascii="宋体" w:hAnsi="宋体" w:eastAsia="宋体" w:cs="Times New Roman"/>
          <w:lang w:val="en-US" w:eastAsia="zh-CN"/>
        </w:rPr>
      </w:pPr>
      <w:r>
        <w:rPr>
          <w:rFonts w:hint="default" w:ascii="宋体" w:hAnsi="宋体" w:eastAsia="宋体" w:cs="Times New Roman"/>
          <w:lang w:val="en-US" w:eastAsia="zh-CN"/>
        </w:rPr>
        <w:t>维护间隔与维护情况汇报</w:t>
      </w:r>
    </w:p>
    <w:p w14:paraId="7B8B30B4">
      <w:pPr>
        <w:pStyle w:val="34"/>
        <w:rPr>
          <w:rFonts w:hint="default"/>
          <w:lang w:val="en-US" w:eastAsia="zh-CN"/>
        </w:rPr>
      </w:pPr>
      <w:r>
        <w:rPr>
          <w:rFonts w:hint="default"/>
          <w:lang w:val="en-US" w:eastAsia="zh-CN"/>
        </w:rPr>
        <w:t>1）提供例行巡检即预防性维护；</w:t>
      </w:r>
    </w:p>
    <w:p w14:paraId="40F6D6CC">
      <w:pPr>
        <w:pStyle w:val="34"/>
        <w:rPr>
          <w:rFonts w:hint="default"/>
          <w:lang w:val="en-US" w:eastAsia="zh-CN"/>
        </w:rPr>
      </w:pPr>
      <w:r>
        <w:rPr>
          <w:rFonts w:hint="default"/>
          <w:lang w:val="en-US" w:eastAsia="zh-CN"/>
        </w:rPr>
        <w:t>2）提供系统运行性能诊断；</w:t>
      </w:r>
    </w:p>
    <w:p w14:paraId="593523D9">
      <w:pPr>
        <w:pStyle w:val="34"/>
        <w:rPr>
          <w:rFonts w:hint="default"/>
          <w:lang w:val="en-US" w:eastAsia="zh-CN"/>
        </w:rPr>
      </w:pPr>
      <w:r>
        <w:rPr>
          <w:rFonts w:hint="default"/>
          <w:lang w:val="en-US" w:eastAsia="zh-CN"/>
        </w:rPr>
        <w:t>3）每次重大故障处理后提供故障处理说明；</w:t>
      </w:r>
    </w:p>
    <w:p w14:paraId="403137B5">
      <w:pPr>
        <w:pStyle w:val="34"/>
        <w:rPr>
          <w:rFonts w:hint="default"/>
          <w:lang w:val="en-US" w:eastAsia="zh-CN"/>
        </w:rPr>
      </w:pPr>
      <w:r>
        <w:rPr>
          <w:rFonts w:hint="default"/>
          <w:lang w:val="en-US" w:eastAsia="zh-CN"/>
        </w:rPr>
        <w:t>4）提供健康性检查，与用户方研讨系统运行状况、全面检查系统的工作状态、系统的运行环境进行评估、现场解答客户技术人员的有关技术方面的问题，提出系统优化建议；</w:t>
      </w:r>
    </w:p>
    <w:p w14:paraId="52BD7EA7">
      <w:pPr>
        <w:pStyle w:val="34"/>
        <w:rPr>
          <w:rFonts w:hint="default"/>
          <w:lang w:val="en-US" w:eastAsia="zh-CN"/>
        </w:rPr>
      </w:pPr>
      <w:r>
        <w:rPr>
          <w:rFonts w:hint="default"/>
          <w:lang w:val="en-US" w:eastAsia="zh-CN"/>
        </w:rPr>
        <w:t>5）提供专家巡检，与用户方研讨系统运行状况、全面检查系统的工作状态、全面检查系统的工作状态、系统的运行环境进行评估、现场解答客户技术人员的有关技术方面的问题，提出系统优化建议；</w:t>
      </w:r>
    </w:p>
    <w:p w14:paraId="1FFB7FD5">
      <w:pPr>
        <w:pStyle w:val="34"/>
        <w:rPr>
          <w:rFonts w:hint="default"/>
          <w:lang w:val="en-US" w:eastAsia="zh-CN"/>
        </w:rPr>
      </w:pPr>
      <w:r>
        <w:rPr>
          <w:rFonts w:hint="default"/>
          <w:lang w:val="en-US" w:eastAsia="zh-CN"/>
        </w:rPr>
        <w:t>6）服务期满前十五天通知业主单位有关负责人员和技术人员，并完成年度现场维护，提供年度服务总结报告。</w:t>
      </w:r>
    </w:p>
    <w:p w14:paraId="1331D990">
      <w:pPr>
        <w:pStyle w:val="34"/>
        <w:numPr>
          <w:ilvl w:val="0"/>
          <w:numId w:val="54"/>
        </w:numPr>
        <w:rPr>
          <w:rFonts w:hint="default" w:ascii="宋体" w:hAnsi="宋体" w:eastAsia="宋体" w:cs="Times New Roman"/>
          <w:lang w:val="en-US" w:eastAsia="zh-CN"/>
        </w:rPr>
      </w:pPr>
      <w:r>
        <w:rPr>
          <w:rFonts w:hint="default" w:ascii="宋体" w:hAnsi="宋体" w:eastAsia="宋体" w:cs="Times New Roman"/>
          <w:lang w:val="en-US" w:eastAsia="zh-CN"/>
        </w:rPr>
        <w:t>定期巡检与预防性维护</w:t>
      </w:r>
    </w:p>
    <w:p w14:paraId="3D15B425">
      <w:pPr>
        <w:pStyle w:val="34"/>
        <w:rPr>
          <w:rFonts w:hint="default"/>
          <w:lang w:val="en-US" w:eastAsia="zh-CN"/>
        </w:rPr>
      </w:pPr>
      <w:r>
        <w:rPr>
          <w:rFonts w:hint="default"/>
          <w:lang w:val="en-US" w:eastAsia="zh-CN"/>
        </w:rPr>
        <w:t>安排定期例行巡检和预防性维护，内容包括：</w:t>
      </w:r>
    </w:p>
    <w:p w14:paraId="451D3177">
      <w:pPr>
        <w:pStyle w:val="34"/>
        <w:rPr>
          <w:rFonts w:hint="default"/>
          <w:lang w:val="en-US" w:eastAsia="zh-CN"/>
        </w:rPr>
      </w:pPr>
      <w:r>
        <w:rPr>
          <w:rFonts w:hint="default"/>
          <w:lang w:val="en-US" w:eastAsia="zh-CN"/>
        </w:rPr>
        <w:t>1）提供巡检报告；</w:t>
      </w:r>
    </w:p>
    <w:p w14:paraId="42AA9644">
      <w:pPr>
        <w:pStyle w:val="34"/>
        <w:rPr>
          <w:rFonts w:hint="default"/>
          <w:lang w:val="en-US" w:eastAsia="zh-CN"/>
        </w:rPr>
      </w:pPr>
      <w:r>
        <w:rPr>
          <w:rFonts w:hint="default"/>
          <w:lang w:val="en-US" w:eastAsia="zh-CN"/>
        </w:rPr>
        <w:t>2）系统性能检查；</w:t>
      </w:r>
    </w:p>
    <w:p w14:paraId="15D219AD">
      <w:pPr>
        <w:pStyle w:val="34"/>
        <w:rPr>
          <w:rFonts w:hint="default"/>
          <w:lang w:val="en-US" w:eastAsia="zh-CN"/>
        </w:rPr>
      </w:pPr>
      <w:r>
        <w:rPr>
          <w:rFonts w:hint="default"/>
          <w:lang w:val="en-US" w:eastAsia="zh-CN"/>
        </w:rPr>
        <w:t>3）系统错误报告的分析、记录和清理。</w:t>
      </w:r>
    </w:p>
    <w:p w14:paraId="748BB427">
      <w:pPr>
        <w:pStyle w:val="38"/>
        <w:keepNext w:val="0"/>
        <w:keepLines w:val="0"/>
        <w:pageBreakBefore w:val="0"/>
        <w:widowControl w:val="0"/>
        <w:numPr>
          <w:ilvl w:val="4"/>
          <w:numId w:val="53"/>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技术服务</w:t>
      </w:r>
    </w:p>
    <w:p w14:paraId="7EFDEAC1">
      <w:pPr>
        <w:pStyle w:val="34"/>
        <w:numPr>
          <w:ilvl w:val="0"/>
          <w:numId w:val="55"/>
        </w:numPr>
        <w:rPr>
          <w:rFonts w:hint="default" w:ascii="宋体" w:hAnsi="宋体" w:eastAsia="宋体" w:cs="Times New Roman"/>
          <w:lang w:val="en-US" w:eastAsia="zh-CN"/>
        </w:rPr>
      </w:pPr>
      <w:r>
        <w:rPr>
          <w:rFonts w:hint="default" w:ascii="宋体" w:hAnsi="宋体" w:eastAsia="宋体" w:cs="Times New Roman"/>
          <w:lang w:val="en-US" w:eastAsia="zh-CN"/>
        </w:rPr>
        <w:t>阶段性事务</w:t>
      </w:r>
    </w:p>
    <w:p w14:paraId="7F13240F">
      <w:pPr>
        <w:pStyle w:val="34"/>
        <w:rPr>
          <w:rFonts w:hint="default"/>
          <w:lang w:val="en-US" w:eastAsia="zh-CN"/>
        </w:rPr>
      </w:pPr>
      <w:r>
        <w:rPr>
          <w:rFonts w:hint="default"/>
          <w:lang w:val="en-US" w:eastAsia="zh-CN"/>
        </w:rPr>
        <w:t>根据具体的业务需求，定期与用户召开例会。例会将采用现场、电话、传真、邮件等多种形式，以双方认为最有效的形式进行。</w:t>
      </w:r>
    </w:p>
    <w:p w14:paraId="41ED2F9B">
      <w:pPr>
        <w:pStyle w:val="34"/>
        <w:rPr>
          <w:rFonts w:hint="default"/>
          <w:lang w:val="en-US" w:eastAsia="zh-CN"/>
        </w:rPr>
      </w:pPr>
      <w:r>
        <w:rPr>
          <w:rFonts w:hint="default"/>
          <w:lang w:val="en-US" w:eastAsia="zh-CN"/>
        </w:rPr>
        <w:t>在每次例会前提交月/季度的巡检汇总报告，对系统运行状况进行总结并提出下一步的工作及服务计划。</w:t>
      </w:r>
    </w:p>
    <w:p w14:paraId="0E63EE50">
      <w:pPr>
        <w:pStyle w:val="34"/>
        <w:numPr>
          <w:ilvl w:val="0"/>
          <w:numId w:val="55"/>
        </w:numPr>
        <w:rPr>
          <w:rFonts w:hint="default" w:ascii="宋体" w:hAnsi="宋体" w:eastAsia="宋体" w:cs="Times New Roman"/>
          <w:lang w:val="en-US" w:eastAsia="zh-CN"/>
        </w:rPr>
      </w:pPr>
      <w:r>
        <w:rPr>
          <w:rFonts w:hint="default" w:ascii="宋体" w:hAnsi="宋体" w:eastAsia="宋体" w:cs="Times New Roman"/>
          <w:lang w:val="en-US" w:eastAsia="zh-CN"/>
        </w:rPr>
        <w:t>技术交流</w:t>
      </w:r>
    </w:p>
    <w:p w14:paraId="5362EFA6">
      <w:pPr>
        <w:pStyle w:val="34"/>
        <w:rPr>
          <w:rFonts w:hint="default"/>
          <w:lang w:val="en-US" w:eastAsia="zh-CN"/>
        </w:rPr>
      </w:pPr>
      <w:r>
        <w:rPr>
          <w:rFonts w:hint="default"/>
          <w:lang w:val="en-US" w:eastAsia="zh-CN"/>
        </w:rPr>
        <w:t>通过规范化的技术文档，组织定期的技术交流活动，这样有利于双方技术人员水平的提高，更能有助于提高设备的管理效率和可靠运行。</w:t>
      </w:r>
    </w:p>
    <w:p w14:paraId="1F703616">
      <w:pPr>
        <w:pStyle w:val="34"/>
        <w:rPr>
          <w:rFonts w:hint="default"/>
          <w:lang w:val="en-US" w:eastAsia="zh-CN"/>
        </w:rPr>
      </w:pPr>
      <w:r>
        <w:rPr>
          <w:rFonts w:hint="default"/>
          <w:lang w:val="en-US" w:eastAsia="zh-CN"/>
        </w:rPr>
        <w:t>根据客户的需要，提供系统和视频方面的培训，如果设备需要改造、升级，将提供免费的咨询服务。</w:t>
      </w:r>
    </w:p>
    <w:p w14:paraId="06F6786A">
      <w:pPr>
        <w:pStyle w:val="34"/>
        <w:numPr>
          <w:ilvl w:val="0"/>
          <w:numId w:val="55"/>
        </w:numPr>
        <w:rPr>
          <w:rFonts w:hint="default" w:ascii="宋体" w:hAnsi="宋体" w:eastAsia="宋体" w:cs="Times New Roman"/>
          <w:lang w:val="en-US" w:eastAsia="zh-CN"/>
        </w:rPr>
      </w:pPr>
      <w:r>
        <w:rPr>
          <w:rFonts w:hint="default" w:ascii="宋体" w:hAnsi="宋体" w:eastAsia="宋体" w:cs="Times New Roman"/>
          <w:lang w:val="en-US" w:eastAsia="zh-CN"/>
        </w:rPr>
        <w:t>远程诊断</w:t>
      </w:r>
    </w:p>
    <w:p w14:paraId="42EABD28">
      <w:pPr>
        <w:pStyle w:val="34"/>
        <w:rPr>
          <w:rFonts w:hint="default"/>
          <w:lang w:val="en-US" w:eastAsia="zh-CN"/>
        </w:rPr>
      </w:pPr>
      <w:r>
        <w:rPr>
          <w:rFonts w:hint="default"/>
          <w:lang w:val="en-US" w:eastAsia="zh-CN"/>
        </w:rPr>
        <w:t>对于服务范围内的系统及性能问题，提供诊断服务，远程拨入系统分析和远程系统性能监控，以达到对故障的远程解决。</w:t>
      </w:r>
    </w:p>
    <w:p w14:paraId="37F1800C">
      <w:pPr>
        <w:pStyle w:val="34"/>
        <w:rPr>
          <w:rFonts w:hint="default"/>
          <w:lang w:val="en-US" w:eastAsia="zh-CN"/>
        </w:rPr>
      </w:pPr>
      <w:r>
        <w:rPr>
          <w:rFonts w:hint="default"/>
          <w:lang w:val="en-US" w:eastAsia="zh-CN"/>
        </w:rPr>
        <w:t>远程诊断可以提供最为迅速的技术支持，以最快捷方式保证设备的正常运行。</w:t>
      </w:r>
    </w:p>
    <w:p w14:paraId="6EEC3907">
      <w:pPr>
        <w:pStyle w:val="33"/>
        <w:keepNext w:val="0"/>
        <w:keepLines w:val="0"/>
        <w:pageBreakBefore w:val="0"/>
        <w:widowControl w:val="0"/>
        <w:numPr>
          <w:ilvl w:val="3"/>
          <w:numId w:val="2"/>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验收标准</w:t>
      </w:r>
    </w:p>
    <w:p w14:paraId="4196938D">
      <w:pPr>
        <w:pStyle w:val="34"/>
        <w:numPr>
          <w:ilvl w:val="0"/>
          <w:numId w:val="56"/>
        </w:numPr>
        <w:rPr>
          <w:rFonts w:hint="default" w:ascii="宋体" w:hAnsi="宋体" w:eastAsia="宋体" w:cs="Times New Roman"/>
          <w:lang w:val="en-US" w:eastAsia="zh-CN"/>
        </w:rPr>
      </w:pPr>
      <w:r>
        <w:rPr>
          <w:rFonts w:hint="default" w:ascii="宋体" w:hAnsi="宋体" w:eastAsia="宋体" w:cs="Times New Roman"/>
          <w:lang w:val="en-US" w:eastAsia="zh-CN"/>
        </w:rPr>
        <w:t>验收标准：满足采购文件对服务方案的要求。</w:t>
      </w:r>
    </w:p>
    <w:p w14:paraId="08A3B098">
      <w:pPr>
        <w:pStyle w:val="34"/>
        <w:numPr>
          <w:ilvl w:val="0"/>
          <w:numId w:val="56"/>
        </w:numPr>
        <w:rPr>
          <w:rFonts w:hint="default" w:ascii="宋体" w:hAnsi="宋体" w:eastAsia="宋体" w:cs="Times New Roman"/>
          <w:lang w:val="en-US" w:eastAsia="zh-CN"/>
        </w:rPr>
      </w:pPr>
      <w:r>
        <w:rPr>
          <w:rFonts w:hint="default" w:ascii="宋体" w:hAnsi="宋体" w:eastAsia="宋体" w:cs="Times New Roman"/>
          <w:lang w:val="en-US" w:eastAsia="zh-CN"/>
        </w:rPr>
        <w:t>项目执行完毕，乙方须向甲方发出验收申请，申请包括书验收申请、相关说明、报告等，甲方收到乙方申请后组织进行验收。</w:t>
      </w:r>
    </w:p>
    <w:p w14:paraId="760D39E5">
      <w:pPr>
        <w:pStyle w:val="34"/>
        <w:numPr>
          <w:ilvl w:val="0"/>
          <w:numId w:val="56"/>
        </w:numPr>
        <w:rPr>
          <w:rFonts w:hint="default" w:ascii="宋体" w:hAnsi="宋体" w:eastAsia="宋体" w:cs="Times New Roman"/>
          <w:lang w:val="en-US" w:eastAsia="zh-CN"/>
        </w:rPr>
      </w:pPr>
      <w:r>
        <w:rPr>
          <w:rFonts w:hint="default" w:ascii="宋体" w:hAnsi="宋体" w:eastAsia="宋体" w:cs="Times New Roman"/>
          <w:lang w:val="en-US" w:eastAsia="zh-CN"/>
        </w:rPr>
        <w:t>甲方在乙方提供相关服务的过程中，有权不定期对服务内容和质量进行考核。乙方提供相关服务过程中有违反合同约定、不达约定标准情况的，甲方有权要求乙方限期整改，乙方未按甲方要求整改的，甲方有权拒绝验收。</w:t>
      </w:r>
    </w:p>
    <w:p w14:paraId="0D8F470D">
      <w:pPr>
        <w:pStyle w:val="34"/>
        <w:numPr>
          <w:ilvl w:val="0"/>
          <w:numId w:val="56"/>
        </w:numPr>
        <w:rPr>
          <w:rFonts w:hint="default" w:ascii="宋体" w:hAnsi="宋体" w:eastAsia="宋体" w:cs="Times New Roman"/>
          <w:lang w:val="en-US" w:eastAsia="zh-CN"/>
        </w:rPr>
      </w:pPr>
      <w:r>
        <w:rPr>
          <w:rFonts w:hint="default" w:ascii="宋体" w:hAnsi="宋体" w:eastAsia="宋体" w:cs="Times New Roman"/>
          <w:lang w:val="en-US" w:eastAsia="zh-CN"/>
        </w:rPr>
        <w:t>经验收后，乙方服务成果不合格的，甲方有权要求乙方进行整改，相关费用由乙方承担；如乙方整改后仍不合格或已经无法整改的，甲方除有权要求乙方承担相应的违约责任外，还有权解除合同，并可以拒绝支付未支付的款项，乙方已经收取的款项应退还给甲方。</w:t>
      </w:r>
    </w:p>
    <w:p w14:paraId="332185FA">
      <w:pPr>
        <w:pStyle w:val="33"/>
        <w:keepNext w:val="0"/>
        <w:keepLines w:val="0"/>
        <w:pageBreakBefore w:val="0"/>
        <w:widowControl w:val="0"/>
        <w:numPr>
          <w:ilvl w:val="3"/>
          <w:numId w:val="2"/>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cs="Times New Roman"/>
          <w:lang w:val="en-US" w:eastAsia="zh-CN"/>
        </w:rPr>
        <w:t>服务期限及实施地点</w:t>
      </w:r>
    </w:p>
    <w:p w14:paraId="2AE19C62">
      <w:pPr>
        <w:pStyle w:val="34"/>
        <w:numPr>
          <w:ilvl w:val="0"/>
          <w:numId w:val="57"/>
        </w:numPr>
        <w:rPr>
          <w:rFonts w:hint="eastAsia" w:ascii="宋体" w:hAnsi="宋体" w:eastAsia="宋体" w:cs="Times New Roman"/>
          <w:lang w:val="en-US" w:eastAsia="zh-CN"/>
        </w:rPr>
      </w:pPr>
      <w:r>
        <w:rPr>
          <w:rFonts w:hint="eastAsia" w:ascii="宋体" w:hAnsi="宋体" w:eastAsia="宋体" w:cs="Times New Roman"/>
          <w:lang w:val="en-US" w:eastAsia="zh-CN"/>
        </w:rPr>
        <w:t>项目服务期限：</w:t>
      </w:r>
      <w:r>
        <w:rPr>
          <w:rFonts w:hint="eastAsia" w:cs="Times New Roman"/>
          <w:lang w:val="en-US" w:eastAsia="zh-CN"/>
        </w:rPr>
        <w:t>自</w:t>
      </w:r>
      <w:r>
        <w:rPr>
          <w:rFonts w:hint="eastAsia" w:ascii="宋体" w:hAnsi="宋体" w:eastAsia="宋体" w:cs="Times New Roman"/>
          <w:lang w:val="en-US" w:eastAsia="zh-CN"/>
        </w:rPr>
        <w:t>合同签订之日起</w:t>
      </w:r>
      <w:r>
        <w:rPr>
          <w:rFonts w:hint="eastAsia" w:cs="Times New Roman"/>
          <w:lang w:val="en-US" w:eastAsia="zh-CN"/>
        </w:rPr>
        <w:t>12个月内</w:t>
      </w:r>
      <w:r>
        <w:rPr>
          <w:rFonts w:hint="eastAsia" w:ascii="宋体" w:hAnsi="宋体" w:eastAsia="宋体" w:cs="Times New Roman"/>
          <w:lang w:val="en-US" w:eastAsia="zh-CN"/>
        </w:rPr>
        <w:t>。</w:t>
      </w:r>
    </w:p>
    <w:p w14:paraId="1529069F">
      <w:pPr>
        <w:pStyle w:val="34"/>
        <w:numPr>
          <w:ilvl w:val="0"/>
          <w:numId w:val="57"/>
        </w:numPr>
        <w:rPr>
          <w:rFonts w:hint="eastAsia" w:ascii="宋体" w:hAnsi="宋体" w:eastAsia="宋体" w:cs="Times New Roman"/>
          <w:lang w:val="en-US" w:eastAsia="zh-CN"/>
        </w:rPr>
      </w:pPr>
      <w:r>
        <w:rPr>
          <w:rFonts w:hint="eastAsia" w:ascii="宋体" w:hAnsi="宋体" w:eastAsia="宋体" w:cs="Times New Roman"/>
          <w:lang w:val="en-US" w:eastAsia="zh-CN"/>
        </w:rPr>
        <w:t>实施地点：杭州市体育场路479号。</w:t>
      </w:r>
    </w:p>
    <w:p w14:paraId="4BC2EBBC">
      <w:pPr>
        <w:pStyle w:val="34"/>
        <w:rPr>
          <w:rFonts w:hint="eastAsia"/>
          <w:lang w:val="en-US" w:eastAsia="zh-CN"/>
        </w:rPr>
      </w:pPr>
    </w:p>
    <w:p w14:paraId="10B646A5">
      <w:pPr>
        <w:pStyle w:val="36"/>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29" w:name="_Toc25317"/>
      <w:bookmarkStart w:id="130" w:name="_Toc8122"/>
      <w:bookmarkStart w:id="131" w:name="_Toc24573"/>
      <w:bookmarkStart w:id="132" w:name="_Toc18174"/>
      <w:bookmarkStart w:id="133" w:name="_Toc7554"/>
      <w:r>
        <w:rPr>
          <w:rFonts w:hint="eastAsia"/>
          <w:sz w:val="28"/>
          <w:szCs w:val="28"/>
          <w:lang w:val="en-US" w:eastAsia="zh-CN"/>
        </w:rPr>
        <w:t>应急指挥车维护服务</w:t>
      </w:r>
      <w:bookmarkEnd w:id="129"/>
      <w:bookmarkEnd w:id="130"/>
      <w:bookmarkEnd w:id="131"/>
      <w:bookmarkEnd w:id="132"/>
      <w:bookmarkEnd w:id="133"/>
    </w:p>
    <w:p w14:paraId="396D71A1">
      <w:pPr>
        <w:pStyle w:val="37"/>
        <w:keepNext w:val="0"/>
        <w:keepLines w:val="0"/>
        <w:pageBreakBefore w:val="0"/>
        <w:widowControl w:val="0"/>
        <w:numPr>
          <w:ilvl w:val="2"/>
          <w:numId w:val="58"/>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技术要求</w:t>
      </w:r>
    </w:p>
    <w:p w14:paraId="36E6090D">
      <w:pPr>
        <w:pStyle w:val="34"/>
        <w:numPr>
          <w:ilvl w:val="0"/>
          <w:numId w:val="0"/>
        </w:numPr>
        <w:ind w:firstLine="480" w:firstLineChars="200"/>
        <w:rPr>
          <w:rFonts w:hint="eastAsia" w:ascii="宋体" w:hAnsi="宋体" w:eastAsia="宋体" w:cs="Times New Roman"/>
          <w:lang w:val="en-US" w:eastAsia="zh-CN"/>
        </w:rPr>
      </w:pPr>
      <w:r>
        <w:rPr>
          <w:rFonts w:hint="eastAsia" w:ascii="宋体" w:hAnsi="宋体" w:eastAsia="宋体" w:cs="Times New Roman"/>
          <w:lang w:val="en-US" w:eastAsia="zh-CN"/>
        </w:rPr>
        <w:t>动中通指挥车服务内容：</w:t>
      </w:r>
    </w:p>
    <w:p w14:paraId="1B0330C6">
      <w:pPr>
        <w:pStyle w:val="34"/>
        <w:numPr>
          <w:ilvl w:val="0"/>
          <w:numId w:val="59"/>
        </w:numPr>
        <w:rPr>
          <w:rFonts w:hint="eastAsia" w:ascii="宋体" w:hAnsi="宋体" w:eastAsia="宋体" w:cs="Times New Roman"/>
          <w:lang w:val="en-US" w:eastAsia="zh-CN"/>
        </w:rPr>
      </w:pPr>
      <w:r>
        <w:rPr>
          <w:rFonts w:hint="eastAsia" w:ascii="宋体" w:hAnsi="宋体" w:eastAsia="宋体" w:cs="Times New Roman"/>
          <w:lang w:val="en-US" w:eastAsia="zh-CN"/>
        </w:rPr>
        <w:t>按月定期检验车载设备（包括但不限于车载卫通、取力发电、车载370MHz基站、车载会议终端、车载云台、轻型无人机等）状态，记录并上报至管理人员；</w:t>
      </w:r>
    </w:p>
    <w:p w14:paraId="046CB841">
      <w:pPr>
        <w:pStyle w:val="34"/>
        <w:numPr>
          <w:ilvl w:val="0"/>
          <w:numId w:val="59"/>
        </w:numPr>
        <w:rPr>
          <w:rFonts w:hint="eastAsia" w:ascii="宋体" w:hAnsi="宋体" w:eastAsia="宋体" w:cs="Times New Roman"/>
          <w:lang w:val="en-US" w:eastAsia="zh-CN"/>
        </w:rPr>
      </w:pPr>
      <w:r>
        <w:rPr>
          <w:rFonts w:hint="eastAsia" w:ascii="宋体" w:hAnsi="宋体" w:eastAsia="宋体" w:cs="Times New Roman"/>
          <w:lang w:val="en-US" w:eastAsia="zh-CN"/>
        </w:rPr>
        <w:t>在关键任务期（每年汛期、党政重大活动、省厅下达的其他任务）前对车载设备进行检验，并接受省厅不定时的拉练检查；</w:t>
      </w:r>
    </w:p>
    <w:p w14:paraId="525FE06B">
      <w:pPr>
        <w:pStyle w:val="34"/>
        <w:numPr>
          <w:ilvl w:val="0"/>
          <w:numId w:val="59"/>
        </w:numPr>
        <w:rPr>
          <w:rFonts w:hint="eastAsia" w:ascii="宋体" w:hAnsi="宋体" w:eastAsia="宋体" w:cs="Times New Roman"/>
          <w:lang w:val="en-US" w:eastAsia="zh-CN"/>
        </w:rPr>
      </w:pPr>
      <w:r>
        <w:rPr>
          <w:rFonts w:hint="eastAsia" w:ascii="宋体" w:hAnsi="宋体" w:eastAsia="宋体" w:cs="Times New Roman"/>
          <w:lang w:val="en-US" w:eastAsia="zh-CN"/>
        </w:rPr>
        <w:t>提供车辆及车载设备的升级、维修、保养服务，车辆及车载设备损坏维修费用由供应商承担；</w:t>
      </w:r>
    </w:p>
    <w:p w14:paraId="0DBD6786">
      <w:pPr>
        <w:pStyle w:val="34"/>
        <w:numPr>
          <w:ilvl w:val="0"/>
          <w:numId w:val="59"/>
        </w:numPr>
        <w:rPr>
          <w:rFonts w:hint="eastAsia" w:ascii="宋体" w:hAnsi="宋体" w:eastAsia="宋体" w:cs="Times New Roman"/>
          <w:lang w:val="en-US" w:eastAsia="zh-CN"/>
        </w:rPr>
      </w:pPr>
      <w:r>
        <w:rPr>
          <w:rFonts w:hint="eastAsia" w:ascii="宋体" w:hAnsi="宋体" w:eastAsia="宋体" w:cs="Times New Roman"/>
          <w:lang w:val="en-US" w:eastAsia="zh-CN"/>
        </w:rPr>
        <w:t>随车服务，提供随车技术人员，听从省厅指挥调度，接到指令1小时以内完成集结，随车出发；</w:t>
      </w:r>
    </w:p>
    <w:p w14:paraId="0AE495C9">
      <w:pPr>
        <w:pStyle w:val="34"/>
        <w:numPr>
          <w:ilvl w:val="0"/>
          <w:numId w:val="59"/>
        </w:numPr>
        <w:rPr>
          <w:rFonts w:hint="eastAsia" w:ascii="宋体" w:hAnsi="宋体" w:eastAsia="宋体" w:cs="Times New Roman"/>
          <w:lang w:val="en-US" w:eastAsia="zh-CN"/>
        </w:rPr>
      </w:pPr>
      <w:r>
        <w:rPr>
          <w:rFonts w:hint="eastAsia" w:ascii="宋体" w:hAnsi="宋体" w:eastAsia="宋体" w:cs="Times New Roman"/>
          <w:lang w:val="en-US" w:eastAsia="zh-CN"/>
        </w:rPr>
        <w:t>随车配套一台专用控制终端，用于呈现指挥车内外视频画面和指挥车卫星网络、视频会议调度；</w:t>
      </w:r>
    </w:p>
    <w:p w14:paraId="6B8173E1">
      <w:pPr>
        <w:pStyle w:val="34"/>
        <w:numPr>
          <w:ilvl w:val="0"/>
          <w:numId w:val="59"/>
        </w:numPr>
        <w:rPr>
          <w:rFonts w:hint="eastAsia" w:ascii="宋体" w:hAnsi="宋体" w:eastAsia="宋体" w:cs="Times New Roman"/>
          <w:lang w:val="en-US" w:eastAsia="zh-CN"/>
        </w:rPr>
      </w:pPr>
      <w:r>
        <w:rPr>
          <w:rFonts w:hint="eastAsia" w:ascii="宋体" w:hAnsi="宋体" w:eastAsia="宋体" w:cs="Times New Roman"/>
          <w:lang w:val="en-US" w:eastAsia="zh-CN"/>
        </w:rPr>
        <w:t>随车人员具备操作轻型无人机航拍、安防、应急救灾或勘察等作业飞行经验；</w:t>
      </w:r>
    </w:p>
    <w:p w14:paraId="1EB539A9">
      <w:pPr>
        <w:pStyle w:val="34"/>
        <w:numPr>
          <w:ilvl w:val="0"/>
          <w:numId w:val="59"/>
        </w:numPr>
        <w:rPr>
          <w:rFonts w:hint="eastAsia" w:ascii="宋体" w:hAnsi="宋体" w:eastAsia="宋体" w:cs="Times New Roman"/>
          <w:lang w:val="en-US" w:eastAsia="zh-CN"/>
        </w:rPr>
      </w:pPr>
      <w:r>
        <w:rPr>
          <w:rFonts w:hint="eastAsia" w:ascii="宋体" w:hAnsi="宋体" w:eastAsia="宋体" w:cs="Times New Roman"/>
          <w:lang w:val="en-US" w:eastAsia="zh-CN"/>
        </w:rPr>
        <w:t>配套指挥车流量卡套餐（用于车上临时公网CPE）。</w:t>
      </w:r>
    </w:p>
    <w:p w14:paraId="415D8356">
      <w:pPr>
        <w:pStyle w:val="37"/>
        <w:keepNext w:val="0"/>
        <w:keepLines w:val="0"/>
        <w:pageBreakBefore w:val="0"/>
        <w:widowControl w:val="0"/>
        <w:numPr>
          <w:ilvl w:val="2"/>
          <w:numId w:val="58"/>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商务要求</w:t>
      </w:r>
    </w:p>
    <w:p w14:paraId="54438F39">
      <w:pPr>
        <w:pStyle w:val="34"/>
        <w:numPr>
          <w:ilvl w:val="0"/>
          <w:numId w:val="60"/>
        </w:numPr>
        <w:rPr>
          <w:rFonts w:hint="eastAsia" w:ascii="宋体" w:hAnsi="宋体" w:eastAsia="宋体" w:cs="Times New Roman"/>
          <w:lang w:val="en-US" w:eastAsia="zh-CN"/>
        </w:rPr>
      </w:pPr>
      <w:r>
        <w:rPr>
          <w:rFonts w:hint="eastAsia" w:ascii="宋体" w:hAnsi="宋体" w:eastAsia="宋体" w:cs="Times New Roman"/>
          <w:lang w:val="en-US" w:eastAsia="zh-CN"/>
        </w:rPr>
        <w:t>服务时间：</w:t>
      </w:r>
      <w:r>
        <w:rPr>
          <w:rFonts w:hint="eastAsia" w:cs="Times New Roman"/>
          <w:lang w:val="en-US" w:eastAsia="zh-CN"/>
        </w:rPr>
        <w:t>自合同签订之日起12个月内</w:t>
      </w:r>
      <w:r>
        <w:rPr>
          <w:rFonts w:hint="eastAsia" w:ascii="宋体" w:hAnsi="宋体" w:eastAsia="宋体" w:cs="Times New Roman"/>
          <w:lang w:val="en-US" w:eastAsia="zh-CN"/>
        </w:rPr>
        <w:t>。</w:t>
      </w:r>
    </w:p>
    <w:p w14:paraId="366F60CE">
      <w:pPr>
        <w:pStyle w:val="34"/>
        <w:numPr>
          <w:ilvl w:val="0"/>
          <w:numId w:val="60"/>
        </w:numPr>
        <w:rPr>
          <w:rFonts w:hint="eastAsia" w:ascii="宋体" w:hAnsi="宋体" w:eastAsia="宋体" w:cs="Times New Roman"/>
          <w:lang w:val="en-US" w:eastAsia="zh-CN"/>
        </w:rPr>
      </w:pPr>
      <w:r>
        <w:rPr>
          <w:rFonts w:hint="eastAsia" w:cs="Times New Roman"/>
          <w:lang w:val="en-US" w:eastAsia="zh-CN"/>
        </w:rPr>
        <w:t>实施地点</w:t>
      </w:r>
      <w:r>
        <w:rPr>
          <w:rFonts w:hint="eastAsia" w:ascii="宋体" w:hAnsi="宋体" w:eastAsia="宋体" w:cs="Times New Roman"/>
          <w:lang w:val="en-US" w:eastAsia="zh-CN"/>
        </w:rPr>
        <w:t>：杭州市体育场路479号。</w:t>
      </w:r>
    </w:p>
    <w:p w14:paraId="034E5E80">
      <w:pPr>
        <w:pStyle w:val="34"/>
        <w:widowControl w:val="0"/>
        <w:numPr>
          <w:ilvl w:val="0"/>
          <w:numId w:val="0"/>
        </w:numPr>
        <w:adjustRightInd w:val="0"/>
        <w:spacing w:line="360" w:lineRule="auto"/>
        <w:jc w:val="both"/>
        <w:rPr>
          <w:rFonts w:hint="eastAsia" w:ascii="宋体" w:hAnsi="宋体" w:eastAsia="宋体" w:cs="Times New Roman"/>
          <w:lang w:val="en-US" w:eastAsia="zh-CN"/>
        </w:rPr>
      </w:pPr>
    </w:p>
    <w:p w14:paraId="19CBC038">
      <w:pPr>
        <w:pStyle w:val="36"/>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34" w:name="_Toc12079"/>
      <w:bookmarkStart w:id="135" w:name="_Toc20386"/>
      <w:bookmarkStart w:id="136" w:name="_Toc13987"/>
      <w:bookmarkStart w:id="137" w:name="_Toc3550"/>
      <w:bookmarkStart w:id="138" w:name="_Toc12292"/>
      <w:r>
        <w:rPr>
          <w:rFonts w:hint="eastAsia"/>
          <w:sz w:val="28"/>
          <w:szCs w:val="28"/>
          <w:lang w:val="en-US" w:eastAsia="zh-CN"/>
        </w:rPr>
        <w:t>浙里焊数字化拓展推广应用项目运维</w:t>
      </w:r>
      <w:bookmarkEnd w:id="134"/>
      <w:bookmarkEnd w:id="135"/>
      <w:bookmarkEnd w:id="136"/>
      <w:bookmarkEnd w:id="137"/>
      <w:bookmarkEnd w:id="138"/>
    </w:p>
    <w:p w14:paraId="62305F2E">
      <w:pPr>
        <w:pStyle w:val="37"/>
        <w:keepNext w:val="0"/>
        <w:keepLines w:val="0"/>
        <w:pageBreakBefore w:val="0"/>
        <w:widowControl w:val="0"/>
        <w:numPr>
          <w:ilvl w:val="2"/>
          <w:numId w:val="61"/>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技术要求</w:t>
      </w:r>
    </w:p>
    <w:p w14:paraId="3B7F9131">
      <w:pPr>
        <w:pStyle w:val="33"/>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软件平台日常维护</w:t>
      </w:r>
    </w:p>
    <w:p w14:paraId="1F5528B0">
      <w:pPr>
        <w:pStyle w:val="34"/>
        <w:rPr>
          <w:rFonts w:hint="default"/>
          <w:lang w:val="en-US" w:eastAsia="zh-CN"/>
        </w:rPr>
      </w:pPr>
      <w:r>
        <w:rPr>
          <w:rFonts w:hint="default"/>
          <w:lang w:val="en-US" w:eastAsia="zh-CN"/>
        </w:rPr>
        <w:t>通过对浙里焊数字化拓展推广应用的维护，解决系统运行过程中的问题，分析项目各节点的运行性能，通过优化程序，解决系统运行问题，保障应用系统的处理服务性能。</w:t>
      </w:r>
    </w:p>
    <w:p w14:paraId="03736535">
      <w:pPr>
        <w:pStyle w:val="34"/>
        <w:rPr>
          <w:rFonts w:hint="default"/>
          <w:lang w:val="en-US" w:eastAsia="zh-CN"/>
        </w:rPr>
      </w:pPr>
      <w:r>
        <w:rPr>
          <w:rFonts w:hint="default"/>
          <w:lang w:val="en-US" w:eastAsia="zh-CN"/>
        </w:rPr>
        <w:t>主要维护内容包括：</w:t>
      </w:r>
    </w:p>
    <w:p w14:paraId="4C6DB550">
      <w:pPr>
        <w:pStyle w:val="34"/>
        <w:numPr>
          <w:ilvl w:val="0"/>
          <w:numId w:val="63"/>
        </w:numPr>
        <w:rPr>
          <w:rFonts w:hint="default" w:ascii="宋体" w:hAnsi="宋体" w:eastAsia="宋体" w:cs="Times New Roman"/>
          <w:lang w:val="en-US" w:eastAsia="zh-CN"/>
        </w:rPr>
      </w:pPr>
      <w:r>
        <w:rPr>
          <w:rFonts w:hint="default" w:ascii="宋体" w:hAnsi="宋体" w:eastAsia="宋体" w:cs="Times New Roman"/>
          <w:lang w:val="en-US" w:eastAsia="zh-CN"/>
        </w:rPr>
        <w:t>系统功能维护：对系统各项功能、权限分配进行定期巡检，确保系统各项功能运行稳定。</w:t>
      </w:r>
    </w:p>
    <w:p w14:paraId="6B9EF80C">
      <w:pPr>
        <w:pStyle w:val="34"/>
        <w:numPr>
          <w:ilvl w:val="0"/>
          <w:numId w:val="63"/>
        </w:numPr>
        <w:rPr>
          <w:rFonts w:hint="default" w:ascii="宋体" w:hAnsi="宋体" w:eastAsia="宋体" w:cs="Times New Roman"/>
          <w:lang w:val="en-US" w:eastAsia="zh-CN"/>
        </w:rPr>
      </w:pPr>
      <w:r>
        <w:rPr>
          <w:rFonts w:hint="default" w:ascii="宋体" w:hAnsi="宋体" w:eastAsia="宋体" w:cs="Times New Roman"/>
          <w:lang w:val="en-US" w:eastAsia="zh-CN"/>
        </w:rPr>
        <w:t>系统功能完善：因业务发展需要或需求变动引发对系统的新增、完善平台功能且工作量小于（含）1人日的开发工作，年累计不超过15个工作日。</w:t>
      </w:r>
    </w:p>
    <w:p w14:paraId="587AC5D0">
      <w:pPr>
        <w:pStyle w:val="34"/>
        <w:numPr>
          <w:ilvl w:val="0"/>
          <w:numId w:val="63"/>
        </w:numPr>
        <w:rPr>
          <w:rFonts w:hint="default" w:ascii="宋体" w:hAnsi="宋体" w:eastAsia="宋体" w:cs="Times New Roman"/>
          <w:lang w:val="en-US" w:eastAsia="zh-CN"/>
        </w:rPr>
      </w:pPr>
      <w:r>
        <w:rPr>
          <w:rFonts w:hint="default" w:ascii="宋体" w:hAnsi="宋体" w:eastAsia="宋体" w:cs="Times New Roman"/>
          <w:lang w:val="en-US" w:eastAsia="zh-CN"/>
        </w:rPr>
        <w:t>系统性能优化：对平台各类算法、服务等实时进行监测，对监测数据日志进行分析，对系统资源消耗较大的节点进行优化，提升系统性能。</w:t>
      </w:r>
    </w:p>
    <w:p w14:paraId="0418C02D">
      <w:pPr>
        <w:pStyle w:val="34"/>
        <w:numPr>
          <w:ilvl w:val="0"/>
          <w:numId w:val="63"/>
        </w:numPr>
        <w:rPr>
          <w:rFonts w:hint="default" w:ascii="宋体" w:hAnsi="宋体" w:eastAsia="宋体" w:cs="Times New Roman"/>
          <w:lang w:val="en-US" w:eastAsia="zh-CN"/>
        </w:rPr>
      </w:pPr>
      <w:r>
        <w:rPr>
          <w:rFonts w:hint="default" w:ascii="宋体" w:hAnsi="宋体" w:eastAsia="宋体" w:cs="Times New Roman"/>
          <w:lang w:val="en-US" w:eastAsia="zh-CN"/>
        </w:rPr>
        <w:t>数据对接接口监测：根据用户数据对接接口开发要求，完成相关数据对接接入工作，包括对内接口、对外共享接口开发工作，包括各类证件、企业、执法等数据接口运行情况。</w:t>
      </w:r>
    </w:p>
    <w:p w14:paraId="63D178A9">
      <w:pPr>
        <w:pStyle w:val="34"/>
        <w:numPr>
          <w:ilvl w:val="0"/>
          <w:numId w:val="63"/>
        </w:numPr>
        <w:rPr>
          <w:rFonts w:hint="default" w:ascii="宋体" w:hAnsi="宋体" w:eastAsia="宋体" w:cs="Times New Roman"/>
          <w:lang w:val="en-US" w:eastAsia="zh-CN"/>
        </w:rPr>
      </w:pPr>
      <w:r>
        <w:rPr>
          <w:rFonts w:hint="default" w:ascii="宋体" w:hAnsi="宋体" w:eastAsia="宋体" w:cs="Times New Roman"/>
          <w:lang w:val="en-US" w:eastAsia="zh-CN"/>
        </w:rPr>
        <w:t>数据库数据清理：定期清理运维过程中所产生的生产数据库中临时表，从应用系统角度来优化数据库，提高应用系统运行速度。</w:t>
      </w:r>
    </w:p>
    <w:p w14:paraId="77BA0910">
      <w:pPr>
        <w:pStyle w:val="34"/>
        <w:numPr>
          <w:ilvl w:val="0"/>
          <w:numId w:val="63"/>
        </w:numPr>
        <w:rPr>
          <w:rFonts w:hint="default" w:ascii="宋体" w:hAnsi="宋体" w:eastAsia="宋体" w:cs="Times New Roman"/>
          <w:lang w:val="en-US" w:eastAsia="zh-CN"/>
        </w:rPr>
      </w:pPr>
      <w:r>
        <w:rPr>
          <w:rFonts w:hint="default" w:ascii="宋体" w:hAnsi="宋体" w:eastAsia="宋体" w:cs="Times New Roman"/>
          <w:lang w:val="en-US" w:eastAsia="zh-CN"/>
        </w:rPr>
        <w:t>数据同步接口监测：对各地市数据接口定期进行审查，确保地市数据接口稳定，同时对地市接口进行定期巡查，对接口数据清洗程序进行定期运维。</w:t>
      </w:r>
    </w:p>
    <w:p w14:paraId="302AEBFC">
      <w:pPr>
        <w:pStyle w:val="34"/>
        <w:numPr>
          <w:ilvl w:val="0"/>
          <w:numId w:val="63"/>
        </w:numPr>
        <w:rPr>
          <w:rFonts w:hint="default" w:ascii="宋体" w:hAnsi="宋体" w:eastAsia="宋体" w:cs="Times New Roman"/>
          <w:lang w:val="en-US" w:eastAsia="zh-CN"/>
        </w:rPr>
      </w:pPr>
      <w:r>
        <w:rPr>
          <w:rFonts w:hint="default" w:ascii="宋体" w:hAnsi="宋体" w:eastAsia="宋体" w:cs="Times New Roman"/>
          <w:lang w:val="en-US" w:eastAsia="zh-CN"/>
        </w:rPr>
        <w:t>平台数据备份：按照固定时间对数据库进行备份，并定期检查相关表数据备份完整性。</w:t>
      </w:r>
    </w:p>
    <w:p w14:paraId="102D8391">
      <w:pPr>
        <w:pStyle w:val="34"/>
        <w:numPr>
          <w:ilvl w:val="0"/>
          <w:numId w:val="63"/>
        </w:numPr>
        <w:rPr>
          <w:rFonts w:hint="default"/>
          <w:lang w:val="en-US" w:eastAsia="zh-CN"/>
        </w:rPr>
      </w:pPr>
      <w:r>
        <w:rPr>
          <w:rFonts w:hint="default" w:ascii="宋体" w:hAnsi="宋体" w:eastAsia="宋体" w:cs="Times New Roman"/>
          <w:lang w:val="en-US" w:eastAsia="zh-CN"/>
        </w:rPr>
        <w:t>国家平台数据上报保障：协助开发国家平台数据上报接口，并保障系统接口正常运行。</w:t>
      </w:r>
    </w:p>
    <w:p w14:paraId="09FC5F2A">
      <w:pPr>
        <w:pStyle w:val="33"/>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基础设施日常维护</w:t>
      </w:r>
    </w:p>
    <w:p w14:paraId="538B4285">
      <w:pPr>
        <w:pStyle w:val="34"/>
        <w:rPr>
          <w:rFonts w:hint="default"/>
          <w:lang w:val="en-US" w:eastAsia="zh-CN"/>
        </w:rPr>
      </w:pPr>
      <w:r>
        <w:rPr>
          <w:rFonts w:hint="default"/>
          <w:lang w:val="en-US" w:eastAsia="zh-CN"/>
        </w:rPr>
        <w:t>主要包括以下5个方面：云服务器、存储备份、数据库、中间件及网络安全等基础软硬件设施。</w:t>
      </w:r>
    </w:p>
    <w:p w14:paraId="1254A3E6">
      <w:pPr>
        <w:pStyle w:val="34"/>
        <w:numPr>
          <w:ilvl w:val="0"/>
          <w:numId w:val="64"/>
        </w:numPr>
        <w:rPr>
          <w:rFonts w:hint="default" w:ascii="宋体" w:hAnsi="宋体" w:eastAsia="宋体" w:cs="Times New Roman"/>
          <w:lang w:val="en-US" w:eastAsia="zh-CN"/>
        </w:rPr>
      </w:pPr>
      <w:r>
        <w:rPr>
          <w:rFonts w:hint="default" w:ascii="宋体" w:hAnsi="宋体" w:eastAsia="宋体" w:cs="Times New Roman"/>
          <w:lang w:val="en-US" w:eastAsia="zh-CN"/>
        </w:rPr>
        <w:t>服务器维护。服务器系统主要包括本项目目前在用的各类云主机：数据库服务器（RDS）、应用服务器（ECS）。具体服务内容包括：服务器运行状态检查、服务器网络状况、服务器安全规则配置、服务器防病毒软件更新等。运维方根据服务器的情况制订相应的事件管理文档，由服务人员对服务器发生的事件进行记录、跟踪与分析，通过对事件的分析，及时发现服务器中存在的潜在问题，并进行解决或提出相应的解决方案。1）服务器性能监控：运维方每天由服务人员根据制定的性能监测模板对服务器的性能监控，监控的参数为服务器的CPU、内存、硬盘、网络，并根据各服务器的应用情况，分析出服务器性能的基本基准线。2）应用维护：运维团队服务人员对这些应用进行定期的维护，对防病毒软件的防护状态与更新情况进行不定期检查。</w:t>
      </w:r>
    </w:p>
    <w:p w14:paraId="57062BC0">
      <w:pPr>
        <w:pStyle w:val="34"/>
        <w:numPr>
          <w:ilvl w:val="0"/>
          <w:numId w:val="64"/>
        </w:numPr>
        <w:rPr>
          <w:rFonts w:hint="default" w:ascii="宋体" w:hAnsi="宋体" w:eastAsia="宋体" w:cs="Times New Roman"/>
          <w:lang w:val="en-US" w:eastAsia="zh-CN"/>
        </w:rPr>
      </w:pPr>
      <w:r>
        <w:rPr>
          <w:rFonts w:hint="default" w:ascii="宋体" w:hAnsi="宋体" w:eastAsia="宋体" w:cs="Times New Roman"/>
          <w:lang w:val="en-US" w:eastAsia="zh-CN"/>
        </w:rPr>
        <w:t>存储备份维护。存储系统平台主要包括：云存储系统、快照恢复系统等。具体服务内容包括：1）当系统出现异常数据丢失时，与厅技术人员沟通，利用快照还原备份文件，运维服务人员对备份数据进行数据恢复，以保证应用快速恢复。2）备份数据整理：运维服务人员根据备份和存储数据的情况，制定数据整理频率计划，进行数据的整理。</w:t>
      </w:r>
    </w:p>
    <w:p w14:paraId="603A7B9C">
      <w:pPr>
        <w:pStyle w:val="34"/>
        <w:numPr>
          <w:ilvl w:val="0"/>
          <w:numId w:val="64"/>
        </w:numPr>
        <w:rPr>
          <w:rFonts w:hint="default" w:ascii="宋体" w:hAnsi="宋体" w:eastAsia="宋体" w:cs="Times New Roman"/>
          <w:lang w:val="en-US" w:eastAsia="zh-CN"/>
        </w:rPr>
      </w:pPr>
      <w:r>
        <w:rPr>
          <w:rFonts w:hint="default" w:ascii="宋体" w:hAnsi="宋体" w:eastAsia="宋体" w:cs="Times New Roman"/>
          <w:lang w:val="en-US" w:eastAsia="zh-CN"/>
        </w:rPr>
        <w:t>网络安全维护。网络、安全平台维护的目标是：通过网络、安全系统管理服务，降低网络设备故障率，提高网络设备的运行性能。提高网站运行的稳定性、可靠性。需要提供故障诊断、远程支持、现场支持、软件升级、网络优化、网络巡检、现场培训、技术交流、网络安全、网络建设建议等服务。具体服务内容如下：网络故障排查、网络状态检查、网络流量监测、安全策略配置及配置优化、网络安全组管理、网络使用状况趋势分析及建议。</w:t>
      </w:r>
    </w:p>
    <w:p w14:paraId="2FF7A24A">
      <w:pPr>
        <w:pStyle w:val="34"/>
        <w:numPr>
          <w:ilvl w:val="0"/>
          <w:numId w:val="64"/>
        </w:numPr>
        <w:rPr>
          <w:rFonts w:hint="default" w:ascii="宋体" w:hAnsi="宋体" w:eastAsia="宋体" w:cs="Times New Roman"/>
          <w:lang w:val="en-US" w:eastAsia="zh-CN"/>
        </w:rPr>
      </w:pPr>
      <w:r>
        <w:rPr>
          <w:rFonts w:hint="default" w:ascii="宋体" w:hAnsi="宋体" w:eastAsia="宋体" w:cs="Times New Roman"/>
          <w:lang w:val="en-US" w:eastAsia="zh-CN"/>
        </w:rPr>
        <w:t>数据库系统维护。数据库维护服务内容主要包括：数据库实例状态检查、数据库表空间使用情况、监控查看数据库的连接情况、表空间使用情况和性能检查、数据库告警日志检查分析、数据库备份检查。</w:t>
      </w:r>
    </w:p>
    <w:p w14:paraId="031323B2">
      <w:pPr>
        <w:pStyle w:val="34"/>
        <w:numPr>
          <w:ilvl w:val="0"/>
          <w:numId w:val="64"/>
        </w:numPr>
        <w:rPr>
          <w:rFonts w:hint="default"/>
          <w:lang w:val="en-US" w:eastAsia="zh-CN"/>
        </w:rPr>
      </w:pPr>
      <w:r>
        <w:rPr>
          <w:rFonts w:hint="default" w:ascii="宋体" w:hAnsi="宋体" w:eastAsia="宋体" w:cs="Times New Roman"/>
          <w:lang w:val="en-US" w:eastAsia="zh-CN"/>
        </w:rPr>
        <w:t>中间件维护。中间件软件维护服务内容主要包括：数据维护、数据备份、系统日常维护、中间件升级而对应用软件进行适应性更新与调测服务、中间件维护操作手册及应急流程更新。</w:t>
      </w:r>
    </w:p>
    <w:p w14:paraId="4D154B8F">
      <w:pPr>
        <w:pStyle w:val="33"/>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default"/>
          <w:lang w:val="en-US" w:eastAsia="zh-CN"/>
        </w:rPr>
      </w:pPr>
      <w:r>
        <w:rPr>
          <w:rFonts w:hint="default" w:ascii="宋体" w:hAnsi="宋体" w:eastAsia="宋体" w:cs="Times New Roman"/>
          <w:lang w:val="en-US" w:eastAsia="zh-CN"/>
        </w:rPr>
        <w:t>系统安全服务</w:t>
      </w:r>
    </w:p>
    <w:p w14:paraId="70C562A6">
      <w:pPr>
        <w:pStyle w:val="34"/>
        <w:numPr>
          <w:ilvl w:val="0"/>
          <w:numId w:val="65"/>
        </w:numPr>
        <w:rPr>
          <w:rFonts w:hint="default" w:ascii="宋体" w:hAnsi="宋体" w:eastAsia="宋体" w:cs="Times New Roman"/>
          <w:lang w:val="en-US" w:eastAsia="zh-CN"/>
        </w:rPr>
      </w:pPr>
      <w:r>
        <w:rPr>
          <w:rFonts w:hint="default" w:ascii="宋体" w:hAnsi="宋体" w:eastAsia="宋体" w:cs="Times New Roman"/>
          <w:lang w:val="en-US" w:eastAsia="zh-CN"/>
        </w:rPr>
        <w:t>安全加固。安全加固是指对在风险评估中发现的系统安全风险进行处理，按照级别不同，应该在相应时间内完成。安全加固的内容主要包括：1）常规安全加固工作，主要是根据风险评估结果进行系统安全调优服务，根据系统运行需要适时调整各类设备及系统配置、合理规划系统资源、消除系统漏洞，提高系统稳定性和可靠性；2）主动安全加固，在未出现安全事故之前就对已经通报或者暴露出来的软件漏洞或最新病毒库更新，就主动进行计划地升级和改进，从而避免出现安全事故。具体加固内容包括但不限于：账户策略、账户锁定策略、审核策略、NTFS、用户权限分配、系统服务策略、补丁管理、事件日志、应用软件的更新等。</w:t>
      </w:r>
    </w:p>
    <w:p w14:paraId="30D3CD50">
      <w:pPr>
        <w:pStyle w:val="34"/>
        <w:numPr>
          <w:ilvl w:val="0"/>
          <w:numId w:val="65"/>
        </w:numPr>
        <w:rPr>
          <w:rFonts w:hint="default" w:ascii="宋体" w:hAnsi="宋体" w:eastAsia="宋体" w:cs="Times New Roman"/>
          <w:lang w:val="en-US" w:eastAsia="zh-CN"/>
        </w:rPr>
      </w:pPr>
      <w:r>
        <w:rPr>
          <w:rFonts w:hint="default" w:ascii="宋体" w:hAnsi="宋体" w:eastAsia="宋体" w:cs="Times New Roman"/>
          <w:lang w:val="en-US" w:eastAsia="zh-CN"/>
        </w:rPr>
        <w:t>安全监控。对服务内容进行监控，在安全环境产生变化时，及时更新安全策略，在现有设备和网络情况有改变的时候，快速制定，针对更新后设备环境的安全策略，并实施部署，避免因设备变更而带来的安全风险。</w:t>
      </w:r>
    </w:p>
    <w:p w14:paraId="4C3B5D9F">
      <w:pPr>
        <w:pStyle w:val="34"/>
        <w:numPr>
          <w:ilvl w:val="0"/>
          <w:numId w:val="65"/>
        </w:numPr>
        <w:rPr>
          <w:rFonts w:hint="default" w:ascii="宋体" w:hAnsi="宋体" w:eastAsia="宋体" w:cs="Times New Roman"/>
          <w:lang w:val="en-US" w:eastAsia="zh-CN"/>
        </w:rPr>
      </w:pPr>
      <w:r>
        <w:rPr>
          <w:rFonts w:hint="default" w:ascii="宋体" w:hAnsi="宋体" w:eastAsia="宋体" w:cs="Times New Roman"/>
          <w:lang w:val="en-US" w:eastAsia="zh-CN"/>
        </w:rPr>
        <w:t>应急响应。应急状态的安全值守、响应工作，主要是系统应急响应、重大安全故障处理，确保系统出现安全事件时快速反应、及时处理，降低系统安全问题对工作的影响。</w:t>
      </w:r>
    </w:p>
    <w:p w14:paraId="7785FEDD">
      <w:pPr>
        <w:pStyle w:val="34"/>
        <w:numPr>
          <w:ilvl w:val="0"/>
          <w:numId w:val="65"/>
        </w:numPr>
        <w:rPr>
          <w:rFonts w:hint="default" w:ascii="宋体" w:hAnsi="宋体" w:eastAsia="宋体" w:cs="Times New Roman"/>
          <w:lang w:val="en-US" w:eastAsia="zh-CN"/>
        </w:rPr>
      </w:pPr>
      <w:r>
        <w:rPr>
          <w:rFonts w:hint="default" w:ascii="宋体" w:hAnsi="宋体" w:eastAsia="宋体" w:cs="Times New Roman"/>
          <w:lang w:val="en-US" w:eastAsia="zh-CN"/>
        </w:rPr>
        <w:t>安全通告。定期安全通告，在互联网上出现新型病毒或者新出现漏洞并且部分修补的情况下，制作安全通告及时告知相关运维人员，增强对于新型病毒和漏洞的防御力。</w:t>
      </w:r>
    </w:p>
    <w:p w14:paraId="3AC137B4">
      <w:pPr>
        <w:pStyle w:val="34"/>
        <w:numPr>
          <w:ilvl w:val="0"/>
          <w:numId w:val="65"/>
        </w:numPr>
        <w:rPr>
          <w:rFonts w:hint="default" w:ascii="宋体" w:hAnsi="宋体" w:eastAsia="宋体" w:cs="Times New Roman"/>
          <w:lang w:val="en-US" w:eastAsia="zh-CN"/>
        </w:rPr>
      </w:pPr>
      <w:r>
        <w:rPr>
          <w:rFonts w:hint="default" w:ascii="宋体" w:hAnsi="宋体" w:eastAsia="宋体" w:cs="Times New Roman"/>
          <w:lang w:val="en-US" w:eastAsia="zh-CN"/>
        </w:rPr>
        <w:t>培训服务。根据工作需要，建设可持续的服务能力管理体系，针对系统升级内容及时更新用户操作手册，定期对系统使用与运维人员进行培训。</w:t>
      </w:r>
    </w:p>
    <w:p w14:paraId="35B3C2EE">
      <w:pPr>
        <w:pStyle w:val="37"/>
        <w:keepNext w:val="0"/>
        <w:keepLines w:val="0"/>
        <w:pageBreakBefore w:val="0"/>
        <w:widowControl w:val="0"/>
        <w:numPr>
          <w:ilvl w:val="2"/>
          <w:numId w:val="61"/>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商务要求</w:t>
      </w:r>
    </w:p>
    <w:p w14:paraId="4AD912FD">
      <w:pPr>
        <w:pStyle w:val="33"/>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服务内容及要求</w:t>
      </w:r>
    </w:p>
    <w:p w14:paraId="30F1F3E9">
      <w:pPr>
        <w:pStyle w:val="34"/>
        <w:numPr>
          <w:ilvl w:val="0"/>
          <w:numId w:val="66"/>
        </w:numPr>
        <w:rPr>
          <w:rFonts w:hint="eastAsia" w:ascii="宋体" w:hAnsi="宋体" w:eastAsia="宋体" w:cs="Times New Roman"/>
          <w:lang w:val="en-US" w:eastAsia="zh-CN"/>
        </w:rPr>
      </w:pPr>
      <w:r>
        <w:rPr>
          <w:rFonts w:hint="eastAsia" w:ascii="宋体" w:hAnsi="宋体" w:eastAsia="宋体" w:cs="Times New Roman"/>
          <w:lang w:val="en-US" w:eastAsia="zh-CN"/>
        </w:rPr>
        <w:t>服务期内，乙方应在充分了解甲方现有环境基础上，提供规范化、高质量的服务，具体服务内容与要求及甲乙双方责任义务详见合同附件。</w:t>
      </w:r>
    </w:p>
    <w:p w14:paraId="6AA53D64">
      <w:pPr>
        <w:pStyle w:val="34"/>
        <w:numPr>
          <w:ilvl w:val="0"/>
          <w:numId w:val="66"/>
        </w:numPr>
        <w:rPr>
          <w:rFonts w:hint="eastAsia" w:ascii="宋体" w:hAnsi="宋体" w:eastAsia="宋体" w:cs="Times New Roman"/>
          <w:lang w:val="en-US" w:eastAsia="zh-CN"/>
        </w:rPr>
      </w:pPr>
      <w:r>
        <w:rPr>
          <w:rFonts w:hint="eastAsia" w:ascii="宋体" w:hAnsi="宋体" w:eastAsia="宋体" w:cs="Times New Roman"/>
          <w:lang w:val="en-US" w:eastAsia="zh-CN"/>
        </w:rPr>
        <w:t>除合同约定内容外，乙方不得向第三方外包其服务。</w:t>
      </w:r>
    </w:p>
    <w:p w14:paraId="7FBA8CAB">
      <w:pPr>
        <w:pStyle w:val="34"/>
        <w:numPr>
          <w:ilvl w:val="0"/>
          <w:numId w:val="66"/>
        </w:numPr>
        <w:rPr>
          <w:rFonts w:hint="eastAsia" w:ascii="宋体" w:hAnsi="宋体" w:eastAsia="宋体" w:cs="Times New Roman"/>
          <w:lang w:val="en-US" w:eastAsia="zh-CN"/>
        </w:rPr>
      </w:pPr>
      <w:r>
        <w:rPr>
          <w:rFonts w:hint="eastAsia" w:ascii="宋体" w:hAnsi="宋体" w:eastAsia="宋体" w:cs="Times New Roman"/>
          <w:lang w:val="en-US" w:eastAsia="zh-CN"/>
        </w:rPr>
        <w:t>履行期限：</w:t>
      </w:r>
      <w:r>
        <w:rPr>
          <w:rFonts w:hint="eastAsia" w:cs="Times New Roman"/>
          <w:lang w:val="en-US" w:eastAsia="zh-CN"/>
        </w:rPr>
        <w:t>自</w:t>
      </w:r>
      <w:r>
        <w:rPr>
          <w:rFonts w:hint="eastAsia" w:ascii="宋体" w:hAnsi="宋体" w:eastAsia="宋体" w:cs="Times New Roman"/>
          <w:lang w:val="en-US" w:eastAsia="zh-CN"/>
        </w:rPr>
        <w:t>合同签订</w:t>
      </w:r>
      <w:r>
        <w:rPr>
          <w:rFonts w:hint="eastAsia" w:cs="Times New Roman"/>
          <w:lang w:val="en-US" w:eastAsia="zh-CN"/>
        </w:rPr>
        <w:t>之日起12个月内</w:t>
      </w:r>
    </w:p>
    <w:p w14:paraId="3572EE11">
      <w:pPr>
        <w:pStyle w:val="34"/>
        <w:numPr>
          <w:ilvl w:val="0"/>
          <w:numId w:val="66"/>
        </w:numPr>
        <w:rPr>
          <w:rFonts w:hint="eastAsia" w:ascii="宋体" w:hAnsi="宋体" w:eastAsia="宋体" w:cs="Times New Roman"/>
          <w:lang w:val="en-US" w:eastAsia="zh-CN"/>
        </w:rPr>
      </w:pPr>
      <w:r>
        <w:rPr>
          <w:rFonts w:hint="eastAsia" w:ascii="宋体" w:hAnsi="宋体" w:eastAsia="宋体" w:cs="Times New Roman"/>
          <w:lang w:val="en-US" w:eastAsia="zh-CN"/>
        </w:rPr>
        <w:t>履行地点：【省应急管理厅】</w:t>
      </w:r>
    </w:p>
    <w:p w14:paraId="26AAB580">
      <w:pPr>
        <w:pStyle w:val="34"/>
        <w:numPr>
          <w:ilvl w:val="0"/>
          <w:numId w:val="66"/>
        </w:numPr>
        <w:rPr>
          <w:rFonts w:hint="eastAsia" w:ascii="宋体" w:hAnsi="宋体" w:eastAsia="宋体" w:cs="Times New Roman"/>
          <w:lang w:val="en-US" w:eastAsia="zh-CN"/>
        </w:rPr>
      </w:pPr>
      <w:r>
        <w:rPr>
          <w:rFonts w:hint="eastAsia" w:ascii="宋体" w:hAnsi="宋体" w:eastAsia="宋体" w:cs="Times New Roman"/>
          <w:lang w:val="en-US" w:eastAsia="zh-CN"/>
        </w:rPr>
        <w:t>须确保系统能够安全、稳定、有序运行，符合甲方的实际要求。</w:t>
      </w:r>
    </w:p>
    <w:p w14:paraId="1C2C1322">
      <w:pPr>
        <w:pStyle w:val="33"/>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服务标准</w:t>
      </w:r>
    </w:p>
    <w:p w14:paraId="1E56E593">
      <w:pPr>
        <w:pStyle w:val="34"/>
        <w:numPr>
          <w:ilvl w:val="0"/>
          <w:numId w:val="67"/>
        </w:numPr>
        <w:rPr>
          <w:rFonts w:hint="eastAsia" w:ascii="宋体" w:hAnsi="宋体" w:eastAsia="宋体" w:cs="Times New Roman"/>
          <w:lang w:val="en-US" w:eastAsia="zh-CN"/>
        </w:rPr>
      </w:pPr>
      <w:r>
        <w:rPr>
          <w:rFonts w:hint="eastAsia" w:ascii="宋体" w:hAnsi="宋体" w:eastAsia="宋体" w:cs="Times New Roman"/>
          <w:lang w:val="en-US" w:eastAsia="zh-CN"/>
        </w:rPr>
        <w:t>电话支持：乙方为甲方提供电话技术支持服务7天*24小时，服务请求及时响应。</w:t>
      </w:r>
    </w:p>
    <w:p w14:paraId="348A0E07">
      <w:pPr>
        <w:pStyle w:val="34"/>
        <w:numPr>
          <w:ilvl w:val="0"/>
          <w:numId w:val="67"/>
        </w:numPr>
        <w:rPr>
          <w:rFonts w:hint="eastAsia" w:ascii="宋体" w:hAnsi="宋体" w:eastAsia="宋体" w:cs="Times New Roman"/>
          <w:lang w:val="en-US" w:eastAsia="zh-CN"/>
        </w:rPr>
      </w:pPr>
      <w:r>
        <w:rPr>
          <w:rFonts w:hint="eastAsia" w:ascii="宋体" w:hAnsi="宋体" w:eastAsia="宋体" w:cs="Times New Roman"/>
          <w:lang w:val="en-US" w:eastAsia="zh-CN"/>
        </w:rPr>
        <w:t>网络支持：实行24小时*365天技术支持服务，用户通过浙政钉或微信在技术支持群里发送的问题，能及时获得支持。</w:t>
      </w:r>
    </w:p>
    <w:p w14:paraId="127EA949">
      <w:pPr>
        <w:pStyle w:val="34"/>
        <w:numPr>
          <w:ilvl w:val="0"/>
          <w:numId w:val="67"/>
        </w:numPr>
        <w:rPr>
          <w:rFonts w:hint="eastAsia" w:ascii="宋体" w:hAnsi="宋体" w:eastAsia="宋体" w:cs="Times New Roman"/>
          <w:lang w:val="en-US" w:eastAsia="zh-CN"/>
        </w:rPr>
      </w:pPr>
      <w:r>
        <w:rPr>
          <w:rFonts w:hint="eastAsia" w:ascii="宋体" w:hAnsi="宋体" w:eastAsia="宋体" w:cs="Times New Roman"/>
          <w:lang w:val="en-US" w:eastAsia="zh-CN"/>
        </w:rPr>
        <w:t>服务响应：重大系统故障（业务系统停止运行或无法访问），30分钟内作出响应，2小时内排除故障；日常应用故障，60分钟内作出响应，4小时内排除故障；其他类故障及问题，60分钟内作出响应，24小时内排除故障及问题。</w:t>
      </w:r>
    </w:p>
    <w:p w14:paraId="08F05CCB">
      <w:pPr>
        <w:pStyle w:val="33"/>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项目服务机构要求</w:t>
      </w:r>
    </w:p>
    <w:p w14:paraId="20E0C95E">
      <w:pPr>
        <w:pStyle w:val="34"/>
        <w:numPr>
          <w:ilvl w:val="-1"/>
          <w:numId w:val="0"/>
        </w:numPr>
        <w:ind w:firstLine="480"/>
        <w:rPr>
          <w:rFonts w:hint="default" w:ascii="宋体" w:hAnsi="宋体" w:eastAsia="宋体" w:cs="Times New Roman"/>
          <w:lang w:val="en-US" w:eastAsia="zh-CN"/>
        </w:rPr>
      </w:pPr>
      <w:r>
        <w:rPr>
          <w:rFonts w:hint="default" w:ascii="宋体" w:hAnsi="宋体" w:eastAsia="宋体" w:cs="Times New Roman"/>
          <w:lang w:val="en-US" w:eastAsia="zh-CN"/>
        </w:rPr>
        <w:t>供应商为本项目提供服务的维护机构应具有较强的服务能力，能提供快速的响应服务，配有较强的专业技术队伍，能确保能提供快速的售后服务响应。对软硬件故障及时排除的服务响应时间要求在40分钟以内。</w:t>
      </w:r>
    </w:p>
    <w:p w14:paraId="7604CB5C">
      <w:pPr>
        <w:pStyle w:val="34"/>
        <w:ind w:firstLine="0" w:firstLineChars="0"/>
        <w:rPr>
          <w:rFonts w:hint="default"/>
          <w:lang w:val="en-US" w:eastAsia="zh-CN"/>
        </w:rPr>
      </w:pPr>
    </w:p>
    <w:p w14:paraId="160E71C8">
      <w:pPr>
        <w:pStyle w:val="36"/>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39" w:name="_Toc1320"/>
      <w:bookmarkStart w:id="140" w:name="_Toc13079"/>
      <w:bookmarkStart w:id="141" w:name="_Toc1258"/>
      <w:bookmarkStart w:id="142" w:name="_Toc11072"/>
      <w:bookmarkStart w:id="143" w:name="_Toc13423"/>
      <w:r>
        <w:rPr>
          <w:rFonts w:hint="eastAsia"/>
          <w:sz w:val="28"/>
          <w:szCs w:val="28"/>
          <w:lang w:val="en-US" w:eastAsia="zh-CN"/>
        </w:rPr>
        <w:t>2025年浙江省应急管理厅危化品安全风险监测预警系统维护服务</w:t>
      </w:r>
      <w:bookmarkEnd w:id="139"/>
      <w:bookmarkEnd w:id="140"/>
      <w:bookmarkEnd w:id="141"/>
      <w:bookmarkEnd w:id="142"/>
      <w:bookmarkEnd w:id="143"/>
    </w:p>
    <w:p w14:paraId="2220A7D5">
      <w:pPr>
        <w:pStyle w:val="37"/>
        <w:keepNext w:val="0"/>
        <w:keepLines w:val="0"/>
        <w:pageBreakBefore w:val="0"/>
        <w:widowControl w:val="0"/>
        <w:numPr>
          <w:ilvl w:val="2"/>
          <w:numId w:val="68"/>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技术要求</w:t>
      </w:r>
    </w:p>
    <w:p w14:paraId="21CC4C2E">
      <w:pPr>
        <w:pStyle w:val="33"/>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sz w:val="24"/>
          <w:szCs w:val="21"/>
        </w:rPr>
        <w:t>危险化学品安全生产风险监测预警系统运维</w:t>
      </w:r>
    </w:p>
    <w:p w14:paraId="2940E365">
      <w:pPr>
        <w:pStyle w:val="34"/>
        <w:numPr>
          <w:ilvl w:val="0"/>
          <w:numId w:val="0"/>
        </w:numPr>
        <w:ind w:firstLine="480" w:firstLineChars="200"/>
        <w:rPr>
          <w:rFonts w:hint="default"/>
          <w:lang w:eastAsia="zh-CN"/>
        </w:rPr>
      </w:pPr>
      <w:r>
        <w:rPr>
          <w:rFonts w:hint="eastAsia"/>
          <w:lang w:eastAsia="zh-CN"/>
        </w:rPr>
        <w:t>（</w:t>
      </w:r>
      <w:r>
        <w:rPr>
          <w:rFonts w:hint="eastAsia"/>
          <w:lang w:val="en-US" w:eastAsia="zh-CN"/>
        </w:rPr>
        <w:t>1</w:t>
      </w:r>
      <w:r>
        <w:rPr>
          <w:rFonts w:hint="eastAsia"/>
          <w:lang w:eastAsia="zh-CN"/>
        </w:rPr>
        <w:t>）</w:t>
      </w:r>
      <w:r>
        <w:rPr>
          <w:rFonts w:hint="default"/>
          <w:lang w:eastAsia="zh-CN"/>
        </w:rPr>
        <w:t>系统运行情况值守：</w:t>
      </w:r>
    </w:p>
    <w:p w14:paraId="6D3C16D3">
      <w:pPr>
        <w:pStyle w:val="34"/>
        <w:numPr>
          <w:ilvl w:val="0"/>
          <w:numId w:val="0"/>
        </w:numPr>
        <w:ind w:firstLine="480" w:firstLineChars="200"/>
        <w:rPr>
          <w:rFonts w:hint="default"/>
          <w:lang w:eastAsia="zh-CN"/>
        </w:rPr>
      </w:pPr>
      <w:r>
        <w:rPr>
          <w:rFonts w:hint="default"/>
          <w:lang w:eastAsia="zh-CN"/>
        </w:rPr>
        <w:t>包括处理企业实时监测数据离线、监测数据异常治理、监测数据指标调整。具体包括但不限于系统运行过程保障，对其中运行中出现的各类预警、报警、异常工况进行处置，包括同企业联合调试、同各级监管部门进行协同处置、编写处置记录等工作。视频治理，根据企业情况及要求进行指标数据的增加、删除、变更，企业视频离线、无法预览问题处理，根据企业情况及要求进行视频监控点位的增加、删除、变更。</w:t>
      </w:r>
    </w:p>
    <w:p w14:paraId="202486B0">
      <w:pPr>
        <w:pStyle w:val="34"/>
        <w:numPr>
          <w:ilvl w:val="0"/>
          <w:numId w:val="0"/>
        </w:numPr>
        <w:ind w:firstLine="480" w:firstLineChars="200"/>
        <w:rPr>
          <w:rFonts w:hint="default"/>
          <w:lang w:eastAsia="zh-CN"/>
        </w:rPr>
      </w:pPr>
      <w:r>
        <w:rPr>
          <w:rFonts w:hint="eastAsia"/>
          <w:lang w:eastAsia="zh-CN"/>
        </w:rPr>
        <w:t>（</w:t>
      </w:r>
      <w:r>
        <w:rPr>
          <w:rFonts w:hint="eastAsia"/>
          <w:lang w:val="en-US" w:eastAsia="zh-CN"/>
        </w:rPr>
        <w:t>2</w:t>
      </w:r>
      <w:r>
        <w:rPr>
          <w:rFonts w:hint="eastAsia"/>
          <w:lang w:eastAsia="zh-CN"/>
        </w:rPr>
        <w:t>）</w:t>
      </w:r>
      <w:r>
        <w:rPr>
          <w:rFonts w:hint="default"/>
          <w:lang w:eastAsia="zh-CN"/>
        </w:rPr>
        <w:t>系统维护：</w:t>
      </w:r>
    </w:p>
    <w:p w14:paraId="3DD743BB">
      <w:pPr>
        <w:pStyle w:val="34"/>
        <w:numPr>
          <w:ilvl w:val="0"/>
          <w:numId w:val="0"/>
        </w:numPr>
        <w:ind w:firstLine="480" w:firstLineChars="200"/>
        <w:rPr>
          <w:rFonts w:hint="default"/>
          <w:lang w:eastAsia="zh-CN"/>
        </w:rPr>
      </w:pPr>
      <w:r>
        <w:rPr>
          <w:rFonts w:hint="default"/>
          <w:lang w:eastAsia="zh-CN"/>
        </w:rPr>
        <w:t>涉及业务数据维护、业务数据备份、业务系统日常维护、业务系统小版本优化更新服务、对业务管理系统健康状态检查与分析、对系统用户信息进行维护和修改、添加系统用户、更改系统用户信息、权限，负责系统中政府端账号、企业用户账号信息的更新维护以及平台中监测预警人员名单信息维护。</w:t>
      </w:r>
    </w:p>
    <w:p w14:paraId="372A36F1">
      <w:pPr>
        <w:pStyle w:val="34"/>
        <w:numPr>
          <w:ilvl w:val="0"/>
          <w:numId w:val="0"/>
        </w:numPr>
        <w:ind w:firstLine="480" w:firstLineChars="200"/>
        <w:rPr>
          <w:rFonts w:hint="default"/>
          <w:lang w:eastAsia="zh-CN"/>
        </w:rPr>
      </w:pPr>
      <w:r>
        <w:rPr>
          <w:rFonts w:hint="eastAsia"/>
          <w:lang w:eastAsia="zh-CN"/>
        </w:rPr>
        <w:t>（</w:t>
      </w:r>
      <w:r>
        <w:rPr>
          <w:rFonts w:hint="eastAsia"/>
          <w:lang w:val="en-US" w:eastAsia="zh-CN"/>
        </w:rPr>
        <w:t>3</w:t>
      </w:r>
      <w:r>
        <w:rPr>
          <w:rFonts w:hint="eastAsia"/>
          <w:lang w:eastAsia="zh-CN"/>
        </w:rPr>
        <w:t>）</w:t>
      </w:r>
      <w:r>
        <w:rPr>
          <w:rFonts w:hint="default"/>
          <w:lang w:eastAsia="zh-CN"/>
        </w:rPr>
        <w:t>系统升级、部省维护及数据接入：</w:t>
      </w:r>
    </w:p>
    <w:p w14:paraId="7A2E49CB">
      <w:pPr>
        <w:pStyle w:val="34"/>
        <w:numPr>
          <w:ilvl w:val="0"/>
          <w:numId w:val="0"/>
        </w:numPr>
        <w:ind w:firstLine="480" w:firstLineChars="200"/>
        <w:rPr>
          <w:rFonts w:hint="default"/>
          <w:lang w:eastAsia="zh-CN"/>
        </w:rPr>
      </w:pPr>
      <w:r>
        <w:rPr>
          <w:rFonts w:hint="default"/>
          <w:lang w:eastAsia="zh-CN"/>
        </w:rPr>
        <w:t>不定期按照应急管理部要求对系统进行升级维护，保证新功能在满足应急管理部的同时顺畅运行。保障部省通道、部省数据联调、部省数据交换正常运行。</w:t>
      </w:r>
    </w:p>
    <w:p w14:paraId="61971474">
      <w:pPr>
        <w:pStyle w:val="34"/>
        <w:numPr>
          <w:ilvl w:val="0"/>
          <w:numId w:val="0"/>
        </w:numPr>
        <w:ind w:firstLine="480" w:firstLineChars="200"/>
        <w:rPr>
          <w:rFonts w:hint="default"/>
          <w:lang w:eastAsia="zh-CN"/>
        </w:rPr>
      </w:pPr>
      <w:r>
        <w:rPr>
          <w:rFonts w:hint="eastAsia"/>
          <w:lang w:eastAsia="zh-CN"/>
        </w:rPr>
        <w:t>（</w:t>
      </w:r>
      <w:r>
        <w:rPr>
          <w:rFonts w:hint="eastAsia"/>
          <w:lang w:val="en-US" w:eastAsia="zh-CN"/>
        </w:rPr>
        <w:t>4</w:t>
      </w:r>
      <w:r>
        <w:rPr>
          <w:rFonts w:hint="eastAsia"/>
          <w:lang w:eastAsia="zh-CN"/>
        </w:rPr>
        <w:t>）</w:t>
      </w:r>
      <w:r>
        <w:rPr>
          <w:rFonts w:hint="default"/>
          <w:lang w:eastAsia="zh-CN"/>
        </w:rPr>
        <w:t>用户服务指导：</w:t>
      </w:r>
    </w:p>
    <w:p w14:paraId="4DB455F0">
      <w:pPr>
        <w:pStyle w:val="34"/>
        <w:numPr>
          <w:ilvl w:val="0"/>
          <w:numId w:val="0"/>
        </w:numPr>
        <w:ind w:firstLine="480" w:firstLineChars="200"/>
        <w:rPr>
          <w:rFonts w:hint="default"/>
          <w:lang w:eastAsia="zh-CN"/>
        </w:rPr>
      </w:pPr>
      <w:r>
        <w:rPr>
          <w:rFonts w:hint="default"/>
          <w:lang w:eastAsia="zh-CN"/>
        </w:rPr>
        <w:t>对各级应急管理监管部门和企业用户提供用户支持服务，包括使用过程中企业问题解答、新增政策解读、企业信息化建设咨询、企业数据运行质量指导等工作。处理应急管理部要求核实调度的工作。</w:t>
      </w:r>
    </w:p>
    <w:p w14:paraId="16906885">
      <w:pPr>
        <w:pStyle w:val="34"/>
        <w:numPr>
          <w:ilvl w:val="0"/>
          <w:numId w:val="0"/>
        </w:numPr>
        <w:ind w:firstLine="480" w:firstLineChars="200"/>
        <w:rPr>
          <w:rFonts w:hint="default"/>
          <w:lang w:eastAsia="zh-CN"/>
        </w:rPr>
      </w:pPr>
      <w:r>
        <w:rPr>
          <w:rFonts w:hint="eastAsia"/>
          <w:lang w:eastAsia="zh-CN"/>
        </w:rPr>
        <w:t>（</w:t>
      </w:r>
      <w:r>
        <w:rPr>
          <w:rFonts w:hint="eastAsia"/>
          <w:lang w:val="en-US" w:eastAsia="zh-CN"/>
        </w:rPr>
        <w:t>5</w:t>
      </w:r>
      <w:r>
        <w:rPr>
          <w:rFonts w:hint="eastAsia"/>
          <w:lang w:eastAsia="zh-CN"/>
        </w:rPr>
        <w:t>）</w:t>
      </w:r>
      <w:r>
        <w:rPr>
          <w:rFonts w:hint="default"/>
          <w:lang w:eastAsia="zh-CN"/>
        </w:rPr>
        <w:t>服务器维护：</w:t>
      </w:r>
    </w:p>
    <w:p w14:paraId="54536D80">
      <w:pPr>
        <w:pStyle w:val="34"/>
        <w:numPr>
          <w:ilvl w:val="0"/>
          <w:numId w:val="0"/>
        </w:numPr>
        <w:ind w:firstLine="480" w:firstLineChars="200"/>
        <w:rPr>
          <w:rFonts w:hint="default"/>
          <w:lang w:eastAsia="zh-CN"/>
        </w:rPr>
      </w:pPr>
      <w:r>
        <w:rPr>
          <w:rFonts w:hint="default"/>
          <w:lang w:eastAsia="zh-CN"/>
        </w:rPr>
        <w:t>包括设备运行情况监控、数据服务稳定性巡查、设备故障监测和修复等工作。</w:t>
      </w:r>
    </w:p>
    <w:p w14:paraId="62611554">
      <w:pPr>
        <w:pStyle w:val="34"/>
        <w:numPr>
          <w:ilvl w:val="0"/>
          <w:numId w:val="0"/>
        </w:numPr>
        <w:ind w:firstLine="480" w:firstLineChars="200"/>
        <w:rPr>
          <w:rFonts w:hint="default"/>
          <w:lang w:eastAsia="zh-CN"/>
        </w:rPr>
      </w:pPr>
      <w:r>
        <w:rPr>
          <w:rFonts w:hint="eastAsia"/>
          <w:lang w:eastAsia="zh-CN"/>
        </w:rPr>
        <w:t>（</w:t>
      </w:r>
      <w:r>
        <w:rPr>
          <w:rFonts w:hint="eastAsia"/>
          <w:lang w:val="en-US" w:eastAsia="zh-CN"/>
        </w:rPr>
        <w:t>6</w:t>
      </w:r>
      <w:r>
        <w:rPr>
          <w:rFonts w:hint="eastAsia"/>
          <w:lang w:eastAsia="zh-CN"/>
        </w:rPr>
        <w:t>）</w:t>
      </w:r>
      <w:r>
        <w:rPr>
          <w:rFonts w:hint="default"/>
          <w:lang w:eastAsia="zh-CN"/>
        </w:rPr>
        <w:t>系统安全防护：</w:t>
      </w:r>
    </w:p>
    <w:p w14:paraId="352BB836">
      <w:pPr>
        <w:pStyle w:val="34"/>
        <w:numPr>
          <w:ilvl w:val="0"/>
          <w:numId w:val="0"/>
        </w:numPr>
        <w:ind w:firstLine="480" w:firstLineChars="200"/>
        <w:rPr>
          <w:rFonts w:hint="default"/>
          <w:lang w:eastAsia="zh-CN"/>
        </w:rPr>
      </w:pPr>
      <w:r>
        <w:rPr>
          <w:rFonts w:hint="default"/>
          <w:lang w:eastAsia="zh-CN"/>
        </w:rPr>
        <w:t>重点保障时段的系统应急响应、重大安全故障处理，确保系统出现安全事件时快速反应、及时处理，降低系统安全问题对工作的影响；做好商用密码评估提升工作。</w:t>
      </w:r>
    </w:p>
    <w:p w14:paraId="405F982B">
      <w:pPr>
        <w:pStyle w:val="34"/>
        <w:numPr>
          <w:ilvl w:val="-1"/>
          <w:numId w:val="0"/>
        </w:numPr>
        <w:ind w:firstLine="480" w:firstLineChars="200"/>
        <w:rPr>
          <w:rFonts w:hint="default"/>
          <w:lang w:eastAsia="zh-CN"/>
        </w:rPr>
      </w:pPr>
      <w:r>
        <w:rPr>
          <w:rFonts w:hint="eastAsia"/>
          <w:lang w:eastAsia="zh-CN"/>
        </w:rPr>
        <w:t>（</w:t>
      </w:r>
      <w:r>
        <w:rPr>
          <w:rFonts w:hint="eastAsia"/>
          <w:lang w:val="en-US" w:eastAsia="zh-CN"/>
        </w:rPr>
        <w:t>7</w:t>
      </w:r>
      <w:r>
        <w:rPr>
          <w:rFonts w:hint="eastAsia"/>
          <w:lang w:eastAsia="zh-CN"/>
        </w:rPr>
        <w:t>）</w:t>
      </w:r>
      <w:r>
        <w:rPr>
          <w:rFonts w:hint="default"/>
          <w:lang w:eastAsia="zh-CN"/>
        </w:rPr>
        <w:t>完成5个重点化工园区及包括的重点企业及周边地区三维倾斜摄影的更新工作。</w:t>
      </w:r>
    </w:p>
    <w:p w14:paraId="7E65CFEF">
      <w:pPr>
        <w:pStyle w:val="34"/>
        <w:numPr>
          <w:ilvl w:val="-1"/>
          <w:numId w:val="0"/>
        </w:numPr>
        <w:ind w:firstLine="480" w:firstLineChars="200"/>
        <w:rPr>
          <w:rFonts w:hint="default"/>
          <w:lang w:eastAsia="zh-CN"/>
        </w:rPr>
      </w:pPr>
      <w:r>
        <w:rPr>
          <w:rFonts w:hint="eastAsia"/>
          <w:lang w:eastAsia="zh-CN"/>
        </w:rPr>
        <w:t>（</w:t>
      </w:r>
      <w:r>
        <w:rPr>
          <w:rFonts w:hint="eastAsia"/>
          <w:lang w:val="en-US" w:eastAsia="zh-CN"/>
        </w:rPr>
        <w:t>8</w:t>
      </w:r>
      <w:r>
        <w:rPr>
          <w:rFonts w:hint="eastAsia"/>
          <w:lang w:eastAsia="zh-CN"/>
        </w:rPr>
        <w:t>）</w:t>
      </w:r>
      <w:r>
        <w:rPr>
          <w:rFonts w:hint="default"/>
          <w:lang w:eastAsia="zh-CN"/>
        </w:rPr>
        <w:t>双预防各企业上报数据治理，核查企业上报的数据是否存在重复、缺失、长时间的隐患未整改等不合理的数据，指导自建系统企业数据上报程序开发、调试，各企业双重预防机制运行效果未达优分析，协调企业进行排查和解决。</w:t>
      </w:r>
    </w:p>
    <w:p w14:paraId="400C19E0">
      <w:pPr>
        <w:pStyle w:val="33"/>
        <w:numPr>
          <w:ilvl w:val="3"/>
          <w:numId w:val="62"/>
        </w:numPr>
        <w:snapToGrid w:val="0"/>
        <w:ind w:firstLine="482" w:firstLineChars="200"/>
        <w:rPr>
          <w:rFonts w:hint="default" w:ascii="宋体" w:hAnsi="宋体" w:eastAsia="宋体" w:cs="Times New Roman"/>
          <w:lang w:eastAsia="zh-CN"/>
        </w:rPr>
      </w:pPr>
      <w:r>
        <w:rPr>
          <w:rFonts w:hint="default" w:ascii="宋体" w:hAnsi="宋体" w:eastAsia="宋体" w:cs="Times New Roman"/>
          <w:lang w:eastAsia="zh-CN"/>
        </w:rPr>
        <w:t>硬件支撑设备运维</w:t>
      </w:r>
    </w:p>
    <w:p w14:paraId="25587A2B">
      <w:pPr>
        <w:pStyle w:val="34"/>
        <w:numPr>
          <w:ilvl w:val="-1"/>
          <w:numId w:val="0"/>
        </w:numPr>
        <w:ind w:firstLine="480" w:firstLineChars="200"/>
        <w:rPr>
          <w:rFonts w:hint="default"/>
          <w:lang w:eastAsia="zh-CN"/>
        </w:rPr>
      </w:pPr>
      <w:r>
        <w:rPr>
          <w:rFonts w:hint="eastAsia"/>
          <w:lang w:eastAsia="zh-CN"/>
        </w:rPr>
        <w:t>（</w:t>
      </w:r>
      <w:r>
        <w:rPr>
          <w:rFonts w:hint="eastAsia"/>
          <w:lang w:val="en-US" w:eastAsia="zh-CN"/>
        </w:rPr>
        <w:t>1</w:t>
      </w:r>
      <w:r>
        <w:rPr>
          <w:rFonts w:hint="eastAsia"/>
          <w:lang w:eastAsia="zh-CN"/>
        </w:rPr>
        <w:t>）</w:t>
      </w:r>
      <w:r>
        <w:rPr>
          <w:rFonts w:hint="default"/>
          <w:lang w:eastAsia="zh-CN"/>
        </w:rPr>
        <w:t>工业多源数采网关设备运行保障：</w:t>
      </w:r>
    </w:p>
    <w:p w14:paraId="27EDE414">
      <w:pPr>
        <w:pStyle w:val="34"/>
        <w:numPr>
          <w:ilvl w:val="-1"/>
          <w:numId w:val="0"/>
        </w:numPr>
        <w:ind w:firstLine="480" w:firstLineChars="200"/>
        <w:rPr>
          <w:rFonts w:hint="default"/>
          <w:lang w:eastAsia="zh-CN"/>
        </w:rPr>
      </w:pPr>
      <w:r>
        <w:rPr>
          <w:rFonts w:hint="default"/>
          <w:lang w:eastAsia="zh-CN"/>
        </w:rPr>
        <w:t>主要包括重大危险源变更（新增或注销）后，完成工业多源数采网关的企业现场安装、部署、调试；收集企业一二三四级重大危险源、涉及18种重点监管化工工艺装置的采集点位、位号、阈值、网关初始化配置、数据接入调试等，以及工业多源数采网关出入库管理。</w:t>
      </w:r>
    </w:p>
    <w:p w14:paraId="32B0FF09">
      <w:pPr>
        <w:pStyle w:val="34"/>
        <w:numPr>
          <w:ilvl w:val="-1"/>
          <w:numId w:val="0"/>
        </w:numPr>
        <w:ind w:firstLine="480" w:firstLineChars="200"/>
        <w:rPr>
          <w:rFonts w:hint="default"/>
          <w:lang w:eastAsia="zh-CN"/>
        </w:rPr>
      </w:pPr>
      <w:r>
        <w:rPr>
          <w:rFonts w:hint="eastAsia"/>
          <w:lang w:eastAsia="zh-CN"/>
        </w:rPr>
        <w:t>（</w:t>
      </w:r>
      <w:r>
        <w:rPr>
          <w:rFonts w:hint="eastAsia"/>
          <w:lang w:val="en-US" w:eastAsia="zh-CN"/>
        </w:rPr>
        <w:t>2</w:t>
      </w:r>
      <w:r>
        <w:rPr>
          <w:rFonts w:hint="eastAsia"/>
          <w:lang w:eastAsia="zh-CN"/>
        </w:rPr>
        <w:t>）</w:t>
      </w:r>
      <w:r>
        <w:rPr>
          <w:rFonts w:hint="default"/>
          <w:lang w:eastAsia="zh-CN"/>
        </w:rPr>
        <w:t>视频智能分析服务保障：</w:t>
      </w:r>
    </w:p>
    <w:p w14:paraId="45229A08">
      <w:pPr>
        <w:pStyle w:val="34"/>
        <w:numPr>
          <w:ilvl w:val="-1"/>
          <w:numId w:val="0"/>
        </w:numPr>
        <w:ind w:firstLine="480" w:firstLineChars="200"/>
        <w:rPr>
          <w:rFonts w:hint="default"/>
          <w:lang w:eastAsia="zh-CN"/>
        </w:rPr>
      </w:pPr>
      <w:r>
        <w:rPr>
          <w:rFonts w:hint="default"/>
          <w:lang w:eastAsia="zh-CN"/>
        </w:rPr>
        <w:t>主要保障5家重点区域视频智能识别服务器的正常运行。利用视频智能分析相关技术，动态感知企业重点场所、关键部位、特殊岗位的安全隐患，对现场异常状况、人员违规违章行为、作业控制措施、设备设施安全隐患等实现视频智能分析。</w:t>
      </w:r>
    </w:p>
    <w:p w14:paraId="00EB3B71">
      <w:pPr>
        <w:pStyle w:val="34"/>
        <w:numPr>
          <w:ilvl w:val="-1"/>
          <w:numId w:val="0"/>
        </w:numPr>
        <w:ind w:firstLine="480" w:firstLineChars="200"/>
        <w:rPr>
          <w:rFonts w:hint="default"/>
          <w:lang w:eastAsia="zh-CN"/>
        </w:rPr>
      </w:pPr>
      <w:r>
        <w:rPr>
          <w:rFonts w:hint="eastAsia"/>
          <w:lang w:eastAsia="zh-CN"/>
        </w:rPr>
        <w:t>（</w:t>
      </w:r>
      <w:r>
        <w:rPr>
          <w:rFonts w:hint="eastAsia"/>
          <w:lang w:val="en-US" w:eastAsia="zh-CN"/>
        </w:rPr>
        <w:t>3</w:t>
      </w:r>
      <w:r>
        <w:rPr>
          <w:rFonts w:hint="eastAsia"/>
          <w:lang w:eastAsia="zh-CN"/>
        </w:rPr>
        <w:t>）</w:t>
      </w:r>
      <w:r>
        <w:rPr>
          <w:rFonts w:hint="default"/>
          <w:lang w:eastAsia="zh-CN"/>
        </w:rPr>
        <w:t>雷电预警分析服务运行保障：</w:t>
      </w:r>
    </w:p>
    <w:p w14:paraId="2F7C3205">
      <w:pPr>
        <w:pStyle w:val="34"/>
        <w:numPr>
          <w:ilvl w:val="-1"/>
          <w:numId w:val="0"/>
        </w:numPr>
        <w:ind w:firstLine="480" w:firstLineChars="200"/>
        <w:rPr>
          <w:rFonts w:hint="default"/>
          <w:lang w:eastAsia="zh-CN"/>
        </w:rPr>
      </w:pPr>
      <w:r>
        <w:rPr>
          <w:rFonts w:hint="default"/>
          <w:lang w:eastAsia="zh-CN"/>
        </w:rPr>
        <w:t>针对厂区雷击危害形成的点火源，可能导致的重大后果事故风险，基于雷电感应参数的监测监控，实时获取装置/设施区域周边大气中的电场信息，建立装置/设施区域雷电预警模型，避免因雷击而导致的重大危险源安全事故发生。</w:t>
      </w:r>
    </w:p>
    <w:p w14:paraId="2E4E49C8">
      <w:pPr>
        <w:pStyle w:val="33"/>
        <w:numPr>
          <w:ilvl w:val="3"/>
          <w:numId w:val="62"/>
        </w:numPr>
        <w:snapToGrid w:val="0"/>
        <w:ind w:firstLine="482" w:firstLineChars="200"/>
        <w:rPr>
          <w:rFonts w:hint="default" w:ascii="宋体" w:hAnsi="宋体" w:eastAsia="宋体" w:cs="Times New Roman"/>
          <w:lang w:eastAsia="zh-CN"/>
        </w:rPr>
      </w:pPr>
      <w:r>
        <w:rPr>
          <w:rFonts w:hint="default" w:ascii="宋体" w:hAnsi="宋体" w:eastAsia="宋体" w:cs="Times New Roman"/>
          <w:lang w:eastAsia="zh-CN"/>
        </w:rPr>
        <w:t>系统安全运维</w:t>
      </w:r>
    </w:p>
    <w:p w14:paraId="7801A95C">
      <w:pPr>
        <w:pStyle w:val="34"/>
        <w:numPr>
          <w:ilvl w:val="-1"/>
          <w:numId w:val="0"/>
        </w:numPr>
        <w:ind w:firstLine="480" w:firstLineChars="200"/>
        <w:rPr>
          <w:rFonts w:hint="default"/>
          <w:lang w:eastAsia="zh-CN"/>
        </w:rPr>
      </w:pPr>
      <w:r>
        <w:rPr>
          <w:rFonts w:hint="eastAsia"/>
          <w:lang w:eastAsia="zh-CN"/>
        </w:rPr>
        <w:t>（</w:t>
      </w:r>
      <w:r>
        <w:rPr>
          <w:rFonts w:hint="eastAsia"/>
          <w:lang w:val="en-US" w:eastAsia="zh-CN"/>
        </w:rPr>
        <w:t>1</w:t>
      </w:r>
      <w:r>
        <w:rPr>
          <w:rFonts w:hint="eastAsia"/>
          <w:lang w:eastAsia="zh-CN"/>
        </w:rPr>
        <w:t>）</w:t>
      </w:r>
      <w:r>
        <w:rPr>
          <w:rFonts w:hint="default"/>
          <w:lang w:eastAsia="zh-CN"/>
        </w:rPr>
        <w:t>安全加固。安全加固是指对在风险评估中发现的系统安全风险进行处理，按照级别不同，应该在相应时间内完成。安全加固的内容主要包括：（1）常规安全加固工作，主要是根据风险评估结果进行系统安全调优服务，根据系统运行需要适时调整各类设备及系统配置、合理规划系统资源、消除系统漏洞，提高系统稳定性和可靠性；（2）主动安全加固，在未出现安全事故之前就对已经通报或者暴露出来的软件漏洞或最新病毒库更新，就主动进计划的升级和改进，从而避免出现安全事故。具体加固内容包括但不限于：帐户策略、帐户锁定策略、审核策略、NTFS、用户权限分配、系统服务策略、补丁管理、事件日志、应用软件的更新等。</w:t>
      </w:r>
    </w:p>
    <w:p w14:paraId="571E99F4">
      <w:pPr>
        <w:pStyle w:val="34"/>
        <w:numPr>
          <w:ilvl w:val="-1"/>
          <w:numId w:val="0"/>
        </w:numPr>
        <w:ind w:firstLine="480" w:firstLineChars="200"/>
        <w:rPr>
          <w:rFonts w:hint="default"/>
          <w:lang w:eastAsia="zh-CN"/>
        </w:rPr>
      </w:pPr>
      <w:r>
        <w:rPr>
          <w:rFonts w:hint="eastAsia"/>
          <w:lang w:eastAsia="zh-CN"/>
        </w:rPr>
        <w:t>（</w:t>
      </w:r>
      <w:r>
        <w:rPr>
          <w:rFonts w:hint="eastAsia"/>
          <w:lang w:val="en-US" w:eastAsia="zh-CN"/>
        </w:rPr>
        <w:t>2</w:t>
      </w:r>
      <w:r>
        <w:rPr>
          <w:rFonts w:hint="eastAsia"/>
          <w:lang w:eastAsia="zh-CN"/>
        </w:rPr>
        <w:t>）</w:t>
      </w:r>
      <w:r>
        <w:rPr>
          <w:rFonts w:hint="default"/>
          <w:lang w:eastAsia="zh-CN"/>
        </w:rPr>
        <w:t>安全监控。对服务内容进行监控，在安全环境产生变化时，及时更新安全策略，在现有设备和网络情况有改变的时候，快速制定，针对更新后设备环境的安全策略，并实施部署，避免因设备变更而带来的安全风险。</w:t>
      </w:r>
    </w:p>
    <w:p w14:paraId="1D19F5D4">
      <w:pPr>
        <w:pStyle w:val="34"/>
        <w:numPr>
          <w:ilvl w:val="-1"/>
          <w:numId w:val="0"/>
        </w:numPr>
        <w:ind w:firstLine="480" w:firstLineChars="200"/>
        <w:rPr>
          <w:rFonts w:hint="default"/>
          <w:lang w:eastAsia="zh-CN"/>
        </w:rPr>
      </w:pPr>
      <w:r>
        <w:rPr>
          <w:rFonts w:hint="eastAsia"/>
          <w:lang w:eastAsia="zh-CN"/>
        </w:rPr>
        <w:t>（</w:t>
      </w:r>
      <w:r>
        <w:rPr>
          <w:rFonts w:hint="eastAsia"/>
          <w:lang w:val="en-US" w:eastAsia="zh-CN"/>
        </w:rPr>
        <w:t>3</w:t>
      </w:r>
      <w:r>
        <w:rPr>
          <w:rFonts w:hint="eastAsia"/>
          <w:lang w:eastAsia="zh-CN"/>
        </w:rPr>
        <w:t>）</w:t>
      </w:r>
      <w:r>
        <w:rPr>
          <w:rFonts w:hint="default"/>
          <w:lang w:eastAsia="zh-CN"/>
        </w:rPr>
        <w:t>应急响应。应急状态的安全值守、响应工作，主要是系统应急响应、重大安全故障处理，确保系统出现安全事件时快速反应、及时处理，降低系统安全问题对工作的影响。</w:t>
      </w:r>
    </w:p>
    <w:p w14:paraId="07EADD41">
      <w:pPr>
        <w:pStyle w:val="34"/>
        <w:numPr>
          <w:ilvl w:val="-1"/>
          <w:numId w:val="0"/>
        </w:numPr>
        <w:ind w:firstLine="480" w:firstLineChars="200"/>
        <w:rPr>
          <w:rFonts w:hint="default"/>
          <w:lang w:eastAsia="zh-CN"/>
        </w:rPr>
      </w:pPr>
      <w:r>
        <w:rPr>
          <w:rFonts w:hint="eastAsia"/>
          <w:lang w:eastAsia="zh-CN"/>
        </w:rPr>
        <w:t>（</w:t>
      </w:r>
      <w:r>
        <w:rPr>
          <w:rFonts w:hint="eastAsia"/>
          <w:lang w:val="en-US" w:eastAsia="zh-CN"/>
        </w:rPr>
        <w:t>4</w:t>
      </w:r>
      <w:r>
        <w:rPr>
          <w:rFonts w:hint="eastAsia"/>
          <w:lang w:eastAsia="zh-CN"/>
        </w:rPr>
        <w:t>）</w:t>
      </w:r>
      <w:r>
        <w:rPr>
          <w:rFonts w:hint="default"/>
          <w:lang w:eastAsia="zh-CN"/>
        </w:rPr>
        <w:t>安全通告。定期安全通告，在互联网上出现新型病毒或者新出现漏洞并且部分修补的情况下，制作安全通告及时告知相关运维人员，增强对于新型病毒和漏洞的防御力。</w:t>
      </w:r>
    </w:p>
    <w:p w14:paraId="2C5A3372">
      <w:pPr>
        <w:pStyle w:val="34"/>
        <w:numPr>
          <w:ilvl w:val="-1"/>
          <w:numId w:val="0"/>
        </w:numPr>
        <w:ind w:firstLine="480" w:firstLineChars="200"/>
        <w:rPr>
          <w:rFonts w:hint="default"/>
          <w:lang w:eastAsia="zh-CN"/>
        </w:rPr>
      </w:pPr>
      <w:r>
        <w:rPr>
          <w:rFonts w:hint="eastAsia"/>
          <w:lang w:eastAsia="zh-CN"/>
        </w:rPr>
        <w:t>（</w:t>
      </w:r>
      <w:r>
        <w:rPr>
          <w:rFonts w:hint="eastAsia"/>
          <w:lang w:val="en-US" w:eastAsia="zh-CN"/>
        </w:rPr>
        <w:t>5</w:t>
      </w:r>
      <w:r>
        <w:rPr>
          <w:rFonts w:hint="eastAsia"/>
          <w:lang w:eastAsia="zh-CN"/>
        </w:rPr>
        <w:t>）</w:t>
      </w:r>
      <w:r>
        <w:rPr>
          <w:rFonts w:hint="default"/>
          <w:lang w:eastAsia="zh-CN"/>
        </w:rPr>
        <w:t>培训服务。根据工作需要，建设可持续的服务能力管理体系，针对系统升级内容及时更新用户操作手册，定期对系统使用与运维人员进行培训。</w:t>
      </w:r>
    </w:p>
    <w:p w14:paraId="6767D22A">
      <w:pPr>
        <w:pStyle w:val="34"/>
        <w:numPr>
          <w:ilvl w:val="-1"/>
          <w:numId w:val="0"/>
        </w:numPr>
        <w:ind w:firstLine="480" w:firstLineChars="200"/>
        <w:rPr>
          <w:rFonts w:hint="default"/>
          <w:lang w:val="en-US" w:eastAsia="zh-CN"/>
        </w:rPr>
      </w:pPr>
      <w:r>
        <w:rPr>
          <w:rFonts w:hint="eastAsia"/>
          <w:lang w:eastAsia="zh-CN"/>
        </w:rPr>
        <w:t>（</w:t>
      </w:r>
      <w:r>
        <w:rPr>
          <w:rFonts w:hint="eastAsia"/>
          <w:lang w:val="en-US" w:eastAsia="zh-CN"/>
        </w:rPr>
        <w:t>6</w:t>
      </w:r>
      <w:r>
        <w:rPr>
          <w:rFonts w:hint="eastAsia"/>
          <w:lang w:eastAsia="zh-CN"/>
        </w:rPr>
        <w:t>）</w:t>
      </w:r>
      <w:r>
        <w:rPr>
          <w:rFonts w:hint="default"/>
          <w:lang w:eastAsia="zh-CN"/>
        </w:rPr>
        <w:t>商用密码应用安全性评估改造。根据浙江省应急管理厅要求，配合进行密评改造。</w:t>
      </w:r>
    </w:p>
    <w:p w14:paraId="05FC3A55">
      <w:pPr>
        <w:pStyle w:val="37"/>
        <w:keepNext w:val="0"/>
        <w:keepLines w:val="0"/>
        <w:pageBreakBefore w:val="0"/>
        <w:widowControl w:val="0"/>
        <w:numPr>
          <w:ilvl w:val="2"/>
          <w:numId w:val="68"/>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商务要求</w:t>
      </w:r>
    </w:p>
    <w:p w14:paraId="3C2F1A2A">
      <w:pPr>
        <w:pStyle w:val="33"/>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服务内容及要求</w:t>
      </w:r>
    </w:p>
    <w:p w14:paraId="5F8A03AC">
      <w:pPr>
        <w:pStyle w:val="34"/>
        <w:numPr>
          <w:ilvl w:val="0"/>
          <w:numId w:val="69"/>
        </w:numPr>
        <w:rPr>
          <w:rFonts w:hint="eastAsia" w:ascii="宋体" w:hAnsi="宋体" w:eastAsia="宋体" w:cs="Times New Roman"/>
          <w:lang w:val="en-US" w:eastAsia="zh-CN"/>
        </w:rPr>
      </w:pPr>
      <w:r>
        <w:rPr>
          <w:rFonts w:hint="eastAsia" w:ascii="宋体" w:hAnsi="宋体" w:eastAsia="宋体" w:cs="Times New Roman"/>
          <w:lang w:val="en-US" w:eastAsia="zh-CN"/>
        </w:rPr>
        <w:t>电话支持：实行工作日8小时*5天技术支持服务，服务请求及时响应。</w:t>
      </w:r>
    </w:p>
    <w:p w14:paraId="3E790A1F">
      <w:pPr>
        <w:pStyle w:val="34"/>
        <w:numPr>
          <w:ilvl w:val="0"/>
          <w:numId w:val="69"/>
        </w:numPr>
        <w:rPr>
          <w:rFonts w:hint="eastAsia" w:ascii="宋体" w:hAnsi="宋体" w:eastAsia="宋体" w:cs="Times New Roman"/>
          <w:lang w:val="en-US" w:eastAsia="zh-CN"/>
        </w:rPr>
      </w:pPr>
      <w:r>
        <w:rPr>
          <w:rFonts w:hint="eastAsia" w:ascii="宋体" w:hAnsi="宋体" w:eastAsia="宋体" w:cs="Times New Roman"/>
          <w:lang w:val="en-US" w:eastAsia="zh-CN"/>
        </w:rPr>
        <w:t>网络支持：实行24小时*365天技术支持服务，用户通过钉钉或微信在技术支持群里发送的问题，能及时获得支持。</w:t>
      </w:r>
    </w:p>
    <w:p w14:paraId="0DA0788B">
      <w:pPr>
        <w:pStyle w:val="34"/>
        <w:numPr>
          <w:ilvl w:val="0"/>
          <w:numId w:val="69"/>
        </w:numPr>
        <w:rPr>
          <w:rFonts w:hint="eastAsia" w:ascii="宋体" w:hAnsi="宋体" w:eastAsia="宋体" w:cs="Times New Roman"/>
          <w:lang w:val="en-US" w:eastAsia="zh-CN"/>
        </w:rPr>
      </w:pPr>
      <w:r>
        <w:rPr>
          <w:rFonts w:hint="eastAsia" w:ascii="宋体" w:hAnsi="宋体" w:eastAsia="宋体" w:cs="Times New Roman"/>
          <w:lang w:val="en-US" w:eastAsia="zh-CN"/>
        </w:rPr>
        <w:t>服务响应：重大系统故障（业务系统停止运行或无法访问），20分钟内作出响应，1小时内排除故障；日常应用故障，30分钟内作出响应，2小时内排除故障；其他类故障及问题，60分钟内作出响应，24小时内排除故障及问题。</w:t>
      </w:r>
    </w:p>
    <w:p w14:paraId="170D8950">
      <w:pPr>
        <w:pStyle w:val="33"/>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其他要求</w:t>
      </w:r>
    </w:p>
    <w:p w14:paraId="0426FD05">
      <w:pPr>
        <w:pStyle w:val="34"/>
        <w:numPr>
          <w:ilvl w:val="0"/>
          <w:numId w:val="70"/>
        </w:numPr>
        <w:rPr>
          <w:rFonts w:hint="eastAsia" w:ascii="宋体" w:hAnsi="宋体" w:eastAsia="宋体" w:cs="Times New Roman"/>
          <w:lang w:val="en-US" w:eastAsia="zh-CN"/>
        </w:rPr>
      </w:pPr>
      <w:r>
        <w:rPr>
          <w:rFonts w:hint="eastAsia" w:ascii="宋体" w:hAnsi="宋体" w:eastAsia="宋体" w:cs="Times New Roman"/>
          <w:lang w:val="en-US" w:eastAsia="zh-CN"/>
        </w:rPr>
        <w:t>履行期限：自合同签订之日起</w:t>
      </w:r>
      <w:r>
        <w:rPr>
          <w:rFonts w:hint="eastAsia" w:cs="Times New Roman"/>
          <w:lang w:val="en-US" w:eastAsia="zh-CN"/>
        </w:rPr>
        <w:t>12个月内</w:t>
      </w:r>
      <w:r>
        <w:rPr>
          <w:rFonts w:hint="eastAsia" w:ascii="宋体" w:hAnsi="宋体" w:eastAsia="宋体" w:cs="Times New Roman"/>
          <w:lang w:val="en-US" w:eastAsia="zh-CN"/>
        </w:rPr>
        <w:t>。</w:t>
      </w:r>
    </w:p>
    <w:p w14:paraId="2C1EBAC8">
      <w:pPr>
        <w:pStyle w:val="34"/>
        <w:numPr>
          <w:ilvl w:val="0"/>
          <w:numId w:val="70"/>
        </w:numPr>
        <w:rPr>
          <w:rFonts w:hint="eastAsia" w:ascii="宋体" w:hAnsi="宋体" w:eastAsia="宋体" w:cs="Times New Roman"/>
          <w:lang w:val="en-US" w:eastAsia="zh-CN"/>
        </w:rPr>
      </w:pPr>
      <w:r>
        <w:rPr>
          <w:rFonts w:hint="eastAsia" w:ascii="宋体" w:hAnsi="宋体" w:eastAsia="宋体" w:cs="Times New Roman"/>
          <w:lang w:val="en-US" w:eastAsia="zh-CN"/>
        </w:rPr>
        <w:t>供应商为本项目提供服务的维护机构应具有较强的服务能力，能提供快速的响应服务，配有较强的专业技术队伍，能确保能提供快速的售后服务响应。</w:t>
      </w:r>
    </w:p>
    <w:p w14:paraId="2996699C">
      <w:pPr>
        <w:pStyle w:val="34"/>
        <w:numPr>
          <w:ilvl w:val="0"/>
          <w:numId w:val="70"/>
        </w:numPr>
        <w:rPr>
          <w:rFonts w:hint="eastAsia" w:ascii="宋体" w:hAnsi="宋体" w:eastAsia="宋体" w:cs="Times New Roman"/>
          <w:lang w:val="en-US" w:eastAsia="zh-CN"/>
        </w:rPr>
      </w:pPr>
      <w:r>
        <w:rPr>
          <w:rFonts w:hint="eastAsia" w:ascii="宋体" w:hAnsi="宋体" w:eastAsia="宋体" w:cs="Times New Roman"/>
          <w:lang w:val="en-US" w:eastAsia="zh-CN"/>
        </w:rPr>
        <w:t>供应商应对采购人系统软硬件资源、业务和数据状况及其他资源、环境的进行详细了解，制定出具有系统性的维护方案，具有完整的事件或故障检查、发现、评估、处理、报告流程，具有发现隐患的能力，具有较强的项目管理能力，提供保证项目顺利实施的设备、软件。</w:t>
      </w:r>
    </w:p>
    <w:p w14:paraId="39E5F294">
      <w:pPr>
        <w:pStyle w:val="33"/>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验收要求</w:t>
      </w:r>
    </w:p>
    <w:p w14:paraId="23C25117">
      <w:pPr>
        <w:pStyle w:val="34"/>
        <w:numPr>
          <w:ilvl w:val="0"/>
          <w:numId w:val="71"/>
        </w:numPr>
        <w:rPr>
          <w:rFonts w:hint="eastAsia" w:ascii="宋体" w:hAnsi="宋体" w:eastAsia="宋体" w:cs="Times New Roman"/>
          <w:lang w:val="en-US" w:eastAsia="zh-CN"/>
        </w:rPr>
      </w:pPr>
      <w:r>
        <w:rPr>
          <w:rFonts w:hint="eastAsia" w:ascii="宋体" w:hAnsi="宋体" w:eastAsia="宋体" w:cs="Times New Roman"/>
          <w:lang w:val="en-US" w:eastAsia="zh-CN"/>
        </w:rPr>
        <w:t>乙方在项目完成后进行内部自行验收，验收完成后向甲方提交正式申请验收报告。乙方应将项目执行过程及时记录、收集、整理，向甲方递交验收申请资料。验收合格后，验收报告经双方共同签字盖章确认。</w:t>
      </w:r>
    </w:p>
    <w:p w14:paraId="0F907967">
      <w:pPr>
        <w:pStyle w:val="34"/>
        <w:numPr>
          <w:ilvl w:val="0"/>
          <w:numId w:val="71"/>
        </w:numPr>
        <w:rPr>
          <w:rFonts w:hint="eastAsia" w:ascii="宋体" w:hAnsi="宋体" w:eastAsia="宋体" w:cs="Times New Roman"/>
          <w:lang w:val="en-US" w:eastAsia="zh-CN"/>
        </w:rPr>
      </w:pPr>
      <w:r>
        <w:rPr>
          <w:rFonts w:hint="eastAsia" w:ascii="宋体" w:hAnsi="宋体" w:eastAsia="宋体" w:cs="Times New Roman"/>
          <w:lang w:val="en-US" w:eastAsia="zh-CN"/>
        </w:rPr>
        <w:t>验收内容：乙方实际完成的情况是否符合合同约定的服务内容。</w:t>
      </w:r>
    </w:p>
    <w:p w14:paraId="65C69ED2">
      <w:pPr>
        <w:pStyle w:val="34"/>
        <w:numPr>
          <w:ilvl w:val="0"/>
          <w:numId w:val="71"/>
        </w:numPr>
        <w:rPr>
          <w:rFonts w:hint="eastAsia" w:ascii="宋体" w:hAnsi="宋体" w:eastAsia="宋体" w:cs="Times New Roman"/>
          <w:lang w:val="en-US" w:eastAsia="zh-CN"/>
        </w:rPr>
      </w:pPr>
      <w:r>
        <w:rPr>
          <w:rFonts w:hint="eastAsia" w:ascii="宋体" w:hAnsi="宋体" w:eastAsia="宋体" w:cs="Times New Roman"/>
          <w:lang w:val="en-US" w:eastAsia="zh-CN"/>
        </w:rPr>
        <w:t>验收标准：乙方已经按照合同约定的服务内容完成本项目。</w:t>
      </w:r>
    </w:p>
    <w:p w14:paraId="6B4C73AA">
      <w:pPr>
        <w:pStyle w:val="34"/>
        <w:numPr>
          <w:ilvl w:val="0"/>
          <w:numId w:val="71"/>
        </w:numPr>
      </w:pPr>
      <w:r>
        <w:rPr>
          <w:rFonts w:hint="eastAsia" w:ascii="宋体" w:hAnsi="宋体" w:eastAsia="宋体" w:cs="Times New Roman"/>
          <w:lang w:val="en-US" w:eastAsia="zh-CN"/>
        </w:rPr>
        <w:t>经验收后，乙方服务成果不合格的，甲方有权要求乙方进行整改，相关费用由乙方承担;如整改后仍不合格的，甲方有权解除合同，并要求乙方承担违约责任。</w:t>
      </w:r>
    </w:p>
    <w:p w14:paraId="1569B95D">
      <w:pPr>
        <w:pStyle w:val="34"/>
        <w:numPr>
          <w:ilvl w:val="0"/>
          <w:numId w:val="0"/>
        </w:numPr>
        <w:rPr>
          <w:rFonts w:hint="eastAsia" w:ascii="宋体" w:hAnsi="宋体" w:eastAsia="宋体" w:cs="Times New Roman"/>
          <w:lang w:val="en-US" w:eastAsia="zh-CN"/>
        </w:rPr>
      </w:pPr>
    </w:p>
    <w:p w14:paraId="261ADC3A">
      <w:pPr>
        <w:pStyle w:val="36"/>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44" w:name="_Toc6787"/>
      <w:bookmarkStart w:id="145" w:name="_Toc30953"/>
      <w:bookmarkStart w:id="146" w:name="_Toc26845"/>
      <w:bookmarkStart w:id="147" w:name="_Toc29791"/>
      <w:bookmarkStart w:id="148" w:name="_Toc8518"/>
      <w:r>
        <w:rPr>
          <w:rFonts w:hint="eastAsia"/>
          <w:sz w:val="28"/>
          <w:szCs w:val="28"/>
          <w:lang w:val="en-US" w:eastAsia="zh-CN"/>
        </w:rPr>
        <w:t>2025年浙江省应急管理厅危化品风险防控大数据平台维护服务</w:t>
      </w:r>
      <w:bookmarkEnd w:id="144"/>
      <w:bookmarkEnd w:id="145"/>
      <w:bookmarkEnd w:id="146"/>
      <w:bookmarkEnd w:id="147"/>
      <w:bookmarkEnd w:id="148"/>
    </w:p>
    <w:p w14:paraId="5D405EF4">
      <w:pPr>
        <w:pStyle w:val="37"/>
        <w:keepNext w:val="0"/>
        <w:keepLines w:val="0"/>
        <w:pageBreakBefore w:val="0"/>
        <w:widowControl w:val="0"/>
        <w:numPr>
          <w:ilvl w:val="2"/>
          <w:numId w:val="72"/>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项目背景</w:t>
      </w:r>
    </w:p>
    <w:p w14:paraId="10FD8091">
      <w:pPr>
        <w:pStyle w:val="34"/>
        <w:rPr>
          <w:rFonts w:hint="eastAsia"/>
          <w:lang w:val="en-US" w:eastAsia="zh-CN"/>
        </w:rPr>
      </w:pPr>
      <w:bookmarkStart w:id="149" w:name="_Toc25323"/>
      <w:r>
        <w:rPr>
          <w:rFonts w:hint="eastAsia"/>
          <w:lang w:val="en-US" w:eastAsia="zh-CN"/>
        </w:rPr>
        <w:t>浙江省应急管理厅危化品风险防控大数据平台，充分利用省政府电子政务公有云、天地图、浙政钉、浙里办等各类支撑环境，对全省危险化学品生产、储存、经营、使用、运输和废弃物处置等环节进行动态管理，实现了企业风险动态监测、企业每日安全承诺。按照政府数字化改革要求，平台各类功能和数据实现与省大数据局、省应急管理数据中心共用共享，并为省公安厅、省交通运输厅、省生态环境厅等各类涉危应用提供业务接口，实现了全省危险化学品协同监管，为全省危险化学品日常监管提供强有力的技术支撑。为保障系统的正常、稳定、高效运转，本次项目采购系统维保服务。</w:t>
      </w:r>
      <w:bookmarkEnd w:id="149"/>
    </w:p>
    <w:p w14:paraId="6F575A2F">
      <w:pPr>
        <w:pStyle w:val="37"/>
        <w:keepNext w:val="0"/>
        <w:keepLines w:val="0"/>
        <w:pageBreakBefore w:val="0"/>
        <w:widowControl w:val="0"/>
        <w:numPr>
          <w:ilvl w:val="2"/>
          <w:numId w:val="72"/>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技术要求</w:t>
      </w:r>
    </w:p>
    <w:p w14:paraId="01043B9F">
      <w:pPr>
        <w:pStyle w:val="33"/>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基础设施日常维护</w:t>
      </w:r>
    </w:p>
    <w:p w14:paraId="1A7B6BAC">
      <w:pPr>
        <w:pStyle w:val="34"/>
        <w:numPr>
          <w:ilvl w:val="0"/>
          <w:numId w:val="0"/>
        </w:numPr>
        <w:ind w:firstLine="480" w:firstLineChars="200"/>
        <w:rPr>
          <w:rFonts w:hint="default"/>
          <w:lang w:val="en-US" w:eastAsia="zh-CN"/>
        </w:rPr>
      </w:pPr>
      <w:r>
        <w:rPr>
          <w:rFonts w:hint="default"/>
          <w:lang w:val="en-US" w:eastAsia="zh-CN"/>
        </w:rPr>
        <w:t>主要包括以下5个方面：云服务器、存储备份、数据库、中间件及网络安全等基础软硬件设施。</w:t>
      </w:r>
    </w:p>
    <w:p w14:paraId="511731C1">
      <w:pPr>
        <w:pStyle w:val="34"/>
        <w:numPr>
          <w:ilvl w:val="0"/>
          <w:numId w:val="73"/>
        </w:numPr>
        <w:rPr>
          <w:rFonts w:hint="default"/>
          <w:lang w:val="en-US" w:eastAsia="zh-CN"/>
        </w:rPr>
      </w:pPr>
      <w:r>
        <w:rPr>
          <w:rFonts w:hint="default"/>
          <w:lang w:val="en-US" w:eastAsia="zh-CN"/>
        </w:rPr>
        <w:t>服务器维护。服务器系统主要包括本项目目前在用的各类云主机：数据库服务器（RDS）、应用服务器（ECS）。具体服务内容包括：服务器运行状态检查、服务器网络状况、服务器安全规则配置、服务器防病毒软件更新等。运维方根据服务器的情况制订相应的事件管理文档，由服务人员对服务器发生的事件进行记录、跟踪与分析，通过对事件的分析，及时发现服务器中存在的潜在问题，并进行解决或提出相应的解决方案。1）服务器性能监控：运维方每天由服务人员根据制定的性能监测模板对服务器的性能监控，监控的参数为服务器的CPU、内存、硬盘、网络，并根据各服务器的应用情况，分析出服务器性能的基本基准线。2）应用维护：运维团队服务人员对这些应用进行定期的维护，对防病毒软件的防护状态与更新情况进行每天检查。</w:t>
      </w:r>
    </w:p>
    <w:p w14:paraId="7F33994B">
      <w:pPr>
        <w:pStyle w:val="34"/>
        <w:numPr>
          <w:ilvl w:val="0"/>
          <w:numId w:val="73"/>
        </w:numPr>
        <w:rPr>
          <w:rFonts w:hint="default"/>
          <w:lang w:val="en-US" w:eastAsia="zh-CN"/>
        </w:rPr>
      </w:pPr>
      <w:r>
        <w:rPr>
          <w:rFonts w:hint="default"/>
          <w:lang w:val="en-US" w:eastAsia="zh-CN"/>
        </w:rPr>
        <w:t>存储备份维护。存储系统平台主要包括：云存储系统、快照恢复系统等。具体服务内容包括：1）当系统出现异常数据丢失时，与厅科信处技术人员沟通，利用快照还原备份文件，运维服务人员对备份数据进行数据恢复，以保证应用快速恢复。2）备份数据整理：运维服务人员根据备份和存储数据的情况，制定数据整理频率计划，进行数据的整理。</w:t>
      </w:r>
    </w:p>
    <w:p w14:paraId="62699AFC">
      <w:pPr>
        <w:pStyle w:val="34"/>
        <w:numPr>
          <w:ilvl w:val="0"/>
          <w:numId w:val="73"/>
        </w:numPr>
        <w:rPr>
          <w:rFonts w:hint="default"/>
          <w:lang w:val="en-US" w:eastAsia="zh-CN"/>
        </w:rPr>
      </w:pPr>
      <w:r>
        <w:rPr>
          <w:rFonts w:hint="default"/>
          <w:lang w:val="en-US" w:eastAsia="zh-CN"/>
        </w:rPr>
        <w:t>网络安全维护。网络、安全平台维护的目标是：通过网络、安全系统管理服务，降低网络设备故障率，提高网络设备的运行性能。提高网站运行的稳定性、可靠性。需要提供故障诊断、远程支持、现场支持、软件升级、网络优化、网络巡检、现场培训、技术交流、网络安全、网络建设建议等服务。具体服务内容如下：网络故障排查、网络状态检查、网络流量监测、安全策略配置及配置优化、网络安全组管理、网络使用状况趋势分析及建议。</w:t>
      </w:r>
    </w:p>
    <w:p w14:paraId="134EDDA7">
      <w:pPr>
        <w:pStyle w:val="34"/>
        <w:numPr>
          <w:ilvl w:val="0"/>
          <w:numId w:val="73"/>
        </w:numPr>
        <w:rPr>
          <w:rFonts w:hint="default"/>
          <w:lang w:val="en-US" w:eastAsia="zh-CN"/>
        </w:rPr>
      </w:pPr>
      <w:r>
        <w:rPr>
          <w:rFonts w:hint="default"/>
          <w:lang w:val="en-US" w:eastAsia="zh-CN"/>
        </w:rPr>
        <w:t>数据库系统维护。数据库维护服务内容主要包括：数据库实例状态检查、数据库表空间使用情况、监控查看数据库的连接情况、表空间使用情况和性能检查、数据库告警日志检查分析、数据库备份检查。</w:t>
      </w:r>
    </w:p>
    <w:p w14:paraId="10645D16">
      <w:pPr>
        <w:pStyle w:val="34"/>
        <w:numPr>
          <w:ilvl w:val="0"/>
          <w:numId w:val="73"/>
        </w:numPr>
        <w:rPr>
          <w:rFonts w:hint="default"/>
          <w:lang w:val="en-US" w:eastAsia="zh-CN"/>
        </w:rPr>
      </w:pPr>
      <w:r>
        <w:rPr>
          <w:rFonts w:hint="default"/>
          <w:lang w:val="en-US" w:eastAsia="zh-CN"/>
        </w:rPr>
        <w:t>中间件维护。中间件软件维护服务内容主要包括：数据维护、数据备份、系统日常维护、中间件升级而对应用软件进行适应性更新与调测服务、中间件维护操作手册及应急流程更新。</w:t>
      </w:r>
    </w:p>
    <w:p w14:paraId="754FCA09">
      <w:pPr>
        <w:pStyle w:val="33"/>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业务系统日常维护</w:t>
      </w:r>
    </w:p>
    <w:p w14:paraId="3DDDD146">
      <w:pPr>
        <w:pStyle w:val="34"/>
        <w:numPr>
          <w:ilvl w:val="0"/>
          <w:numId w:val="74"/>
        </w:numPr>
        <w:rPr>
          <w:rFonts w:hint="default"/>
          <w:lang w:val="en-US" w:eastAsia="zh-CN"/>
        </w:rPr>
      </w:pPr>
      <w:r>
        <w:rPr>
          <w:rFonts w:hint="default"/>
          <w:lang w:val="en-US" w:eastAsia="zh-CN"/>
        </w:rPr>
        <w:t>维护要求为：通过对应用系统的维护，分析用户提出的更新需求，分析应用系统对服务平台性能的要求，提出系统优化扩容解决方案，保障应用系统的处理服务性能。</w:t>
      </w:r>
    </w:p>
    <w:p w14:paraId="45BB2EF7">
      <w:pPr>
        <w:pStyle w:val="34"/>
        <w:numPr>
          <w:ilvl w:val="0"/>
          <w:numId w:val="74"/>
        </w:numPr>
        <w:rPr>
          <w:rFonts w:hint="default"/>
          <w:lang w:val="en-US" w:eastAsia="zh-CN"/>
        </w:rPr>
      </w:pPr>
      <w:r>
        <w:rPr>
          <w:rFonts w:hint="default"/>
          <w:lang w:val="en-US" w:eastAsia="zh-CN"/>
        </w:rPr>
        <w:t>主要维护内容包括：2025年浙江省应急管理厅危化品风险防控大数据平台及油气管网综合管理系统维护服务，涉及业务数据维护、业务数据备份、业务系统日常维护、业务系统小版本优化更新服务、对业务管理系统健康状态检查与分析、对系统用户信息进行维护和修改、添加系统用户、更改系统用户信息、权限，负责系统中政府端账号、企业用户账号信息的更新维护。</w:t>
      </w:r>
    </w:p>
    <w:p w14:paraId="12CAF385">
      <w:pPr>
        <w:pStyle w:val="33"/>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default"/>
          <w:lang w:val="en-US" w:eastAsia="zh-CN"/>
        </w:rPr>
      </w:pPr>
      <w:r>
        <w:rPr>
          <w:rFonts w:hint="default"/>
          <w:lang w:val="en-US" w:eastAsia="zh-CN"/>
        </w:rPr>
        <w:t>系统安全服务</w:t>
      </w:r>
    </w:p>
    <w:p w14:paraId="3380AB23">
      <w:pPr>
        <w:pStyle w:val="34"/>
        <w:numPr>
          <w:ilvl w:val="0"/>
          <w:numId w:val="75"/>
        </w:numPr>
        <w:rPr>
          <w:rFonts w:hint="default" w:ascii="宋体" w:hAnsi="宋体" w:eastAsia="宋体" w:cs="Times New Roman"/>
          <w:lang w:val="en-US" w:eastAsia="zh-CN"/>
        </w:rPr>
      </w:pPr>
      <w:r>
        <w:rPr>
          <w:rFonts w:hint="default" w:ascii="宋体" w:hAnsi="宋体" w:eastAsia="宋体" w:cs="Times New Roman"/>
          <w:lang w:val="en-US" w:eastAsia="zh-CN"/>
        </w:rPr>
        <w:t>安全加固。安全加固是指对在风险评估中发现的系统安全风险进行处理，按照级别不同，应该在相应时间内完成。安全加固的内容主要包括：1）常规安全加固工作，主要是根据风险评估结果进行系统安全调优服务，根据系统运行需要适时调整各类设备及系统配置、合理规划系统资源、消除系统漏洞，提高系统稳定性和可靠性；2）主动安全加固，在未出现安全事故之前就对已经通报或者暴露出来的软件漏洞或最新病毒库更新，就主动进行计划地升级和改进，从而避免出现安全事故。具体加固内容包括但不限于：账户策略、账户锁定策略、审核策略、NTFS、用户权限分配、系统服务策略、补丁管理、事件日志、应用软件的更新等。</w:t>
      </w:r>
    </w:p>
    <w:p w14:paraId="3BCF06D1">
      <w:pPr>
        <w:pStyle w:val="34"/>
        <w:numPr>
          <w:ilvl w:val="0"/>
          <w:numId w:val="75"/>
        </w:numPr>
        <w:rPr>
          <w:rFonts w:hint="default" w:ascii="宋体" w:hAnsi="宋体" w:eastAsia="宋体" w:cs="Times New Roman"/>
          <w:lang w:val="en-US" w:eastAsia="zh-CN"/>
        </w:rPr>
      </w:pPr>
      <w:r>
        <w:rPr>
          <w:rFonts w:hint="default" w:ascii="宋体" w:hAnsi="宋体" w:eastAsia="宋体" w:cs="Times New Roman"/>
          <w:lang w:val="en-US" w:eastAsia="zh-CN"/>
        </w:rPr>
        <w:t>安全监控。对服务内容进行监控，在安全环境产生变化时，及时更新安全策略，在现有设备和网络情况有改变的时候，快速制定，针对更新后设备环境的安全策略，并实施部署，避免因设备变更而带来的安全风险。</w:t>
      </w:r>
    </w:p>
    <w:p w14:paraId="191EF635">
      <w:pPr>
        <w:pStyle w:val="34"/>
        <w:numPr>
          <w:ilvl w:val="0"/>
          <w:numId w:val="75"/>
        </w:numPr>
        <w:rPr>
          <w:rFonts w:hint="default" w:ascii="宋体" w:hAnsi="宋体" w:eastAsia="宋体" w:cs="Times New Roman"/>
          <w:lang w:val="en-US" w:eastAsia="zh-CN"/>
        </w:rPr>
      </w:pPr>
      <w:r>
        <w:rPr>
          <w:rFonts w:hint="default" w:ascii="宋体" w:hAnsi="宋体" w:eastAsia="宋体" w:cs="Times New Roman"/>
          <w:lang w:val="en-US" w:eastAsia="zh-CN"/>
        </w:rPr>
        <w:t>应急响应。应急状态的安全值守、响应工作，主要是系统应急响应、重大安全故障处理，确保系统出现安全事件时快速反应、及时处理，降低系统安全问题对工作的影响。</w:t>
      </w:r>
    </w:p>
    <w:p w14:paraId="7E2578A5">
      <w:pPr>
        <w:pStyle w:val="34"/>
        <w:numPr>
          <w:ilvl w:val="0"/>
          <w:numId w:val="75"/>
        </w:numPr>
        <w:rPr>
          <w:rFonts w:hint="default" w:ascii="宋体" w:hAnsi="宋体" w:eastAsia="宋体" w:cs="Times New Roman"/>
          <w:lang w:val="en-US" w:eastAsia="zh-CN"/>
        </w:rPr>
      </w:pPr>
      <w:r>
        <w:rPr>
          <w:rFonts w:hint="default" w:ascii="宋体" w:hAnsi="宋体" w:eastAsia="宋体" w:cs="Times New Roman"/>
          <w:lang w:val="en-US" w:eastAsia="zh-CN"/>
        </w:rPr>
        <w:t>安全通告。定期安全通告，在互联网上出现新型病毒或者新出现漏洞并且部分修补的情况下，制作安全通告及时告知相关运维人员，增强对于新型病毒和漏洞的防御力。</w:t>
      </w:r>
    </w:p>
    <w:p w14:paraId="55F6E4C5">
      <w:pPr>
        <w:pStyle w:val="34"/>
        <w:numPr>
          <w:ilvl w:val="0"/>
          <w:numId w:val="75"/>
        </w:numPr>
        <w:rPr>
          <w:rFonts w:hint="default" w:ascii="宋体" w:hAnsi="宋体" w:eastAsia="宋体" w:cs="Times New Roman"/>
          <w:lang w:val="en-US" w:eastAsia="zh-CN"/>
        </w:rPr>
      </w:pPr>
      <w:r>
        <w:rPr>
          <w:rFonts w:hint="default" w:ascii="宋体" w:hAnsi="宋体" w:eastAsia="宋体" w:cs="Times New Roman"/>
          <w:lang w:val="en-US" w:eastAsia="zh-CN"/>
        </w:rPr>
        <w:t>培训服务。根据工作需要，建设可持续的服务能力管理体系，针对系统升级内容及时更新用户操作手册，定期对系统使用与运维人员进行培训。</w:t>
      </w:r>
    </w:p>
    <w:p w14:paraId="10C8B00A">
      <w:pPr>
        <w:pStyle w:val="37"/>
        <w:keepNext w:val="0"/>
        <w:keepLines w:val="0"/>
        <w:pageBreakBefore w:val="0"/>
        <w:widowControl w:val="0"/>
        <w:numPr>
          <w:ilvl w:val="2"/>
          <w:numId w:val="72"/>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商务要求</w:t>
      </w:r>
    </w:p>
    <w:p w14:paraId="3109887B">
      <w:pPr>
        <w:pStyle w:val="33"/>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服务内容及要求</w:t>
      </w:r>
    </w:p>
    <w:p w14:paraId="45770FB2">
      <w:pPr>
        <w:pStyle w:val="34"/>
        <w:numPr>
          <w:ilvl w:val="0"/>
          <w:numId w:val="76"/>
        </w:numPr>
        <w:rPr>
          <w:rFonts w:hint="eastAsia" w:ascii="宋体" w:hAnsi="宋体" w:eastAsia="宋体" w:cs="Times New Roman"/>
          <w:lang w:val="en-US" w:eastAsia="zh-CN"/>
        </w:rPr>
      </w:pPr>
      <w:r>
        <w:rPr>
          <w:rFonts w:hint="eastAsia" w:ascii="宋体" w:hAnsi="宋体" w:eastAsia="宋体" w:cs="Times New Roman"/>
          <w:lang w:val="en-US" w:eastAsia="zh-CN"/>
        </w:rPr>
        <w:t>电话支持：实行工作日8小时*5天技术支持服务，服务请求及时响应。</w:t>
      </w:r>
    </w:p>
    <w:p w14:paraId="7BE70DAA">
      <w:pPr>
        <w:pStyle w:val="34"/>
        <w:numPr>
          <w:ilvl w:val="0"/>
          <w:numId w:val="76"/>
        </w:numPr>
        <w:rPr>
          <w:rFonts w:hint="eastAsia" w:ascii="宋体" w:hAnsi="宋体" w:eastAsia="宋体" w:cs="Times New Roman"/>
          <w:lang w:val="en-US" w:eastAsia="zh-CN"/>
        </w:rPr>
      </w:pPr>
      <w:r>
        <w:rPr>
          <w:rFonts w:hint="eastAsia" w:ascii="宋体" w:hAnsi="宋体" w:eastAsia="宋体" w:cs="Times New Roman"/>
          <w:lang w:val="en-US" w:eastAsia="zh-CN"/>
        </w:rPr>
        <w:t>网络支持：实行24小时*365天技术支持服务，用户通过钉钉或微信在技术支持群里发送的问题，能及时获得支持。</w:t>
      </w:r>
    </w:p>
    <w:p w14:paraId="15E87858">
      <w:pPr>
        <w:pStyle w:val="34"/>
        <w:numPr>
          <w:ilvl w:val="0"/>
          <w:numId w:val="76"/>
        </w:numPr>
        <w:rPr>
          <w:rFonts w:hint="eastAsia" w:ascii="宋体" w:hAnsi="宋体" w:eastAsia="宋体" w:cs="Times New Roman"/>
          <w:lang w:val="en-US" w:eastAsia="zh-CN"/>
        </w:rPr>
      </w:pPr>
      <w:r>
        <w:rPr>
          <w:rFonts w:hint="eastAsia" w:ascii="宋体" w:hAnsi="宋体" w:eastAsia="宋体" w:cs="Times New Roman"/>
          <w:lang w:val="en-US" w:eastAsia="zh-CN"/>
        </w:rPr>
        <w:t>服务响应：重大系统故障（业务系统停止运行或无法访问），20分钟内作出响应，1小时内排除故障；日常应用故障，30分钟内作出响应，2小时内排除故障；其他类故障及问题，60分钟内作出响应，24小时内排除故障及问题。</w:t>
      </w:r>
    </w:p>
    <w:p w14:paraId="4B677F10">
      <w:pPr>
        <w:pStyle w:val="33"/>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其他要求</w:t>
      </w:r>
    </w:p>
    <w:p w14:paraId="0681C43F">
      <w:pPr>
        <w:pStyle w:val="34"/>
        <w:numPr>
          <w:ilvl w:val="0"/>
          <w:numId w:val="77"/>
        </w:numPr>
        <w:rPr>
          <w:rFonts w:hint="eastAsia" w:ascii="宋体" w:hAnsi="宋体" w:eastAsia="宋体" w:cs="Times New Roman"/>
          <w:lang w:val="en-US" w:eastAsia="zh-CN"/>
        </w:rPr>
      </w:pPr>
      <w:r>
        <w:rPr>
          <w:rFonts w:hint="eastAsia" w:ascii="宋体" w:hAnsi="宋体" w:eastAsia="宋体" w:cs="Times New Roman"/>
          <w:lang w:val="en-US" w:eastAsia="zh-CN"/>
        </w:rPr>
        <w:t>履行期限：自合同签订之日起</w:t>
      </w:r>
      <w:r>
        <w:rPr>
          <w:rFonts w:hint="eastAsia" w:cs="Times New Roman"/>
          <w:lang w:val="en-US" w:eastAsia="zh-CN"/>
        </w:rPr>
        <w:t>9个月内</w:t>
      </w:r>
      <w:r>
        <w:rPr>
          <w:rFonts w:hint="eastAsia" w:ascii="宋体" w:hAnsi="宋体" w:eastAsia="宋体" w:cs="Times New Roman"/>
          <w:lang w:val="en-US" w:eastAsia="zh-CN"/>
        </w:rPr>
        <w:t>。</w:t>
      </w:r>
    </w:p>
    <w:p w14:paraId="01380F37">
      <w:pPr>
        <w:pStyle w:val="34"/>
        <w:numPr>
          <w:ilvl w:val="0"/>
          <w:numId w:val="77"/>
        </w:numPr>
        <w:rPr>
          <w:rFonts w:hint="eastAsia" w:ascii="宋体" w:hAnsi="宋体" w:eastAsia="宋体" w:cs="Times New Roman"/>
          <w:lang w:val="en-US" w:eastAsia="zh-CN"/>
        </w:rPr>
      </w:pPr>
      <w:r>
        <w:rPr>
          <w:rFonts w:hint="eastAsia" w:ascii="宋体" w:hAnsi="宋体" w:eastAsia="宋体" w:cs="Times New Roman"/>
          <w:lang w:val="en-US" w:eastAsia="zh-CN"/>
        </w:rPr>
        <w:t>供应商应对采购人系统软硬件资源、业务和数据状况及其他资源、环境的进行详细了解，制定出具有系统性的维护方案，具有完整的事件或故障检查、发现、评估、处理、报告流程，具有发现隐患的能力，具有较强的项目管理能力，提供保证项目顺利实施的设备、软件。</w:t>
      </w:r>
    </w:p>
    <w:p w14:paraId="16435A5F">
      <w:pPr>
        <w:pStyle w:val="33"/>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验收要求</w:t>
      </w:r>
    </w:p>
    <w:p w14:paraId="33B0B0EF">
      <w:pPr>
        <w:pStyle w:val="34"/>
        <w:numPr>
          <w:ilvl w:val="0"/>
          <w:numId w:val="78"/>
        </w:numPr>
        <w:rPr>
          <w:rFonts w:hint="eastAsia" w:ascii="宋体" w:hAnsi="宋体" w:eastAsia="宋体" w:cs="Times New Roman"/>
          <w:lang w:val="en-US" w:eastAsia="zh-CN"/>
        </w:rPr>
      </w:pPr>
      <w:r>
        <w:rPr>
          <w:rFonts w:hint="eastAsia" w:ascii="宋体" w:hAnsi="宋体" w:eastAsia="宋体" w:cs="Times New Roman"/>
          <w:lang w:val="en-US" w:eastAsia="zh-CN"/>
        </w:rPr>
        <w:t>乙方在项目完成后进行内部自行验收，验收完成后向甲方提交正式申请验收报告。乙方应将项目执行过程及时记录、收集、整理，向甲方递交验收申请资料。验收合格后，验收报告经双方共同签字盖章确认。</w:t>
      </w:r>
    </w:p>
    <w:p w14:paraId="7B80A146">
      <w:pPr>
        <w:pStyle w:val="34"/>
        <w:numPr>
          <w:ilvl w:val="0"/>
          <w:numId w:val="78"/>
        </w:numPr>
        <w:rPr>
          <w:rFonts w:hint="eastAsia" w:ascii="宋体" w:hAnsi="宋体" w:eastAsia="宋体" w:cs="Times New Roman"/>
          <w:lang w:val="en-US" w:eastAsia="zh-CN"/>
        </w:rPr>
      </w:pPr>
      <w:r>
        <w:rPr>
          <w:rFonts w:hint="eastAsia" w:ascii="宋体" w:hAnsi="宋体" w:eastAsia="宋体" w:cs="Times New Roman"/>
          <w:lang w:val="en-US" w:eastAsia="zh-CN"/>
        </w:rPr>
        <w:t>验收内容：乙方实际完成的情况是否符合合同约定的服务内容。</w:t>
      </w:r>
    </w:p>
    <w:p w14:paraId="2191C1A9">
      <w:pPr>
        <w:pStyle w:val="34"/>
        <w:numPr>
          <w:ilvl w:val="0"/>
          <w:numId w:val="78"/>
        </w:numPr>
        <w:rPr>
          <w:rFonts w:hint="eastAsia" w:ascii="宋体" w:hAnsi="宋体" w:eastAsia="宋体" w:cs="Times New Roman"/>
          <w:lang w:val="en-US" w:eastAsia="zh-CN"/>
        </w:rPr>
      </w:pPr>
      <w:r>
        <w:rPr>
          <w:rFonts w:hint="eastAsia" w:ascii="宋体" w:hAnsi="宋体" w:eastAsia="宋体" w:cs="Times New Roman"/>
          <w:lang w:val="en-US" w:eastAsia="zh-CN"/>
        </w:rPr>
        <w:t>验收标准：乙方已经按照合同约定的服务内容完成本项目。</w:t>
      </w:r>
    </w:p>
    <w:p w14:paraId="178052CF">
      <w:pPr>
        <w:pStyle w:val="34"/>
        <w:numPr>
          <w:ilvl w:val="0"/>
          <w:numId w:val="78"/>
        </w:numPr>
      </w:pPr>
      <w:r>
        <w:rPr>
          <w:rFonts w:hint="eastAsia" w:ascii="宋体" w:hAnsi="宋体" w:eastAsia="宋体" w:cs="Times New Roman"/>
          <w:lang w:val="en-US" w:eastAsia="zh-CN"/>
        </w:rPr>
        <w:t>经验收后，乙方服务成果不合格的，甲方有权要求乙方进行整改，相关费用由乙方承担;如整改后仍不合格的，甲方有权解除合同，并要求乙方承担违约责任。</w:t>
      </w:r>
    </w:p>
    <w:p w14:paraId="380A1848">
      <w:pPr>
        <w:pStyle w:val="34"/>
        <w:numPr>
          <w:ilvl w:val="0"/>
          <w:numId w:val="0"/>
        </w:numPr>
      </w:pPr>
    </w:p>
    <w:p w14:paraId="0496A425">
      <w:pPr>
        <w:pStyle w:val="36"/>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50" w:name="_Toc29938"/>
      <w:bookmarkStart w:id="151" w:name="_Toc23627"/>
      <w:bookmarkStart w:id="152" w:name="_Toc20761"/>
      <w:bookmarkStart w:id="153" w:name="_Toc25671"/>
      <w:bookmarkStart w:id="154" w:name="_Toc8875"/>
      <w:r>
        <w:rPr>
          <w:rFonts w:hint="eastAsia"/>
          <w:sz w:val="28"/>
          <w:szCs w:val="28"/>
          <w:lang w:val="en-US" w:eastAsia="zh-CN"/>
        </w:rPr>
        <w:t>服务总线系统运维服务</w:t>
      </w:r>
      <w:bookmarkEnd w:id="150"/>
      <w:bookmarkEnd w:id="151"/>
      <w:bookmarkEnd w:id="152"/>
      <w:bookmarkEnd w:id="153"/>
      <w:bookmarkEnd w:id="154"/>
    </w:p>
    <w:p w14:paraId="5827B21B">
      <w:pPr>
        <w:pStyle w:val="37"/>
        <w:keepNext w:val="0"/>
        <w:keepLines w:val="0"/>
        <w:pageBreakBefore w:val="0"/>
        <w:widowControl w:val="0"/>
        <w:numPr>
          <w:ilvl w:val="2"/>
          <w:numId w:val="79"/>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技术要求</w:t>
      </w:r>
    </w:p>
    <w:p w14:paraId="5C76396C">
      <w:pPr>
        <w:pStyle w:val="33"/>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服务总线系统运维服务</w:t>
      </w:r>
    </w:p>
    <w:p w14:paraId="653C6B97">
      <w:pPr>
        <w:pStyle w:val="34"/>
        <w:numPr>
          <w:ilvl w:val="0"/>
          <w:numId w:val="80"/>
        </w:numPr>
        <w:rPr>
          <w:rFonts w:hint="default"/>
          <w:lang w:val="en-US" w:eastAsia="zh-CN"/>
        </w:rPr>
      </w:pPr>
      <w:r>
        <w:rPr>
          <w:rFonts w:hint="default"/>
          <w:lang w:val="en-US" w:eastAsia="zh-CN"/>
        </w:rPr>
        <w:t>做好日常数据维护工作。包括至少每周一次的数据冗余清理、存储余量检查等。</w:t>
      </w:r>
    </w:p>
    <w:p w14:paraId="5208FF62">
      <w:pPr>
        <w:pStyle w:val="34"/>
        <w:numPr>
          <w:ilvl w:val="0"/>
          <w:numId w:val="80"/>
        </w:numPr>
        <w:rPr>
          <w:rFonts w:hint="default"/>
          <w:lang w:val="en-US" w:eastAsia="zh-CN"/>
        </w:rPr>
      </w:pPr>
      <w:r>
        <w:rPr>
          <w:rFonts w:hint="default"/>
          <w:lang w:val="en-US" w:eastAsia="zh-CN"/>
        </w:rPr>
        <w:t>做好系统日常巡检工作。系统日常巡检是指至少每二周一次定时巡检，检查服务总线系统的运行情况；当发现系统运行不稳定或者出现明显可疑情况时，应立即将事件报告管理员，发生重大安全事件时，应立即启动响应机制。</w:t>
      </w:r>
    </w:p>
    <w:p w14:paraId="180A5349">
      <w:pPr>
        <w:pStyle w:val="34"/>
        <w:numPr>
          <w:ilvl w:val="0"/>
          <w:numId w:val="80"/>
        </w:numPr>
        <w:rPr>
          <w:rFonts w:hint="default"/>
          <w:lang w:val="en-US" w:eastAsia="zh-CN"/>
        </w:rPr>
      </w:pPr>
      <w:r>
        <w:rPr>
          <w:rFonts w:hint="default"/>
          <w:lang w:val="en-US" w:eastAsia="zh-CN"/>
        </w:rPr>
        <w:t>做好云资源日常巡查工作。云资源日常巡查是指负责巡检系统所依赖的服务器、数据库、网络设备等基础设施资源的运行状态，主要包括相关资源的性能指标、资源利用率（如 CPU、内存、磁盘 I/O ）等的监控，确保服务器稳定运行。对系统巡检中发觉的异常事件进行申告建单、以及处理或配合支撑。</w:t>
      </w:r>
    </w:p>
    <w:p w14:paraId="01F407B6">
      <w:pPr>
        <w:pStyle w:val="34"/>
        <w:numPr>
          <w:ilvl w:val="0"/>
          <w:numId w:val="80"/>
        </w:numPr>
        <w:rPr>
          <w:rFonts w:hint="default"/>
          <w:lang w:val="en-US" w:eastAsia="zh-CN"/>
        </w:rPr>
      </w:pPr>
      <w:r>
        <w:rPr>
          <w:rFonts w:hint="default"/>
          <w:lang w:val="en-US" w:eastAsia="zh-CN"/>
        </w:rPr>
        <w:t>做好日常运行中的使用指引服务。</w:t>
      </w:r>
    </w:p>
    <w:p w14:paraId="113C6212">
      <w:pPr>
        <w:pStyle w:val="34"/>
        <w:numPr>
          <w:ilvl w:val="0"/>
          <w:numId w:val="80"/>
        </w:numPr>
        <w:rPr>
          <w:rFonts w:hint="default"/>
          <w:lang w:val="en-US" w:eastAsia="zh-CN"/>
        </w:rPr>
      </w:pPr>
      <w:r>
        <w:rPr>
          <w:rFonts w:hint="default"/>
          <w:lang w:val="en-US" w:eastAsia="zh-CN"/>
        </w:rPr>
        <w:t>负责系统的故障修复，包括系统漏洞修复、重新配置参数、重启相关服务等操作。在修复过程中，要尽量减少对业务的影响，确保系统的快速恢复。</w:t>
      </w:r>
    </w:p>
    <w:p w14:paraId="6215B80F">
      <w:pPr>
        <w:pStyle w:val="34"/>
        <w:numPr>
          <w:ilvl w:val="0"/>
          <w:numId w:val="80"/>
        </w:numPr>
        <w:rPr>
          <w:rFonts w:hint="default"/>
          <w:lang w:val="en-US" w:eastAsia="zh-CN"/>
        </w:rPr>
      </w:pPr>
      <w:r>
        <w:rPr>
          <w:rFonts w:hint="default"/>
          <w:lang w:val="en-US" w:eastAsia="zh-CN"/>
        </w:rPr>
        <w:t>根据数据情况做好目录梳理工作，对各类数据登记造册，留备注解信息。保障已挂接资源的正常使用。根据政策要求，保障完成服务总线与省级数据资源平台的数据对接服务，包括数据通道建立、数据推送服务、资源注册服务等。</w:t>
      </w:r>
    </w:p>
    <w:p w14:paraId="035BA70B">
      <w:pPr>
        <w:pStyle w:val="34"/>
        <w:numPr>
          <w:ilvl w:val="0"/>
          <w:numId w:val="80"/>
        </w:numPr>
        <w:rPr>
          <w:rFonts w:hint="default"/>
          <w:lang w:val="en-US" w:eastAsia="zh-CN"/>
        </w:rPr>
      </w:pPr>
      <w:r>
        <w:rPr>
          <w:rFonts w:hint="default"/>
          <w:lang w:val="en-US" w:eastAsia="zh-CN"/>
        </w:rPr>
        <w:t>协助用户完成资源申请单位对应急管理数据资源的申请审批和对接工作。</w:t>
      </w:r>
    </w:p>
    <w:p w14:paraId="41C8B8EE">
      <w:pPr>
        <w:pStyle w:val="34"/>
        <w:numPr>
          <w:ilvl w:val="0"/>
          <w:numId w:val="80"/>
        </w:numPr>
        <w:rPr>
          <w:rFonts w:hint="default"/>
          <w:lang w:val="en-US" w:eastAsia="zh-CN"/>
        </w:rPr>
      </w:pPr>
      <w:r>
        <w:rPr>
          <w:rFonts w:hint="default"/>
          <w:lang w:val="en-US" w:eastAsia="zh-CN"/>
        </w:rPr>
        <w:t>定期检查服务总线系统数据库的数据情况，核对数据入库是否正常，增量数据是否符合定义。对平台上的日常数据交换报错等情况进行异常处置。</w:t>
      </w:r>
    </w:p>
    <w:p w14:paraId="704C0B6F">
      <w:pPr>
        <w:pStyle w:val="34"/>
        <w:numPr>
          <w:ilvl w:val="0"/>
          <w:numId w:val="80"/>
        </w:numPr>
        <w:rPr>
          <w:rFonts w:hint="default"/>
          <w:lang w:val="en-US" w:eastAsia="zh-CN"/>
        </w:rPr>
      </w:pPr>
      <w:r>
        <w:rPr>
          <w:rFonts w:hint="default"/>
          <w:lang w:val="en-US" w:eastAsia="zh-CN"/>
        </w:rPr>
        <w:t>制定完善的应急响应预案，针对可能出现的重大故障、安全事故等突发事件，明确应急处理流程和责任分工。当发生紧急情况时，迅速启动应急预案，采取如数据备份与恢复。因政策要求或重大活动保障期间，增加驻点支撑人员，确保满足其业务需求。</w:t>
      </w:r>
    </w:p>
    <w:p w14:paraId="3E7407DB">
      <w:pPr>
        <w:pStyle w:val="33"/>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轻量化网络数据采集</w:t>
      </w:r>
    </w:p>
    <w:p w14:paraId="090A59BE">
      <w:pPr>
        <w:pStyle w:val="34"/>
        <w:numPr>
          <w:ilvl w:val="0"/>
          <w:numId w:val="0"/>
        </w:numPr>
        <w:ind w:firstLine="480" w:firstLineChars="200"/>
        <w:rPr>
          <w:rFonts w:hint="default"/>
          <w:lang w:val="en-US" w:eastAsia="zh-CN"/>
        </w:rPr>
      </w:pPr>
      <w:r>
        <w:rPr>
          <w:rFonts w:hint="default"/>
          <w:lang w:val="en-US" w:eastAsia="zh-CN"/>
        </w:rPr>
        <w:t>迭代建设轻量化网络数据采集能力，包括采集路径管理、采集解析组件库、采集任务管理和日志中心等功能。</w:t>
      </w:r>
    </w:p>
    <w:p w14:paraId="5A221E8D">
      <w:pPr>
        <w:pStyle w:val="34"/>
        <w:numPr>
          <w:ilvl w:val="0"/>
          <w:numId w:val="81"/>
        </w:numPr>
        <w:rPr>
          <w:rFonts w:hint="default"/>
          <w:lang w:val="en-US" w:eastAsia="zh-CN"/>
        </w:rPr>
      </w:pPr>
      <w:r>
        <w:rPr>
          <w:rFonts w:hint="default"/>
          <w:lang w:val="en-US" w:eastAsia="zh-CN"/>
        </w:rPr>
        <w:t>采集路径管理</w:t>
      </w:r>
    </w:p>
    <w:p w14:paraId="1FB0B9D4">
      <w:pPr>
        <w:pStyle w:val="34"/>
        <w:numPr>
          <w:ilvl w:val="0"/>
          <w:numId w:val="0"/>
        </w:numPr>
        <w:ind w:firstLine="480" w:firstLineChars="200"/>
        <w:rPr>
          <w:rFonts w:hint="default" w:ascii="宋体" w:hAnsi="宋体" w:eastAsia="宋体" w:cs="Times New Roman"/>
          <w:lang w:val="en-US" w:eastAsia="zh-CN"/>
        </w:rPr>
      </w:pPr>
      <w:r>
        <w:rPr>
          <w:rFonts w:hint="default" w:ascii="宋体" w:hAnsi="宋体" w:eastAsia="宋体" w:cs="Times New Roman"/>
          <w:lang w:val="en-US" w:eastAsia="zh-CN"/>
        </w:rPr>
        <w:t>采集路径管理支持对采集路径的初始化配置，包括采集程序入口，目标网站的起始 URL，采集基础信息配置，设置请求头、代理、线程数等关键参数。</w:t>
      </w:r>
    </w:p>
    <w:p w14:paraId="6E08AFA7">
      <w:pPr>
        <w:pStyle w:val="34"/>
        <w:numPr>
          <w:ilvl w:val="0"/>
          <w:numId w:val="81"/>
        </w:numPr>
        <w:rPr>
          <w:rFonts w:hint="default"/>
          <w:lang w:val="en-US" w:eastAsia="zh-CN"/>
        </w:rPr>
      </w:pPr>
      <w:r>
        <w:rPr>
          <w:rFonts w:hint="default"/>
          <w:lang w:val="en-US" w:eastAsia="zh-CN"/>
        </w:rPr>
        <w:t>采集解析组件库</w:t>
      </w:r>
    </w:p>
    <w:p w14:paraId="6BCF039C">
      <w:pPr>
        <w:pStyle w:val="34"/>
        <w:numPr>
          <w:ilvl w:val="0"/>
          <w:numId w:val="0"/>
        </w:numPr>
        <w:ind w:firstLine="480" w:firstLineChars="200"/>
        <w:rPr>
          <w:rFonts w:hint="default" w:ascii="宋体" w:hAnsi="宋体" w:eastAsia="宋体" w:cs="Times New Roman"/>
          <w:lang w:val="en-US" w:eastAsia="zh-CN"/>
        </w:rPr>
      </w:pPr>
      <w:r>
        <w:rPr>
          <w:rFonts w:hint="default" w:ascii="宋体" w:hAnsi="宋体" w:eastAsia="宋体" w:cs="Times New Roman"/>
          <w:lang w:val="en-US" w:eastAsia="zh-CN"/>
        </w:rPr>
        <w:t>采集解析组件提供对目标网站的结构、网页编码、内容格式等的分析能力，通过构建智能分析模型，生成网络采集方式和解析方法，可分析网页的 HTML 树结构，找到包含目标数据的特定标签和属性，生成采集解析组件库。解析方式包括：正则表达式、HTML/XML 解析库、JSON 解析等。</w:t>
      </w:r>
    </w:p>
    <w:p w14:paraId="5F51B8CC">
      <w:pPr>
        <w:pStyle w:val="34"/>
        <w:numPr>
          <w:ilvl w:val="0"/>
          <w:numId w:val="81"/>
        </w:numPr>
        <w:rPr>
          <w:rFonts w:hint="default"/>
          <w:lang w:val="en-US" w:eastAsia="zh-CN"/>
        </w:rPr>
      </w:pPr>
      <w:r>
        <w:rPr>
          <w:rFonts w:hint="default"/>
          <w:lang w:val="en-US" w:eastAsia="zh-CN"/>
        </w:rPr>
        <w:t>采集任务管理</w:t>
      </w:r>
    </w:p>
    <w:p w14:paraId="57C164BF">
      <w:pPr>
        <w:pStyle w:val="34"/>
        <w:numPr>
          <w:ilvl w:val="0"/>
          <w:numId w:val="0"/>
        </w:numPr>
        <w:ind w:firstLine="480" w:firstLineChars="200"/>
        <w:rPr>
          <w:rFonts w:hint="default" w:ascii="宋体" w:hAnsi="宋体" w:eastAsia="宋体" w:cs="Times New Roman"/>
          <w:lang w:val="en-US" w:eastAsia="zh-CN"/>
        </w:rPr>
      </w:pPr>
      <w:r>
        <w:rPr>
          <w:rFonts w:hint="default" w:ascii="宋体" w:hAnsi="宋体" w:eastAsia="宋体" w:cs="Times New Roman"/>
          <w:lang w:val="en-US" w:eastAsia="zh-CN"/>
        </w:rPr>
        <w:t>支持对采集任务的基础信息、采集路径配、采集解析组件和采集结果存储形式等配置管理。基于采集路径管理信息，构建 HTTP 请求任务并发送到目标网站，获取网页响应和数据，通过采集分析组件对响应数据进行智能解析，采集结果存储形式支持文件存储（CSV、JSON、XML）、数据库存储等。</w:t>
      </w:r>
    </w:p>
    <w:p w14:paraId="4D009823">
      <w:pPr>
        <w:pStyle w:val="34"/>
        <w:numPr>
          <w:ilvl w:val="0"/>
          <w:numId w:val="81"/>
        </w:numPr>
        <w:rPr>
          <w:rFonts w:hint="default"/>
          <w:lang w:val="en-US" w:eastAsia="zh-CN"/>
        </w:rPr>
      </w:pPr>
      <w:r>
        <w:rPr>
          <w:rFonts w:hint="default"/>
          <w:lang w:val="en-US" w:eastAsia="zh-CN"/>
        </w:rPr>
        <w:t>日志中心</w:t>
      </w:r>
    </w:p>
    <w:p w14:paraId="533C8BF9">
      <w:pPr>
        <w:pStyle w:val="34"/>
        <w:numPr>
          <w:ilvl w:val="0"/>
          <w:numId w:val="0"/>
        </w:numPr>
        <w:ind w:firstLine="480" w:firstLineChars="200"/>
        <w:rPr>
          <w:rFonts w:hint="default" w:ascii="宋体" w:hAnsi="宋体" w:eastAsia="宋体" w:cs="Times New Roman"/>
          <w:lang w:val="en-US" w:eastAsia="zh-CN"/>
        </w:rPr>
      </w:pPr>
      <w:r>
        <w:rPr>
          <w:rFonts w:hint="default" w:ascii="宋体" w:hAnsi="宋体" w:eastAsia="宋体" w:cs="Times New Roman"/>
          <w:lang w:val="en-US" w:eastAsia="zh-CN"/>
        </w:rPr>
        <w:t>支持对采集任务的日志管理，具备异常处理机制，能够捕获并处理各种异常；支持日志记录，记录任务运行过程中的关键信息和错误。</w:t>
      </w:r>
    </w:p>
    <w:p w14:paraId="37D852FE">
      <w:pPr>
        <w:pStyle w:val="33"/>
        <w:keepNext w:val="0"/>
        <w:keepLines w:val="0"/>
        <w:pageBreakBefore w:val="0"/>
        <w:widowControl w:val="0"/>
        <w:numPr>
          <w:ilvl w:val="3"/>
          <w:numId w:val="62"/>
        </w:numPr>
        <w:kinsoku/>
        <w:wordWrap/>
        <w:overflowPunct/>
        <w:topLinePunct w:val="0"/>
        <w:autoSpaceDE/>
        <w:autoSpaceDN/>
        <w:bidi w:val="0"/>
        <w:adjustRightInd w:val="0"/>
        <w:snapToGrid w:val="0"/>
        <w:spacing w:line="360" w:lineRule="auto"/>
        <w:ind w:left="0" w:firstLine="482" w:firstLineChars="200"/>
        <w:textAlignment w:val="auto"/>
        <w:rPr>
          <w:rFonts w:hint="default"/>
          <w:lang w:val="en-US" w:eastAsia="zh-CN"/>
        </w:rPr>
      </w:pPr>
      <w:r>
        <w:rPr>
          <w:rFonts w:hint="default"/>
          <w:lang w:val="en-US" w:eastAsia="zh-CN"/>
        </w:rPr>
        <w:t>标准库</w:t>
      </w:r>
    </w:p>
    <w:p w14:paraId="0E0A733D">
      <w:pPr>
        <w:pStyle w:val="34"/>
        <w:numPr>
          <w:ilvl w:val="0"/>
          <w:numId w:val="0"/>
        </w:numPr>
        <w:ind w:firstLine="480" w:firstLineChars="200"/>
        <w:rPr>
          <w:rFonts w:hint="default" w:ascii="宋体" w:hAnsi="宋体" w:eastAsia="宋体" w:cs="Times New Roman"/>
          <w:lang w:val="en-US" w:eastAsia="zh-CN"/>
        </w:rPr>
      </w:pPr>
      <w:r>
        <w:rPr>
          <w:rFonts w:hint="default" w:ascii="宋体" w:hAnsi="宋体" w:eastAsia="宋体" w:cs="Times New Roman"/>
          <w:lang w:val="en-US" w:eastAsia="zh-CN"/>
        </w:rPr>
        <w:t>标准库规范数据资源格式、命名和口径，实现自有标准、上级标准、其他标准等数据标准管理，包括标准查询、标准映射、标准管理等模块。</w:t>
      </w:r>
    </w:p>
    <w:p w14:paraId="611B1C0B">
      <w:pPr>
        <w:pStyle w:val="34"/>
        <w:numPr>
          <w:ilvl w:val="0"/>
          <w:numId w:val="82"/>
        </w:numPr>
        <w:rPr>
          <w:rFonts w:hint="default" w:ascii="宋体" w:hAnsi="宋体" w:eastAsia="宋体" w:cs="Times New Roman"/>
          <w:lang w:val="en-US" w:eastAsia="zh-CN"/>
        </w:rPr>
      </w:pPr>
      <w:r>
        <w:rPr>
          <w:rFonts w:hint="default" w:ascii="宋体" w:hAnsi="宋体" w:eastAsia="宋体" w:cs="Times New Roman"/>
          <w:lang w:val="en-US" w:eastAsia="zh-CN"/>
        </w:rPr>
        <w:t>标准管理</w:t>
      </w:r>
    </w:p>
    <w:p w14:paraId="4985D0ED">
      <w:pPr>
        <w:pStyle w:val="34"/>
        <w:numPr>
          <w:ilvl w:val="0"/>
          <w:numId w:val="0"/>
        </w:numPr>
        <w:ind w:firstLine="480" w:firstLineChars="200"/>
        <w:rPr>
          <w:rFonts w:hint="default" w:ascii="宋体" w:hAnsi="宋体" w:eastAsia="宋体" w:cs="Times New Roman"/>
          <w:lang w:val="en-US" w:eastAsia="zh-CN"/>
        </w:rPr>
      </w:pPr>
      <w:r>
        <w:rPr>
          <w:rFonts w:hint="default" w:ascii="宋体" w:hAnsi="宋体" w:eastAsia="宋体" w:cs="Times New Roman"/>
          <w:lang w:val="en-US" w:eastAsia="zh-CN"/>
        </w:rPr>
        <w:t>标准管理制定各类数据领域在技术与业务层面的标准规范信息，构建统一的基础数据标准规范，确保数据标准、数据质量、主数据管理等各种数据管理的有序进行，包括数据标准维护、定版标准、标准发布审批、标准文档管理。</w:t>
      </w:r>
    </w:p>
    <w:p w14:paraId="7B6F44D3">
      <w:pPr>
        <w:pStyle w:val="34"/>
        <w:numPr>
          <w:ilvl w:val="0"/>
          <w:numId w:val="0"/>
        </w:numPr>
        <w:ind w:firstLine="480" w:firstLineChars="200"/>
        <w:rPr>
          <w:rFonts w:hint="default" w:ascii="宋体" w:hAnsi="宋体" w:eastAsia="宋体" w:cs="Times New Roman"/>
          <w:lang w:val="en-US" w:eastAsia="zh-CN"/>
        </w:rPr>
      </w:pPr>
      <w:r>
        <w:rPr>
          <w:rFonts w:hint="default" w:ascii="宋体" w:hAnsi="宋体" w:eastAsia="宋体" w:cs="Times New Roman"/>
          <w:lang w:val="en-US" w:eastAsia="zh-CN"/>
        </w:rPr>
        <w:t>a.支持可视化新增数据标准集，可配置基础信息、属性设置、编码规则，并支持数据标准的编辑、删除等管理性操作。</w:t>
      </w:r>
    </w:p>
    <w:p w14:paraId="7242C04A">
      <w:pPr>
        <w:pStyle w:val="34"/>
        <w:numPr>
          <w:ilvl w:val="0"/>
          <w:numId w:val="0"/>
        </w:numPr>
        <w:ind w:firstLine="480" w:firstLineChars="200"/>
        <w:rPr>
          <w:rFonts w:hint="default" w:ascii="宋体" w:hAnsi="宋体" w:eastAsia="宋体" w:cs="Times New Roman"/>
          <w:lang w:val="en-US" w:eastAsia="zh-CN"/>
        </w:rPr>
      </w:pPr>
      <w:r>
        <w:rPr>
          <w:rFonts w:hint="default" w:ascii="宋体" w:hAnsi="宋体" w:eastAsia="宋体" w:cs="Times New Roman"/>
          <w:lang w:val="en-US" w:eastAsia="zh-CN"/>
        </w:rPr>
        <w:t>b.支持申请发布数据标准集。</w:t>
      </w:r>
    </w:p>
    <w:p w14:paraId="0026C509">
      <w:pPr>
        <w:pStyle w:val="34"/>
        <w:numPr>
          <w:ilvl w:val="0"/>
          <w:numId w:val="0"/>
        </w:numPr>
        <w:ind w:firstLine="480" w:firstLineChars="200"/>
        <w:rPr>
          <w:rFonts w:hint="default" w:ascii="宋体" w:hAnsi="宋体" w:eastAsia="宋体" w:cs="Times New Roman"/>
          <w:lang w:val="en-US" w:eastAsia="zh-CN"/>
        </w:rPr>
      </w:pPr>
      <w:r>
        <w:rPr>
          <w:rFonts w:hint="default" w:ascii="宋体" w:hAnsi="宋体" w:eastAsia="宋体" w:cs="Times New Roman"/>
          <w:lang w:val="en-US" w:eastAsia="zh-CN"/>
        </w:rPr>
        <w:t>c.支持标准集信息的查询以及详细信息的查看，包括基础信息、编码规则和历史版本等。</w:t>
      </w:r>
    </w:p>
    <w:p w14:paraId="7D5F13E9">
      <w:pPr>
        <w:pStyle w:val="34"/>
        <w:numPr>
          <w:ilvl w:val="0"/>
          <w:numId w:val="0"/>
        </w:numPr>
        <w:ind w:firstLine="480" w:firstLineChars="200"/>
        <w:rPr>
          <w:rFonts w:hint="default" w:ascii="宋体" w:hAnsi="宋体" w:eastAsia="宋体" w:cs="Times New Roman"/>
          <w:lang w:val="en-US" w:eastAsia="zh-CN"/>
        </w:rPr>
      </w:pPr>
      <w:r>
        <w:rPr>
          <w:rFonts w:hint="default" w:ascii="宋体" w:hAnsi="宋体" w:eastAsia="宋体" w:cs="Times New Roman"/>
          <w:lang w:val="en-US" w:eastAsia="zh-CN"/>
        </w:rPr>
        <w:t>d.支持审核管理人员进行标准发布前的审核，支持查看待审核和已审核数据标准信息。</w:t>
      </w:r>
    </w:p>
    <w:p w14:paraId="10714CDA">
      <w:pPr>
        <w:pStyle w:val="34"/>
        <w:numPr>
          <w:ilvl w:val="0"/>
          <w:numId w:val="0"/>
        </w:numPr>
        <w:ind w:firstLine="480" w:firstLineChars="200"/>
        <w:rPr>
          <w:rFonts w:hint="default" w:ascii="宋体" w:hAnsi="宋体" w:eastAsia="宋体" w:cs="Times New Roman"/>
          <w:lang w:val="en-US" w:eastAsia="zh-CN"/>
        </w:rPr>
      </w:pPr>
      <w:r>
        <w:rPr>
          <w:rFonts w:hint="default" w:ascii="宋体" w:hAnsi="宋体" w:eastAsia="宋体" w:cs="Times New Roman"/>
          <w:lang w:val="en-US" w:eastAsia="zh-CN"/>
        </w:rPr>
        <w:t>e.支持可视化新增标准文档，可配置文档名称、创建人编码、创建时间、标准状态等信息。</w:t>
      </w:r>
    </w:p>
    <w:p w14:paraId="67A1C0B5">
      <w:pPr>
        <w:pStyle w:val="34"/>
        <w:numPr>
          <w:ilvl w:val="0"/>
          <w:numId w:val="82"/>
        </w:numPr>
        <w:rPr>
          <w:rFonts w:hint="default" w:ascii="宋体" w:hAnsi="宋体" w:eastAsia="宋体" w:cs="Times New Roman"/>
          <w:lang w:val="en-US" w:eastAsia="zh-CN"/>
        </w:rPr>
      </w:pPr>
      <w:r>
        <w:rPr>
          <w:rFonts w:hint="default" w:ascii="宋体" w:hAnsi="宋体" w:eastAsia="宋体" w:cs="Times New Roman"/>
          <w:lang w:val="en-US" w:eastAsia="zh-CN"/>
        </w:rPr>
        <w:t>落地标准评估</w:t>
      </w:r>
    </w:p>
    <w:p w14:paraId="0D1ED6D3">
      <w:pPr>
        <w:pStyle w:val="34"/>
        <w:numPr>
          <w:ilvl w:val="0"/>
          <w:numId w:val="0"/>
        </w:numPr>
        <w:ind w:firstLine="480" w:firstLineChars="200"/>
        <w:rPr>
          <w:rFonts w:hint="default" w:ascii="宋体" w:hAnsi="宋体" w:eastAsia="宋体" w:cs="Times New Roman"/>
          <w:lang w:val="en-US" w:eastAsia="zh-CN"/>
        </w:rPr>
      </w:pPr>
      <w:r>
        <w:rPr>
          <w:rFonts w:hint="default" w:ascii="宋体" w:hAnsi="宋体" w:eastAsia="宋体" w:cs="Times New Roman"/>
          <w:lang w:val="en-US" w:eastAsia="zh-CN"/>
        </w:rPr>
        <w:t>落地标准评估实现数据标准的落地执行，维护标准与元数据之间的落地映射关系，包括数据标准映射、标准映射审批、落地评估标准查询、落地标准元数据查询。</w:t>
      </w:r>
    </w:p>
    <w:p w14:paraId="1DCD4F83">
      <w:pPr>
        <w:pStyle w:val="34"/>
        <w:numPr>
          <w:ilvl w:val="0"/>
          <w:numId w:val="0"/>
        </w:numPr>
        <w:ind w:firstLine="480" w:firstLineChars="200"/>
        <w:rPr>
          <w:rFonts w:hint="default" w:ascii="宋体" w:hAnsi="宋体" w:eastAsia="宋体" w:cs="Times New Roman"/>
          <w:lang w:val="en-US" w:eastAsia="zh-CN"/>
        </w:rPr>
      </w:pPr>
      <w:r>
        <w:rPr>
          <w:rFonts w:hint="default" w:ascii="宋体" w:hAnsi="宋体" w:eastAsia="宋体" w:cs="Times New Roman"/>
          <w:lang w:val="en-US" w:eastAsia="zh-CN"/>
        </w:rPr>
        <w:t>a.支持可视化新增映射关系，包含元数据代码、元数据名称、元数据路径、更新时间等。</w:t>
      </w:r>
    </w:p>
    <w:p w14:paraId="60290BC7">
      <w:pPr>
        <w:pStyle w:val="34"/>
        <w:numPr>
          <w:ilvl w:val="0"/>
          <w:numId w:val="0"/>
        </w:numPr>
        <w:ind w:firstLine="480" w:firstLineChars="200"/>
        <w:rPr>
          <w:rFonts w:hint="default" w:ascii="宋体" w:hAnsi="宋体" w:eastAsia="宋体" w:cs="Times New Roman"/>
          <w:lang w:val="en-US" w:eastAsia="zh-CN"/>
        </w:rPr>
      </w:pPr>
      <w:r>
        <w:rPr>
          <w:rFonts w:hint="default" w:ascii="宋体" w:hAnsi="宋体" w:eastAsia="宋体" w:cs="Times New Roman"/>
          <w:lang w:val="en-US" w:eastAsia="zh-CN"/>
        </w:rPr>
        <w:t>b.支持申请补发数据集。</w:t>
      </w:r>
    </w:p>
    <w:p w14:paraId="5916677A">
      <w:pPr>
        <w:pStyle w:val="34"/>
        <w:numPr>
          <w:ilvl w:val="0"/>
          <w:numId w:val="0"/>
        </w:numPr>
        <w:ind w:firstLine="480" w:firstLineChars="200"/>
        <w:rPr>
          <w:rFonts w:hint="default" w:ascii="宋体" w:hAnsi="宋体" w:eastAsia="宋体" w:cs="Times New Roman"/>
          <w:lang w:val="en-US" w:eastAsia="zh-CN"/>
        </w:rPr>
      </w:pPr>
      <w:r>
        <w:rPr>
          <w:rFonts w:hint="default" w:ascii="宋体" w:hAnsi="宋体" w:eastAsia="宋体" w:cs="Times New Roman"/>
          <w:lang w:val="en-US" w:eastAsia="zh-CN"/>
        </w:rPr>
        <w:t>c.支持查看标准属性列表和元数据列表等信息。支持进行重新评估或通过评估。</w:t>
      </w:r>
    </w:p>
    <w:p w14:paraId="5DAAF459">
      <w:pPr>
        <w:pStyle w:val="34"/>
        <w:numPr>
          <w:ilvl w:val="0"/>
          <w:numId w:val="0"/>
        </w:numPr>
        <w:ind w:firstLine="480" w:firstLineChars="200"/>
        <w:rPr>
          <w:rFonts w:hint="default" w:ascii="宋体" w:hAnsi="宋体" w:eastAsia="宋体" w:cs="Times New Roman"/>
          <w:lang w:val="en-US" w:eastAsia="zh-CN"/>
        </w:rPr>
      </w:pPr>
      <w:r>
        <w:rPr>
          <w:rFonts w:hint="default" w:ascii="宋体" w:hAnsi="宋体" w:eastAsia="宋体" w:cs="Times New Roman"/>
          <w:lang w:val="en-US" w:eastAsia="zh-CN"/>
        </w:rPr>
        <w:t>d.支持查询落地评估标准信息，支持通过标准集、数据标准等信息进行查询，可查看标准列表、元数据列表和评估结果等信息。</w:t>
      </w:r>
    </w:p>
    <w:p w14:paraId="1CB75CF8">
      <w:pPr>
        <w:pStyle w:val="34"/>
        <w:numPr>
          <w:ilvl w:val="0"/>
          <w:numId w:val="0"/>
        </w:numPr>
        <w:ind w:firstLine="480" w:firstLineChars="200"/>
        <w:rPr>
          <w:rFonts w:hint="default" w:ascii="宋体" w:hAnsi="宋体" w:eastAsia="宋体" w:cs="Times New Roman"/>
          <w:lang w:val="en-US" w:eastAsia="zh-CN"/>
        </w:rPr>
      </w:pPr>
      <w:r>
        <w:rPr>
          <w:rFonts w:hint="default" w:ascii="宋体" w:hAnsi="宋体" w:eastAsia="宋体" w:cs="Times New Roman"/>
          <w:lang w:val="en-US" w:eastAsia="zh-CN"/>
        </w:rPr>
        <w:t>e.支持查询落地评估元数据信息，查询具体的评估结果和通过率情况。通过评估列表查看具体的评估结果。</w:t>
      </w:r>
    </w:p>
    <w:p w14:paraId="585290B5">
      <w:pPr>
        <w:pStyle w:val="34"/>
        <w:numPr>
          <w:ilvl w:val="0"/>
          <w:numId w:val="82"/>
        </w:numPr>
        <w:rPr>
          <w:rFonts w:hint="default" w:ascii="宋体" w:hAnsi="宋体" w:eastAsia="宋体" w:cs="Times New Roman"/>
          <w:lang w:val="en-US" w:eastAsia="zh-CN"/>
        </w:rPr>
      </w:pPr>
      <w:r>
        <w:rPr>
          <w:rFonts w:hint="default" w:ascii="宋体" w:hAnsi="宋体" w:eastAsia="宋体" w:cs="Times New Roman"/>
          <w:lang w:val="en-US" w:eastAsia="zh-CN"/>
        </w:rPr>
        <w:t>配置管理</w:t>
      </w:r>
    </w:p>
    <w:p w14:paraId="2CE236BA">
      <w:pPr>
        <w:pStyle w:val="34"/>
        <w:numPr>
          <w:ilvl w:val="0"/>
          <w:numId w:val="0"/>
        </w:numPr>
        <w:ind w:firstLine="480" w:firstLineChars="200"/>
        <w:rPr>
          <w:rFonts w:hint="default" w:ascii="宋体" w:hAnsi="宋体" w:eastAsia="宋体" w:cs="Times New Roman"/>
          <w:lang w:val="en-US" w:eastAsia="zh-CN"/>
        </w:rPr>
      </w:pPr>
      <w:r>
        <w:rPr>
          <w:rFonts w:hint="default" w:ascii="宋体" w:hAnsi="宋体" w:eastAsia="宋体" w:cs="Times New Roman"/>
          <w:lang w:val="en-US" w:eastAsia="zh-CN"/>
        </w:rPr>
        <w:t>配置管理实现对标准属性配置、标准编码规则、参考数据配置的统一管理，包括标准属性配置、标准编码规则、参考数据配置。</w:t>
      </w:r>
    </w:p>
    <w:p w14:paraId="0082C183">
      <w:pPr>
        <w:pStyle w:val="37"/>
        <w:keepNext w:val="0"/>
        <w:keepLines w:val="0"/>
        <w:pageBreakBefore w:val="0"/>
        <w:widowControl w:val="0"/>
        <w:numPr>
          <w:ilvl w:val="2"/>
          <w:numId w:val="79"/>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商务要求</w:t>
      </w:r>
    </w:p>
    <w:p w14:paraId="7B3613F8">
      <w:pPr>
        <w:pStyle w:val="34"/>
        <w:numPr>
          <w:ilvl w:val="0"/>
          <w:numId w:val="83"/>
        </w:numPr>
        <w:rPr>
          <w:rFonts w:hint="default" w:ascii="宋体" w:hAnsi="宋体" w:eastAsia="宋体" w:cs="Times New Roman"/>
          <w:lang w:val="en-US" w:eastAsia="zh-CN"/>
        </w:rPr>
      </w:pPr>
      <w:r>
        <w:rPr>
          <w:rFonts w:hint="default" w:ascii="宋体" w:hAnsi="宋体" w:eastAsia="宋体" w:cs="Times New Roman"/>
          <w:color w:val="auto"/>
          <w:highlight w:val="none"/>
          <w:lang w:val="en-US" w:eastAsia="zh-CN"/>
        </w:rPr>
        <w:t>建立服务团队为用户保障售后</w:t>
      </w:r>
      <w:r>
        <w:rPr>
          <w:rFonts w:hint="default" w:ascii="宋体" w:hAnsi="宋体" w:eastAsia="宋体" w:cs="Times New Roman"/>
          <w:color w:val="auto"/>
          <w:lang w:val="en-US" w:eastAsia="zh-CN"/>
        </w:rPr>
        <w:t>，配备专</w:t>
      </w:r>
      <w:r>
        <w:rPr>
          <w:rFonts w:hint="default" w:ascii="宋体" w:hAnsi="宋体" w:eastAsia="宋体" w:cs="Times New Roman"/>
          <w:lang w:val="en-US" w:eastAsia="zh-CN"/>
        </w:rPr>
        <w:t>门的技术服务部门负责对用户的全方位的技术支持和服务，通过电话服务、远程服务和现场服务向用户提供快速、高效的维护服务，及时准确解决系统出现的各种故障，进行平台的完善性升级，保障系统长期安全、可靠、高效运行。</w:t>
      </w:r>
    </w:p>
    <w:p w14:paraId="13B2B2BD">
      <w:pPr>
        <w:pStyle w:val="34"/>
        <w:numPr>
          <w:ilvl w:val="0"/>
          <w:numId w:val="83"/>
        </w:numPr>
        <w:rPr>
          <w:rFonts w:hint="default" w:ascii="宋体" w:hAnsi="宋体" w:eastAsia="宋体" w:cs="Times New Roman"/>
          <w:lang w:val="en-US" w:eastAsia="zh-CN"/>
        </w:rPr>
      </w:pPr>
      <w:r>
        <w:rPr>
          <w:rFonts w:hint="default" w:ascii="宋体" w:hAnsi="宋体" w:eastAsia="宋体" w:cs="Times New Roman"/>
          <w:lang w:val="en-US" w:eastAsia="zh-CN"/>
        </w:rPr>
        <w:t>供应商应对采购人系统、业务和数据状况及其他资源、环境的进行详细了解，制定出具有系统性的服务方案，具有完整的事件或故障检查、发现、评估、处理、报告流程，具有发现隐患的能力，具有较强的项目管理能力，提供保证项目顺利实施的设备、软件。</w:t>
      </w:r>
    </w:p>
    <w:p w14:paraId="2D39BC05">
      <w:pPr>
        <w:pStyle w:val="34"/>
        <w:numPr>
          <w:ilvl w:val="0"/>
          <w:numId w:val="0"/>
        </w:numPr>
        <w:rPr>
          <w:rFonts w:hint="eastAsia" w:ascii="宋体" w:hAnsi="宋体" w:eastAsia="宋体" w:cs="Times New Roman"/>
          <w:lang w:val="en-US" w:eastAsia="zh-CN"/>
        </w:rPr>
      </w:pPr>
    </w:p>
    <w:p w14:paraId="64E3E46E">
      <w:pPr>
        <w:pStyle w:val="36"/>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55" w:name="_Toc7479"/>
      <w:bookmarkStart w:id="156" w:name="_Toc22335"/>
      <w:bookmarkStart w:id="157" w:name="_Toc21799"/>
      <w:bookmarkStart w:id="158" w:name="_Toc12105"/>
      <w:bookmarkStart w:id="159" w:name="_Toc25648"/>
      <w:r>
        <w:rPr>
          <w:rFonts w:hint="eastAsia"/>
          <w:sz w:val="28"/>
          <w:szCs w:val="28"/>
          <w:lang w:val="en-US" w:eastAsia="zh-CN"/>
        </w:rPr>
        <w:t>移动视频终端及公网链路</w:t>
      </w:r>
      <w:bookmarkEnd w:id="155"/>
      <w:bookmarkEnd w:id="156"/>
      <w:bookmarkEnd w:id="157"/>
      <w:bookmarkEnd w:id="158"/>
      <w:bookmarkEnd w:id="159"/>
    </w:p>
    <w:p w14:paraId="5368B1DB">
      <w:pPr>
        <w:pStyle w:val="37"/>
        <w:keepNext w:val="0"/>
        <w:keepLines w:val="0"/>
        <w:pageBreakBefore w:val="0"/>
        <w:widowControl w:val="0"/>
        <w:numPr>
          <w:ilvl w:val="2"/>
          <w:numId w:val="84"/>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技术要求</w:t>
      </w:r>
    </w:p>
    <w:p w14:paraId="3EF89886">
      <w:pPr>
        <w:pStyle w:val="34"/>
        <w:rPr>
          <w:rFonts w:hint="eastAsia"/>
          <w:lang w:val="en-US" w:eastAsia="zh-CN"/>
        </w:rPr>
      </w:pPr>
      <w:r>
        <w:rPr>
          <w:rFonts w:hint="eastAsia"/>
          <w:lang w:val="en-US" w:eastAsia="zh-CN"/>
        </w:rPr>
        <w:t>为满足在不同网络环境下的可视化指挥调度，在省厅动中通指挥车和无人直升机指挥车配备多网聚合设备和公网视频会议终端。</w:t>
      </w:r>
    </w:p>
    <w:p w14:paraId="1AA6182F">
      <w:pPr>
        <w:pStyle w:val="33"/>
        <w:keepNext w:val="0"/>
        <w:keepLines w:val="0"/>
        <w:pageBreakBefore w:val="0"/>
        <w:widowControl w:val="0"/>
        <w:numPr>
          <w:ilvl w:val="3"/>
          <w:numId w:val="84"/>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多网聚合设备，数量2套：</w:t>
      </w:r>
    </w:p>
    <w:p w14:paraId="5C6355FB">
      <w:pPr>
        <w:pStyle w:val="34"/>
        <w:numPr>
          <w:ilvl w:val="0"/>
          <w:numId w:val="85"/>
        </w:numPr>
        <w:rPr>
          <w:rFonts w:hint="eastAsia" w:ascii="宋体" w:hAnsi="宋体" w:eastAsia="宋体" w:cs="Times New Roman"/>
          <w:lang w:val="en-US" w:eastAsia="zh-CN"/>
        </w:rPr>
      </w:pPr>
      <w:r>
        <w:rPr>
          <w:rFonts w:hint="eastAsia" w:ascii="宋体" w:hAnsi="宋体" w:eastAsia="宋体" w:cs="Times New Roman"/>
          <w:lang w:val="en-US" w:eastAsia="zh-CN"/>
        </w:rPr>
        <w:t>功能：支持全网通4G/5G、WAN有线网口、WIFI网络网络聚合</w:t>
      </w:r>
    </w:p>
    <w:p w14:paraId="16EA95E6">
      <w:pPr>
        <w:pStyle w:val="34"/>
        <w:numPr>
          <w:ilvl w:val="0"/>
          <w:numId w:val="85"/>
        </w:numPr>
        <w:rPr>
          <w:rFonts w:hint="eastAsia" w:ascii="宋体" w:hAnsi="宋体" w:eastAsia="宋体" w:cs="Times New Roman"/>
          <w:lang w:val="en-US" w:eastAsia="zh-CN"/>
        </w:rPr>
      </w:pPr>
      <w:r>
        <w:rPr>
          <w:rFonts w:hint="eastAsia" w:ascii="宋体" w:hAnsi="宋体" w:eastAsia="宋体" w:cs="Times New Roman"/>
          <w:lang w:val="en-US" w:eastAsia="zh-CN"/>
        </w:rPr>
        <w:t>接口：5G*3、4G*3、WIFI、WAN*1、LAN*4、USB拓展*1</w:t>
      </w:r>
    </w:p>
    <w:p w14:paraId="6727AE0C">
      <w:pPr>
        <w:pStyle w:val="34"/>
        <w:numPr>
          <w:ilvl w:val="0"/>
          <w:numId w:val="85"/>
        </w:numPr>
        <w:rPr>
          <w:rFonts w:hint="eastAsia" w:ascii="宋体" w:hAnsi="宋体" w:eastAsia="宋体" w:cs="Times New Roman"/>
          <w:lang w:val="en-US" w:eastAsia="zh-CN"/>
        </w:rPr>
      </w:pPr>
      <w:r>
        <w:rPr>
          <w:rFonts w:hint="eastAsia" w:ascii="宋体" w:hAnsi="宋体" w:eastAsia="宋体" w:cs="Times New Roman"/>
          <w:lang w:val="en-US" w:eastAsia="zh-CN"/>
        </w:rPr>
        <w:t>内置电池：≥88.8Wh</w:t>
      </w:r>
    </w:p>
    <w:p w14:paraId="2437B941">
      <w:pPr>
        <w:pStyle w:val="34"/>
        <w:numPr>
          <w:ilvl w:val="0"/>
          <w:numId w:val="85"/>
        </w:numPr>
        <w:rPr>
          <w:rFonts w:hint="eastAsia" w:ascii="宋体" w:hAnsi="宋体" w:eastAsia="宋体" w:cs="Times New Roman"/>
          <w:lang w:val="en-US" w:eastAsia="zh-CN"/>
        </w:rPr>
      </w:pPr>
      <w:r>
        <w:rPr>
          <w:rFonts w:hint="eastAsia" w:ascii="宋体" w:hAnsi="宋体" w:eastAsia="宋体" w:cs="Times New Roman"/>
          <w:lang w:val="en-US" w:eastAsia="zh-CN"/>
        </w:rPr>
        <w:t>主机重量：≤1.5kg</w:t>
      </w:r>
    </w:p>
    <w:p w14:paraId="591D7A3A">
      <w:pPr>
        <w:pStyle w:val="34"/>
        <w:rPr>
          <w:rFonts w:hint="eastAsia"/>
          <w:lang w:val="en-US" w:eastAsia="zh-CN"/>
        </w:rPr>
      </w:pPr>
    </w:p>
    <w:p w14:paraId="1960D3E9">
      <w:pPr>
        <w:pStyle w:val="33"/>
        <w:keepNext w:val="0"/>
        <w:keepLines w:val="0"/>
        <w:pageBreakBefore w:val="0"/>
        <w:widowControl w:val="0"/>
        <w:numPr>
          <w:ilvl w:val="3"/>
          <w:numId w:val="84"/>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公网视频会议终端，数量2套：</w:t>
      </w:r>
    </w:p>
    <w:p w14:paraId="5A6F0398">
      <w:pPr>
        <w:pStyle w:val="34"/>
        <w:numPr>
          <w:ilvl w:val="0"/>
          <w:numId w:val="86"/>
        </w:numPr>
        <w:rPr>
          <w:rFonts w:hint="eastAsia" w:ascii="宋体" w:hAnsi="宋体" w:eastAsia="宋体" w:cs="Times New Roman"/>
          <w:lang w:val="en-US" w:eastAsia="zh-CN"/>
        </w:rPr>
      </w:pPr>
      <w:r>
        <w:rPr>
          <w:rFonts w:hint="eastAsia" w:ascii="宋体" w:hAnsi="宋体" w:eastAsia="宋体" w:cs="Times New Roman"/>
          <w:lang w:val="en-US" w:eastAsia="zh-CN"/>
        </w:rPr>
        <w:t>★支持与浙江省应急管理厅视频会商平台无缝融合，无需增加网关。</w:t>
      </w:r>
    </w:p>
    <w:p w14:paraId="4D8EA0D6">
      <w:pPr>
        <w:pStyle w:val="34"/>
        <w:numPr>
          <w:ilvl w:val="0"/>
          <w:numId w:val="86"/>
        </w:numPr>
        <w:rPr>
          <w:rFonts w:hint="eastAsia" w:ascii="宋体" w:hAnsi="宋体" w:eastAsia="宋体" w:cs="Times New Roman"/>
          <w:lang w:val="en-US" w:eastAsia="zh-CN"/>
        </w:rPr>
      </w:pPr>
      <w:r>
        <w:rPr>
          <w:rFonts w:hint="eastAsia" w:ascii="宋体" w:hAnsi="宋体" w:eastAsia="宋体" w:cs="Times New Roman"/>
          <w:lang w:val="en-US" w:eastAsia="zh-CN"/>
        </w:rPr>
        <w:t>★一体化智能终端，摄像机、触控显示屏（不低于11英寸）、麦克风和扬声器高度集成，内置SIM卡槽，可直接插卡进行视频通话，非PC/PAD，非第三方产品拼凑。</w:t>
      </w:r>
    </w:p>
    <w:p w14:paraId="6DA2238D">
      <w:pPr>
        <w:pStyle w:val="34"/>
        <w:numPr>
          <w:ilvl w:val="0"/>
          <w:numId w:val="86"/>
        </w:numPr>
        <w:rPr>
          <w:rFonts w:hint="eastAsia" w:ascii="宋体" w:hAnsi="宋体" w:eastAsia="宋体" w:cs="Times New Roman"/>
          <w:lang w:val="en-US" w:eastAsia="zh-CN"/>
        </w:rPr>
      </w:pPr>
      <w:r>
        <w:rPr>
          <w:rFonts w:hint="eastAsia" w:ascii="宋体" w:hAnsi="宋体" w:eastAsia="宋体" w:cs="Times New Roman"/>
          <w:lang w:val="en-US" w:eastAsia="zh-CN"/>
        </w:rPr>
        <w:t>协议标准：视频编码：支持SVC分层编码技术。</w:t>
      </w:r>
    </w:p>
    <w:p w14:paraId="6839E13A">
      <w:pPr>
        <w:pStyle w:val="34"/>
        <w:numPr>
          <w:ilvl w:val="0"/>
          <w:numId w:val="86"/>
        </w:numPr>
        <w:rPr>
          <w:rFonts w:hint="eastAsia" w:ascii="宋体" w:hAnsi="宋体" w:eastAsia="宋体" w:cs="Times New Roman"/>
          <w:lang w:val="en-US" w:eastAsia="zh-CN"/>
        </w:rPr>
      </w:pPr>
      <w:r>
        <w:rPr>
          <w:rFonts w:hint="eastAsia" w:ascii="宋体" w:hAnsi="宋体" w:eastAsia="宋体" w:cs="Times New Roman"/>
          <w:lang w:val="en-US" w:eastAsia="zh-CN"/>
        </w:rPr>
        <w:t>为保证音频效果，系统应支持宽频高保真语音技术，支持G.711、G.722、OPUS音频编解码协议。</w:t>
      </w:r>
    </w:p>
    <w:p w14:paraId="6183B681">
      <w:pPr>
        <w:pStyle w:val="34"/>
        <w:numPr>
          <w:ilvl w:val="0"/>
          <w:numId w:val="86"/>
        </w:numPr>
        <w:rPr>
          <w:rFonts w:hint="eastAsia" w:ascii="宋体" w:hAnsi="宋体" w:eastAsia="宋体" w:cs="Times New Roman"/>
          <w:lang w:val="en-US" w:eastAsia="zh-CN"/>
        </w:rPr>
      </w:pPr>
      <w:r>
        <w:rPr>
          <w:rFonts w:hint="eastAsia" w:ascii="宋体" w:hAnsi="宋体" w:eastAsia="宋体" w:cs="Times New Roman"/>
          <w:lang w:val="en-US" w:eastAsia="zh-CN"/>
        </w:rPr>
        <w:t>处理能力：支持1080P30fps、720P30fps、360P30fps、180P30fps分辨率。</w:t>
      </w:r>
    </w:p>
    <w:p w14:paraId="06BB96B2">
      <w:pPr>
        <w:pStyle w:val="34"/>
        <w:numPr>
          <w:ilvl w:val="0"/>
          <w:numId w:val="86"/>
        </w:numPr>
        <w:rPr>
          <w:rFonts w:hint="eastAsia" w:ascii="宋体" w:hAnsi="宋体" w:eastAsia="宋体" w:cs="Times New Roman"/>
          <w:lang w:val="en-US" w:eastAsia="zh-CN"/>
        </w:rPr>
      </w:pPr>
      <w:r>
        <w:rPr>
          <w:rFonts w:hint="eastAsia" w:ascii="宋体" w:hAnsi="宋体" w:eastAsia="宋体" w:cs="Times New Roman"/>
          <w:lang w:val="en-US" w:eastAsia="zh-CN"/>
        </w:rPr>
        <w:t>★支持双流内容分享，支持HDMI信号源输入实现插线共享，支持1080P高清双流，并可向下兼容共享PC的主要分辨率，如1440*900、1280*800、1024*768等。</w:t>
      </w:r>
    </w:p>
    <w:p w14:paraId="2F8816BF">
      <w:pPr>
        <w:pStyle w:val="34"/>
        <w:numPr>
          <w:ilvl w:val="0"/>
          <w:numId w:val="86"/>
        </w:numPr>
        <w:rPr>
          <w:rFonts w:hint="eastAsia" w:ascii="宋体" w:hAnsi="宋体" w:eastAsia="宋体" w:cs="Times New Roman"/>
          <w:lang w:val="en-US" w:eastAsia="zh-CN"/>
        </w:rPr>
      </w:pPr>
      <w:r>
        <w:rPr>
          <w:rFonts w:hint="eastAsia" w:ascii="宋体" w:hAnsi="宋体" w:eastAsia="宋体" w:cs="Times New Roman"/>
          <w:lang w:val="en-US" w:eastAsia="zh-CN"/>
        </w:rPr>
        <w:t>★终端可以通过物理开关关闭视频，可以通过会控平台关闭视频，视频关闭后其他与会者不能看到本地视频，本地终端正常接受远端主流和辅流视频。</w:t>
      </w:r>
    </w:p>
    <w:p w14:paraId="21E021AD">
      <w:pPr>
        <w:pStyle w:val="34"/>
        <w:numPr>
          <w:ilvl w:val="0"/>
          <w:numId w:val="86"/>
        </w:numPr>
        <w:rPr>
          <w:rFonts w:hint="eastAsia" w:ascii="宋体" w:hAnsi="宋体" w:eastAsia="宋体" w:cs="Times New Roman"/>
          <w:lang w:val="en-US" w:eastAsia="zh-CN"/>
        </w:rPr>
      </w:pPr>
      <w:r>
        <w:rPr>
          <w:rFonts w:hint="eastAsia" w:ascii="宋体" w:hAnsi="宋体" w:eastAsia="宋体" w:cs="Times New Roman"/>
          <w:lang w:val="en-US" w:eastAsia="zh-CN"/>
        </w:rPr>
        <w:t>在多分屏会议中，可点击任意小分屏画面实现该画面图像放大全屏。</w:t>
      </w:r>
    </w:p>
    <w:p w14:paraId="08089778">
      <w:pPr>
        <w:pStyle w:val="34"/>
        <w:numPr>
          <w:ilvl w:val="0"/>
          <w:numId w:val="86"/>
        </w:numPr>
        <w:rPr>
          <w:rFonts w:hint="eastAsia" w:ascii="宋体" w:hAnsi="宋体" w:eastAsia="宋体" w:cs="Times New Roman"/>
          <w:lang w:val="en-US" w:eastAsia="zh-CN"/>
        </w:rPr>
      </w:pPr>
      <w:r>
        <w:rPr>
          <w:rFonts w:hint="eastAsia" w:ascii="宋体" w:hAnsi="宋体" w:eastAsia="宋体" w:cs="Times New Roman"/>
          <w:lang w:val="en-US" w:eastAsia="zh-CN"/>
        </w:rPr>
        <w:t>支持通过无线传屏器与终端配对，实现PC桌面、文件等内容的共享，同时抓取并分享内容播放的声音。</w:t>
      </w:r>
    </w:p>
    <w:p w14:paraId="550B8F93">
      <w:pPr>
        <w:pStyle w:val="34"/>
        <w:numPr>
          <w:ilvl w:val="0"/>
          <w:numId w:val="86"/>
        </w:numPr>
        <w:rPr>
          <w:rFonts w:hint="eastAsia" w:ascii="宋体" w:hAnsi="宋体" w:eastAsia="宋体" w:cs="Times New Roman"/>
          <w:lang w:val="en-US" w:eastAsia="zh-CN"/>
        </w:rPr>
      </w:pPr>
      <w:r>
        <w:rPr>
          <w:rFonts w:hint="eastAsia" w:ascii="宋体" w:hAnsi="宋体" w:eastAsia="宋体" w:cs="Times New Roman"/>
          <w:lang w:val="en-US" w:eastAsia="zh-CN"/>
        </w:rPr>
        <w:t>★一体化集成内置电池，可用于便携式移动视频通话场景应用，充满电的情况下，可支持不少于4个小时的视频通话、24小时待机。</w:t>
      </w:r>
    </w:p>
    <w:p w14:paraId="7135C2CC">
      <w:pPr>
        <w:pStyle w:val="34"/>
        <w:numPr>
          <w:ilvl w:val="0"/>
          <w:numId w:val="86"/>
        </w:numPr>
        <w:rPr>
          <w:rFonts w:hint="eastAsia" w:ascii="宋体" w:hAnsi="宋体" w:eastAsia="宋体" w:cs="Times New Roman"/>
          <w:lang w:val="en-US" w:eastAsia="zh-CN"/>
        </w:rPr>
      </w:pPr>
      <w:r>
        <w:rPr>
          <w:rFonts w:hint="eastAsia" w:ascii="宋体" w:hAnsi="宋体" w:eastAsia="宋体" w:cs="Times New Roman"/>
          <w:lang w:val="en-US" w:eastAsia="zh-CN"/>
        </w:rPr>
        <w:t>★支持通过自有触屏进行会控，可以实现会议中发言管理，实现挂断、静音/解除静音、取消发言（举手发言）、开/关摄像头、窗口布局、会议管理。</w:t>
      </w:r>
    </w:p>
    <w:p w14:paraId="1D4DAA0C">
      <w:pPr>
        <w:pStyle w:val="34"/>
        <w:numPr>
          <w:ilvl w:val="0"/>
          <w:numId w:val="86"/>
        </w:numPr>
        <w:rPr>
          <w:rFonts w:hint="eastAsia"/>
          <w:lang w:val="en-US" w:eastAsia="zh-CN"/>
        </w:rPr>
      </w:pPr>
      <w:r>
        <w:rPr>
          <w:rFonts w:hint="eastAsia" w:ascii="宋体" w:hAnsi="宋体" w:eastAsia="宋体" w:cs="Times New Roman"/>
          <w:lang w:val="en-US" w:eastAsia="zh-CN"/>
        </w:rPr>
        <w:t>镜头要求：集成专业级高清镜头，支持108°水平视角，采用4K分辨率感光元件，自动对焦。支持手动控制旋转，实现±180°视野覆盖，支持镜头单独垂直方向调整。</w:t>
      </w:r>
    </w:p>
    <w:p w14:paraId="3D2EB2C8">
      <w:pPr>
        <w:pStyle w:val="37"/>
        <w:keepNext w:val="0"/>
        <w:keepLines w:val="0"/>
        <w:pageBreakBefore w:val="0"/>
        <w:widowControl w:val="0"/>
        <w:numPr>
          <w:ilvl w:val="2"/>
          <w:numId w:val="84"/>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商务要求</w:t>
      </w:r>
    </w:p>
    <w:p w14:paraId="1648DA9E">
      <w:pPr>
        <w:pStyle w:val="33"/>
        <w:keepNext w:val="0"/>
        <w:keepLines w:val="0"/>
        <w:pageBreakBefore w:val="0"/>
        <w:widowControl w:val="0"/>
        <w:numPr>
          <w:ilvl w:val="3"/>
          <w:numId w:val="84"/>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cs="Times New Roman"/>
          <w:lang w:val="en-US" w:eastAsia="zh-CN"/>
        </w:rPr>
        <w:t>服务期限及实施地点</w:t>
      </w:r>
    </w:p>
    <w:p w14:paraId="03798A2E">
      <w:pPr>
        <w:pStyle w:val="34"/>
        <w:numPr>
          <w:ilvl w:val="0"/>
          <w:numId w:val="87"/>
        </w:numPr>
        <w:rPr>
          <w:rFonts w:hint="default" w:ascii="宋体" w:hAnsi="宋体" w:eastAsia="宋体" w:cs="Times New Roman"/>
          <w:lang w:val="en-US" w:eastAsia="zh-CN"/>
        </w:rPr>
      </w:pPr>
      <w:r>
        <w:rPr>
          <w:rFonts w:hint="default" w:ascii="宋体" w:hAnsi="宋体" w:eastAsia="宋体" w:cs="Times New Roman"/>
          <w:lang w:val="en-US" w:eastAsia="zh-CN"/>
        </w:rPr>
        <w:t>项目服务期限：</w:t>
      </w:r>
      <w:r>
        <w:rPr>
          <w:rFonts w:hint="eastAsia" w:cs="Times New Roman"/>
          <w:lang w:val="en-US" w:eastAsia="zh-CN"/>
        </w:rPr>
        <w:t>自</w:t>
      </w:r>
      <w:r>
        <w:rPr>
          <w:rFonts w:hint="default" w:ascii="宋体" w:hAnsi="宋体" w:eastAsia="宋体" w:cs="Times New Roman"/>
          <w:lang w:val="en-US" w:eastAsia="zh-CN"/>
        </w:rPr>
        <w:t>合同签订之日起</w:t>
      </w:r>
      <w:r>
        <w:rPr>
          <w:rFonts w:hint="eastAsia" w:cs="Times New Roman"/>
          <w:lang w:val="en-US" w:eastAsia="zh-CN"/>
        </w:rPr>
        <w:t>12个月内</w:t>
      </w:r>
      <w:r>
        <w:rPr>
          <w:rFonts w:hint="default" w:ascii="宋体" w:hAnsi="宋体" w:eastAsia="宋体" w:cs="Times New Roman"/>
          <w:lang w:val="en-US" w:eastAsia="zh-CN"/>
        </w:rPr>
        <w:t>。</w:t>
      </w:r>
    </w:p>
    <w:p w14:paraId="1D46EA80">
      <w:pPr>
        <w:pStyle w:val="34"/>
        <w:numPr>
          <w:ilvl w:val="0"/>
          <w:numId w:val="87"/>
        </w:numPr>
        <w:rPr>
          <w:rFonts w:hint="default" w:ascii="宋体" w:hAnsi="宋体" w:eastAsia="宋体" w:cs="Times New Roman"/>
          <w:lang w:val="en-US" w:eastAsia="zh-CN"/>
        </w:rPr>
      </w:pPr>
      <w:r>
        <w:rPr>
          <w:rFonts w:hint="default" w:ascii="宋体" w:hAnsi="宋体" w:eastAsia="宋体" w:cs="Times New Roman"/>
          <w:lang w:val="en-US" w:eastAsia="zh-CN"/>
        </w:rPr>
        <w:t>实施地点：杭州市体育场路479号</w:t>
      </w:r>
    </w:p>
    <w:p w14:paraId="25ED8DB9">
      <w:pPr>
        <w:pStyle w:val="33"/>
        <w:keepNext w:val="0"/>
        <w:keepLines w:val="0"/>
        <w:pageBreakBefore w:val="0"/>
        <w:widowControl w:val="0"/>
        <w:numPr>
          <w:ilvl w:val="3"/>
          <w:numId w:val="84"/>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其他商务要求</w:t>
      </w:r>
    </w:p>
    <w:p w14:paraId="068A44FC">
      <w:pPr>
        <w:pStyle w:val="34"/>
        <w:numPr>
          <w:ilvl w:val="0"/>
          <w:numId w:val="88"/>
        </w:numPr>
        <w:rPr>
          <w:rFonts w:hint="default" w:ascii="宋体" w:hAnsi="宋体" w:eastAsia="宋体" w:cs="Times New Roman"/>
          <w:lang w:val="en-US" w:eastAsia="zh-CN"/>
        </w:rPr>
      </w:pPr>
      <w:r>
        <w:rPr>
          <w:rFonts w:hint="default" w:ascii="宋体" w:hAnsi="宋体" w:eastAsia="宋体" w:cs="Times New Roman"/>
          <w:lang w:val="en-US" w:eastAsia="zh-CN"/>
        </w:rPr>
        <w:t>多网聚合包含500G多网聚合流量。</w:t>
      </w:r>
    </w:p>
    <w:p w14:paraId="283B152B">
      <w:pPr>
        <w:pStyle w:val="34"/>
        <w:numPr>
          <w:ilvl w:val="0"/>
          <w:numId w:val="88"/>
        </w:numPr>
        <w:rPr>
          <w:rFonts w:hint="default"/>
          <w:lang w:val="en-US" w:eastAsia="zh-CN"/>
        </w:rPr>
      </w:pPr>
      <w:r>
        <w:rPr>
          <w:rFonts w:hint="default" w:ascii="宋体" w:hAnsi="宋体" w:eastAsia="宋体" w:cs="Times New Roman"/>
          <w:lang w:val="en-US" w:eastAsia="zh-CN"/>
        </w:rPr>
        <w:t>所有设备</w:t>
      </w:r>
      <w:r>
        <w:rPr>
          <w:rFonts w:hint="eastAsia" w:cs="Times New Roman"/>
          <w:lang w:val="en-US" w:eastAsia="zh-CN"/>
        </w:rPr>
        <w:t>需提供</w:t>
      </w:r>
      <w:r>
        <w:rPr>
          <w:rFonts w:hint="default" w:ascii="宋体" w:hAnsi="宋体" w:eastAsia="宋体" w:cs="Times New Roman"/>
          <w:lang w:val="en-US" w:eastAsia="zh-CN"/>
        </w:rPr>
        <w:t>1年保修。</w:t>
      </w:r>
    </w:p>
    <w:p w14:paraId="10EEDAA8">
      <w:pPr>
        <w:pStyle w:val="34"/>
        <w:numPr>
          <w:ilvl w:val="0"/>
          <w:numId w:val="0"/>
        </w:numPr>
        <w:rPr>
          <w:rFonts w:hint="default" w:ascii="宋体" w:hAnsi="宋体" w:eastAsia="宋体" w:cs="Times New Roman"/>
          <w:lang w:val="en-US" w:eastAsia="zh-CN"/>
        </w:rPr>
      </w:pPr>
    </w:p>
    <w:p w14:paraId="693048C3">
      <w:pPr>
        <w:pStyle w:val="36"/>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60" w:name="_Toc3697"/>
      <w:bookmarkStart w:id="161" w:name="_Toc6130"/>
      <w:bookmarkStart w:id="162" w:name="_Toc6279"/>
      <w:bookmarkStart w:id="163" w:name="_Toc1518"/>
      <w:bookmarkStart w:id="164" w:name="_Toc13871"/>
      <w:r>
        <w:rPr>
          <w:rFonts w:hint="eastAsia"/>
          <w:sz w:val="28"/>
          <w:szCs w:val="28"/>
          <w:lang w:val="en-US" w:eastAsia="zh-CN"/>
        </w:rPr>
        <w:t>移动视频会议终端购置</w:t>
      </w:r>
      <w:bookmarkEnd w:id="160"/>
      <w:bookmarkEnd w:id="161"/>
      <w:bookmarkEnd w:id="162"/>
      <w:bookmarkEnd w:id="163"/>
      <w:bookmarkEnd w:id="164"/>
    </w:p>
    <w:p w14:paraId="065A1A3C">
      <w:pPr>
        <w:pStyle w:val="37"/>
        <w:keepNext w:val="0"/>
        <w:keepLines w:val="0"/>
        <w:pageBreakBefore w:val="0"/>
        <w:widowControl w:val="0"/>
        <w:numPr>
          <w:ilvl w:val="2"/>
          <w:numId w:val="89"/>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技术要求</w:t>
      </w:r>
    </w:p>
    <w:p w14:paraId="3BF7D278">
      <w:pPr>
        <w:pStyle w:val="33"/>
        <w:keepNext w:val="0"/>
        <w:keepLines w:val="0"/>
        <w:pageBreakBefore w:val="0"/>
        <w:widowControl w:val="0"/>
        <w:numPr>
          <w:ilvl w:val="3"/>
          <w:numId w:val="84"/>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两台桌面式移动终端</w:t>
      </w:r>
    </w:p>
    <w:p w14:paraId="66B229CD">
      <w:pPr>
        <w:pStyle w:val="34"/>
        <w:numPr>
          <w:ilvl w:val="0"/>
          <w:numId w:val="90"/>
        </w:numPr>
        <w:rPr>
          <w:rFonts w:hint="default"/>
          <w:lang w:val="en-US" w:eastAsia="zh-CN"/>
        </w:rPr>
      </w:pPr>
      <w:r>
        <w:rPr>
          <w:rFonts w:hint="default"/>
          <w:lang w:val="en-US" w:eastAsia="zh-CN"/>
        </w:rPr>
        <w:t>采用一体化设计，集成摄像机、触控显示屏（屏幕不小于11英寸）、麦克风和扬声器，内置电池，采用嵌入式操作系统，产品稳定可靠，支持7×24小时开机运行。</w:t>
      </w:r>
    </w:p>
    <w:p w14:paraId="38E8F3DF">
      <w:pPr>
        <w:pStyle w:val="34"/>
        <w:numPr>
          <w:ilvl w:val="0"/>
          <w:numId w:val="90"/>
        </w:numPr>
        <w:rPr>
          <w:rFonts w:hint="default"/>
          <w:lang w:val="en-US" w:eastAsia="zh-CN"/>
        </w:rPr>
      </w:pPr>
      <w:r>
        <w:rPr>
          <w:rFonts w:hint="default"/>
          <w:lang w:val="en-US" w:eastAsia="zh-CN"/>
        </w:rPr>
        <w:t>支持通过HDMI接口外接扩展大屏用于显示会议内容，终端触控屏用于会控，同时支持外接网络摄像机和数字全向麦克风；并支持通过HDMI接口外接摄像头或者电脑画面输入，方便实现会议内容分享。</w:t>
      </w:r>
    </w:p>
    <w:p w14:paraId="49662910">
      <w:pPr>
        <w:pStyle w:val="34"/>
        <w:numPr>
          <w:ilvl w:val="0"/>
          <w:numId w:val="90"/>
        </w:numPr>
        <w:rPr>
          <w:rFonts w:hint="default"/>
          <w:lang w:val="en-US" w:eastAsia="zh-CN"/>
        </w:rPr>
      </w:pPr>
      <w:r>
        <w:rPr>
          <w:rFonts w:hint="default"/>
          <w:lang w:val="en-US" w:eastAsia="zh-CN"/>
        </w:rPr>
        <w:t>支持360°全向拾音，高保真智能降噪，8米有效拾音距离；采用专业级高清镜头，100°水平视角，采用4K分辨率感光元件，自动对焦。</w:t>
      </w:r>
    </w:p>
    <w:p w14:paraId="28154C58">
      <w:pPr>
        <w:pStyle w:val="33"/>
        <w:keepNext w:val="0"/>
        <w:keepLines w:val="0"/>
        <w:pageBreakBefore w:val="0"/>
        <w:widowControl w:val="0"/>
        <w:numPr>
          <w:ilvl w:val="3"/>
          <w:numId w:val="84"/>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一台高清视频会议终端</w:t>
      </w:r>
    </w:p>
    <w:p w14:paraId="64FF03ED">
      <w:pPr>
        <w:pStyle w:val="34"/>
        <w:numPr>
          <w:ilvl w:val="0"/>
          <w:numId w:val="91"/>
        </w:numPr>
        <w:rPr>
          <w:rFonts w:hint="default" w:ascii="宋体" w:hAnsi="宋体" w:eastAsia="宋体" w:cs="Times New Roman"/>
          <w:lang w:val="en-US" w:eastAsia="zh-CN"/>
        </w:rPr>
      </w:pPr>
      <w:r>
        <w:rPr>
          <w:rFonts w:hint="default" w:ascii="宋体" w:hAnsi="宋体" w:eastAsia="宋体" w:cs="Times New Roman"/>
          <w:lang w:val="en-US" w:eastAsia="zh-CN"/>
        </w:rPr>
        <w:t>1080P30视频分辨能力</w:t>
      </w:r>
    </w:p>
    <w:p w14:paraId="3923A0FE">
      <w:pPr>
        <w:pStyle w:val="34"/>
        <w:numPr>
          <w:ilvl w:val="0"/>
          <w:numId w:val="91"/>
        </w:numPr>
        <w:rPr>
          <w:rFonts w:hint="default" w:ascii="宋体" w:hAnsi="宋体" w:eastAsia="宋体" w:cs="Times New Roman"/>
          <w:lang w:val="en-US" w:eastAsia="zh-CN"/>
        </w:rPr>
      </w:pPr>
      <w:r>
        <w:rPr>
          <w:rFonts w:hint="default" w:ascii="宋体" w:hAnsi="宋体" w:eastAsia="宋体" w:cs="Times New Roman"/>
          <w:lang w:val="en-US" w:eastAsia="zh-CN"/>
        </w:rPr>
        <w:t>H.265编解码</w:t>
      </w:r>
    </w:p>
    <w:p w14:paraId="171F8BC0">
      <w:pPr>
        <w:pStyle w:val="34"/>
        <w:numPr>
          <w:ilvl w:val="0"/>
          <w:numId w:val="91"/>
        </w:numPr>
        <w:rPr>
          <w:rFonts w:hint="default" w:ascii="宋体" w:hAnsi="宋体" w:eastAsia="宋体" w:cs="Times New Roman"/>
          <w:lang w:val="en-US" w:eastAsia="zh-CN"/>
        </w:rPr>
      </w:pPr>
      <w:r>
        <w:rPr>
          <w:rFonts w:hint="default" w:ascii="宋体" w:hAnsi="宋体" w:eastAsia="宋体" w:cs="Times New Roman"/>
          <w:lang w:val="en-US" w:eastAsia="zh-CN"/>
        </w:rPr>
        <w:t>视频输入：1xHT-RX、2xHDMI</w:t>
      </w:r>
    </w:p>
    <w:p w14:paraId="440269BB">
      <w:pPr>
        <w:pStyle w:val="34"/>
        <w:numPr>
          <w:ilvl w:val="0"/>
          <w:numId w:val="91"/>
        </w:numPr>
        <w:rPr>
          <w:rFonts w:hint="default" w:ascii="宋体" w:hAnsi="宋体" w:eastAsia="宋体" w:cs="Times New Roman"/>
          <w:lang w:val="en-US" w:eastAsia="zh-CN"/>
        </w:rPr>
      </w:pPr>
      <w:r>
        <w:rPr>
          <w:rFonts w:hint="default" w:ascii="宋体" w:hAnsi="宋体" w:eastAsia="宋体" w:cs="Times New Roman"/>
          <w:lang w:val="en-US" w:eastAsia="zh-CN"/>
        </w:rPr>
        <w:t>视频输出：2×HDMI</w:t>
      </w:r>
    </w:p>
    <w:p w14:paraId="45A7A70A">
      <w:pPr>
        <w:pStyle w:val="34"/>
        <w:numPr>
          <w:ilvl w:val="0"/>
          <w:numId w:val="91"/>
        </w:numPr>
        <w:rPr>
          <w:rFonts w:hint="default" w:ascii="宋体" w:hAnsi="宋体" w:eastAsia="宋体" w:cs="Times New Roman"/>
          <w:lang w:val="en-US" w:eastAsia="zh-CN"/>
        </w:rPr>
      </w:pPr>
      <w:r>
        <w:rPr>
          <w:rFonts w:hint="default" w:ascii="宋体" w:hAnsi="宋体" w:eastAsia="宋体" w:cs="Times New Roman"/>
          <w:lang w:val="en-US" w:eastAsia="zh-CN"/>
        </w:rPr>
        <w:t>音频输入：1xHD-AI（2级）、1x卡农头、2xHDMI（音频输入）、2xRCA</w:t>
      </w:r>
    </w:p>
    <w:p w14:paraId="51F53DD0">
      <w:pPr>
        <w:pStyle w:val="34"/>
        <w:numPr>
          <w:ilvl w:val="0"/>
          <w:numId w:val="91"/>
        </w:numPr>
        <w:rPr>
          <w:rFonts w:hint="default" w:ascii="宋体" w:hAnsi="宋体" w:eastAsia="宋体" w:cs="Times New Roman"/>
          <w:lang w:val="en-US" w:eastAsia="zh-CN"/>
        </w:rPr>
      </w:pPr>
      <w:r>
        <w:rPr>
          <w:rFonts w:hint="default" w:ascii="宋体" w:hAnsi="宋体" w:eastAsia="宋体" w:cs="Times New Roman"/>
          <w:lang w:val="en-US" w:eastAsia="zh-CN"/>
        </w:rPr>
        <w:t>音频输出：4xRCA、1xHDMI（音频输出）；</w:t>
      </w:r>
    </w:p>
    <w:p w14:paraId="69CDBDD4">
      <w:pPr>
        <w:pStyle w:val="37"/>
        <w:keepNext w:val="0"/>
        <w:keepLines w:val="0"/>
        <w:pageBreakBefore w:val="0"/>
        <w:widowControl w:val="0"/>
        <w:numPr>
          <w:ilvl w:val="2"/>
          <w:numId w:val="89"/>
        </w:numPr>
        <w:kinsoku/>
        <w:wordWrap/>
        <w:overflowPunct/>
        <w:topLinePunct w:val="0"/>
        <w:autoSpaceDE/>
        <w:autoSpaceDN/>
        <w:bidi w:val="0"/>
        <w:adjustRightInd w:val="0"/>
        <w:snapToGrid w:val="0"/>
        <w:spacing w:line="360" w:lineRule="auto"/>
        <w:ind w:left="0" w:firstLine="0" w:firstLineChars="0"/>
        <w:textAlignment w:val="auto"/>
        <w:rPr>
          <w:rFonts w:hint="eastAsia"/>
          <w:color w:val="auto"/>
          <w:lang w:val="en-US" w:eastAsia="zh-CN"/>
        </w:rPr>
      </w:pPr>
      <w:r>
        <w:rPr>
          <w:rFonts w:hint="eastAsia"/>
          <w:color w:val="auto"/>
          <w:lang w:val="en-US" w:eastAsia="zh-CN"/>
        </w:rPr>
        <w:t>商务要求</w:t>
      </w:r>
    </w:p>
    <w:p w14:paraId="7E202B17">
      <w:pPr>
        <w:pStyle w:val="34"/>
        <w:numPr>
          <w:ilvl w:val="0"/>
          <w:numId w:val="92"/>
        </w:numPr>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服务</w:t>
      </w:r>
      <w:r>
        <w:rPr>
          <w:rFonts w:hint="eastAsia" w:cs="Times New Roman"/>
          <w:color w:val="auto"/>
          <w:lang w:val="en-US" w:eastAsia="zh-CN"/>
        </w:rPr>
        <w:t>期限</w:t>
      </w:r>
      <w:r>
        <w:rPr>
          <w:rFonts w:hint="eastAsia" w:ascii="宋体" w:hAnsi="宋体" w:eastAsia="宋体" w:cs="Times New Roman"/>
          <w:color w:val="auto"/>
          <w:lang w:val="en-US" w:eastAsia="zh-CN"/>
        </w:rPr>
        <w:t>：</w:t>
      </w:r>
      <w:r>
        <w:rPr>
          <w:rFonts w:hint="eastAsia" w:cs="Times New Roman"/>
          <w:color w:val="auto"/>
          <w:lang w:val="en-US" w:eastAsia="zh-CN"/>
        </w:rPr>
        <w:t>自合同签订之日起12个月内</w:t>
      </w:r>
      <w:r>
        <w:rPr>
          <w:rFonts w:hint="eastAsia" w:ascii="宋体" w:hAnsi="宋体" w:eastAsia="宋体" w:cs="Times New Roman"/>
          <w:color w:val="auto"/>
          <w:lang w:val="en-US" w:eastAsia="zh-CN"/>
        </w:rPr>
        <w:t>。</w:t>
      </w:r>
    </w:p>
    <w:p w14:paraId="661AD0DF">
      <w:pPr>
        <w:pStyle w:val="34"/>
        <w:numPr>
          <w:ilvl w:val="0"/>
          <w:numId w:val="92"/>
        </w:numPr>
        <w:rPr>
          <w:rFonts w:hint="eastAsia" w:ascii="宋体" w:hAnsi="宋体" w:eastAsia="宋体" w:cs="Times New Roman"/>
          <w:color w:val="auto"/>
          <w:lang w:val="en-US" w:eastAsia="zh-CN"/>
        </w:rPr>
      </w:pPr>
      <w:r>
        <w:rPr>
          <w:rFonts w:hint="eastAsia" w:cs="Times New Roman"/>
          <w:color w:val="auto"/>
          <w:lang w:val="en-US" w:eastAsia="zh-CN"/>
        </w:rPr>
        <w:t>实施地点</w:t>
      </w:r>
      <w:r>
        <w:rPr>
          <w:rFonts w:hint="eastAsia" w:ascii="宋体" w:hAnsi="宋体" w:eastAsia="宋体" w:cs="Times New Roman"/>
          <w:color w:val="auto"/>
          <w:lang w:val="en-US" w:eastAsia="zh-CN"/>
        </w:rPr>
        <w:t>：杭州市体育场路479号。</w:t>
      </w:r>
    </w:p>
    <w:p w14:paraId="17DAD8E4">
      <w:pPr>
        <w:pStyle w:val="34"/>
        <w:numPr>
          <w:ilvl w:val="0"/>
          <w:numId w:val="92"/>
        </w:numPr>
        <w:rPr>
          <w:rFonts w:hint="eastAsia" w:ascii="宋体" w:hAnsi="宋体" w:eastAsia="宋体" w:cs="Times New Roman"/>
          <w:color w:val="auto"/>
          <w:lang w:val="en-US" w:eastAsia="zh-CN"/>
        </w:rPr>
      </w:pPr>
      <w:r>
        <w:rPr>
          <w:rFonts w:hint="eastAsia" w:cs="Times New Roman"/>
          <w:color w:val="auto"/>
          <w:lang w:val="en-US" w:eastAsia="zh-CN"/>
        </w:rPr>
        <w:t>所有设备需提供1年保修。</w:t>
      </w:r>
    </w:p>
    <w:p w14:paraId="5F48DED6">
      <w:pPr>
        <w:pStyle w:val="34"/>
        <w:numPr>
          <w:ilvl w:val="0"/>
          <w:numId w:val="0"/>
        </w:numPr>
        <w:rPr>
          <w:rFonts w:hint="eastAsia" w:ascii="宋体" w:hAnsi="宋体" w:eastAsia="宋体" w:cs="Times New Roman"/>
          <w:lang w:val="en-US" w:eastAsia="zh-CN"/>
        </w:rPr>
      </w:pPr>
    </w:p>
    <w:p w14:paraId="2D0D1991">
      <w:pPr>
        <w:pStyle w:val="36"/>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65" w:name="_Toc6647"/>
      <w:bookmarkStart w:id="166" w:name="_Toc20100"/>
      <w:bookmarkStart w:id="167" w:name="_Toc5575"/>
      <w:bookmarkStart w:id="168" w:name="_Toc15517"/>
      <w:bookmarkStart w:id="169" w:name="_Toc1402"/>
      <w:r>
        <w:rPr>
          <w:rFonts w:hint="eastAsia"/>
          <w:sz w:val="28"/>
          <w:szCs w:val="28"/>
          <w:lang w:val="en-US" w:eastAsia="zh-CN"/>
        </w:rPr>
        <w:t>视频资源接入服务链路</w:t>
      </w:r>
      <w:bookmarkEnd w:id="165"/>
      <w:bookmarkEnd w:id="166"/>
      <w:bookmarkEnd w:id="167"/>
      <w:bookmarkEnd w:id="168"/>
      <w:bookmarkEnd w:id="169"/>
    </w:p>
    <w:p w14:paraId="1EA7160A">
      <w:pPr>
        <w:pStyle w:val="37"/>
        <w:keepNext w:val="0"/>
        <w:keepLines w:val="0"/>
        <w:pageBreakBefore w:val="0"/>
        <w:widowControl w:val="0"/>
        <w:numPr>
          <w:ilvl w:val="2"/>
          <w:numId w:val="93"/>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技术要求</w:t>
      </w:r>
    </w:p>
    <w:p w14:paraId="3403284E">
      <w:pPr>
        <w:pStyle w:val="33"/>
        <w:keepNext w:val="0"/>
        <w:keepLines w:val="0"/>
        <w:pageBreakBefore w:val="0"/>
        <w:widowControl w:val="0"/>
        <w:numPr>
          <w:ilvl w:val="3"/>
          <w:numId w:val="93"/>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cs="Times New Roman"/>
          <w:lang w:val="en-US" w:eastAsia="zh-CN"/>
        </w:rPr>
        <w:t>服务标准</w:t>
      </w:r>
    </w:p>
    <w:p w14:paraId="15E3921D">
      <w:pPr>
        <w:pStyle w:val="34"/>
        <w:numPr>
          <w:ilvl w:val="0"/>
          <w:numId w:val="94"/>
        </w:numPr>
        <w:rPr>
          <w:rFonts w:hint="eastAsia" w:ascii="宋体" w:hAnsi="宋体" w:eastAsia="宋体" w:cs="Times New Roman"/>
          <w:lang w:val="en-US" w:eastAsia="zh-CN"/>
        </w:rPr>
      </w:pPr>
      <w:r>
        <w:rPr>
          <w:rFonts w:hint="eastAsia" w:ascii="宋体" w:hAnsi="宋体" w:eastAsia="宋体" w:cs="Times New Roman"/>
          <w:lang w:val="en-US" w:eastAsia="zh-CN"/>
        </w:rPr>
        <w:t>上下行带宽:行速率和下行速率均可达到 100Mbps，能满足用户高速上传和下载数据的需求。</w:t>
      </w:r>
    </w:p>
    <w:p w14:paraId="405D68A2">
      <w:pPr>
        <w:pStyle w:val="34"/>
        <w:numPr>
          <w:ilvl w:val="0"/>
          <w:numId w:val="94"/>
        </w:numPr>
        <w:rPr>
          <w:rFonts w:hint="eastAsia" w:ascii="宋体" w:hAnsi="宋体" w:eastAsia="宋体" w:cs="Times New Roman"/>
          <w:lang w:val="en-US" w:eastAsia="zh-CN"/>
        </w:rPr>
      </w:pPr>
      <w:r>
        <w:rPr>
          <w:rFonts w:hint="eastAsia" w:ascii="宋体" w:hAnsi="宋体" w:eastAsia="宋体" w:cs="Times New Roman"/>
          <w:lang w:val="en-US" w:eastAsia="zh-CN"/>
        </w:rPr>
        <w:t>可靠性及稳定性:与传输距离和经过的网元数量有关。1000 公里以内单向时延小于40ms；1 - 2 千公里以内单向时延小于70ms；2 - 3 千公里以内单向时延小于100ms。基于SDH 传送网，具有SDH 保护倒换功能，能提供较高的可靠性和稳定性，保障业务的正常运行。</w:t>
      </w:r>
    </w:p>
    <w:p w14:paraId="022A5063">
      <w:pPr>
        <w:pStyle w:val="33"/>
        <w:keepNext w:val="0"/>
        <w:keepLines w:val="0"/>
        <w:pageBreakBefore w:val="0"/>
        <w:widowControl w:val="0"/>
        <w:numPr>
          <w:ilvl w:val="3"/>
          <w:numId w:val="93"/>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cs="Times New Roman"/>
          <w:lang w:val="en-US" w:eastAsia="zh-CN"/>
        </w:rPr>
        <w:t>服务内容</w:t>
      </w:r>
    </w:p>
    <w:p w14:paraId="64467D66">
      <w:pPr>
        <w:pStyle w:val="34"/>
        <w:numPr>
          <w:ilvl w:val="0"/>
          <w:numId w:val="95"/>
        </w:numPr>
        <w:rPr>
          <w:rFonts w:hint="eastAsia" w:ascii="宋体" w:hAnsi="宋体" w:eastAsia="宋体" w:cs="Times New Roman"/>
          <w:lang w:val="en-US" w:eastAsia="zh-CN"/>
        </w:rPr>
      </w:pPr>
      <w:r>
        <w:rPr>
          <w:rFonts w:hint="eastAsia" w:ascii="宋体" w:hAnsi="宋体" w:eastAsia="宋体" w:cs="Times New Roman"/>
          <w:lang w:val="en-US" w:eastAsia="zh-CN"/>
        </w:rPr>
        <w:t>提供日常运维、故障处理服务</w:t>
      </w:r>
    </w:p>
    <w:p w14:paraId="6DFA0535">
      <w:pPr>
        <w:pStyle w:val="34"/>
        <w:numPr>
          <w:ilvl w:val="0"/>
          <w:numId w:val="95"/>
        </w:numPr>
        <w:rPr>
          <w:rFonts w:hint="eastAsia" w:ascii="宋体" w:hAnsi="宋体" w:eastAsia="宋体" w:cs="Times New Roman"/>
          <w:lang w:val="en-US" w:eastAsia="zh-CN"/>
        </w:rPr>
      </w:pPr>
      <w:r>
        <w:rPr>
          <w:rFonts w:hint="eastAsia" w:ascii="宋体" w:hAnsi="宋体" w:eastAsia="宋体" w:cs="Times New Roman"/>
          <w:lang w:val="en-US" w:eastAsia="zh-CN"/>
        </w:rPr>
        <w:t>提供设备、链路、机房等巡检方案计划</w:t>
      </w:r>
    </w:p>
    <w:p w14:paraId="79875248">
      <w:pPr>
        <w:pStyle w:val="34"/>
        <w:numPr>
          <w:ilvl w:val="0"/>
          <w:numId w:val="95"/>
        </w:numPr>
        <w:rPr>
          <w:rFonts w:hint="eastAsia" w:ascii="宋体" w:hAnsi="宋体" w:eastAsia="宋体" w:cs="Times New Roman"/>
          <w:lang w:val="en-US" w:eastAsia="zh-CN"/>
        </w:rPr>
      </w:pPr>
      <w:r>
        <w:rPr>
          <w:rFonts w:hint="eastAsia" w:ascii="宋体" w:hAnsi="宋体" w:eastAsia="宋体" w:cs="Times New Roman"/>
          <w:lang w:val="en-US" w:eastAsia="zh-CN"/>
        </w:rPr>
        <w:t>提供应急处置、保障人员配备方案</w:t>
      </w:r>
    </w:p>
    <w:p w14:paraId="73FF1089">
      <w:pPr>
        <w:pStyle w:val="34"/>
        <w:numPr>
          <w:ilvl w:val="0"/>
          <w:numId w:val="95"/>
        </w:numPr>
        <w:rPr>
          <w:rFonts w:hint="eastAsia"/>
          <w:lang w:val="en-US" w:eastAsia="zh-CN"/>
        </w:rPr>
      </w:pPr>
      <w:r>
        <w:rPr>
          <w:rFonts w:hint="eastAsia" w:ascii="宋体" w:hAnsi="宋体" w:eastAsia="宋体" w:cs="Times New Roman"/>
          <w:lang w:val="en-US" w:eastAsia="zh-CN"/>
        </w:rPr>
        <w:t>提供重大活动、节假日保障、市政割接方案及人员配备</w:t>
      </w:r>
    </w:p>
    <w:p w14:paraId="2E4BA1E4">
      <w:pPr>
        <w:pStyle w:val="37"/>
        <w:keepNext w:val="0"/>
        <w:keepLines w:val="0"/>
        <w:pageBreakBefore w:val="0"/>
        <w:widowControl w:val="0"/>
        <w:numPr>
          <w:ilvl w:val="2"/>
          <w:numId w:val="93"/>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商务要求</w:t>
      </w:r>
    </w:p>
    <w:p w14:paraId="10206733">
      <w:pPr>
        <w:pStyle w:val="33"/>
        <w:keepNext w:val="0"/>
        <w:keepLines w:val="0"/>
        <w:pageBreakBefore w:val="0"/>
        <w:widowControl w:val="0"/>
        <w:numPr>
          <w:ilvl w:val="3"/>
          <w:numId w:val="93"/>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cs="Times New Roman"/>
          <w:lang w:val="en-US" w:eastAsia="zh-CN"/>
        </w:rPr>
        <w:t>售后</w:t>
      </w:r>
      <w:r>
        <w:rPr>
          <w:rFonts w:hint="eastAsia" w:ascii="宋体" w:hAnsi="宋体" w:eastAsia="宋体" w:cs="Times New Roman"/>
          <w:lang w:val="en-US" w:eastAsia="zh-CN"/>
        </w:rPr>
        <w:t>服务内容</w:t>
      </w:r>
    </w:p>
    <w:p w14:paraId="333D01F0">
      <w:pPr>
        <w:pStyle w:val="34"/>
        <w:numPr>
          <w:ilvl w:val="0"/>
          <w:numId w:val="96"/>
        </w:numPr>
        <w:rPr>
          <w:rFonts w:hint="default" w:ascii="宋体" w:hAnsi="宋体" w:eastAsia="宋体" w:cs="Times New Roman"/>
          <w:lang w:val="en-US" w:eastAsia="zh-CN"/>
        </w:rPr>
      </w:pPr>
      <w:r>
        <w:rPr>
          <w:rFonts w:hint="default" w:ascii="宋体" w:hAnsi="宋体" w:eastAsia="宋体" w:cs="Times New Roman"/>
          <w:lang w:val="en-US" w:eastAsia="zh-CN"/>
        </w:rPr>
        <w:t>项目维护计划：供应商承诺并提供承诺函,本次采购的所有产品在1年服务期内提供售后维护服务，服务期内服务方式应包括远程电话支持、远程网络支持、现场服务支持等方式。</w:t>
      </w:r>
    </w:p>
    <w:p w14:paraId="6BF5D64B">
      <w:pPr>
        <w:pStyle w:val="34"/>
        <w:numPr>
          <w:ilvl w:val="0"/>
          <w:numId w:val="96"/>
        </w:numPr>
        <w:rPr>
          <w:rFonts w:hint="default" w:ascii="宋体" w:hAnsi="宋体" w:eastAsia="宋体" w:cs="Times New Roman"/>
          <w:lang w:val="en-US" w:eastAsia="zh-CN"/>
        </w:rPr>
      </w:pPr>
      <w:r>
        <w:rPr>
          <w:rFonts w:hint="default" w:ascii="宋体" w:hAnsi="宋体" w:eastAsia="宋体" w:cs="Times New Roman"/>
          <w:lang w:val="en-US" w:eastAsia="zh-CN"/>
        </w:rPr>
        <w:t>响应情况：供应商承诺并提供承诺函：提供全年7×24小时不间断电话响应，接到用户电话后，在30分钟内做出实质性响应，2小时内解决问题。否则采购人将自行采取必要的措施，由此产生风险和费用由供应商承担。</w:t>
      </w:r>
    </w:p>
    <w:p w14:paraId="178E33B8">
      <w:pPr>
        <w:pStyle w:val="33"/>
        <w:keepNext w:val="0"/>
        <w:keepLines w:val="0"/>
        <w:pageBreakBefore w:val="0"/>
        <w:widowControl w:val="0"/>
        <w:numPr>
          <w:ilvl w:val="3"/>
          <w:numId w:val="93"/>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cs="Times New Roman"/>
          <w:lang w:val="en-US" w:eastAsia="zh-CN"/>
        </w:rPr>
        <w:t>服务期限及实施地点</w:t>
      </w:r>
    </w:p>
    <w:p w14:paraId="48ACBFF7">
      <w:pPr>
        <w:pStyle w:val="34"/>
        <w:numPr>
          <w:ilvl w:val="0"/>
          <w:numId w:val="97"/>
        </w:numPr>
        <w:rPr>
          <w:rFonts w:hint="default" w:ascii="宋体" w:hAnsi="宋体" w:eastAsia="宋体" w:cs="Times New Roman"/>
          <w:lang w:val="en-US" w:eastAsia="zh-CN"/>
        </w:rPr>
      </w:pPr>
      <w:r>
        <w:rPr>
          <w:rFonts w:hint="default" w:ascii="宋体" w:hAnsi="宋体" w:eastAsia="宋体" w:cs="Times New Roman"/>
          <w:lang w:val="en-US" w:eastAsia="zh-CN"/>
        </w:rPr>
        <w:t>项目服务期限：</w:t>
      </w:r>
      <w:r>
        <w:rPr>
          <w:rFonts w:hint="eastAsia" w:cs="Times New Roman"/>
          <w:lang w:val="en-US" w:eastAsia="zh-CN"/>
        </w:rPr>
        <w:t>自合同签订之日起12个月内</w:t>
      </w:r>
      <w:r>
        <w:rPr>
          <w:rFonts w:hint="default" w:ascii="宋体" w:hAnsi="宋体" w:eastAsia="宋体" w:cs="Times New Roman"/>
          <w:lang w:val="en-US" w:eastAsia="zh-CN"/>
        </w:rPr>
        <w:t>。</w:t>
      </w:r>
    </w:p>
    <w:p w14:paraId="0DF8BB6A">
      <w:pPr>
        <w:pStyle w:val="34"/>
        <w:numPr>
          <w:ilvl w:val="0"/>
          <w:numId w:val="97"/>
        </w:numPr>
        <w:rPr>
          <w:rFonts w:hint="default" w:ascii="宋体" w:hAnsi="宋体" w:eastAsia="宋体" w:cs="Times New Roman"/>
          <w:lang w:val="en-US" w:eastAsia="zh-CN"/>
        </w:rPr>
      </w:pPr>
      <w:r>
        <w:rPr>
          <w:rFonts w:hint="default" w:ascii="宋体" w:hAnsi="宋体" w:eastAsia="宋体" w:cs="Times New Roman"/>
          <w:lang w:val="en-US" w:eastAsia="zh-CN"/>
        </w:rPr>
        <w:t>实施地点：杭州市体育场路479号、杭州市江干区四季青街道御临路33号2楼机房。</w:t>
      </w:r>
    </w:p>
    <w:p w14:paraId="33751AC0">
      <w:pPr>
        <w:pStyle w:val="34"/>
        <w:rPr>
          <w:rFonts w:hint="default"/>
          <w:lang w:val="en-US" w:eastAsia="zh-CN"/>
        </w:rPr>
      </w:pPr>
    </w:p>
    <w:p w14:paraId="3866FCA1">
      <w:pPr>
        <w:pStyle w:val="36"/>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70" w:name="_Toc28354"/>
      <w:bookmarkStart w:id="171" w:name="_Toc8534"/>
      <w:bookmarkStart w:id="172" w:name="_Toc406"/>
      <w:bookmarkStart w:id="173" w:name="_Toc29378"/>
      <w:bookmarkStart w:id="174" w:name="_Toc27890"/>
      <w:r>
        <w:rPr>
          <w:rFonts w:hint="eastAsia"/>
          <w:sz w:val="28"/>
          <w:szCs w:val="28"/>
          <w:lang w:val="en-US" w:eastAsia="zh-CN"/>
        </w:rPr>
        <w:t>西溪河下88号应急管理宣传教育中心考试监控专线</w:t>
      </w:r>
      <w:bookmarkEnd w:id="170"/>
      <w:bookmarkEnd w:id="171"/>
      <w:bookmarkEnd w:id="172"/>
      <w:bookmarkEnd w:id="173"/>
      <w:bookmarkEnd w:id="174"/>
    </w:p>
    <w:p w14:paraId="6681F0C6">
      <w:pPr>
        <w:pStyle w:val="37"/>
        <w:keepNext w:val="0"/>
        <w:keepLines w:val="0"/>
        <w:pageBreakBefore w:val="0"/>
        <w:widowControl w:val="0"/>
        <w:numPr>
          <w:ilvl w:val="2"/>
          <w:numId w:val="98"/>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技术要求</w:t>
      </w:r>
    </w:p>
    <w:p w14:paraId="0B3E6A32">
      <w:pPr>
        <w:pStyle w:val="33"/>
        <w:keepNext w:val="0"/>
        <w:keepLines w:val="0"/>
        <w:pageBreakBefore w:val="0"/>
        <w:widowControl w:val="0"/>
        <w:numPr>
          <w:ilvl w:val="3"/>
          <w:numId w:val="84"/>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服务标准</w:t>
      </w:r>
    </w:p>
    <w:p w14:paraId="43EA26EA">
      <w:pPr>
        <w:pStyle w:val="34"/>
        <w:numPr>
          <w:ilvl w:val="0"/>
          <w:numId w:val="99"/>
        </w:numPr>
        <w:rPr>
          <w:rFonts w:hint="eastAsia" w:ascii="宋体" w:hAnsi="宋体" w:eastAsia="宋体" w:cs="Times New Roman"/>
          <w:lang w:val="en-US" w:eastAsia="zh-CN"/>
        </w:rPr>
      </w:pPr>
      <w:r>
        <w:rPr>
          <w:rFonts w:hint="eastAsia" w:ascii="宋体" w:hAnsi="宋体" w:eastAsia="宋体" w:cs="Times New Roman"/>
          <w:lang w:val="en-US" w:eastAsia="zh-CN"/>
        </w:rPr>
        <w:t>上下行带宽:上行速率和下行速率均可达到 100Mbps，可满足多种业务对带宽的需求。</w:t>
      </w:r>
    </w:p>
    <w:p w14:paraId="22424075">
      <w:pPr>
        <w:pStyle w:val="34"/>
        <w:numPr>
          <w:ilvl w:val="0"/>
          <w:numId w:val="99"/>
        </w:numPr>
        <w:rPr>
          <w:rFonts w:hint="eastAsia" w:ascii="宋体" w:hAnsi="宋体" w:eastAsia="宋体" w:cs="Times New Roman"/>
          <w:lang w:val="en-US" w:eastAsia="zh-CN"/>
        </w:rPr>
      </w:pPr>
      <w:r>
        <w:rPr>
          <w:rFonts w:hint="eastAsia" w:ascii="宋体" w:hAnsi="宋体" w:eastAsia="宋体" w:cs="Times New Roman"/>
          <w:lang w:val="en-US" w:eastAsia="zh-CN"/>
        </w:rPr>
        <w:t>可靠性及稳定性:时延要求1000km以内低于25ms，能较好地支持对时延要求较高的业务，如语音和视频通话等。PRAN承载网支持双归保护，光纤中断倒换时间在50ms以内，设备掉电倒换时间最长在300ms内，能确保在网络出现故障时，业务能够快速恢复，减少对用户的影响。丢包率要求低于0.001%，以保证数据传输的完整性和准确性。</w:t>
      </w:r>
    </w:p>
    <w:p w14:paraId="747B53D6">
      <w:pPr>
        <w:pStyle w:val="33"/>
        <w:keepNext w:val="0"/>
        <w:keepLines w:val="0"/>
        <w:pageBreakBefore w:val="0"/>
        <w:widowControl w:val="0"/>
        <w:numPr>
          <w:ilvl w:val="3"/>
          <w:numId w:val="84"/>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服务内容</w:t>
      </w:r>
    </w:p>
    <w:p w14:paraId="6E0DBF02">
      <w:pPr>
        <w:pStyle w:val="34"/>
        <w:numPr>
          <w:ilvl w:val="0"/>
          <w:numId w:val="100"/>
        </w:numPr>
        <w:rPr>
          <w:rFonts w:hint="default" w:ascii="宋体" w:hAnsi="宋体" w:eastAsia="宋体" w:cs="Times New Roman"/>
          <w:lang w:val="en-US" w:eastAsia="zh-CN"/>
        </w:rPr>
      </w:pPr>
      <w:r>
        <w:rPr>
          <w:rFonts w:hint="default" w:ascii="宋体" w:hAnsi="宋体" w:eastAsia="宋体" w:cs="Times New Roman"/>
          <w:lang w:val="en-US" w:eastAsia="zh-CN"/>
        </w:rPr>
        <w:t>提供日常运维、故障处理服务</w:t>
      </w:r>
    </w:p>
    <w:p w14:paraId="2D0FB2AB">
      <w:pPr>
        <w:pStyle w:val="34"/>
        <w:numPr>
          <w:ilvl w:val="0"/>
          <w:numId w:val="100"/>
        </w:numPr>
        <w:rPr>
          <w:rFonts w:hint="default" w:ascii="宋体" w:hAnsi="宋体" w:eastAsia="宋体" w:cs="Times New Roman"/>
          <w:lang w:val="en-US" w:eastAsia="zh-CN"/>
        </w:rPr>
      </w:pPr>
      <w:r>
        <w:rPr>
          <w:rFonts w:hint="default" w:ascii="宋体" w:hAnsi="宋体" w:eastAsia="宋体" w:cs="Times New Roman"/>
          <w:lang w:val="en-US" w:eastAsia="zh-CN"/>
        </w:rPr>
        <w:t>提供设备、链路、机房等巡检方案计划</w:t>
      </w:r>
    </w:p>
    <w:p w14:paraId="4489CB71">
      <w:pPr>
        <w:pStyle w:val="34"/>
        <w:numPr>
          <w:ilvl w:val="0"/>
          <w:numId w:val="100"/>
        </w:numPr>
        <w:rPr>
          <w:rFonts w:hint="default" w:ascii="宋体" w:hAnsi="宋体" w:eastAsia="宋体" w:cs="Times New Roman"/>
          <w:lang w:val="en-US" w:eastAsia="zh-CN"/>
        </w:rPr>
      </w:pPr>
      <w:r>
        <w:rPr>
          <w:rFonts w:hint="default" w:ascii="宋体" w:hAnsi="宋体" w:eastAsia="宋体" w:cs="Times New Roman"/>
          <w:lang w:val="en-US" w:eastAsia="zh-CN"/>
        </w:rPr>
        <w:t>提供应急处置、保障人员配备方案</w:t>
      </w:r>
    </w:p>
    <w:p w14:paraId="1360761E">
      <w:pPr>
        <w:pStyle w:val="34"/>
        <w:numPr>
          <w:ilvl w:val="0"/>
          <w:numId w:val="100"/>
        </w:numPr>
        <w:rPr>
          <w:rFonts w:hint="default" w:ascii="宋体" w:hAnsi="宋体" w:eastAsia="宋体" w:cs="Times New Roman"/>
          <w:lang w:val="en-US" w:eastAsia="zh-CN"/>
        </w:rPr>
      </w:pPr>
      <w:r>
        <w:rPr>
          <w:rFonts w:hint="default" w:ascii="宋体" w:hAnsi="宋体" w:eastAsia="宋体" w:cs="Times New Roman"/>
          <w:lang w:val="en-US" w:eastAsia="zh-CN"/>
        </w:rPr>
        <w:t>提供重大活动、节假日保障、市政割接方案及人员配备</w:t>
      </w:r>
    </w:p>
    <w:p w14:paraId="17BB5117">
      <w:pPr>
        <w:pStyle w:val="37"/>
        <w:keepNext w:val="0"/>
        <w:keepLines w:val="0"/>
        <w:pageBreakBefore w:val="0"/>
        <w:widowControl w:val="0"/>
        <w:numPr>
          <w:ilvl w:val="2"/>
          <w:numId w:val="98"/>
        </w:numPr>
        <w:kinsoku/>
        <w:wordWrap/>
        <w:overflowPunct/>
        <w:topLinePunct w:val="0"/>
        <w:autoSpaceDE/>
        <w:autoSpaceDN/>
        <w:bidi w:val="0"/>
        <w:adjustRightInd w:val="0"/>
        <w:snapToGrid w:val="0"/>
        <w:spacing w:line="360" w:lineRule="auto"/>
        <w:ind w:left="0" w:firstLine="0" w:firstLineChars="0"/>
        <w:textAlignment w:val="auto"/>
      </w:pPr>
      <w:r>
        <w:rPr>
          <w:rFonts w:hint="eastAsia"/>
          <w:lang w:val="en-US" w:eastAsia="zh-CN"/>
        </w:rPr>
        <w:t>商务要求</w:t>
      </w:r>
    </w:p>
    <w:p w14:paraId="609FDA0F">
      <w:pPr>
        <w:pStyle w:val="33"/>
        <w:keepNext w:val="0"/>
        <w:keepLines w:val="0"/>
        <w:pageBreakBefore w:val="0"/>
        <w:widowControl w:val="0"/>
        <w:numPr>
          <w:ilvl w:val="3"/>
          <w:numId w:val="84"/>
        </w:numPr>
        <w:kinsoku/>
        <w:wordWrap/>
        <w:overflowPunct/>
        <w:topLinePunct w:val="0"/>
        <w:autoSpaceDE/>
        <w:autoSpaceDN/>
        <w:bidi w:val="0"/>
        <w:adjustRightInd w:val="0"/>
        <w:snapToGrid w:val="0"/>
        <w:spacing w:line="360" w:lineRule="auto"/>
        <w:ind w:left="0" w:firstLine="482" w:firstLineChars="200"/>
        <w:textAlignment w:val="auto"/>
      </w:pPr>
      <w:r>
        <w:rPr>
          <w:rFonts w:hint="eastAsia" w:ascii="宋体" w:hAnsi="宋体" w:eastAsia="宋体" w:cs="Times New Roman"/>
          <w:lang w:val="en-US" w:eastAsia="zh-CN"/>
        </w:rPr>
        <w:t>售后服务要求</w:t>
      </w:r>
    </w:p>
    <w:p w14:paraId="76DA869B">
      <w:pPr>
        <w:pStyle w:val="34"/>
        <w:numPr>
          <w:ilvl w:val="0"/>
          <w:numId w:val="101"/>
        </w:numPr>
        <w:rPr>
          <w:rFonts w:hint="eastAsia" w:ascii="宋体" w:hAnsi="宋体" w:eastAsia="宋体" w:cs="Times New Roman"/>
          <w:lang w:val="en-US" w:eastAsia="zh-CN"/>
        </w:rPr>
      </w:pPr>
      <w:r>
        <w:rPr>
          <w:rFonts w:hint="eastAsia" w:ascii="宋体" w:hAnsi="宋体" w:eastAsia="宋体" w:cs="Times New Roman"/>
          <w:lang w:val="en-US" w:eastAsia="zh-CN"/>
        </w:rPr>
        <w:t>项目维护计划：供应商承诺并提供承诺函,本次采购的所有产品在1年服务期内提供售后维护服务，服务期内服务方式应包括远程电话支持、远程网络支持、现场服务支持等方式。</w:t>
      </w:r>
    </w:p>
    <w:p w14:paraId="4F08ACAD">
      <w:pPr>
        <w:pStyle w:val="34"/>
        <w:numPr>
          <w:ilvl w:val="0"/>
          <w:numId w:val="101"/>
        </w:numPr>
        <w:rPr>
          <w:rFonts w:hint="default" w:ascii="宋体" w:hAnsi="宋体" w:eastAsia="宋体" w:cs="Times New Roman"/>
          <w:lang w:val="en-US" w:eastAsia="zh-CN"/>
        </w:rPr>
      </w:pPr>
      <w:r>
        <w:rPr>
          <w:rFonts w:hint="eastAsia" w:ascii="宋体" w:hAnsi="宋体" w:eastAsia="宋体" w:cs="Times New Roman"/>
          <w:lang w:val="en-US" w:eastAsia="zh-CN"/>
        </w:rPr>
        <w:t>响应情况：供应商承诺并提供承诺函：提供全年7×24小时不间断电话响应，接到用户电话后，在30分钟内做出实质性响应，2小时内解决问题。否则采购人将自行采取必要的措施，由此产生风险和费用由供应商承担。</w:t>
      </w:r>
    </w:p>
    <w:p w14:paraId="182993DA">
      <w:pPr>
        <w:pStyle w:val="33"/>
        <w:keepNext w:val="0"/>
        <w:keepLines w:val="0"/>
        <w:pageBreakBefore w:val="0"/>
        <w:widowControl w:val="0"/>
        <w:numPr>
          <w:ilvl w:val="3"/>
          <w:numId w:val="84"/>
        </w:numPr>
        <w:kinsoku/>
        <w:wordWrap/>
        <w:overflowPunct/>
        <w:topLinePunct w:val="0"/>
        <w:autoSpaceDE/>
        <w:autoSpaceDN/>
        <w:bidi w:val="0"/>
        <w:adjustRightInd w:val="0"/>
        <w:snapToGrid w:val="0"/>
        <w:spacing w:line="360" w:lineRule="auto"/>
        <w:ind w:left="0" w:firstLine="482" w:firstLineChars="200"/>
        <w:textAlignment w:val="auto"/>
      </w:pPr>
      <w:r>
        <w:rPr>
          <w:rFonts w:hint="eastAsia"/>
          <w:lang w:val="en-US" w:eastAsia="zh-CN"/>
        </w:rPr>
        <w:t>服务期限及实施地点</w:t>
      </w:r>
    </w:p>
    <w:p w14:paraId="26BFFB6A">
      <w:pPr>
        <w:pStyle w:val="34"/>
        <w:numPr>
          <w:ilvl w:val="0"/>
          <w:numId w:val="102"/>
        </w:numPr>
        <w:rPr>
          <w:rFonts w:hint="eastAsia" w:ascii="宋体" w:hAnsi="宋体" w:eastAsia="宋体" w:cs="Times New Roman"/>
          <w:lang w:val="en-US" w:eastAsia="zh-CN"/>
        </w:rPr>
      </w:pPr>
      <w:r>
        <w:rPr>
          <w:rFonts w:hint="eastAsia" w:ascii="宋体" w:hAnsi="宋体" w:eastAsia="宋体" w:cs="Times New Roman"/>
          <w:lang w:val="en-US" w:eastAsia="zh-CN"/>
        </w:rPr>
        <w:t>项目服务期限：</w:t>
      </w:r>
      <w:r>
        <w:rPr>
          <w:rFonts w:hint="eastAsia" w:cs="Times New Roman"/>
          <w:lang w:val="en-US" w:eastAsia="zh-CN"/>
        </w:rPr>
        <w:t>自合同签订之日起12个月内</w:t>
      </w:r>
      <w:r>
        <w:rPr>
          <w:rFonts w:hint="eastAsia" w:ascii="宋体" w:hAnsi="宋体" w:eastAsia="宋体" w:cs="Times New Roman"/>
          <w:lang w:val="en-US" w:eastAsia="zh-CN"/>
        </w:rPr>
        <w:t>。</w:t>
      </w:r>
    </w:p>
    <w:p w14:paraId="01D1AAA0">
      <w:pPr>
        <w:pStyle w:val="34"/>
        <w:numPr>
          <w:ilvl w:val="0"/>
          <w:numId w:val="102"/>
        </w:numPr>
        <w:rPr>
          <w:rFonts w:hint="eastAsia" w:ascii="宋体" w:hAnsi="宋体" w:eastAsia="宋体" w:cs="Times New Roman"/>
          <w:lang w:val="en-US" w:eastAsia="zh-CN"/>
        </w:rPr>
      </w:pPr>
      <w:r>
        <w:rPr>
          <w:rFonts w:hint="eastAsia" w:ascii="宋体" w:hAnsi="宋体" w:eastAsia="宋体" w:cs="Times New Roman"/>
          <w:lang w:val="en-US" w:eastAsia="zh-CN"/>
        </w:rPr>
        <w:t>实施地点：杭州市体育场路479号，对端地址由用户指定。</w:t>
      </w:r>
    </w:p>
    <w:p w14:paraId="464A7A60">
      <w:pPr>
        <w:pStyle w:val="34"/>
        <w:numPr>
          <w:ilvl w:val="0"/>
          <w:numId w:val="0"/>
        </w:numPr>
        <w:rPr>
          <w:rFonts w:hint="eastAsia" w:ascii="宋体" w:hAnsi="宋体" w:eastAsia="宋体" w:cs="Times New Roman"/>
          <w:lang w:val="en-US" w:eastAsia="zh-CN"/>
        </w:rPr>
      </w:pPr>
    </w:p>
    <w:p w14:paraId="3285D6B3">
      <w:pPr>
        <w:pStyle w:val="36"/>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75" w:name="_Toc27883"/>
      <w:bookmarkStart w:id="176" w:name="_Toc10343"/>
      <w:bookmarkStart w:id="177" w:name="_Toc2620"/>
      <w:bookmarkStart w:id="178" w:name="_Toc22905"/>
      <w:bookmarkStart w:id="179" w:name="_Toc1776"/>
      <w:r>
        <w:rPr>
          <w:rFonts w:hint="eastAsia"/>
          <w:sz w:val="28"/>
          <w:szCs w:val="28"/>
          <w:lang w:val="en-US" w:eastAsia="zh-CN"/>
        </w:rPr>
        <w:t>全省重大危险源和可视化平台专线</w:t>
      </w:r>
      <w:bookmarkEnd w:id="175"/>
      <w:bookmarkEnd w:id="176"/>
      <w:bookmarkEnd w:id="177"/>
      <w:bookmarkEnd w:id="178"/>
      <w:bookmarkEnd w:id="179"/>
    </w:p>
    <w:p w14:paraId="7EC1AEA6">
      <w:pPr>
        <w:pStyle w:val="37"/>
        <w:keepNext w:val="0"/>
        <w:keepLines w:val="0"/>
        <w:pageBreakBefore w:val="0"/>
        <w:widowControl w:val="0"/>
        <w:numPr>
          <w:ilvl w:val="2"/>
          <w:numId w:val="103"/>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技术要求</w:t>
      </w:r>
    </w:p>
    <w:p w14:paraId="215FAE17">
      <w:pPr>
        <w:pStyle w:val="33"/>
        <w:keepNext w:val="0"/>
        <w:keepLines w:val="0"/>
        <w:pageBreakBefore w:val="0"/>
        <w:widowControl w:val="0"/>
        <w:numPr>
          <w:ilvl w:val="3"/>
          <w:numId w:val="84"/>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服务标准</w:t>
      </w:r>
    </w:p>
    <w:p w14:paraId="73C77D85">
      <w:pPr>
        <w:pStyle w:val="34"/>
        <w:numPr>
          <w:ilvl w:val="0"/>
          <w:numId w:val="104"/>
        </w:numPr>
        <w:rPr>
          <w:rFonts w:hint="eastAsia" w:ascii="宋体" w:hAnsi="宋体" w:eastAsia="宋体" w:cs="Times New Roman"/>
          <w:lang w:val="en-US" w:eastAsia="zh-CN"/>
        </w:rPr>
      </w:pPr>
      <w:r>
        <w:rPr>
          <w:rFonts w:hint="eastAsia" w:ascii="宋体" w:hAnsi="宋体" w:eastAsia="宋体" w:cs="Times New Roman"/>
          <w:lang w:val="en-US" w:eastAsia="zh-CN"/>
        </w:rPr>
        <w:t>上下行带宽:通常提供上下行对称的速率，即上行速率和下行速率均可达到 200Mbps，能满足用户高速上传和下载数据的需求。</w:t>
      </w:r>
    </w:p>
    <w:p w14:paraId="2BF82A14">
      <w:pPr>
        <w:pStyle w:val="34"/>
        <w:numPr>
          <w:ilvl w:val="0"/>
          <w:numId w:val="104"/>
        </w:numPr>
        <w:rPr>
          <w:rFonts w:hint="eastAsia" w:ascii="宋体" w:hAnsi="宋体" w:eastAsia="宋体" w:cs="Times New Roman"/>
          <w:lang w:val="en-US" w:eastAsia="zh-CN"/>
        </w:rPr>
      </w:pPr>
      <w:r>
        <w:rPr>
          <w:rFonts w:hint="eastAsia" w:ascii="宋体" w:hAnsi="宋体" w:eastAsia="宋体" w:cs="Times New Roman"/>
          <w:lang w:val="en-US" w:eastAsia="zh-CN"/>
        </w:rPr>
        <w:t>可靠性及稳定性:采用光纤作为传输介质，结合波分复用等技术，具有抗干扰性强、信号损耗小的特点，网络稳定性高，可保证各种网络应用的稳定运行。</w:t>
      </w:r>
    </w:p>
    <w:p w14:paraId="4AD8D9F5">
      <w:pPr>
        <w:pStyle w:val="34"/>
        <w:numPr>
          <w:ilvl w:val="0"/>
          <w:numId w:val="104"/>
        </w:numPr>
        <w:rPr>
          <w:rFonts w:hint="eastAsia" w:ascii="宋体" w:hAnsi="宋体" w:eastAsia="宋体" w:cs="Times New Roman"/>
          <w:lang w:val="en-US" w:eastAsia="zh-CN"/>
        </w:rPr>
      </w:pPr>
      <w:r>
        <w:rPr>
          <w:rFonts w:hint="eastAsia" w:ascii="宋体" w:hAnsi="宋体" w:eastAsia="宋体" w:cs="Times New Roman"/>
          <w:lang w:val="en-US" w:eastAsia="zh-CN"/>
        </w:rPr>
        <w:t>IP 地址：分配不同段固定IP地址32个（2段各16个），支持ipv6动态协议，方便用户搭建服务器、开展远程办公等需要固定网络地址的业务。</w:t>
      </w:r>
    </w:p>
    <w:p w14:paraId="25545B26">
      <w:pPr>
        <w:pStyle w:val="33"/>
        <w:keepNext w:val="0"/>
        <w:keepLines w:val="0"/>
        <w:pageBreakBefore w:val="0"/>
        <w:widowControl w:val="0"/>
        <w:numPr>
          <w:ilvl w:val="3"/>
          <w:numId w:val="84"/>
        </w:numPr>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服务内容</w:t>
      </w:r>
    </w:p>
    <w:p w14:paraId="188ECE67">
      <w:pPr>
        <w:pStyle w:val="34"/>
        <w:numPr>
          <w:ilvl w:val="0"/>
          <w:numId w:val="105"/>
        </w:numPr>
        <w:rPr>
          <w:rFonts w:hint="default" w:ascii="宋体" w:hAnsi="宋体" w:eastAsia="宋体" w:cs="Times New Roman"/>
          <w:lang w:val="en-US" w:eastAsia="zh-CN"/>
        </w:rPr>
      </w:pPr>
      <w:r>
        <w:rPr>
          <w:rFonts w:hint="default" w:ascii="宋体" w:hAnsi="宋体" w:eastAsia="宋体" w:cs="Times New Roman"/>
          <w:lang w:val="en-US" w:eastAsia="zh-CN"/>
        </w:rPr>
        <w:t>提供日常运维、故障处理服务</w:t>
      </w:r>
    </w:p>
    <w:p w14:paraId="6306F7E7">
      <w:pPr>
        <w:pStyle w:val="34"/>
        <w:numPr>
          <w:ilvl w:val="0"/>
          <w:numId w:val="105"/>
        </w:numPr>
        <w:rPr>
          <w:rFonts w:hint="default" w:ascii="宋体" w:hAnsi="宋体" w:eastAsia="宋体" w:cs="Times New Roman"/>
          <w:lang w:val="en-US" w:eastAsia="zh-CN"/>
        </w:rPr>
      </w:pPr>
      <w:r>
        <w:rPr>
          <w:rFonts w:hint="default" w:ascii="宋体" w:hAnsi="宋体" w:eastAsia="宋体" w:cs="Times New Roman"/>
          <w:lang w:val="en-US" w:eastAsia="zh-CN"/>
        </w:rPr>
        <w:t>提供设备、链路、机房等巡检方案计划</w:t>
      </w:r>
    </w:p>
    <w:p w14:paraId="75975163">
      <w:pPr>
        <w:pStyle w:val="34"/>
        <w:numPr>
          <w:ilvl w:val="0"/>
          <w:numId w:val="105"/>
        </w:numPr>
        <w:rPr>
          <w:rFonts w:hint="default" w:ascii="宋体" w:hAnsi="宋体" w:eastAsia="宋体" w:cs="Times New Roman"/>
          <w:lang w:val="en-US" w:eastAsia="zh-CN"/>
        </w:rPr>
      </w:pPr>
      <w:r>
        <w:rPr>
          <w:rFonts w:hint="default" w:ascii="宋体" w:hAnsi="宋体" w:eastAsia="宋体" w:cs="Times New Roman"/>
          <w:lang w:val="en-US" w:eastAsia="zh-CN"/>
        </w:rPr>
        <w:t>提供应急处置、保障人员配备方案</w:t>
      </w:r>
    </w:p>
    <w:p w14:paraId="74636C75">
      <w:pPr>
        <w:pStyle w:val="34"/>
        <w:numPr>
          <w:ilvl w:val="0"/>
          <w:numId w:val="105"/>
        </w:numPr>
        <w:rPr>
          <w:rFonts w:hint="default" w:ascii="宋体" w:hAnsi="宋体" w:eastAsia="宋体" w:cs="Times New Roman"/>
          <w:lang w:val="en-US" w:eastAsia="zh-CN"/>
        </w:rPr>
      </w:pPr>
      <w:r>
        <w:rPr>
          <w:rFonts w:hint="default" w:ascii="宋体" w:hAnsi="宋体" w:eastAsia="宋体" w:cs="Times New Roman"/>
          <w:lang w:val="en-US" w:eastAsia="zh-CN"/>
        </w:rPr>
        <w:t>提供重大活动、节假日保障、市政割接方案及人员配备</w:t>
      </w:r>
    </w:p>
    <w:p w14:paraId="12AA6508">
      <w:pPr>
        <w:pStyle w:val="37"/>
        <w:keepNext w:val="0"/>
        <w:keepLines w:val="0"/>
        <w:pageBreakBefore w:val="0"/>
        <w:widowControl w:val="0"/>
        <w:numPr>
          <w:ilvl w:val="2"/>
          <w:numId w:val="103"/>
        </w:numPr>
        <w:kinsoku/>
        <w:wordWrap/>
        <w:overflowPunct/>
        <w:topLinePunct w:val="0"/>
        <w:autoSpaceDE/>
        <w:autoSpaceDN/>
        <w:bidi w:val="0"/>
        <w:adjustRightInd w:val="0"/>
        <w:snapToGrid w:val="0"/>
        <w:spacing w:line="360" w:lineRule="auto"/>
        <w:ind w:left="0" w:firstLine="0" w:firstLineChars="0"/>
        <w:textAlignment w:val="auto"/>
      </w:pPr>
      <w:r>
        <w:rPr>
          <w:rFonts w:hint="eastAsia"/>
          <w:lang w:val="en-US" w:eastAsia="zh-CN"/>
        </w:rPr>
        <w:t>商务要求</w:t>
      </w:r>
    </w:p>
    <w:p w14:paraId="7CF886C5">
      <w:pPr>
        <w:pStyle w:val="33"/>
        <w:keepNext w:val="0"/>
        <w:keepLines w:val="0"/>
        <w:pageBreakBefore w:val="0"/>
        <w:widowControl w:val="0"/>
        <w:numPr>
          <w:ilvl w:val="3"/>
          <w:numId w:val="84"/>
        </w:numPr>
        <w:kinsoku/>
        <w:wordWrap/>
        <w:overflowPunct/>
        <w:topLinePunct w:val="0"/>
        <w:autoSpaceDE/>
        <w:autoSpaceDN/>
        <w:bidi w:val="0"/>
        <w:adjustRightInd w:val="0"/>
        <w:snapToGrid w:val="0"/>
        <w:spacing w:line="360" w:lineRule="auto"/>
        <w:ind w:left="0" w:firstLine="482" w:firstLineChars="200"/>
        <w:textAlignment w:val="auto"/>
      </w:pPr>
      <w:r>
        <w:rPr>
          <w:rFonts w:hint="eastAsia" w:ascii="宋体" w:hAnsi="宋体" w:eastAsia="宋体" w:cs="Times New Roman"/>
          <w:lang w:val="en-US" w:eastAsia="zh-CN"/>
        </w:rPr>
        <w:t>售后服务要求</w:t>
      </w:r>
    </w:p>
    <w:p w14:paraId="79D03C58">
      <w:pPr>
        <w:pStyle w:val="34"/>
        <w:numPr>
          <w:ilvl w:val="0"/>
          <w:numId w:val="106"/>
        </w:numPr>
        <w:rPr>
          <w:rFonts w:hint="default" w:ascii="宋体" w:hAnsi="宋体" w:eastAsia="宋体" w:cs="Times New Roman"/>
          <w:lang w:val="en-US" w:eastAsia="zh-CN"/>
        </w:rPr>
      </w:pPr>
      <w:r>
        <w:rPr>
          <w:rFonts w:hint="default" w:ascii="宋体" w:hAnsi="宋体" w:eastAsia="宋体" w:cs="Times New Roman"/>
          <w:lang w:val="en-US" w:eastAsia="zh-CN"/>
        </w:rPr>
        <w:t>项目维护计划：供应商承诺并提供承诺函,本次采购的所有产品在1年服务期内提供售后维护服务，服务期内服务方式应包括远程电话支持、远程网络支持、现场服务支持等方式。</w:t>
      </w:r>
    </w:p>
    <w:p w14:paraId="6E05DB07">
      <w:pPr>
        <w:pStyle w:val="34"/>
        <w:numPr>
          <w:ilvl w:val="0"/>
          <w:numId w:val="106"/>
        </w:numPr>
        <w:rPr>
          <w:rFonts w:hint="default" w:ascii="宋体" w:hAnsi="宋体" w:eastAsia="宋体" w:cs="Times New Roman"/>
          <w:lang w:val="en-US" w:eastAsia="zh-CN"/>
        </w:rPr>
      </w:pPr>
      <w:r>
        <w:rPr>
          <w:rFonts w:hint="default" w:ascii="宋体" w:hAnsi="宋体" w:eastAsia="宋体" w:cs="Times New Roman"/>
          <w:lang w:val="en-US" w:eastAsia="zh-CN"/>
        </w:rPr>
        <w:t>响应情况：供应商承诺并提供承诺函：提供全年7×24小时不间断电话响应，接到用户电话后，在30分钟内做出实质性响应，2小时内解决问题。否则采购人将自行采取必要的措施，由此产生风险和费用由供应商承担。</w:t>
      </w:r>
    </w:p>
    <w:p w14:paraId="5484066E">
      <w:pPr>
        <w:pStyle w:val="33"/>
        <w:keepNext w:val="0"/>
        <w:keepLines w:val="0"/>
        <w:pageBreakBefore w:val="0"/>
        <w:widowControl w:val="0"/>
        <w:numPr>
          <w:ilvl w:val="3"/>
          <w:numId w:val="84"/>
        </w:numPr>
        <w:kinsoku/>
        <w:wordWrap/>
        <w:overflowPunct/>
        <w:topLinePunct w:val="0"/>
        <w:autoSpaceDE/>
        <w:autoSpaceDN/>
        <w:bidi w:val="0"/>
        <w:adjustRightInd w:val="0"/>
        <w:snapToGrid w:val="0"/>
        <w:spacing w:line="360" w:lineRule="auto"/>
        <w:ind w:left="0" w:firstLine="482" w:firstLineChars="200"/>
        <w:textAlignment w:val="auto"/>
      </w:pPr>
      <w:r>
        <w:rPr>
          <w:rFonts w:hint="eastAsia"/>
          <w:lang w:val="en-US" w:eastAsia="zh-CN"/>
        </w:rPr>
        <w:t>服务期限及实施地点</w:t>
      </w:r>
    </w:p>
    <w:p w14:paraId="1BBD423F">
      <w:pPr>
        <w:pStyle w:val="34"/>
        <w:numPr>
          <w:ilvl w:val="0"/>
          <w:numId w:val="107"/>
        </w:numPr>
        <w:rPr>
          <w:rFonts w:hint="eastAsia" w:ascii="宋体" w:hAnsi="宋体" w:eastAsia="宋体" w:cs="Times New Roman"/>
          <w:lang w:val="en-US" w:eastAsia="zh-CN"/>
        </w:rPr>
      </w:pPr>
      <w:r>
        <w:rPr>
          <w:rFonts w:hint="eastAsia" w:ascii="宋体" w:hAnsi="宋体" w:eastAsia="宋体" w:cs="Times New Roman"/>
          <w:lang w:val="en-US" w:eastAsia="zh-CN"/>
        </w:rPr>
        <w:t>项目服务期限：</w:t>
      </w:r>
      <w:r>
        <w:rPr>
          <w:rFonts w:hint="eastAsia" w:cs="Times New Roman"/>
          <w:lang w:val="en-US" w:eastAsia="zh-CN"/>
        </w:rPr>
        <w:t>自合同签订之日起12个月内</w:t>
      </w:r>
      <w:r>
        <w:rPr>
          <w:rFonts w:hint="eastAsia" w:ascii="宋体" w:hAnsi="宋体" w:eastAsia="宋体" w:cs="Times New Roman"/>
          <w:lang w:val="en-US" w:eastAsia="zh-CN"/>
        </w:rPr>
        <w:t>。</w:t>
      </w:r>
    </w:p>
    <w:p w14:paraId="268AB581">
      <w:pPr>
        <w:pStyle w:val="34"/>
        <w:numPr>
          <w:ilvl w:val="0"/>
          <w:numId w:val="107"/>
        </w:numPr>
        <w:rPr>
          <w:rFonts w:hint="eastAsia" w:ascii="宋体" w:hAnsi="宋体" w:eastAsia="宋体" w:cs="Times New Roman"/>
          <w:lang w:val="en-US" w:eastAsia="zh-CN"/>
        </w:rPr>
      </w:pPr>
      <w:r>
        <w:rPr>
          <w:rFonts w:hint="eastAsia" w:ascii="宋体" w:hAnsi="宋体" w:eastAsia="宋体" w:cs="Times New Roman"/>
          <w:lang w:val="en-US" w:eastAsia="zh-CN"/>
        </w:rPr>
        <w:t>实施地点：杭州市体育场路479号。</w:t>
      </w:r>
    </w:p>
    <w:p w14:paraId="2F96411B">
      <w:pPr>
        <w:pStyle w:val="34"/>
        <w:numPr>
          <w:ilvl w:val="0"/>
          <w:numId w:val="0"/>
        </w:numPr>
        <w:rPr>
          <w:rFonts w:hint="eastAsia" w:ascii="宋体" w:hAnsi="宋体" w:eastAsia="宋体" w:cs="Times New Roman"/>
          <w:lang w:val="en-US" w:eastAsia="zh-CN"/>
        </w:rPr>
      </w:pPr>
    </w:p>
    <w:p w14:paraId="392D9BE2">
      <w:pPr>
        <w:pStyle w:val="36"/>
        <w:numPr>
          <w:ilvl w:val="1"/>
          <w:numId w:val="47"/>
        </w:numPr>
        <w:bidi w:val="0"/>
        <w:rPr>
          <w:rFonts w:hint="eastAsia"/>
          <w:lang w:val="en-US" w:eastAsia="zh-CN"/>
        </w:rPr>
      </w:pPr>
      <w:bookmarkStart w:id="180" w:name="_Toc5752"/>
      <w:bookmarkStart w:id="181" w:name="_Toc5277"/>
      <w:bookmarkStart w:id="182" w:name="_Toc10922"/>
      <w:bookmarkStart w:id="183" w:name="_Toc17054"/>
      <w:bookmarkStart w:id="184" w:name="_Toc19120"/>
      <w:bookmarkStart w:id="185" w:name="_Toc19482"/>
      <w:bookmarkStart w:id="186" w:name="_Toc29358"/>
      <w:r>
        <w:rPr>
          <w:rFonts w:hint="eastAsia"/>
          <w:lang w:val="en-US" w:eastAsia="zh-CN"/>
        </w:rPr>
        <w:t>服务团队要求</w:t>
      </w:r>
      <w:bookmarkEnd w:id="180"/>
    </w:p>
    <w:p w14:paraId="36B68A47">
      <w:pPr>
        <w:pStyle w:val="34"/>
        <w:rPr>
          <w:rFonts w:hint="eastAsia"/>
          <w:lang w:val="en-US" w:eastAsia="zh-CN"/>
        </w:rPr>
      </w:pPr>
      <w:r>
        <w:rPr>
          <w:rFonts w:hint="eastAsia"/>
          <w:lang w:val="en-US" w:eastAsia="zh-CN"/>
        </w:rPr>
        <w:t>供应商为本项目提供服务的维护机构应具有较强的服务能力，能提供快速的响应服务，配有较强的专业技术队伍，能确保能提供快速的售后服务响应。项目经理和技术负责人必须全程参与项目实施，不得随意更换。其余团队人员需包括但不限于以下要求</w:t>
      </w:r>
      <w:r>
        <w:rPr>
          <w:rFonts w:hint="eastAsia"/>
        </w:rPr>
        <w:t>：</w:t>
      </w:r>
      <w:r>
        <w:rPr>
          <w:rFonts w:hint="eastAsia"/>
          <w:lang w:val="en-US" w:eastAsia="zh-CN"/>
        </w:rPr>
        <w:t>：</w:t>
      </w:r>
    </w:p>
    <w:p w14:paraId="2896DE77">
      <w:pPr>
        <w:pStyle w:val="34"/>
        <w:rPr>
          <w:rFonts w:hint="eastAsia"/>
          <w:lang w:val="en-US" w:eastAsia="zh-CN"/>
        </w:rPr>
      </w:pPr>
      <w:r>
        <w:rPr>
          <w:rFonts w:hint="eastAsia"/>
          <w:lang w:val="en-US" w:eastAsia="zh-CN"/>
        </w:rPr>
        <w:t>1.防汛防台视频可视化支撑系统维保服务项目：运维服务经理1名、现场运维工程师（驻场）1名、远程技术专家5名。工作时间为每周5天（8:30-17:30），每年请假时间不超过20日；考核结合用户意见。驻场工程师负责普通系统问题解决，远程技术专家负责重大故障处理及运行分析、优化建议。</w:t>
      </w:r>
    </w:p>
    <w:p w14:paraId="4CFE934F">
      <w:pPr>
        <w:pStyle w:val="34"/>
        <w:rPr>
          <w:rFonts w:hint="eastAsia"/>
          <w:lang w:val="en-US" w:eastAsia="zh-CN"/>
        </w:rPr>
      </w:pPr>
      <w:r>
        <w:rPr>
          <w:rFonts w:hint="eastAsia"/>
          <w:lang w:val="en-US" w:eastAsia="zh-CN"/>
        </w:rPr>
        <w:t>2.应急指挥车维护服务：需配备1名随车技术人员。</w:t>
      </w:r>
    </w:p>
    <w:p w14:paraId="54C46AC6">
      <w:pPr>
        <w:pStyle w:val="34"/>
        <w:rPr>
          <w:rFonts w:hint="eastAsia"/>
          <w:lang w:val="en-US" w:eastAsia="zh-CN"/>
        </w:rPr>
      </w:pPr>
      <w:r>
        <w:rPr>
          <w:rFonts w:hint="eastAsia"/>
          <w:lang w:val="en-US" w:eastAsia="zh-CN"/>
        </w:rPr>
        <w:t>3.浙里焊数字化拓展推广应用项目运维：软件维护团队需配备软件工程师或信息系统管理工程师不少于2人。</w:t>
      </w:r>
    </w:p>
    <w:p w14:paraId="6CD2ADFE">
      <w:pPr>
        <w:pStyle w:val="34"/>
        <w:rPr>
          <w:rFonts w:hint="eastAsia"/>
          <w:lang w:val="en-US" w:eastAsia="zh-CN"/>
        </w:rPr>
      </w:pPr>
      <w:r>
        <w:rPr>
          <w:rFonts w:hint="eastAsia"/>
          <w:lang w:val="en-US" w:eastAsia="zh-CN"/>
        </w:rPr>
        <w:t>4.服务总线系统运维服务：运维服务经理1名、运维工程师（驻场）1名、技术专家不少于2名。</w:t>
      </w:r>
    </w:p>
    <w:p w14:paraId="65B636B4">
      <w:pPr>
        <w:pStyle w:val="34"/>
        <w:rPr>
          <w:rFonts w:hint="eastAsia"/>
          <w:lang w:val="en-US" w:eastAsia="zh-CN"/>
        </w:rPr>
      </w:pPr>
    </w:p>
    <w:p w14:paraId="4846C42A">
      <w:pPr>
        <w:pStyle w:val="36"/>
        <w:numPr>
          <w:ilvl w:val="1"/>
          <w:numId w:val="47"/>
        </w:numPr>
        <w:bidi w:val="0"/>
        <w:rPr>
          <w:rFonts w:hint="eastAsia"/>
          <w:lang w:val="en-US" w:eastAsia="zh-CN"/>
        </w:rPr>
      </w:pPr>
      <w:bookmarkStart w:id="187" w:name="_Toc9027"/>
      <w:r>
        <w:rPr>
          <w:rFonts w:hint="eastAsia"/>
          <w:lang w:val="en-US" w:eastAsia="zh-CN"/>
        </w:rPr>
        <w:t>付款条件</w:t>
      </w:r>
      <w:bookmarkEnd w:id="181"/>
      <w:bookmarkEnd w:id="182"/>
      <w:bookmarkEnd w:id="183"/>
      <w:bookmarkEnd w:id="184"/>
      <w:bookmarkEnd w:id="185"/>
      <w:bookmarkEnd w:id="186"/>
      <w:bookmarkEnd w:id="187"/>
    </w:p>
    <w:p w14:paraId="58EA9A3E">
      <w:pPr>
        <w:pStyle w:val="34"/>
        <w:numPr>
          <w:ilvl w:val="0"/>
          <w:numId w:val="0"/>
        </w:numPr>
        <w:ind w:firstLine="480" w:firstLineChars="200"/>
      </w:pPr>
      <w:r>
        <w:rPr>
          <w:rFonts w:hint="eastAsia"/>
          <w:lang w:val="en-US" w:eastAsia="zh-CN"/>
        </w:rPr>
        <w:t>合同签订生效后，收到乙方票据7个工作日内，甲方向乙方支付合同金额的70%；提交详细运维方案经业主确认无误，按方案运维1月，提交阶段性成果后支付合同款28%，验收合格后支付合同款2%。</w:t>
      </w:r>
    </w:p>
    <w:p w14:paraId="2241D1B6">
      <w:r>
        <w:rPr>
          <w:rFonts w:hint="eastAsia"/>
          <w:lang w:eastAsia="zh-CN"/>
        </w:rPr>
        <w:br w:type="page"/>
      </w:r>
    </w:p>
    <w:p w14:paraId="182502FE">
      <w:pPr>
        <w:pStyle w:val="35"/>
      </w:pPr>
      <w:bookmarkStart w:id="188" w:name="_Toc24426"/>
      <w:bookmarkStart w:id="189" w:name="_Toc26396"/>
      <w:bookmarkStart w:id="190" w:name="_Toc26599"/>
      <w:bookmarkStart w:id="191" w:name="_Toc12135"/>
      <w:bookmarkStart w:id="192" w:name="_Toc3816"/>
      <w:r>
        <w:rPr>
          <w:rFonts w:hint="eastAsia"/>
          <w:lang w:eastAsia="zh-CN"/>
        </w:rPr>
        <w:t>合同文本</w:t>
      </w:r>
      <w:bookmarkEnd w:id="188"/>
      <w:bookmarkEnd w:id="189"/>
      <w:bookmarkEnd w:id="190"/>
      <w:bookmarkEnd w:id="191"/>
      <w:bookmarkEnd w:id="192"/>
    </w:p>
    <w:p w14:paraId="3484142A">
      <w:pPr>
        <w:pStyle w:val="34"/>
        <w:ind w:firstLine="0" w:firstLineChars="0"/>
        <w:rPr>
          <w:u w:val="single"/>
        </w:rPr>
      </w:pPr>
      <w:r>
        <w:rPr>
          <w:rFonts w:hint="eastAsia"/>
          <w:u w:val="single"/>
        </w:rPr>
        <w:t>说明：本合同文本为招标人与中标人需要签订的正式文本，除将招标结果内容逐项填入外，其他已填写内容不得更改（联合体中标的可针对多方权益适当调整部分描述，但不得调整任何导致对其他投标人产生不公平影响的条款）。各投标人应对本合同文本中的条款全部响应，如有偏离需在商务偏离表中注明。</w:t>
      </w:r>
    </w:p>
    <w:p w14:paraId="40FDF477">
      <w:pPr>
        <w:snapToGrid w:val="0"/>
        <w:spacing w:line="360" w:lineRule="auto"/>
        <w:rPr>
          <w:rFonts w:ascii="宋体" w:hAnsi="宋体"/>
          <w:sz w:val="24"/>
          <w:szCs w:val="24"/>
        </w:rPr>
      </w:pPr>
      <w:r>
        <w:rPr>
          <w:rFonts w:hint="eastAsia" w:ascii="宋体" w:hAnsi="宋体"/>
          <w:sz w:val="24"/>
          <w:szCs w:val="24"/>
        </w:rPr>
        <w:t xml:space="preserve"> </w:t>
      </w:r>
    </w:p>
    <w:p w14:paraId="3DEF2D45">
      <w:pPr>
        <w:snapToGrid w:val="0"/>
        <w:spacing w:line="360" w:lineRule="auto"/>
        <w:jc w:val="center"/>
        <w:rPr>
          <w:rFonts w:ascii="宋体" w:hAnsi="宋体"/>
          <w:sz w:val="36"/>
          <w:szCs w:val="36"/>
        </w:rPr>
      </w:pPr>
      <w:r>
        <w:rPr>
          <w:rFonts w:hint="eastAsia" w:ascii="宋体" w:hAnsi="宋体"/>
          <w:color w:val="auto"/>
          <w:sz w:val="36"/>
          <w:szCs w:val="36"/>
          <w:lang w:eastAsia="zh-CN"/>
        </w:rPr>
        <w:t>浙江省应急管理厅安全生产和指挥调度类数字化系统保障服务</w:t>
      </w:r>
      <w:r>
        <w:rPr>
          <w:rFonts w:hint="eastAsia" w:ascii="宋体" w:hAnsi="宋体"/>
          <w:sz w:val="36"/>
          <w:szCs w:val="36"/>
        </w:rPr>
        <w:t>项目</w:t>
      </w:r>
    </w:p>
    <w:p w14:paraId="3C4D1B35">
      <w:pPr>
        <w:snapToGrid w:val="0"/>
        <w:spacing w:line="360" w:lineRule="auto"/>
        <w:jc w:val="center"/>
        <w:rPr>
          <w:rFonts w:ascii="宋体" w:hAnsi="宋体"/>
          <w:sz w:val="36"/>
          <w:szCs w:val="36"/>
        </w:rPr>
      </w:pPr>
      <w:r>
        <w:rPr>
          <w:rFonts w:hint="eastAsia" w:ascii="宋体" w:hAnsi="宋体"/>
          <w:sz w:val="36"/>
          <w:szCs w:val="36"/>
        </w:rPr>
        <w:t>政府采购合同</w:t>
      </w:r>
    </w:p>
    <w:p w14:paraId="15801C83">
      <w:pPr>
        <w:snapToGrid w:val="0"/>
        <w:spacing w:line="360" w:lineRule="auto"/>
        <w:rPr>
          <w:rFonts w:ascii="宋体" w:hAnsi="宋体"/>
          <w:sz w:val="24"/>
          <w:szCs w:val="24"/>
        </w:rPr>
      </w:pPr>
      <w:r>
        <w:rPr>
          <w:rFonts w:hint="eastAsia" w:ascii="宋体" w:hAnsi="宋体"/>
          <w:sz w:val="24"/>
          <w:szCs w:val="24"/>
        </w:rPr>
        <w:t xml:space="preserve">                                                   合同编号：             </w:t>
      </w:r>
    </w:p>
    <w:p w14:paraId="0CCCDCCE">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0492AD3">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4F1E7C2">
      <w:pPr>
        <w:snapToGrid w:val="0"/>
        <w:spacing w:line="360" w:lineRule="auto"/>
        <w:ind w:firstLine="480" w:firstLineChars="200"/>
        <w:rPr>
          <w:rFonts w:ascii="宋体" w:hAnsi="宋体"/>
          <w:sz w:val="24"/>
          <w:szCs w:val="24"/>
        </w:rPr>
      </w:pPr>
      <w:r>
        <w:rPr>
          <w:rFonts w:hint="eastAsia" w:ascii="宋体" w:hAnsi="宋体"/>
          <w:sz w:val="24"/>
          <w:szCs w:val="24"/>
        </w:rPr>
        <w:t>项目名称：</w:t>
      </w:r>
      <w:r>
        <w:rPr>
          <w:rFonts w:hint="eastAsia" w:ascii="宋体" w:hAnsi="宋体"/>
          <w:color w:val="auto"/>
          <w:sz w:val="24"/>
          <w:szCs w:val="24"/>
          <w:u w:val="single"/>
          <w:lang w:eastAsia="zh-CN"/>
        </w:rPr>
        <w:t>浙江省应急管理厅安全生产和指挥调度类数字化系统保障服务</w:t>
      </w:r>
      <w:r>
        <w:rPr>
          <w:rFonts w:hint="eastAsia" w:ascii="宋体" w:hAnsi="宋体"/>
          <w:sz w:val="24"/>
          <w:szCs w:val="24"/>
          <w:u w:val="single"/>
        </w:rPr>
        <w:t>项目</w:t>
      </w:r>
    </w:p>
    <w:p w14:paraId="50BE77C7">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1F49DC67">
      <w:pPr>
        <w:snapToGrid w:val="0"/>
        <w:spacing w:line="360" w:lineRule="auto"/>
        <w:ind w:firstLine="480" w:firstLineChars="200"/>
        <w:rPr>
          <w:rFonts w:ascii="宋体" w:hAnsi="宋体"/>
          <w:sz w:val="24"/>
          <w:szCs w:val="24"/>
        </w:rPr>
      </w:pPr>
      <w:r>
        <w:rPr>
          <w:rFonts w:hint="eastAsia" w:ascii="宋体" w:hAnsi="宋体"/>
          <w:sz w:val="24"/>
          <w:szCs w:val="24"/>
        </w:rPr>
        <w:t>货物名称：</w:t>
      </w:r>
      <w:r>
        <w:rPr>
          <w:rFonts w:hint="eastAsia" w:ascii="宋体" w:hAnsi="宋体"/>
          <w:color w:val="auto"/>
          <w:sz w:val="24"/>
          <w:szCs w:val="24"/>
          <w:u w:val="single"/>
          <w:lang w:eastAsia="zh-CN"/>
        </w:rPr>
        <w:t>安全生产和指挥调度类数字化系统保障服务</w:t>
      </w:r>
      <w:r>
        <w:rPr>
          <w:rFonts w:hint="eastAsia" w:ascii="宋体" w:hAnsi="宋体"/>
          <w:sz w:val="24"/>
          <w:szCs w:val="24"/>
          <w:u w:val="single"/>
        </w:rPr>
        <w:t xml:space="preserve"> </w:t>
      </w:r>
    </w:p>
    <w:p w14:paraId="2D12681A">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27D8330E">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2C4F0641">
      <w:pPr>
        <w:snapToGrid w:val="0"/>
        <w:spacing w:line="360" w:lineRule="auto"/>
        <w:ind w:firstLine="480" w:firstLineChars="200"/>
        <w:rPr>
          <w:rFonts w:ascii="宋体" w:hAnsi="宋体"/>
          <w:sz w:val="24"/>
          <w:szCs w:val="24"/>
        </w:rPr>
      </w:pPr>
      <w:r>
        <w:rPr>
          <w:rFonts w:hint="eastAsia" w:ascii="宋体" w:hAnsi="宋体"/>
          <w:sz w:val="24"/>
          <w:szCs w:val="24"/>
        </w:rPr>
        <w:t>买  方：</w:t>
      </w:r>
      <w:r>
        <w:rPr>
          <w:rFonts w:hint="eastAsia" w:ascii="宋体" w:hAnsi="宋体"/>
          <w:color w:val="auto"/>
          <w:sz w:val="24"/>
          <w:szCs w:val="24"/>
          <w:u w:val="single"/>
          <w:lang w:eastAsia="zh-CN"/>
        </w:rPr>
        <w:t>浙江省应急管理厅</w:t>
      </w:r>
      <w:r>
        <w:rPr>
          <w:rFonts w:hint="eastAsia" w:ascii="宋体" w:hAnsi="宋体"/>
          <w:sz w:val="24"/>
          <w:szCs w:val="24"/>
          <w:u w:val="single"/>
        </w:rPr>
        <w:t xml:space="preserve"> </w:t>
      </w:r>
    </w:p>
    <w:p w14:paraId="3CD96179">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C29292F">
      <w:pPr>
        <w:snapToGrid w:val="0"/>
        <w:spacing w:line="360" w:lineRule="auto"/>
        <w:ind w:firstLine="480" w:firstLineChars="200"/>
        <w:rPr>
          <w:rFonts w:ascii="宋体" w:hAnsi="宋体"/>
          <w:sz w:val="24"/>
          <w:szCs w:val="24"/>
        </w:rPr>
      </w:pPr>
      <w:r>
        <w:rPr>
          <w:rFonts w:hint="eastAsia" w:ascii="宋体" w:hAnsi="宋体"/>
          <w:sz w:val="24"/>
          <w:szCs w:val="24"/>
        </w:rPr>
        <w:t>卖  方：</w:t>
      </w:r>
      <w:r>
        <w:rPr>
          <w:rFonts w:hint="eastAsia" w:ascii="宋体" w:hAnsi="宋体"/>
          <w:sz w:val="24"/>
          <w:szCs w:val="24"/>
          <w:u w:val="single"/>
        </w:rPr>
        <w:t xml:space="preserve">                                         </w:t>
      </w:r>
    </w:p>
    <w:p w14:paraId="6CE481E3">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70920457">
      <w:pPr>
        <w:snapToGrid w:val="0"/>
        <w:spacing w:line="360" w:lineRule="auto"/>
        <w:ind w:firstLine="480" w:firstLineChars="200"/>
        <w:rPr>
          <w:rFonts w:ascii="宋体" w:hAnsi="宋体"/>
          <w:sz w:val="24"/>
          <w:szCs w:val="24"/>
        </w:rPr>
      </w:pPr>
    </w:p>
    <w:p w14:paraId="21D196B7">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52D8B9C6">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491E962">
      <w:pPr>
        <w:snapToGrid w:val="0"/>
        <w:spacing w:line="360" w:lineRule="auto"/>
        <w:ind w:firstLine="480" w:firstLineChars="200"/>
        <w:rPr>
          <w:rFonts w:ascii="宋体" w:hAnsi="宋体"/>
          <w:sz w:val="24"/>
          <w:szCs w:val="24"/>
        </w:rPr>
      </w:pPr>
      <w:r>
        <w:rPr>
          <w:rFonts w:hint="eastAsia" w:ascii="宋体" w:hAnsi="宋体"/>
          <w:sz w:val="24"/>
          <w:szCs w:val="24"/>
        </w:rPr>
        <w:t>签署日期：</w:t>
      </w:r>
      <w:r>
        <w:rPr>
          <w:rFonts w:hint="eastAsia" w:ascii="宋体" w:hAnsi="宋体"/>
          <w:sz w:val="24"/>
          <w:szCs w:val="24"/>
          <w:u w:val="single"/>
        </w:rPr>
        <w:t xml:space="preserve">                                         </w:t>
      </w:r>
    </w:p>
    <w:p w14:paraId="0FCA70AB">
      <w:pPr>
        <w:snapToGrid w:val="0"/>
        <w:spacing w:line="360" w:lineRule="auto"/>
        <w:rPr>
          <w:rFonts w:ascii="宋体" w:hAnsi="宋体"/>
          <w:sz w:val="28"/>
          <w:szCs w:val="28"/>
        </w:rPr>
      </w:pPr>
      <w:r>
        <w:rPr>
          <w:rFonts w:hint="eastAsia" w:ascii="宋体" w:hAnsi="宋体"/>
        </w:rPr>
        <w:t xml:space="preserve">                                           </w:t>
      </w:r>
    </w:p>
    <w:p w14:paraId="78035E54">
      <w:pPr>
        <w:snapToGrid w:val="0"/>
        <w:spacing w:line="360" w:lineRule="auto"/>
        <w:jc w:val="center"/>
        <w:rPr>
          <w:rFonts w:ascii="宋体" w:hAnsi="宋体"/>
        </w:rPr>
      </w:pPr>
      <w:r>
        <w:rPr>
          <w:rFonts w:hint="eastAsia" w:ascii="宋体" w:hAnsi="宋体"/>
        </w:rPr>
        <w:br w:type="page"/>
      </w:r>
    </w:p>
    <w:p w14:paraId="78B6EF08">
      <w:pPr>
        <w:pStyle w:val="36"/>
        <w:numPr>
          <w:ilvl w:val="1"/>
          <w:numId w:val="108"/>
        </w:numPr>
        <w:bidi w:val="0"/>
      </w:pPr>
      <w:bookmarkStart w:id="193" w:name="_Toc20227"/>
      <w:bookmarkStart w:id="194" w:name="_Toc28386"/>
      <w:bookmarkStart w:id="195" w:name="_Toc721"/>
      <w:bookmarkStart w:id="196" w:name="_Toc18623"/>
      <w:bookmarkStart w:id="197" w:name="_Toc2392"/>
      <w:r>
        <w:rPr>
          <w:rFonts w:hint="eastAsia"/>
        </w:rPr>
        <w:t>合同协议</w:t>
      </w:r>
      <w:bookmarkEnd w:id="193"/>
      <w:bookmarkEnd w:id="194"/>
      <w:bookmarkEnd w:id="195"/>
      <w:bookmarkEnd w:id="196"/>
      <w:bookmarkEnd w:id="197"/>
    </w:p>
    <w:p w14:paraId="1E6027FF">
      <w:pPr>
        <w:pStyle w:val="34"/>
        <w:ind w:firstLine="199" w:firstLineChars="83"/>
      </w:pPr>
      <w:r>
        <w:rPr>
          <w:rFonts w:hint="eastAsia"/>
        </w:rPr>
        <w:t>买方（甲方）：</w:t>
      </w:r>
      <w:r>
        <w:rPr>
          <w:rFonts w:hint="eastAsia"/>
          <w:color w:val="auto"/>
          <w:u w:val="single"/>
          <w:lang w:eastAsia="zh-CN"/>
        </w:rPr>
        <w:t>浙江省应急管理厅</w:t>
      </w:r>
      <w:r>
        <w:rPr>
          <w:rFonts w:hint="eastAsia"/>
          <w:u w:val="single"/>
        </w:rPr>
        <w:t xml:space="preserve"> </w:t>
      </w:r>
    </w:p>
    <w:p w14:paraId="251FBE31">
      <w:pPr>
        <w:pStyle w:val="34"/>
        <w:ind w:firstLine="199" w:firstLineChars="83"/>
      </w:pPr>
      <w:r>
        <w:rPr>
          <w:rFonts w:hint="eastAsia"/>
        </w:rPr>
        <w:t>卖方（乙方）：</w:t>
      </w:r>
      <w:r>
        <w:rPr>
          <w:rFonts w:hint="eastAsia"/>
          <w:u w:val="single"/>
        </w:rPr>
        <w:t xml:space="preserve">                                     </w:t>
      </w:r>
    </w:p>
    <w:p w14:paraId="0FDCF564">
      <w:pPr>
        <w:pStyle w:val="34"/>
        <w:ind w:firstLine="480"/>
      </w:pPr>
      <w:r>
        <w:rPr>
          <w:rFonts w:hint="eastAsia"/>
        </w:rPr>
        <w:t>买、卖双方根据浙江中勤招标代理有限公司关于</w:t>
      </w:r>
      <w:r>
        <w:rPr>
          <w:rFonts w:hint="eastAsia"/>
          <w:color w:val="auto"/>
          <w:lang w:eastAsia="zh-CN"/>
        </w:rPr>
        <w:t>浙江省应急管理厅安全生产和指挥调度类数字化系统保障服务</w:t>
      </w:r>
      <w:r>
        <w:rPr>
          <w:rFonts w:hint="eastAsia"/>
        </w:rPr>
        <w:t>项目(项目编号：</w:t>
      </w:r>
      <w:r>
        <w:rPr>
          <w:rFonts w:hint="eastAsia"/>
          <w:color w:val="auto"/>
          <w:lang w:eastAsia="zh-CN"/>
        </w:rPr>
        <w:t>ZQ250702ZG</w:t>
      </w:r>
      <w:r>
        <w:rPr>
          <w:rFonts w:hint="eastAsia"/>
        </w:rPr>
        <w:t>)公开招标的结果，共同达成如下协议：</w:t>
      </w:r>
    </w:p>
    <w:p w14:paraId="682D9B70">
      <w:pPr>
        <w:pStyle w:val="34"/>
        <w:ind w:firstLine="480"/>
      </w:pPr>
      <w:r>
        <w:rPr>
          <w:rFonts w:hint="eastAsia"/>
        </w:rPr>
        <w:t>1、下列文件为本合同协议书的组成部分，须与本合同协议书共同阅读和解释：</w:t>
      </w:r>
    </w:p>
    <w:p w14:paraId="323F54A8">
      <w:pPr>
        <w:pStyle w:val="34"/>
        <w:ind w:firstLine="480"/>
      </w:pPr>
      <w:r>
        <w:rPr>
          <w:rFonts w:hint="eastAsia"/>
        </w:rPr>
        <w:t>（1）中标通知书；</w:t>
      </w:r>
    </w:p>
    <w:p w14:paraId="39B7EAA6">
      <w:pPr>
        <w:pStyle w:val="34"/>
        <w:ind w:firstLine="480"/>
      </w:pPr>
      <w:r>
        <w:rPr>
          <w:rFonts w:hint="eastAsia"/>
        </w:rPr>
        <w:t>（2）投标文件及其修改、补充文件（包括评标期间的澄清文件）；</w:t>
      </w:r>
    </w:p>
    <w:p w14:paraId="30FD2351">
      <w:pPr>
        <w:snapToGrid w:val="0"/>
        <w:spacing w:line="360" w:lineRule="auto"/>
        <w:ind w:firstLine="480" w:firstLineChars="200"/>
        <w:rPr>
          <w:rFonts w:ascii="宋体" w:hAnsi="宋体"/>
          <w:sz w:val="24"/>
          <w:szCs w:val="24"/>
        </w:rPr>
      </w:pPr>
      <w:r>
        <w:rPr>
          <w:rFonts w:hint="eastAsia" w:ascii="宋体" w:hAnsi="宋体"/>
          <w:sz w:val="24"/>
          <w:szCs w:val="24"/>
        </w:rPr>
        <w:t>（3）补充协议（如果有）；</w:t>
      </w:r>
    </w:p>
    <w:p w14:paraId="4D4043AD">
      <w:pPr>
        <w:snapToGrid w:val="0"/>
        <w:spacing w:line="360" w:lineRule="auto"/>
        <w:ind w:firstLine="480" w:firstLineChars="200"/>
        <w:rPr>
          <w:rFonts w:ascii="宋体" w:hAnsi="宋体"/>
          <w:sz w:val="24"/>
          <w:szCs w:val="24"/>
        </w:rPr>
      </w:pPr>
      <w:r>
        <w:rPr>
          <w:rFonts w:hint="eastAsia" w:ascii="宋体" w:hAnsi="宋体"/>
          <w:sz w:val="24"/>
          <w:szCs w:val="24"/>
        </w:rPr>
        <w:t>（4）合同特殊条款及其相关附件；</w:t>
      </w:r>
    </w:p>
    <w:p w14:paraId="5F0357A1">
      <w:pPr>
        <w:snapToGrid w:val="0"/>
        <w:spacing w:line="360" w:lineRule="auto"/>
        <w:ind w:firstLine="480" w:firstLineChars="200"/>
        <w:rPr>
          <w:rFonts w:ascii="宋体" w:hAnsi="宋体"/>
          <w:sz w:val="24"/>
          <w:szCs w:val="24"/>
        </w:rPr>
      </w:pPr>
      <w:r>
        <w:rPr>
          <w:rFonts w:hint="eastAsia" w:ascii="宋体" w:hAnsi="宋体"/>
          <w:sz w:val="24"/>
          <w:szCs w:val="24"/>
        </w:rPr>
        <w:t>（5）合同一般条款及其相关附件；</w:t>
      </w:r>
    </w:p>
    <w:p w14:paraId="5CA3B88C">
      <w:pPr>
        <w:spacing w:line="360" w:lineRule="auto"/>
        <w:ind w:firstLine="480" w:firstLineChars="200"/>
        <w:rPr>
          <w:rFonts w:ascii="宋体" w:hAnsi="宋体"/>
          <w:sz w:val="24"/>
          <w:szCs w:val="24"/>
        </w:rPr>
      </w:pPr>
      <w:r>
        <w:rPr>
          <w:rFonts w:hint="eastAsia" w:ascii="宋体" w:hAnsi="宋体"/>
          <w:sz w:val="24"/>
          <w:szCs w:val="24"/>
        </w:rPr>
        <w:t>（6）招标文件及其修改、补充文件；</w:t>
      </w:r>
    </w:p>
    <w:p w14:paraId="1F1AE12C">
      <w:pPr>
        <w:spacing w:line="360" w:lineRule="auto"/>
        <w:ind w:firstLine="480" w:firstLineChars="200"/>
        <w:rPr>
          <w:rFonts w:ascii="宋体" w:hAnsi="宋体"/>
          <w:sz w:val="24"/>
          <w:szCs w:val="24"/>
        </w:rPr>
      </w:pPr>
      <w:r>
        <w:rPr>
          <w:rFonts w:hint="eastAsia" w:ascii="宋体" w:hAnsi="宋体"/>
          <w:sz w:val="24"/>
          <w:szCs w:val="24"/>
        </w:rPr>
        <w:t>（7）其他协议文件。买卖双方合同实施过程中的洽商、会议纪要、变更、补充协议等书面文件应视为本合同的组成部分。</w:t>
      </w:r>
    </w:p>
    <w:p w14:paraId="01B8AA0C">
      <w:pPr>
        <w:spacing w:line="360" w:lineRule="auto"/>
        <w:ind w:firstLine="480" w:firstLineChars="200"/>
        <w:rPr>
          <w:rFonts w:ascii="宋体" w:hAnsi="宋体"/>
          <w:sz w:val="24"/>
          <w:szCs w:val="24"/>
        </w:rPr>
      </w:pPr>
      <w:r>
        <w:rPr>
          <w:rFonts w:ascii="宋体" w:hAnsi="宋体"/>
          <w:sz w:val="24"/>
          <w:szCs w:val="24"/>
        </w:rPr>
        <w:t>2、上述文件互相补充和解释，如有不明确或不一致之处，上述合同文件以自上而下为优先解释顺序。</w:t>
      </w:r>
    </w:p>
    <w:p w14:paraId="44656969">
      <w:pPr>
        <w:spacing w:line="360" w:lineRule="auto"/>
        <w:ind w:left="39" w:firstLine="480" w:firstLineChars="200"/>
        <w:jc w:val="left"/>
        <w:rPr>
          <w:rFonts w:hint="default" w:ascii="宋体" w:hAnsi="宋体" w:eastAsia="宋体"/>
          <w:sz w:val="24"/>
          <w:szCs w:val="24"/>
          <w:lang w:eastAsia="zh-Hans"/>
        </w:rPr>
      </w:pPr>
      <w:r>
        <w:rPr>
          <w:rFonts w:ascii="宋体" w:hAnsi="宋体"/>
          <w:sz w:val="24"/>
          <w:szCs w:val="24"/>
        </w:rPr>
        <w:t>3、</w:t>
      </w:r>
      <w:r>
        <w:rPr>
          <w:rFonts w:hint="eastAsia" w:ascii="宋体" w:hAnsi="宋体"/>
          <w:sz w:val="24"/>
          <w:szCs w:val="24"/>
        </w:rPr>
        <w:t>服务内容：</w:t>
      </w:r>
      <w:r>
        <w:rPr>
          <w:rFonts w:hint="default" w:ascii="宋体" w:hAnsi="宋体"/>
          <w:sz w:val="24"/>
          <w:szCs w:val="24"/>
          <w:u w:val="single"/>
        </w:rPr>
        <w:t xml:space="preserve">                                                    </w:t>
      </w:r>
    </w:p>
    <w:p w14:paraId="2E91D142">
      <w:pPr>
        <w:spacing w:line="360" w:lineRule="auto"/>
        <w:ind w:left="39" w:firstLine="480" w:firstLineChars="200"/>
        <w:rPr>
          <w:rFonts w:hint="eastAsia" w:ascii="宋体" w:hAnsi="宋体"/>
          <w:sz w:val="24"/>
          <w:szCs w:val="24"/>
        </w:rPr>
      </w:pPr>
      <w:r>
        <w:rPr>
          <w:rFonts w:hint="eastAsia" w:ascii="宋体" w:hAnsi="宋体"/>
          <w:sz w:val="24"/>
          <w:szCs w:val="24"/>
        </w:rPr>
        <w:t>服务期</w:t>
      </w:r>
      <w:r>
        <w:rPr>
          <w:rFonts w:hint="eastAsia" w:ascii="宋体" w:hAnsi="宋体"/>
          <w:sz w:val="24"/>
          <w:szCs w:val="24"/>
          <w:lang w:eastAsia="zh-Hans"/>
        </w:rPr>
        <w:t>：</w:t>
      </w:r>
      <w:r>
        <w:rPr>
          <w:rFonts w:hint="default" w:ascii="宋体" w:hAnsi="宋体"/>
          <w:sz w:val="24"/>
          <w:szCs w:val="24"/>
          <w:u w:val="single"/>
        </w:rPr>
        <w:t xml:space="preserve">                                                         </w:t>
      </w:r>
    </w:p>
    <w:p w14:paraId="4181CA6C">
      <w:pPr>
        <w:spacing w:line="360" w:lineRule="auto"/>
        <w:ind w:firstLine="480" w:firstLineChars="200"/>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考虑到卖方将提供服务及修补缺陷，买方在此同卖方立约，保证按照合同规定的付款时间和付款方式向卖方支付合同条款所规定的合同价款或其他应付款项。</w:t>
      </w:r>
    </w:p>
    <w:p w14:paraId="395D99C1">
      <w:pPr>
        <w:spacing w:line="360" w:lineRule="auto"/>
        <w:ind w:firstLine="480" w:firstLineChars="200"/>
        <w:rPr>
          <w:rFonts w:ascii="宋体" w:hAnsi="宋体"/>
          <w:sz w:val="24"/>
          <w:szCs w:val="24"/>
        </w:rPr>
      </w:pPr>
      <w:r>
        <w:rPr>
          <w:rFonts w:ascii="宋体" w:hAnsi="宋体"/>
          <w:sz w:val="24"/>
          <w:szCs w:val="24"/>
        </w:rPr>
        <w:t>5、签约合同价为</w:t>
      </w:r>
      <w:r>
        <w:rPr>
          <w:rFonts w:hint="eastAsia" w:ascii="宋体" w:hAnsi="宋体"/>
          <w:sz w:val="24"/>
          <w:szCs w:val="24"/>
        </w:rPr>
        <w:t>：</w:t>
      </w:r>
      <w:r>
        <w:rPr>
          <w:rFonts w:ascii="宋体" w:hAnsi="宋体"/>
          <w:sz w:val="24"/>
          <w:szCs w:val="24"/>
        </w:rPr>
        <w:t>人民币（大写）</w:t>
      </w:r>
      <w:r>
        <w:rPr>
          <w:rFonts w:ascii="宋体" w:hAnsi="宋体"/>
          <w:sz w:val="24"/>
          <w:szCs w:val="24"/>
          <w:u w:val="single"/>
        </w:rPr>
        <w:t xml:space="preserve">          </w:t>
      </w:r>
      <w:r>
        <w:rPr>
          <w:rFonts w:ascii="宋体" w:hAnsi="宋体"/>
          <w:sz w:val="24"/>
          <w:szCs w:val="24"/>
        </w:rPr>
        <w:t>元（¥</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C1E804B">
      <w:pPr>
        <w:spacing w:line="360" w:lineRule="auto"/>
        <w:ind w:firstLine="480" w:firstLineChars="200"/>
        <w:rPr>
          <w:rFonts w:ascii="宋体" w:hAnsi="宋体"/>
          <w:sz w:val="24"/>
          <w:szCs w:val="24"/>
        </w:rPr>
      </w:pPr>
      <w:r>
        <w:rPr>
          <w:rFonts w:ascii="宋体" w:hAnsi="宋体"/>
          <w:sz w:val="24"/>
          <w:szCs w:val="24"/>
        </w:rPr>
        <w:t>6、本合同中的词语和术语的含义与下文合同条款中的定义相同。</w:t>
      </w:r>
    </w:p>
    <w:p w14:paraId="3243D426">
      <w:pPr>
        <w:spacing w:line="360" w:lineRule="auto"/>
        <w:ind w:firstLine="480" w:firstLineChars="200"/>
        <w:rPr>
          <w:rFonts w:ascii="宋体" w:hAnsi="宋体"/>
          <w:sz w:val="24"/>
          <w:szCs w:val="24"/>
        </w:rPr>
      </w:pPr>
      <w:r>
        <w:rPr>
          <w:rFonts w:ascii="宋体" w:hAnsi="宋体"/>
          <w:sz w:val="24"/>
          <w:szCs w:val="24"/>
        </w:rPr>
        <w:t>7、本合同在卖方提交有效履约担保</w:t>
      </w:r>
      <w:r>
        <w:rPr>
          <w:rFonts w:hint="eastAsia" w:ascii="宋体" w:hAnsi="宋体"/>
          <w:color w:val="auto"/>
          <w:sz w:val="24"/>
          <w:szCs w:val="24"/>
        </w:rPr>
        <w:t>（如需要，详见合同特殊条款）</w:t>
      </w:r>
      <w:r>
        <w:rPr>
          <w:rFonts w:ascii="宋体" w:hAnsi="宋体"/>
          <w:sz w:val="24"/>
          <w:szCs w:val="24"/>
        </w:rPr>
        <w:t>及买、卖双方法定代表人（或其委托代理人）签字或盖章并盖单位章后生效。</w:t>
      </w:r>
    </w:p>
    <w:p w14:paraId="3789F5D5">
      <w:pPr>
        <w:spacing w:line="360" w:lineRule="auto"/>
        <w:ind w:firstLine="480" w:firstLineChars="200"/>
        <w:rPr>
          <w:rFonts w:ascii="宋体" w:hAnsi="宋体"/>
          <w:sz w:val="24"/>
          <w:szCs w:val="24"/>
        </w:rPr>
      </w:pPr>
      <w:r>
        <w:rPr>
          <w:rFonts w:ascii="宋体" w:hAnsi="宋体"/>
          <w:sz w:val="24"/>
          <w:szCs w:val="24"/>
        </w:rPr>
        <w:t>8、本合同正本</w:t>
      </w:r>
      <w:r>
        <w:rPr>
          <w:rFonts w:hint="default" w:ascii="宋体" w:hAnsi="宋体"/>
          <w:sz w:val="24"/>
          <w:szCs w:val="24"/>
        </w:rPr>
        <w:t>2</w:t>
      </w:r>
      <w:r>
        <w:rPr>
          <w:rFonts w:ascii="宋体" w:hAnsi="宋体"/>
          <w:sz w:val="24"/>
          <w:szCs w:val="24"/>
        </w:rPr>
        <w:t>份，买、卖双方各1份；副本</w:t>
      </w:r>
      <w:r>
        <w:rPr>
          <w:rFonts w:hint="eastAsia" w:ascii="宋体" w:hAnsi="宋体"/>
          <w:sz w:val="24"/>
          <w:szCs w:val="24"/>
        </w:rPr>
        <w:t xml:space="preserve">   </w:t>
      </w:r>
      <w:r>
        <w:rPr>
          <w:rFonts w:ascii="宋体" w:hAnsi="宋体"/>
          <w:sz w:val="24"/>
          <w:szCs w:val="24"/>
        </w:rPr>
        <w:t>份，买方</w:t>
      </w:r>
      <w:r>
        <w:rPr>
          <w:rFonts w:hint="eastAsia" w:ascii="宋体" w:hAnsi="宋体"/>
          <w:sz w:val="24"/>
          <w:szCs w:val="24"/>
        </w:rPr>
        <w:t xml:space="preserve">   </w:t>
      </w:r>
      <w:r>
        <w:rPr>
          <w:rFonts w:ascii="宋体" w:hAnsi="宋体"/>
          <w:sz w:val="24"/>
          <w:szCs w:val="24"/>
        </w:rPr>
        <w:t>份，卖方</w:t>
      </w:r>
      <w:r>
        <w:rPr>
          <w:rFonts w:hint="eastAsia" w:ascii="宋体" w:hAnsi="宋体"/>
          <w:sz w:val="24"/>
          <w:szCs w:val="24"/>
        </w:rPr>
        <w:t xml:space="preserve">   </w:t>
      </w:r>
      <w:r>
        <w:rPr>
          <w:rFonts w:ascii="宋体" w:hAnsi="宋体"/>
          <w:sz w:val="24"/>
          <w:szCs w:val="24"/>
        </w:rPr>
        <w:t>份。均具有同等的法律效力。当正本与副本内容有偏离时，以正本为准。</w:t>
      </w:r>
    </w:p>
    <w:p w14:paraId="283B2462">
      <w:pPr>
        <w:spacing w:line="360" w:lineRule="auto"/>
        <w:ind w:firstLine="480" w:firstLineChars="200"/>
        <w:rPr>
          <w:rFonts w:ascii="宋体" w:hAnsi="宋体"/>
          <w:sz w:val="24"/>
          <w:szCs w:val="24"/>
        </w:rPr>
      </w:pPr>
      <w:r>
        <w:rPr>
          <w:rFonts w:ascii="宋体" w:hAnsi="宋体"/>
          <w:sz w:val="24"/>
          <w:szCs w:val="24"/>
        </w:rPr>
        <w:t>9、本合同签约地为</w:t>
      </w:r>
      <w:r>
        <w:rPr>
          <w:rFonts w:ascii="宋体" w:hAnsi="宋体"/>
          <w:sz w:val="24"/>
          <w:szCs w:val="24"/>
          <w:u w:val="single"/>
        </w:rPr>
        <w:t>杭州市</w:t>
      </w:r>
      <w:r>
        <w:rPr>
          <w:rFonts w:ascii="宋体" w:hAnsi="宋体"/>
          <w:sz w:val="24"/>
          <w:szCs w:val="24"/>
        </w:rPr>
        <w:t>。</w:t>
      </w:r>
    </w:p>
    <w:p w14:paraId="262785EE">
      <w:pPr>
        <w:spacing w:line="360" w:lineRule="auto"/>
        <w:ind w:firstLine="480" w:firstLineChars="200"/>
        <w:rPr>
          <w:rFonts w:ascii="宋体" w:hAnsi="宋体"/>
          <w:sz w:val="24"/>
          <w:szCs w:val="24"/>
        </w:rPr>
      </w:pPr>
      <w:r>
        <w:rPr>
          <w:rFonts w:ascii="宋体" w:hAnsi="宋体"/>
          <w:sz w:val="24"/>
          <w:szCs w:val="24"/>
        </w:rPr>
        <w:t>10、未尽事宜，经双方协商一致，签订补充协议。</w:t>
      </w:r>
    </w:p>
    <w:p w14:paraId="4CE93435">
      <w:pPr>
        <w:spacing w:line="360" w:lineRule="auto"/>
        <w:ind w:firstLine="480" w:firstLineChars="200"/>
        <w:rPr>
          <w:rFonts w:ascii="宋体" w:hAnsi="宋体"/>
          <w:sz w:val="24"/>
          <w:szCs w:val="24"/>
        </w:rPr>
      </w:pPr>
    </w:p>
    <w:p w14:paraId="1A323038">
      <w:pPr>
        <w:spacing w:line="360" w:lineRule="auto"/>
        <w:rPr>
          <w:rFonts w:ascii="宋体" w:hAnsi="宋体"/>
          <w:sz w:val="24"/>
          <w:szCs w:val="24"/>
        </w:rPr>
      </w:pPr>
      <w:r>
        <w:rPr>
          <w:rFonts w:ascii="宋体" w:hAnsi="宋体"/>
          <w:sz w:val="24"/>
          <w:szCs w:val="24"/>
        </w:rPr>
        <w:t>买方：</w:t>
      </w:r>
      <w:r>
        <w:rPr>
          <w:rFonts w:hint="default"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卖方：     （</w:t>
      </w:r>
      <w:r>
        <w:rPr>
          <w:rFonts w:hint="eastAsia" w:ascii="宋体" w:hAnsi="宋体"/>
          <w:sz w:val="24"/>
          <w:szCs w:val="24"/>
          <w:lang w:val="en-US" w:eastAsia="zh-Hans"/>
        </w:rPr>
        <w:t>中标</w:t>
      </w:r>
      <w:r>
        <w:rPr>
          <w:rFonts w:ascii="宋体" w:hAnsi="宋体"/>
          <w:sz w:val="24"/>
          <w:szCs w:val="24"/>
        </w:rPr>
        <w:t xml:space="preserve">单位全称）     </w:t>
      </w:r>
    </w:p>
    <w:p w14:paraId="4E61DE08">
      <w:pPr>
        <w:spacing w:line="360" w:lineRule="auto"/>
        <w:rPr>
          <w:rFonts w:ascii="宋体" w:hAnsi="宋体"/>
          <w:sz w:val="24"/>
          <w:szCs w:val="24"/>
        </w:rPr>
      </w:pPr>
      <w:r>
        <w:rPr>
          <w:rFonts w:ascii="宋体" w:hAnsi="宋体"/>
          <w:sz w:val="24"/>
          <w:szCs w:val="24"/>
        </w:rPr>
        <w:t>法定代表人或委托代理人：（签字或盖章）</w:t>
      </w:r>
      <w:r>
        <w:rPr>
          <w:rFonts w:hint="eastAsia" w:ascii="宋体" w:hAnsi="宋体"/>
          <w:sz w:val="24"/>
          <w:szCs w:val="24"/>
        </w:rPr>
        <w:t xml:space="preserve"> </w:t>
      </w:r>
      <w:r>
        <w:rPr>
          <w:rFonts w:ascii="宋体" w:hAnsi="宋体"/>
          <w:sz w:val="24"/>
          <w:szCs w:val="24"/>
        </w:rPr>
        <w:t xml:space="preserve"> 法定代表人或委托代理人：（签字或盖章） </w:t>
      </w:r>
    </w:p>
    <w:p w14:paraId="5AE4EB20">
      <w:pPr>
        <w:spacing w:line="360" w:lineRule="auto"/>
        <w:rPr>
          <w:rFonts w:ascii="宋体" w:hAnsi="宋体"/>
          <w:sz w:val="24"/>
          <w:szCs w:val="24"/>
        </w:rPr>
      </w:pPr>
      <w:r>
        <w:rPr>
          <w:rFonts w:ascii="宋体" w:hAnsi="宋体"/>
          <w:sz w:val="24"/>
          <w:szCs w:val="24"/>
        </w:rPr>
        <w:t xml:space="preserve">地址：                                  地址：                          </w:t>
      </w:r>
    </w:p>
    <w:p w14:paraId="1C1DCA81">
      <w:pPr>
        <w:spacing w:line="360" w:lineRule="auto"/>
        <w:rPr>
          <w:rFonts w:ascii="宋体" w:hAnsi="宋体"/>
          <w:sz w:val="24"/>
          <w:szCs w:val="24"/>
        </w:rPr>
      </w:pPr>
      <w:r>
        <w:rPr>
          <w:rFonts w:ascii="宋体" w:hAnsi="宋体"/>
          <w:sz w:val="24"/>
          <w:szCs w:val="24"/>
        </w:rPr>
        <w:t xml:space="preserve">邮政编码：                              邮政编码：                      </w:t>
      </w:r>
    </w:p>
    <w:p w14:paraId="60E715AD">
      <w:pPr>
        <w:spacing w:line="360" w:lineRule="auto"/>
        <w:rPr>
          <w:rFonts w:ascii="宋体" w:hAnsi="宋体"/>
          <w:sz w:val="24"/>
          <w:szCs w:val="24"/>
        </w:rPr>
      </w:pPr>
      <w:r>
        <w:rPr>
          <w:rFonts w:ascii="宋体" w:hAnsi="宋体"/>
          <w:sz w:val="24"/>
          <w:szCs w:val="24"/>
        </w:rPr>
        <w:t xml:space="preserve">电    话：                           </w:t>
      </w:r>
      <w:r>
        <w:rPr>
          <w:rFonts w:hint="eastAsia" w:ascii="宋体" w:hAnsi="宋体"/>
          <w:sz w:val="24"/>
          <w:szCs w:val="24"/>
        </w:rPr>
        <w:t xml:space="preserve">  </w:t>
      </w:r>
      <w:r>
        <w:rPr>
          <w:rFonts w:ascii="宋体" w:hAnsi="宋体"/>
          <w:sz w:val="24"/>
          <w:szCs w:val="24"/>
        </w:rPr>
        <w:t xml:space="preserve"> 电    话：                      </w:t>
      </w:r>
    </w:p>
    <w:p w14:paraId="492DB772">
      <w:pPr>
        <w:spacing w:line="360" w:lineRule="auto"/>
        <w:rPr>
          <w:rFonts w:ascii="宋体" w:hAnsi="宋体"/>
          <w:sz w:val="24"/>
          <w:szCs w:val="24"/>
        </w:rPr>
      </w:pPr>
      <w:r>
        <w:rPr>
          <w:rFonts w:ascii="宋体" w:hAnsi="宋体"/>
          <w:sz w:val="24"/>
          <w:szCs w:val="24"/>
        </w:rPr>
        <w:t xml:space="preserve">传    真：                           </w:t>
      </w:r>
      <w:r>
        <w:rPr>
          <w:rFonts w:hint="eastAsia" w:ascii="宋体" w:hAnsi="宋体"/>
          <w:sz w:val="24"/>
          <w:szCs w:val="24"/>
        </w:rPr>
        <w:t xml:space="preserve"> </w:t>
      </w:r>
      <w:r>
        <w:rPr>
          <w:rFonts w:ascii="宋体" w:hAnsi="宋体"/>
          <w:sz w:val="24"/>
          <w:szCs w:val="24"/>
        </w:rPr>
        <w:t xml:space="preserve">  传    真：                      </w:t>
      </w:r>
    </w:p>
    <w:p w14:paraId="3046CAC6">
      <w:pPr>
        <w:spacing w:line="360" w:lineRule="auto"/>
        <w:rPr>
          <w:rFonts w:ascii="宋体" w:hAnsi="宋体"/>
          <w:sz w:val="24"/>
          <w:szCs w:val="24"/>
        </w:rPr>
      </w:pPr>
      <w:r>
        <w:rPr>
          <w:rFonts w:ascii="宋体" w:hAnsi="宋体"/>
          <w:sz w:val="24"/>
          <w:szCs w:val="24"/>
        </w:rPr>
        <w:t xml:space="preserve">开户银行：                            </w:t>
      </w:r>
      <w:r>
        <w:rPr>
          <w:rFonts w:hint="eastAsia" w:ascii="宋体" w:hAnsi="宋体"/>
          <w:sz w:val="24"/>
          <w:szCs w:val="24"/>
        </w:rPr>
        <w:t xml:space="preserve"> </w:t>
      </w:r>
      <w:r>
        <w:rPr>
          <w:rFonts w:ascii="宋体" w:hAnsi="宋体"/>
          <w:sz w:val="24"/>
          <w:szCs w:val="24"/>
        </w:rPr>
        <w:t xml:space="preserve"> 开户银行：                      </w:t>
      </w:r>
    </w:p>
    <w:p w14:paraId="45F20CB8">
      <w:pPr>
        <w:spacing w:line="360" w:lineRule="auto"/>
        <w:rPr>
          <w:rFonts w:ascii="宋体" w:hAnsi="宋体"/>
          <w:sz w:val="24"/>
          <w:szCs w:val="24"/>
        </w:rPr>
      </w:pPr>
      <w:r>
        <w:rPr>
          <w:rFonts w:ascii="宋体" w:hAnsi="宋体"/>
          <w:sz w:val="24"/>
          <w:szCs w:val="24"/>
        </w:rPr>
        <w:t xml:space="preserve">银行帐号：                              银行帐号：                      </w:t>
      </w:r>
    </w:p>
    <w:p w14:paraId="1D793618">
      <w:pPr>
        <w:spacing w:line="360" w:lineRule="auto"/>
        <w:rPr>
          <w:rFonts w:ascii="宋体" w:hAnsi="宋体"/>
          <w:sz w:val="24"/>
          <w:szCs w:val="24"/>
        </w:rPr>
      </w:pPr>
      <w:r>
        <w:rPr>
          <w:rFonts w:hint="eastAsia" w:ascii="宋体" w:hAnsi="宋体"/>
          <w:sz w:val="24"/>
          <w:szCs w:val="24"/>
        </w:rPr>
        <w:t>签约日期：    年    月    日。</w:t>
      </w:r>
    </w:p>
    <w:p w14:paraId="78205CF9">
      <w:pPr>
        <w:spacing w:line="360" w:lineRule="auto"/>
        <w:ind w:firstLine="480" w:firstLineChars="200"/>
        <w:rPr>
          <w:rFonts w:ascii="宋体" w:hAnsi="宋体"/>
          <w:sz w:val="24"/>
          <w:szCs w:val="24"/>
        </w:rPr>
      </w:pPr>
    </w:p>
    <w:p w14:paraId="630A1C59">
      <w:pPr>
        <w:adjustRightInd w:val="0"/>
        <w:snapToGrid w:val="0"/>
        <w:spacing w:line="360" w:lineRule="auto"/>
        <w:rPr>
          <w:rFonts w:hint="eastAsia" w:ascii="宋体" w:hAnsi="宋体"/>
          <w:szCs w:val="21"/>
        </w:rPr>
      </w:pPr>
    </w:p>
    <w:p w14:paraId="067D3209">
      <w:pPr>
        <w:adjustRightInd w:val="0"/>
        <w:snapToGrid w:val="0"/>
        <w:spacing w:line="360" w:lineRule="auto"/>
        <w:ind w:firstLine="723" w:firstLineChars="200"/>
        <w:jc w:val="center"/>
        <w:rPr>
          <w:rFonts w:ascii="宋体" w:hAnsi="宋体"/>
          <w:b/>
          <w:sz w:val="36"/>
        </w:rPr>
      </w:pPr>
      <w:r>
        <w:rPr>
          <w:rFonts w:ascii="宋体" w:hAnsi="宋体"/>
          <w:b/>
          <w:sz w:val="36"/>
        </w:rPr>
        <w:br w:type="page"/>
      </w:r>
    </w:p>
    <w:p w14:paraId="2EFB6DB2">
      <w:pPr>
        <w:pStyle w:val="36"/>
        <w:numPr>
          <w:ilvl w:val="1"/>
          <w:numId w:val="108"/>
        </w:numPr>
        <w:bidi w:val="0"/>
      </w:pPr>
      <w:bookmarkStart w:id="198" w:name="_Toc1904"/>
      <w:bookmarkStart w:id="199" w:name="_Toc1798"/>
      <w:bookmarkStart w:id="200" w:name="_Toc26198"/>
      <w:bookmarkStart w:id="201" w:name="_Toc27263"/>
      <w:bookmarkStart w:id="202" w:name="_Toc464483858"/>
      <w:bookmarkStart w:id="203" w:name="_Toc18335"/>
      <w:r>
        <w:t>合同一般条款</w:t>
      </w:r>
      <w:bookmarkEnd w:id="198"/>
      <w:bookmarkEnd w:id="199"/>
      <w:bookmarkEnd w:id="200"/>
      <w:bookmarkEnd w:id="201"/>
      <w:bookmarkEnd w:id="202"/>
      <w:bookmarkEnd w:id="203"/>
    </w:p>
    <w:p w14:paraId="400D4BC2">
      <w:pPr>
        <w:spacing w:line="360" w:lineRule="auto"/>
        <w:ind w:firstLine="482" w:firstLineChars="200"/>
        <w:rPr>
          <w:rFonts w:ascii="宋体" w:hAnsi="宋体"/>
          <w:b/>
          <w:sz w:val="24"/>
        </w:rPr>
      </w:pPr>
      <w:bookmarkStart w:id="204" w:name="_Toc413227943"/>
      <w:r>
        <w:rPr>
          <w:rFonts w:hint="eastAsia" w:ascii="宋体" w:hAnsi="宋体"/>
          <w:b/>
          <w:sz w:val="24"/>
        </w:rPr>
        <w:t>1.定义</w:t>
      </w:r>
      <w:bookmarkEnd w:id="204"/>
    </w:p>
    <w:p w14:paraId="73D95530">
      <w:pPr>
        <w:spacing w:line="360" w:lineRule="auto"/>
        <w:ind w:firstLine="480" w:firstLineChars="200"/>
        <w:rPr>
          <w:rFonts w:hint="eastAsia" w:ascii="宋体" w:hAnsi="宋体"/>
          <w:sz w:val="24"/>
        </w:rPr>
      </w:pPr>
      <w:r>
        <w:rPr>
          <w:rFonts w:hint="eastAsia" w:ascii="宋体" w:hAnsi="宋体"/>
          <w:sz w:val="24"/>
        </w:rPr>
        <w:t>1.1“合同”或称“合同书”系指买卖双方达成并签署的协议，包括合同协议书、合同条款及构成合同的所有文件。</w:t>
      </w:r>
    </w:p>
    <w:p w14:paraId="2621F9BE">
      <w:pPr>
        <w:spacing w:line="360" w:lineRule="auto"/>
        <w:ind w:firstLine="480" w:firstLineChars="200"/>
        <w:rPr>
          <w:rFonts w:ascii="宋体" w:hAnsi="宋体"/>
          <w:sz w:val="24"/>
        </w:rPr>
      </w:pPr>
      <w:r>
        <w:rPr>
          <w:rFonts w:hint="eastAsia" w:ascii="宋体" w:hAnsi="宋体"/>
          <w:sz w:val="24"/>
        </w:rPr>
        <w:t>1.2“合同价格”系指根据合同规定卖方在正确、及时地完全履行合同义务后买方应支付给卖方的价格，包括完成本项目所需的全部费用，具体包括人工、福利、设备、保险、税金等</w:t>
      </w:r>
      <w:r>
        <w:rPr>
          <w:rFonts w:hint="default" w:ascii="宋体" w:hAnsi="宋体"/>
          <w:sz w:val="24"/>
        </w:rPr>
        <w:t>招标</w:t>
      </w:r>
      <w:r>
        <w:rPr>
          <w:rFonts w:hint="eastAsia" w:ascii="宋体" w:hAnsi="宋体"/>
          <w:sz w:val="24"/>
        </w:rPr>
        <w:t>文件及合同明示或者暗示的所有责任、义务和风险。其中人员工资不得低于服务所在地的最低工资标准。</w:t>
      </w:r>
    </w:p>
    <w:p w14:paraId="69766FCB">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3</w:t>
      </w:r>
      <w:r>
        <w:rPr>
          <w:rFonts w:hint="eastAsia" w:ascii="宋体" w:hAnsi="宋体"/>
          <w:sz w:val="24"/>
        </w:rPr>
        <w:t>“买方”系指</w:t>
      </w:r>
      <w:r>
        <w:rPr>
          <w:rFonts w:ascii="宋体" w:hAnsi="宋体"/>
          <w:sz w:val="24"/>
        </w:rPr>
        <w:t>与成交人签属供货合同的单位（含最终用户）。</w:t>
      </w:r>
    </w:p>
    <w:p w14:paraId="08690B30">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4</w:t>
      </w:r>
      <w:r>
        <w:rPr>
          <w:rFonts w:hint="eastAsia" w:ascii="宋体" w:hAnsi="宋体"/>
          <w:sz w:val="24"/>
        </w:rPr>
        <w:t>“卖方”</w:t>
      </w:r>
      <w:r>
        <w:rPr>
          <w:rFonts w:ascii="宋体" w:hAnsi="宋体"/>
          <w:sz w:val="24"/>
        </w:rPr>
        <w:t>系指根据合同约定提供货物及相关服务的</w:t>
      </w:r>
      <w:r>
        <w:rPr>
          <w:rFonts w:hint="eastAsia" w:ascii="宋体" w:hAnsi="宋体"/>
          <w:sz w:val="24"/>
          <w:lang w:val="en-US" w:eastAsia="zh-Hans"/>
        </w:rPr>
        <w:t>中标</w:t>
      </w:r>
      <w:r>
        <w:rPr>
          <w:rFonts w:ascii="宋体" w:hAnsi="宋体"/>
          <w:sz w:val="24"/>
        </w:rPr>
        <w:t>人。</w:t>
      </w:r>
    </w:p>
    <w:p w14:paraId="1C90F9A5">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5</w:t>
      </w:r>
      <w:r>
        <w:rPr>
          <w:rFonts w:hint="eastAsia" w:ascii="宋体" w:hAnsi="宋体"/>
          <w:sz w:val="24"/>
        </w:rPr>
        <w:t>“双方”系指买方和卖方。</w:t>
      </w:r>
    </w:p>
    <w:p w14:paraId="0512836E">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6</w:t>
      </w:r>
      <w:r>
        <w:rPr>
          <w:rFonts w:hint="eastAsia" w:ascii="宋体" w:hAnsi="宋体"/>
          <w:sz w:val="24"/>
        </w:rPr>
        <w:t>“不可抗力”系指合同条款第28条赋予的含义。</w:t>
      </w:r>
    </w:p>
    <w:p w14:paraId="6B1B6D88">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7</w:t>
      </w:r>
      <w:r>
        <w:rPr>
          <w:rFonts w:hint="eastAsia" w:ascii="宋体" w:hAnsi="宋体"/>
          <w:sz w:val="24"/>
        </w:rPr>
        <w:t>“天”、“日”系指公历日。</w:t>
      </w:r>
    </w:p>
    <w:p w14:paraId="1242DAE0">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8</w:t>
      </w:r>
      <w:r>
        <w:rPr>
          <w:rFonts w:hint="eastAsia" w:ascii="宋体" w:hAnsi="宋体"/>
          <w:sz w:val="24"/>
        </w:rPr>
        <w:t>“周”系指7个公历日。</w:t>
      </w:r>
    </w:p>
    <w:p w14:paraId="13A34322">
      <w:pPr>
        <w:spacing w:line="360" w:lineRule="auto"/>
        <w:ind w:firstLine="482" w:firstLineChars="200"/>
        <w:rPr>
          <w:rFonts w:hint="eastAsia" w:ascii="宋体" w:hAnsi="宋体"/>
          <w:b/>
          <w:sz w:val="24"/>
        </w:rPr>
      </w:pPr>
      <w:bookmarkStart w:id="205" w:name="_Toc413227944"/>
      <w:r>
        <w:rPr>
          <w:rFonts w:hint="eastAsia" w:ascii="宋体" w:hAnsi="宋体"/>
          <w:b/>
          <w:sz w:val="24"/>
        </w:rPr>
        <w:t>2.解释</w:t>
      </w:r>
    </w:p>
    <w:p w14:paraId="6E95558D">
      <w:pPr>
        <w:spacing w:line="360" w:lineRule="auto"/>
        <w:ind w:firstLine="480" w:firstLineChars="200"/>
        <w:rPr>
          <w:rFonts w:ascii="宋体" w:hAnsi="宋体"/>
          <w:sz w:val="24"/>
        </w:rPr>
      </w:pPr>
      <w:bookmarkStart w:id="206" w:name="_Toc262815654"/>
      <w:bookmarkStart w:id="207" w:name="_Toc262816102"/>
      <w:r>
        <w:rPr>
          <w:rFonts w:hint="eastAsia" w:ascii="宋体" w:hAnsi="宋体"/>
          <w:sz w:val="24"/>
        </w:rPr>
        <w:t>除非文件另作要求，凡提及一方、对方或各方，均包括其合法继承人。</w:t>
      </w:r>
      <w:bookmarkEnd w:id="206"/>
      <w:bookmarkEnd w:id="207"/>
    </w:p>
    <w:p w14:paraId="60AE039E">
      <w:pPr>
        <w:spacing w:line="360" w:lineRule="auto"/>
        <w:ind w:firstLine="480" w:firstLineChars="200"/>
        <w:rPr>
          <w:rFonts w:ascii="宋体" w:hAnsi="宋体"/>
          <w:sz w:val="24"/>
        </w:rPr>
      </w:pPr>
      <w:bookmarkStart w:id="208" w:name="_Toc262816103"/>
      <w:bookmarkStart w:id="209" w:name="_Toc262815655"/>
      <w:r>
        <w:rPr>
          <w:rFonts w:hint="eastAsia" w:ascii="宋体" w:hAnsi="宋体"/>
          <w:sz w:val="24"/>
        </w:rPr>
        <w:t>凡合同中规定的“书面的”或“用书面形式”，这是指任何手写的、打印的或印刷的盖有公章的纸质文件。</w:t>
      </w:r>
      <w:bookmarkEnd w:id="208"/>
      <w:bookmarkEnd w:id="209"/>
    </w:p>
    <w:p w14:paraId="214B02AB">
      <w:pPr>
        <w:spacing w:line="360" w:lineRule="auto"/>
        <w:ind w:firstLine="480" w:firstLineChars="200"/>
        <w:rPr>
          <w:rFonts w:hint="eastAsia" w:ascii="宋体" w:hAnsi="宋体"/>
          <w:sz w:val="24"/>
        </w:rPr>
      </w:pPr>
      <w:bookmarkStart w:id="210" w:name="_Toc262816104"/>
      <w:bookmarkStart w:id="211" w:name="_Toc262815656"/>
      <w:r>
        <w:rPr>
          <w:rFonts w:hint="eastAsia" w:ascii="宋体" w:hAnsi="宋体"/>
          <w:sz w:val="24"/>
        </w:rPr>
        <w:t>凡合同规定任何人发出通知、同意、批准或确认时，该通知、同意、批准或确认不得被无故扣押，除非另有规定；该通知、同意、批准或确认应是书面形式。</w:t>
      </w:r>
      <w:bookmarkEnd w:id="210"/>
      <w:bookmarkEnd w:id="211"/>
    </w:p>
    <w:p w14:paraId="7682E2A3">
      <w:pPr>
        <w:spacing w:line="360" w:lineRule="auto"/>
        <w:ind w:firstLine="482" w:firstLineChars="200"/>
        <w:rPr>
          <w:rFonts w:hint="eastAsia" w:ascii="宋体" w:hAnsi="宋体"/>
          <w:b/>
          <w:sz w:val="24"/>
        </w:rPr>
      </w:pPr>
      <w:r>
        <w:rPr>
          <w:rFonts w:hint="eastAsia" w:ascii="宋体" w:hAnsi="宋体"/>
          <w:b/>
          <w:sz w:val="24"/>
        </w:rPr>
        <w:t>3.语言文字</w:t>
      </w:r>
    </w:p>
    <w:p w14:paraId="3FBC695F">
      <w:pPr>
        <w:spacing w:line="360" w:lineRule="auto"/>
        <w:ind w:firstLine="480" w:firstLineChars="200"/>
        <w:rPr>
          <w:rFonts w:hint="eastAsia" w:ascii="宋体" w:hAnsi="宋体"/>
          <w:sz w:val="24"/>
        </w:rPr>
      </w:pPr>
      <w:bookmarkStart w:id="212" w:name="_Toc262815658"/>
      <w:bookmarkStart w:id="213" w:name="_Toc262816106"/>
      <w:r>
        <w:rPr>
          <w:rFonts w:hint="eastAsia" w:ascii="宋体" w:hAnsi="宋体"/>
          <w:sz w:val="24"/>
        </w:rPr>
        <w:t>除专用术语外，合同使用的语言文字为中文。专用术语应附有中文注释。</w:t>
      </w:r>
      <w:bookmarkEnd w:id="212"/>
      <w:bookmarkEnd w:id="213"/>
    </w:p>
    <w:p w14:paraId="77D1C3CC">
      <w:pPr>
        <w:spacing w:line="360" w:lineRule="auto"/>
        <w:ind w:firstLine="482" w:firstLineChars="200"/>
        <w:rPr>
          <w:rFonts w:ascii="宋体" w:hAnsi="宋体"/>
          <w:b/>
          <w:sz w:val="24"/>
        </w:rPr>
      </w:pPr>
      <w:r>
        <w:rPr>
          <w:rFonts w:hint="eastAsia" w:ascii="宋体" w:hAnsi="宋体"/>
          <w:b/>
          <w:sz w:val="24"/>
        </w:rPr>
        <w:t>4.法律</w:t>
      </w:r>
    </w:p>
    <w:p w14:paraId="60AEAB74">
      <w:pPr>
        <w:spacing w:line="360" w:lineRule="auto"/>
        <w:ind w:firstLine="480" w:firstLineChars="200"/>
        <w:rPr>
          <w:rFonts w:ascii="宋体" w:hAnsi="宋体"/>
          <w:sz w:val="24"/>
        </w:rPr>
      </w:pPr>
      <w:bookmarkStart w:id="214" w:name="_Toc262816107"/>
      <w:bookmarkStart w:id="215" w:name="_Toc262815659"/>
      <w:r>
        <w:rPr>
          <w:rFonts w:hint="eastAsia" w:ascii="宋体" w:hAnsi="宋体"/>
          <w:sz w:val="24"/>
        </w:rPr>
        <w:t>本合同适用于中华人民共和国法律、行政法规、部门规章，以及买方所在地的地方法律法规、条例、规章等。</w:t>
      </w:r>
      <w:bookmarkEnd w:id="214"/>
      <w:bookmarkEnd w:id="215"/>
    </w:p>
    <w:p w14:paraId="4F232F0B">
      <w:pPr>
        <w:spacing w:line="360" w:lineRule="auto"/>
        <w:ind w:firstLine="482" w:firstLineChars="200"/>
        <w:rPr>
          <w:rFonts w:ascii="宋体" w:hAnsi="宋体"/>
          <w:b/>
          <w:sz w:val="24"/>
        </w:rPr>
      </w:pPr>
      <w:bookmarkStart w:id="216" w:name="_Toc197101484"/>
      <w:r>
        <w:rPr>
          <w:rFonts w:hint="eastAsia" w:ascii="宋体" w:hAnsi="宋体"/>
          <w:b/>
          <w:sz w:val="24"/>
        </w:rPr>
        <w:t>5.适用性</w:t>
      </w:r>
      <w:bookmarkEnd w:id="216"/>
    </w:p>
    <w:p w14:paraId="2D0E5A6D">
      <w:pPr>
        <w:spacing w:line="360" w:lineRule="auto"/>
        <w:ind w:firstLine="480" w:firstLineChars="200"/>
        <w:rPr>
          <w:rFonts w:hint="eastAsia" w:ascii="宋体" w:hAnsi="宋体"/>
          <w:sz w:val="24"/>
        </w:rPr>
      </w:pPr>
      <w:r>
        <w:rPr>
          <w:rFonts w:hint="eastAsia" w:ascii="宋体" w:hAnsi="宋体"/>
          <w:sz w:val="24"/>
        </w:rPr>
        <w:t>本合同条款适用于没有被本合同其他部分的条款所取代的范围。</w:t>
      </w:r>
    </w:p>
    <w:p w14:paraId="0C59658C">
      <w:pPr>
        <w:spacing w:line="360" w:lineRule="auto"/>
        <w:ind w:firstLine="482" w:firstLineChars="200"/>
        <w:rPr>
          <w:rFonts w:ascii="宋体" w:hAnsi="宋体"/>
          <w:b/>
          <w:sz w:val="24"/>
        </w:rPr>
      </w:pPr>
      <w:r>
        <w:rPr>
          <w:rFonts w:hint="eastAsia" w:ascii="宋体" w:hAnsi="宋体"/>
          <w:b/>
          <w:sz w:val="24"/>
        </w:rPr>
        <w:t>6</w:t>
      </w:r>
      <w:r>
        <w:rPr>
          <w:rFonts w:ascii="宋体" w:hAnsi="宋体"/>
          <w:b/>
          <w:sz w:val="24"/>
        </w:rPr>
        <w:t>.</w:t>
      </w:r>
      <w:r>
        <w:rPr>
          <w:rFonts w:hint="eastAsia" w:ascii="宋体" w:hAnsi="宋体"/>
          <w:b/>
          <w:sz w:val="24"/>
        </w:rPr>
        <w:t>来源地</w:t>
      </w:r>
      <w:bookmarkEnd w:id="205"/>
    </w:p>
    <w:p w14:paraId="4C56C355">
      <w:pPr>
        <w:spacing w:line="360" w:lineRule="auto"/>
        <w:ind w:firstLine="480" w:firstLineChars="200"/>
        <w:rPr>
          <w:rFonts w:hint="eastAsia" w:ascii="宋体" w:hAnsi="宋体"/>
          <w:sz w:val="24"/>
        </w:rPr>
      </w:pPr>
      <w:r>
        <w:rPr>
          <w:rFonts w:hint="eastAsia" w:ascii="宋体" w:hAnsi="宋体"/>
          <w:sz w:val="24"/>
        </w:rPr>
        <w:t>本合同项下所提供的货物及服务均应来自于中华人民共和国。</w:t>
      </w:r>
    </w:p>
    <w:p w14:paraId="3EAD5C4D">
      <w:pPr>
        <w:spacing w:line="360" w:lineRule="auto"/>
        <w:ind w:firstLine="482" w:firstLineChars="200"/>
        <w:rPr>
          <w:rFonts w:ascii="宋体" w:hAnsi="宋体"/>
          <w:b/>
          <w:sz w:val="24"/>
        </w:rPr>
      </w:pPr>
      <w:bookmarkStart w:id="217" w:name="_Toc413227945"/>
      <w:r>
        <w:rPr>
          <w:rFonts w:hint="eastAsia" w:ascii="宋体" w:hAnsi="宋体"/>
          <w:b/>
          <w:sz w:val="24"/>
        </w:rPr>
        <w:t>7</w:t>
      </w:r>
      <w:r>
        <w:rPr>
          <w:rFonts w:ascii="宋体" w:hAnsi="宋体"/>
          <w:b/>
          <w:sz w:val="24"/>
        </w:rPr>
        <w:t>.</w:t>
      </w:r>
      <w:r>
        <w:rPr>
          <w:rFonts w:hint="eastAsia" w:ascii="宋体" w:hAnsi="宋体"/>
          <w:b/>
          <w:sz w:val="24"/>
        </w:rPr>
        <w:t>标准</w:t>
      </w:r>
      <w:bookmarkEnd w:id="217"/>
    </w:p>
    <w:p w14:paraId="315C8E0B">
      <w:pPr>
        <w:adjustRightInd w:val="0"/>
        <w:snapToGrid w:val="0"/>
        <w:spacing w:line="360" w:lineRule="auto"/>
        <w:ind w:firstLine="480" w:firstLineChars="200"/>
        <w:rPr>
          <w:rFonts w:ascii="宋体" w:hAnsi="宋体"/>
          <w:sz w:val="24"/>
        </w:rPr>
      </w:pPr>
      <w:r>
        <w:rPr>
          <w:rFonts w:hint="eastAsia" w:ascii="宋体" w:hAnsi="宋体"/>
          <w:sz w:val="24"/>
        </w:rPr>
        <w:t>7</w:t>
      </w:r>
      <w:r>
        <w:rPr>
          <w:rFonts w:ascii="宋体" w:hAnsi="宋体"/>
          <w:sz w:val="24"/>
        </w:rPr>
        <w:t>.1</w:t>
      </w:r>
      <w:r>
        <w:rPr>
          <w:rFonts w:hint="eastAsia" w:ascii="宋体" w:hAnsi="宋体"/>
          <w:sz w:val="24"/>
        </w:rPr>
        <w:t>服务应符合合同约定的标准和买方的需求；如果没有提及适用标准，则应符合中华人民共和国国家标准或行业标准；如果中华人民共和国没有相关标准的，则采用国际标准或货物来源国适用的官方标准。这些标准必须是国际权威机构发布的最新版本。</w:t>
      </w:r>
    </w:p>
    <w:p w14:paraId="17E57C17">
      <w:pPr>
        <w:adjustRightInd w:val="0"/>
        <w:snapToGrid w:val="0"/>
        <w:spacing w:line="360" w:lineRule="auto"/>
        <w:ind w:firstLine="480" w:firstLineChars="200"/>
        <w:rPr>
          <w:rFonts w:hint="eastAsia" w:ascii="宋体" w:hAnsi="宋体"/>
          <w:sz w:val="24"/>
        </w:rPr>
      </w:pPr>
      <w:r>
        <w:rPr>
          <w:rFonts w:hint="eastAsia" w:ascii="宋体" w:hAnsi="宋体"/>
          <w:sz w:val="24"/>
        </w:rPr>
        <w:t>如上述标准有不一致，执行其中更严格的标准。</w:t>
      </w:r>
    </w:p>
    <w:p w14:paraId="6CE2303A">
      <w:pPr>
        <w:spacing w:line="360" w:lineRule="auto"/>
        <w:ind w:firstLine="480" w:firstLineChars="200"/>
        <w:rPr>
          <w:rFonts w:ascii="宋体" w:hAnsi="宋体"/>
          <w:sz w:val="24"/>
        </w:rPr>
      </w:pPr>
      <w:r>
        <w:rPr>
          <w:rFonts w:hint="eastAsia" w:ascii="宋体" w:hAnsi="宋体"/>
          <w:sz w:val="24"/>
        </w:rPr>
        <w:t>7</w:t>
      </w:r>
      <w:r>
        <w:rPr>
          <w:rFonts w:ascii="宋体" w:hAnsi="宋体"/>
          <w:sz w:val="24"/>
        </w:rPr>
        <w:t>.2</w:t>
      </w:r>
      <w:r>
        <w:rPr>
          <w:rFonts w:hint="eastAsia" w:ascii="宋体" w:hAnsi="宋体"/>
          <w:sz w:val="24"/>
        </w:rPr>
        <w:t>卖方应向买方提供有关标准的文本，如果有关标准的版本不是中文，卖方须免费向买方提供中文译本，并对中文译本的正确性、完整性、准确性负责。</w:t>
      </w:r>
    </w:p>
    <w:p w14:paraId="14E45825">
      <w:pPr>
        <w:spacing w:line="360" w:lineRule="auto"/>
        <w:ind w:firstLine="480" w:firstLineChars="200"/>
        <w:rPr>
          <w:rFonts w:hint="eastAsia" w:ascii="宋体" w:hAnsi="宋体"/>
          <w:sz w:val="24"/>
        </w:rPr>
      </w:pPr>
      <w:r>
        <w:rPr>
          <w:rFonts w:hint="eastAsia" w:ascii="宋体" w:hAnsi="宋体"/>
          <w:sz w:val="24"/>
        </w:rPr>
        <w:t>7</w:t>
      </w:r>
      <w:r>
        <w:rPr>
          <w:rFonts w:ascii="宋体" w:hAnsi="宋体"/>
          <w:sz w:val="24"/>
        </w:rPr>
        <w:t>.3</w:t>
      </w:r>
      <w:r>
        <w:rPr>
          <w:rFonts w:hint="eastAsia" w:ascii="宋体" w:hAnsi="宋体"/>
          <w:sz w:val="24"/>
        </w:rPr>
        <w:t>除非合同中另有规定，计量单位均采用中华人民共和国法定计量单位。</w:t>
      </w:r>
    </w:p>
    <w:p w14:paraId="65DC8492">
      <w:pPr>
        <w:spacing w:line="360" w:lineRule="auto"/>
        <w:ind w:firstLine="482" w:firstLineChars="200"/>
        <w:rPr>
          <w:rFonts w:ascii="宋体" w:hAnsi="宋体"/>
          <w:b/>
          <w:sz w:val="24"/>
        </w:rPr>
      </w:pPr>
      <w:bookmarkStart w:id="218" w:name="_Toc413227946"/>
      <w:r>
        <w:rPr>
          <w:rFonts w:hint="eastAsia" w:ascii="宋体" w:hAnsi="宋体"/>
          <w:b/>
          <w:sz w:val="24"/>
        </w:rPr>
        <w:t>8</w:t>
      </w:r>
      <w:r>
        <w:rPr>
          <w:rFonts w:ascii="宋体" w:hAnsi="宋体"/>
          <w:b/>
          <w:sz w:val="24"/>
        </w:rPr>
        <w:t>.</w:t>
      </w:r>
      <w:r>
        <w:rPr>
          <w:rFonts w:hint="eastAsia" w:ascii="宋体" w:hAnsi="宋体"/>
          <w:b/>
          <w:sz w:val="24"/>
        </w:rPr>
        <w:t>合同文件和资料</w:t>
      </w:r>
      <w:bookmarkEnd w:id="218"/>
    </w:p>
    <w:p w14:paraId="33F811C7">
      <w:pPr>
        <w:spacing w:line="360" w:lineRule="auto"/>
        <w:ind w:firstLine="480" w:firstLineChars="200"/>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没有买方事先书面同意，卖方不得将买方提供的合同文件和资料提供给合同双方以外的任何其他人。即使向执行本合同的雇员提供，也应注意保密并限于履行合同必须的范围。</w:t>
      </w:r>
    </w:p>
    <w:p w14:paraId="3CA9E932">
      <w:pPr>
        <w:spacing w:line="360" w:lineRule="auto"/>
        <w:ind w:firstLine="480" w:firstLineChars="200"/>
        <w:rPr>
          <w:rFonts w:ascii="宋体" w:hAnsi="宋体"/>
          <w:sz w:val="24"/>
        </w:rPr>
      </w:pPr>
      <w:r>
        <w:rPr>
          <w:rFonts w:hint="eastAsia" w:ascii="宋体" w:hAnsi="宋体"/>
          <w:sz w:val="24"/>
        </w:rPr>
        <w:t>8</w:t>
      </w:r>
      <w:r>
        <w:rPr>
          <w:rFonts w:ascii="宋体" w:hAnsi="宋体"/>
          <w:sz w:val="24"/>
        </w:rPr>
        <w:t>.2</w:t>
      </w:r>
      <w:r>
        <w:rPr>
          <w:rFonts w:hint="eastAsia" w:ascii="宋体" w:hAnsi="宋体"/>
          <w:sz w:val="24"/>
        </w:rPr>
        <w:t>对于由买方提供给卖方的合同文件和资料，没有买方事先书面同意，除了履行本合同之外，卖方不应使用合同所涉及的任何文件和资料。</w:t>
      </w:r>
    </w:p>
    <w:p w14:paraId="4604C5EB">
      <w:pPr>
        <w:spacing w:line="360" w:lineRule="auto"/>
        <w:ind w:firstLine="480" w:firstLineChars="200"/>
        <w:rPr>
          <w:rFonts w:ascii="宋体" w:hAnsi="宋体"/>
          <w:sz w:val="24"/>
        </w:rPr>
      </w:pPr>
      <w:r>
        <w:rPr>
          <w:rFonts w:hint="eastAsia" w:ascii="宋体" w:hAnsi="宋体"/>
          <w:sz w:val="24"/>
        </w:rPr>
        <w:t>8</w:t>
      </w:r>
      <w:r>
        <w:rPr>
          <w:rFonts w:ascii="宋体" w:hAnsi="宋体"/>
          <w:sz w:val="24"/>
        </w:rPr>
        <w:t>.3</w:t>
      </w:r>
      <w:r>
        <w:rPr>
          <w:rFonts w:hint="eastAsia" w:ascii="宋体" w:hAnsi="宋体"/>
          <w:sz w:val="24"/>
        </w:rPr>
        <w:t>对于由买方提供给卖方的合同文件和资料，除了合同本身以外，合同所涉及的任何文件均是买方的财产。如果买方有要求，卖方在完成合同后应将这些文件（包括全部拷贝）还给买方。</w:t>
      </w:r>
    </w:p>
    <w:p w14:paraId="28113CF3">
      <w:pPr>
        <w:spacing w:line="360" w:lineRule="auto"/>
        <w:ind w:firstLine="480" w:firstLineChars="200"/>
        <w:rPr>
          <w:rFonts w:ascii="宋体" w:hAnsi="宋体"/>
          <w:sz w:val="24"/>
        </w:rPr>
      </w:pPr>
      <w:r>
        <w:rPr>
          <w:rFonts w:hint="eastAsia" w:ascii="宋体" w:hAnsi="宋体"/>
          <w:sz w:val="24"/>
        </w:rPr>
        <w:t>8</w:t>
      </w:r>
      <w:r>
        <w:rPr>
          <w:rFonts w:ascii="宋体" w:hAnsi="宋体"/>
          <w:sz w:val="24"/>
        </w:rPr>
        <w:t>.4</w:t>
      </w:r>
      <w:r>
        <w:rPr>
          <w:rFonts w:hint="eastAsia" w:ascii="宋体" w:hAnsi="宋体"/>
          <w:sz w:val="24"/>
        </w:rPr>
        <w:t>卖方应根据合同规定向买方提供具体服务实施方案。对项目必需但合同又未作规定的只有卖方才能提供的文件，卖方应及时向买方提供。</w:t>
      </w:r>
    </w:p>
    <w:p w14:paraId="21E93393">
      <w:pPr>
        <w:spacing w:line="360" w:lineRule="auto"/>
        <w:ind w:firstLine="480" w:firstLineChars="200"/>
        <w:rPr>
          <w:rFonts w:ascii="宋体" w:hAnsi="宋体"/>
          <w:sz w:val="24"/>
        </w:rPr>
      </w:pPr>
      <w:r>
        <w:rPr>
          <w:rFonts w:hint="eastAsia" w:ascii="宋体" w:hAnsi="宋体"/>
          <w:sz w:val="24"/>
        </w:rPr>
        <w:t>8</w:t>
      </w:r>
      <w:r>
        <w:rPr>
          <w:rFonts w:ascii="宋体" w:hAnsi="宋体"/>
          <w:sz w:val="24"/>
        </w:rPr>
        <w:t>.5</w:t>
      </w:r>
      <w:r>
        <w:rPr>
          <w:rFonts w:hint="eastAsia" w:ascii="宋体" w:hAnsi="宋体"/>
          <w:sz w:val="24"/>
        </w:rPr>
        <w:t>技术文件均应提交买方确认。如果买方收到服务实施方案后发现有遗漏、损坏或内容有差异，卖方收到买方通知后应立即更换。</w:t>
      </w:r>
    </w:p>
    <w:p w14:paraId="307E3943">
      <w:pPr>
        <w:spacing w:line="360" w:lineRule="auto"/>
        <w:ind w:firstLine="480" w:firstLineChars="200"/>
        <w:rPr>
          <w:rFonts w:ascii="宋体" w:hAnsi="宋体"/>
          <w:sz w:val="24"/>
        </w:rPr>
      </w:pPr>
      <w:r>
        <w:rPr>
          <w:rFonts w:hint="eastAsia" w:ascii="宋体" w:hAnsi="宋体"/>
          <w:sz w:val="24"/>
        </w:rPr>
        <w:t>8</w:t>
      </w:r>
      <w:r>
        <w:rPr>
          <w:rFonts w:ascii="宋体" w:hAnsi="宋体"/>
          <w:sz w:val="24"/>
        </w:rPr>
        <w:t>.6</w:t>
      </w:r>
      <w:r>
        <w:rPr>
          <w:rFonts w:hint="eastAsia" w:ascii="宋体" w:hAnsi="宋体"/>
          <w:sz w:val="24"/>
        </w:rPr>
        <w:t>卖方应按照买方要求提供技术文件及其电子文件给买方。</w:t>
      </w:r>
    </w:p>
    <w:p w14:paraId="60E39D72">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.8</w:t>
      </w:r>
      <w:r>
        <w:rPr>
          <w:rFonts w:hint="eastAsia" w:ascii="宋体" w:hAnsi="宋体"/>
          <w:sz w:val="24"/>
        </w:rPr>
        <w:t>合同中规定卖方提供给买方的所有技术文件的最终文件，除提供书面文件外，均需提供电子文件。</w:t>
      </w:r>
    </w:p>
    <w:p w14:paraId="73CD02A6">
      <w:pPr>
        <w:spacing w:line="360" w:lineRule="auto"/>
        <w:ind w:firstLine="482" w:firstLineChars="200"/>
        <w:rPr>
          <w:rFonts w:ascii="宋体" w:hAnsi="宋体"/>
          <w:b/>
          <w:sz w:val="24"/>
        </w:rPr>
      </w:pPr>
      <w:bookmarkStart w:id="219" w:name="_Toc413227947"/>
      <w:r>
        <w:rPr>
          <w:rFonts w:hint="eastAsia" w:ascii="宋体" w:hAnsi="宋体"/>
          <w:b/>
          <w:sz w:val="24"/>
        </w:rPr>
        <w:t>9</w:t>
      </w:r>
      <w:r>
        <w:rPr>
          <w:rFonts w:ascii="宋体" w:hAnsi="宋体"/>
          <w:b/>
          <w:sz w:val="24"/>
        </w:rPr>
        <w:t xml:space="preserve">. </w:t>
      </w:r>
      <w:r>
        <w:rPr>
          <w:rFonts w:hint="eastAsia" w:ascii="宋体" w:hAnsi="宋体"/>
          <w:b/>
          <w:sz w:val="24"/>
        </w:rPr>
        <w:t>知识产权</w:t>
      </w:r>
      <w:bookmarkEnd w:id="219"/>
    </w:p>
    <w:p w14:paraId="68E71F48">
      <w:pPr>
        <w:spacing w:line="360" w:lineRule="auto"/>
        <w:ind w:firstLine="480" w:firstLineChars="200"/>
        <w:rPr>
          <w:rFonts w:ascii="宋体" w:hAnsi="宋体"/>
          <w:sz w:val="24"/>
        </w:rPr>
      </w:pPr>
      <w:r>
        <w:rPr>
          <w:rFonts w:hint="eastAsia" w:ascii="宋体" w:hAnsi="宋体"/>
          <w:sz w:val="24"/>
        </w:rPr>
        <w:t>9</w:t>
      </w:r>
      <w:r>
        <w:rPr>
          <w:rFonts w:ascii="宋体" w:hAnsi="宋体"/>
          <w:sz w:val="24"/>
        </w:rPr>
        <w:t>.1</w:t>
      </w:r>
      <w:r>
        <w:rPr>
          <w:rFonts w:hint="eastAsia" w:ascii="宋体" w:hAnsi="宋体"/>
          <w:sz w:val="24"/>
        </w:rPr>
        <w:t>卖方应保证其拥有货物及其调试等服务的知识产权，并保证买方在中华人民共和国使用设备及其调试和其他服务时，免受第三方提出侵犯其任何专利、注册的设计、版权、商标或商品名称或其它知识产权的起诉及索赔。</w:t>
      </w:r>
    </w:p>
    <w:p w14:paraId="1ACB3D12">
      <w:pPr>
        <w:spacing w:line="360" w:lineRule="auto"/>
        <w:ind w:firstLine="480" w:firstLineChars="200"/>
        <w:rPr>
          <w:rFonts w:hint="eastAsia" w:ascii="宋体" w:hAnsi="宋体"/>
          <w:sz w:val="24"/>
        </w:rPr>
      </w:pPr>
      <w:r>
        <w:rPr>
          <w:rFonts w:hint="eastAsia" w:ascii="宋体" w:hAnsi="宋体"/>
          <w:sz w:val="24"/>
        </w:rPr>
        <w:t>9</w:t>
      </w:r>
      <w:r>
        <w:rPr>
          <w:rFonts w:ascii="宋体" w:hAnsi="宋体"/>
          <w:sz w:val="24"/>
        </w:rPr>
        <w:t>.2</w:t>
      </w:r>
      <w:r>
        <w:rPr>
          <w:rFonts w:hint="eastAsia" w:ascii="宋体" w:hAnsi="宋体"/>
          <w:sz w:val="24"/>
        </w:rPr>
        <w:t>在本合同范围内，买方永久享有卖方为本合同项下提供的产品、软件、技术资料的使用权，并无需交纳特许使用费（如有此类费用的话）。</w:t>
      </w:r>
    </w:p>
    <w:p w14:paraId="305DC166">
      <w:pPr>
        <w:spacing w:line="360" w:lineRule="auto"/>
        <w:ind w:firstLine="482" w:firstLineChars="200"/>
        <w:rPr>
          <w:rFonts w:hint="eastAsia" w:ascii="宋体" w:hAnsi="宋体"/>
          <w:b/>
          <w:sz w:val="24"/>
        </w:rPr>
      </w:pPr>
      <w:r>
        <w:rPr>
          <w:rFonts w:hint="eastAsia" w:ascii="宋体" w:hAnsi="宋体"/>
          <w:b/>
          <w:sz w:val="24"/>
        </w:rPr>
        <w:t>10.项目管理</w:t>
      </w:r>
    </w:p>
    <w:p w14:paraId="45C03E4E">
      <w:pPr>
        <w:spacing w:line="360" w:lineRule="auto"/>
        <w:ind w:firstLine="480" w:firstLineChars="200"/>
        <w:rPr>
          <w:rFonts w:hint="eastAsia" w:ascii="宋体" w:hAnsi="宋体"/>
          <w:sz w:val="24"/>
        </w:rPr>
      </w:pPr>
      <w:r>
        <w:rPr>
          <w:rFonts w:hint="eastAsia" w:ascii="宋体" w:hAnsi="宋体"/>
          <w:sz w:val="24"/>
        </w:rPr>
        <w:t>卖方必须接受买方的管理和协调，并执行买方有关项目管理办法和规定。</w:t>
      </w:r>
    </w:p>
    <w:p w14:paraId="4F3714D5">
      <w:pPr>
        <w:spacing w:line="360" w:lineRule="auto"/>
        <w:ind w:firstLine="482" w:firstLineChars="200"/>
        <w:rPr>
          <w:rFonts w:ascii="宋体" w:hAnsi="宋体"/>
          <w:b/>
          <w:sz w:val="24"/>
        </w:rPr>
      </w:pPr>
      <w:r>
        <w:rPr>
          <w:rFonts w:hint="eastAsia" w:ascii="宋体" w:hAnsi="宋体"/>
          <w:b/>
          <w:sz w:val="24"/>
        </w:rPr>
        <w:t>11</w:t>
      </w:r>
      <w:r>
        <w:rPr>
          <w:rFonts w:ascii="宋体" w:hAnsi="宋体"/>
          <w:b/>
          <w:sz w:val="24"/>
        </w:rPr>
        <w:t>.</w:t>
      </w:r>
      <w:r>
        <w:rPr>
          <w:rFonts w:hint="eastAsia" w:ascii="宋体" w:hAnsi="宋体"/>
          <w:b/>
          <w:sz w:val="24"/>
        </w:rPr>
        <w:t>服务范围</w:t>
      </w:r>
    </w:p>
    <w:p w14:paraId="50CF7B64">
      <w:pPr>
        <w:spacing w:line="360" w:lineRule="auto"/>
        <w:ind w:firstLine="480" w:firstLineChars="200"/>
        <w:rPr>
          <w:rFonts w:hint="eastAsia" w:ascii="宋体" w:hAnsi="宋体"/>
          <w:sz w:val="24"/>
        </w:rPr>
      </w:pPr>
      <w:r>
        <w:rPr>
          <w:rFonts w:hint="eastAsia" w:ascii="宋体" w:hAnsi="宋体"/>
          <w:sz w:val="24"/>
        </w:rPr>
        <w:t>服务范围应完全满足合同规定的技术规范、标准、质量、性能及功能上的要求。</w:t>
      </w:r>
    </w:p>
    <w:p w14:paraId="79C3AA10">
      <w:pPr>
        <w:spacing w:line="360" w:lineRule="auto"/>
        <w:ind w:firstLine="482" w:firstLineChars="200"/>
        <w:rPr>
          <w:rFonts w:ascii="宋体" w:hAnsi="宋体"/>
          <w:b/>
          <w:sz w:val="24"/>
        </w:rPr>
      </w:pPr>
      <w:r>
        <w:rPr>
          <w:rFonts w:hint="eastAsia" w:ascii="宋体" w:hAnsi="宋体"/>
          <w:b/>
          <w:sz w:val="24"/>
        </w:rPr>
        <w:t>12</w:t>
      </w:r>
      <w:r>
        <w:rPr>
          <w:rFonts w:ascii="宋体" w:hAnsi="宋体"/>
          <w:b/>
          <w:sz w:val="24"/>
        </w:rPr>
        <w:t>.</w:t>
      </w:r>
      <w:r>
        <w:rPr>
          <w:rFonts w:hint="eastAsia" w:ascii="宋体" w:hAnsi="宋体"/>
          <w:b/>
          <w:sz w:val="24"/>
        </w:rPr>
        <w:t>履约担保</w:t>
      </w:r>
    </w:p>
    <w:p w14:paraId="307DCEF9">
      <w:pPr>
        <w:spacing w:line="360" w:lineRule="auto"/>
        <w:ind w:firstLine="480" w:firstLineChars="200"/>
        <w:rPr>
          <w:rFonts w:hint="eastAsia" w:ascii="宋体" w:hAnsi="宋体"/>
          <w:sz w:val="24"/>
        </w:rPr>
      </w:pPr>
      <w:bookmarkStart w:id="220" w:name="_Toc271204999"/>
      <w:bookmarkStart w:id="221" w:name="_Toc271208682"/>
      <w:bookmarkStart w:id="222" w:name="_Toc271208479"/>
      <w:bookmarkStart w:id="223" w:name="_Toc271298725"/>
      <w:r>
        <w:rPr>
          <w:rFonts w:hint="eastAsia" w:ascii="宋体" w:hAnsi="宋体"/>
          <w:sz w:val="24"/>
        </w:rPr>
        <w:t>详见合同特殊条款。</w:t>
      </w:r>
    </w:p>
    <w:p w14:paraId="6D338158">
      <w:pPr>
        <w:spacing w:line="360" w:lineRule="auto"/>
        <w:ind w:firstLine="482" w:firstLineChars="200"/>
        <w:rPr>
          <w:rFonts w:ascii="宋体" w:hAnsi="宋体"/>
          <w:b/>
          <w:sz w:val="24"/>
        </w:rPr>
      </w:pPr>
      <w:bookmarkStart w:id="224" w:name="_Toc413227950"/>
      <w:r>
        <w:rPr>
          <w:rFonts w:hint="eastAsia" w:ascii="宋体" w:hAnsi="宋体"/>
          <w:b/>
          <w:sz w:val="24"/>
        </w:rPr>
        <w:t>13</w:t>
      </w:r>
      <w:r>
        <w:rPr>
          <w:rFonts w:ascii="宋体" w:hAnsi="宋体"/>
          <w:b/>
          <w:sz w:val="24"/>
        </w:rPr>
        <w:t>.</w:t>
      </w:r>
      <w:r>
        <w:rPr>
          <w:rFonts w:hint="eastAsia" w:ascii="宋体" w:hAnsi="宋体"/>
          <w:b/>
          <w:sz w:val="24"/>
        </w:rPr>
        <w:t>价格</w:t>
      </w:r>
      <w:bookmarkEnd w:id="224"/>
    </w:p>
    <w:p w14:paraId="56E3DEDD">
      <w:pPr>
        <w:spacing w:line="360" w:lineRule="auto"/>
        <w:ind w:firstLine="480" w:firstLineChars="200"/>
        <w:rPr>
          <w:rFonts w:ascii="宋体" w:hAnsi="宋体"/>
          <w:sz w:val="24"/>
        </w:rPr>
      </w:pPr>
      <w:r>
        <w:rPr>
          <w:rFonts w:hint="eastAsia" w:ascii="宋体" w:hAnsi="宋体"/>
          <w:sz w:val="24"/>
        </w:rPr>
        <w:t>13.1本合同价格类型见合同特殊条款。</w:t>
      </w:r>
      <w:r>
        <w:rPr>
          <w:rFonts w:ascii="宋体" w:hAnsi="宋体"/>
          <w:sz w:val="24"/>
        </w:rPr>
        <w:t xml:space="preserve"> </w:t>
      </w:r>
    </w:p>
    <w:p w14:paraId="728AC1EC">
      <w:pPr>
        <w:spacing w:line="360" w:lineRule="auto"/>
        <w:ind w:firstLine="480" w:firstLineChars="200"/>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2合同</w:t>
      </w:r>
      <w:r>
        <w:rPr>
          <w:rFonts w:ascii="宋体" w:hAnsi="宋体"/>
          <w:sz w:val="24"/>
        </w:rPr>
        <w:t>总价</w:t>
      </w:r>
      <w:r>
        <w:rPr>
          <w:rFonts w:hint="eastAsia" w:ascii="宋体" w:hAnsi="宋体"/>
          <w:sz w:val="24"/>
        </w:rPr>
        <w:t>见合同特殊条款。</w:t>
      </w:r>
    </w:p>
    <w:p w14:paraId="4319EF0A">
      <w:pPr>
        <w:spacing w:line="360" w:lineRule="auto"/>
        <w:ind w:firstLine="480" w:firstLineChars="200"/>
        <w:rPr>
          <w:rFonts w:ascii="宋体" w:hAnsi="宋体"/>
          <w:sz w:val="24"/>
          <w:u w:val="single"/>
        </w:rPr>
      </w:pPr>
      <w:r>
        <w:rPr>
          <w:rFonts w:hint="eastAsia" w:ascii="宋体" w:hAnsi="宋体"/>
          <w:sz w:val="24"/>
        </w:rPr>
        <w:t>13</w:t>
      </w:r>
      <w:r>
        <w:rPr>
          <w:rFonts w:ascii="宋体" w:hAnsi="宋体"/>
          <w:sz w:val="24"/>
        </w:rPr>
        <w:t>.</w:t>
      </w:r>
      <w:r>
        <w:rPr>
          <w:rFonts w:hint="eastAsia" w:ascii="宋体" w:hAnsi="宋体"/>
          <w:sz w:val="24"/>
        </w:rPr>
        <w:t>3卖方已彻底查清，并在合同价中充分考虑到了以下事项：</w:t>
      </w:r>
    </w:p>
    <w:p w14:paraId="6912FA80">
      <w:pPr>
        <w:spacing w:line="360" w:lineRule="auto"/>
        <w:ind w:firstLine="480" w:firstLineChars="200"/>
        <w:rPr>
          <w:rFonts w:hint="eastAsia" w:ascii="宋体" w:hAnsi="宋体"/>
          <w:sz w:val="24"/>
        </w:rPr>
      </w:pPr>
      <w:r>
        <w:rPr>
          <w:rFonts w:hint="eastAsia" w:ascii="宋体" w:hAnsi="宋体"/>
          <w:sz w:val="24"/>
        </w:rPr>
        <w:t>1）影响合同价格的全部条件情况；</w:t>
      </w:r>
    </w:p>
    <w:p w14:paraId="3BA500EA">
      <w:pPr>
        <w:spacing w:line="360" w:lineRule="auto"/>
        <w:ind w:firstLine="480" w:firstLineChars="200"/>
        <w:rPr>
          <w:rFonts w:hint="eastAsia" w:ascii="宋体" w:hAnsi="宋体"/>
          <w:sz w:val="24"/>
        </w:rPr>
      </w:pPr>
      <w:r>
        <w:rPr>
          <w:rFonts w:hint="eastAsia" w:ascii="宋体" w:hAnsi="宋体"/>
          <w:sz w:val="24"/>
        </w:rPr>
        <w:t>2）完成合同所述货物及服务的所有可能性。</w:t>
      </w:r>
    </w:p>
    <w:p w14:paraId="6CE0C162">
      <w:pPr>
        <w:spacing w:line="360" w:lineRule="auto"/>
        <w:ind w:firstLine="482" w:firstLineChars="200"/>
        <w:rPr>
          <w:rFonts w:ascii="宋体" w:hAnsi="宋体"/>
          <w:b/>
          <w:sz w:val="24"/>
        </w:rPr>
      </w:pPr>
      <w:bookmarkStart w:id="225" w:name="_Toc413227951"/>
      <w:r>
        <w:rPr>
          <w:rFonts w:hint="eastAsia" w:ascii="宋体" w:hAnsi="宋体"/>
          <w:b/>
          <w:sz w:val="24"/>
        </w:rPr>
        <w:t>14</w:t>
      </w:r>
      <w:r>
        <w:rPr>
          <w:rFonts w:ascii="宋体" w:hAnsi="宋体"/>
          <w:b/>
          <w:sz w:val="24"/>
        </w:rPr>
        <w:t>.</w:t>
      </w:r>
      <w:r>
        <w:rPr>
          <w:rFonts w:hint="eastAsia" w:ascii="宋体" w:hAnsi="宋体"/>
          <w:b/>
          <w:sz w:val="24"/>
        </w:rPr>
        <w:t>付款</w:t>
      </w:r>
      <w:bookmarkEnd w:id="225"/>
    </w:p>
    <w:p w14:paraId="6A67FA4B">
      <w:pPr>
        <w:spacing w:line="360" w:lineRule="auto"/>
        <w:ind w:firstLine="480" w:firstLineChars="200"/>
        <w:rPr>
          <w:rFonts w:ascii="宋体" w:hAnsi="宋体"/>
          <w:sz w:val="24"/>
        </w:rPr>
      </w:pPr>
      <w:bookmarkStart w:id="226" w:name="_Toc276033837"/>
      <w:bookmarkStart w:id="227" w:name="_Toc271622069"/>
      <w:bookmarkStart w:id="228" w:name="_Toc273567057"/>
      <w:bookmarkStart w:id="229" w:name="_Toc271644556"/>
      <w:bookmarkStart w:id="230" w:name="_Toc276033986"/>
      <w:bookmarkStart w:id="231" w:name="_Toc273354744"/>
      <w:bookmarkStart w:id="232" w:name="_Toc271626702"/>
      <w:bookmarkStart w:id="233" w:name="_Toc271733461"/>
      <w:bookmarkStart w:id="234" w:name="_Toc271644877"/>
      <w:r>
        <w:rPr>
          <w:rFonts w:hint="eastAsia" w:ascii="宋体" w:hAnsi="宋体"/>
          <w:sz w:val="24"/>
        </w:rPr>
        <w:t>14</w:t>
      </w:r>
      <w:r>
        <w:rPr>
          <w:rFonts w:ascii="宋体" w:hAnsi="宋体"/>
          <w:sz w:val="24"/>
        </w:rPr>
        <w:t>.1</w:t>
      </w:r>
      <w:r>
        <w:rPr>
          <w:rFonts w:hint="eastAsia" w:ascii="宋体" w:hAnsi="宋体"/>
          <w:sz w:val="24"/>
        </w:rPr>
        <w:t>本合同使用货币种类为人民币。</w:t>
      </w:r>
    </w:p>
    <w:p w14:paraId="5D95889A">
      <w:pPr>
        <w:spacing w:line="360" w:lineRule="auto"/>
        <w:ind w:firstLine="480" w:firstLineChars="200"/>
        <w:rPr>
          <w:rFonts w:ascii="宋体" w:hAnsi="宋体"/>
          <w:sz w:val="24"/>
        </w:rPr>
      </w:pPr>
      <w:r>
        <w:rPr>
          <w:rFonts w:hint="eastAsia" w:ascii="宋体" w:hAnsi="宋体"/>
          <w:sz w:val="24"/>
        </w:rPr>
        <w:t>14</w:t>
      </w:r>
      <w:r>
        <w:rPr>
          <w:rFonts w:ascii="宋体" w:hAnsi="宋体"/>
          <w:sz w:val="24"/>
        </w:rPr>
        <w:t>.2</w:t>
      </w:r>
      <w:r>
        <w:rPr>
          <w:rFonts w:hint="eastAsia" w:ascii="宋体" w:hAnsi="宋体"/>
          <w:sz w:val="24"/>
        </w:rPr>
        <w:t>合同价款的支付：见合同特殊条款。</w:t>
      </w:r>
    </w:p>
    <w:bookmarkEnd w:id="226"/>
    <w:bookmarkEnd w:id="227"/>
    <w:bookmarkEnd w:id="228"/>
    <w:bookmarkEnd w:id="229"/>
    <w:bookmarkEnd w:id="230"/>
    <w:bookmarkEnd w:id="231"/>
    <w:bookmarkEnd w:id="232"/>
    <w:bookmarkEnd w:id="233"/>
    <w:bookmarkEnd w:id="234"/>
    <w:p w14:paraId="4056049D">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5</w:t>
      </w:r>
      <w:r>
        <w:rPr>
          <w:rFonts w:hint="eastAsia" w:ascii="宋体" w:hAnsi="宋体"/>
          <w:b/>
          <w:sz w:val="24"/>
        </w:rPr>
        <w:t>. 服务时间、地点及方式</w:t>
      </w:r>
    </w:p>
    <w:p w14:paraId="4597B782">
      <w:pPr>
        <w:spacing w:line="360" w:lineRule="auto"/>
        <w:ind w:firstLine="480" w:firstLineChars="200"/>
        <w:rPr>
          <w:rFonts w:hint="eastAsia" w:ascii="宋体" w:hAnsi="宋体"/>
          <w:sz w:val="24"/>
        </w:rPr>
      </w:pPr>
      <w:r>
        <w:rPr>
          <w:rFonts w:hint="eastAsia" w:ascii="宋体" w:hAnsi="宋体"/>
          <w:sz w:val="24"/>
        </w:rPr>
        <w:t>见合同特殊条款。</w:t>
      </w:r>
    </w:p>
    <w:p w14:paraId="033D9B94">
      <w:pPr>
        <w:spacing w:line="360" w:lineRule="auto"/>
        <w:ind w:firstLine="482" w:firstLineChars="200"/>
        <w:rPr>
          <w:rFonts w:ascii="宋体" w:hAnsi="宋体"/>
          <w:b/>
          <w:sz w:val="24"/>
        </w:rPr>
      </w:pPr>
      <w:r>
        <w:rPr>
          <w:rFonts w:ascii="宋体" w:hAnsi="宋体"/>
          <w:b/>
          <w:sz w:val="24"/>
        </w:rPr>
        <w:t>16</w:t>
      </w:r>
      <w:r>
        <w:rPr>
          <w:rFonts w:hint="eastAsia" w:ascii="宋体" w:hAnsi="宋体"/>
          <w:b/>
          <w:sz w:val="24"/>
        </w:rPr>
        <w:t>. 所有权与风险转移</w:t>
      </w:r>
    </w:p>
    <w:p w14:paraId="5B86BF76">
      <w:pPr>
        <w:spacing w:line="360" w:lineRule="auto"/>
        <w:ind w:firstLine="480" w:firstLineChars="200"/>
        <w:rPr>
          <w:rFonts w:hint="eastAsia" w:ascii="宋体" w:hAnsi="宋体"/>
          <w:sz w:val="24"/>
        </w:rPr>
      </w:pPr>
      <w:r>
        <w:rPr>
          <w:rFonts w:hint="eastAsia" w:ascii="宋体" w:hAnsi="宋体"/>
          <w:sz w:val="24"/>
        </w:rPr>
        <w:t>在不影响本合同规定的卖方的风险、义务和责任情况下，货物应在通过</w:t>
      </w:r>
      <w:r>
        <w:rPr>
          <w:rFonts w:ascii="宋体" w:hAnsi="宋体"/>
          <w:sz w:val="24"/>
        </w:rPr>
        <w:t>最终</w:t>
      </w:r>
      <w:r>
        <w:rPr>
          <w:rFonts w:hint="eastAsia" w:ascii="宋体" w:hAnsi="宋体"/>
          <w:sz w:val="24"/>
        </w:rPr>
        <w:t>验收之日成为买方的绝对财产</w:t>
      </w:r>
      <w:r>
        <w:rPr>
          <w:rFonts w:ascii="宋体" w:hAnsi="宋体"/>
          <w:sz w:val="24"/>
        </w:rPr>
        <w:t>，</w:t>
      </w:r>
      <w:r>
        <w:rPr>
          <w:rFonts w:hint="eastAsia" w:ascii="宋体" w:hAnsi="宋体"/>
          <w:sz w:val="24"/>
        </w:rPr>
        <w:t>所有权的转移不免除卖方的质量责任。</w:t>
      </w:r>
    </w:p>
    <w:p w14:paraId="70B30E74">
      <w:pPr>
        <w:spacing w:line="360" w:lineRule="auto"/>
        <w:ind w:firstLine="480" w:firstLineChars="200"/>
        <w:rPr>
          <w:rFonts w:hint="eastAsia" w:ascii="宋体" w:hAnsi="宋体"/>
          <w:sz w:val="24"/>
        </w:rPr>
      </w:pPr>
      <w:r>
        <w:rPr>
          <w:rFonts w:hint="eastAsia" w:ascii="宋体" w:hAnsi="宋体"/>
          <w:sz w:val="24"/>
        </w:rPr>
        <w:t>无论在合同中是否另有规定，货物毁损、灭失的风险在合同生效之日起至</w:t>
      </w:r>
      <w:r>
        <w:rPr>
          <w:rFonts w:ascii="宋体" w:hAnsi="宋体"/>
          <w:sz w:val="24"/>
        </w:rPr>
        <w:t>买方</w:t>
      </w:r>
      <w:r>
        <w:rPr>
          <w:rFonts w:hint="eastAsia" w:ascii="宋体" w:hAnsi="宋体"/>
          <w:sz w:val="24"/>
        </w:rPr>
        <w:t>发出</w:t>
      </w:r>
      <w:r>
        <w:rPr>
          <w:rFonts w:ascii="宋体" w:hAnsi="宋体"/>
          <w:sz w:val="24"/>
        </w:rPr>
        <w:t>最终</w:t>
      </w:r>
      <w:r>
        <w:rPr>
          <w:rFonts w:hint="eastAsia" w:ascii="宋体" w:hAnsi="宋体"/>
          <w:sz w:val="24"/>
        </w:rPr>
        <w:t>验收</w:t>
      </w:r>
      <w:r>
        <w:rPr>
          <w:rFonts w:ascii="宋体" w:hAnsi="宋体"/>
          <w:sz w:val="24"/>
        </w:rPr>
        <w:t>证明</w:t>
      </w:r>
      <w:r>
        <w:rPr>
          <w:rFonts w:hint="eastAsia" w:ascii="宋体" w:hAnsi="宋体"/>
          <w:sz w:val="24"/>
        </w:rPr>
        <w:t>之日止由卖方承担。在此期间之内,卖方应对货物或部分货物不论由于什么原因而可能出现的任何损失和损坏负责，弥补费用自理。货物毁损、灭失的风险在</w:t>
      </w:r>
      <w:r>
        <w:rPr>
          <w:rFonts w:ascii="宋体" w:hAnsi="宋体"/>
          <w:sz w:val="24"/>
        </w:rPr>
        <w:t>最终</w:t>
      </w:r>
      <w:r>
        <w:rPr>
          <w:rFonts w:hint="eastAsia" w:ascii="宋体" w:hAnsi="宋体"/>
          <w:sz w:val="24"/>
        </w:rPr>
        <w:t>验收通过时由卖方转移到买方。在买方拒收或者解除合同的情况下，货物毁损、灭失的风险由卖方承担。</w:t>
      </w:r>
    </w:p>
    <w:p w14:paraId="0945242B">
      <w:pPr>
        <w:spacing w:line="360" w:lineRule="auto"/>
        <w:ind w:firstLine="480" w:firstLineChars="200"/>
        <w:rPr>
          <w:rFonts w:hint="eastAsia" w:ascii="宋体" w:hAnsi="宋体"/>
          <w:sz w:val="24"/>
        </w:rPr>
      </w:pPr>
      <w:r>
        <w:rPr>
          <w:rFonts w:hint="eastAsia" w:ascii="宋体" w:hAnsi="宋体"/>
          <w:sz w:val="24"/>
        </w:rPr>
        <w:t>所有权和风险的转移，不影响因卖方履行义务不符合约定，买方要求其承担违约责任的权利。</w:t>
      </w:r>
    </w:p>
    <w:bookmarkEnd w:id="220"/>
    <w:bookmarkEnd w:id="221"/>
    <w:bookmarkEnd w:id="222"/>
    <w:bookmarkEnd w:id="223"/>
    <w:p w14:paraId="40A53ECF">
      <w:pPr>
        <w:spacing w:line="360" w:lineRule="auto"/>
        <w:ind w:firstLine="482" w:firstLineChars="200"/>
        <w:rPr>
          <w:rFonts w:ascii="宋体" w:hAnsi="宋体"/>
          <w:b/>
          <w:sz w:val="24"/>
        </w:rPr>
      </w:pPr>
      <w:r>
        <w:rPr>
          <w:rFonts w:ascii="宋体" w:hAnsi="宋体"/>
          <w:b/>
          <w:sz w:val="24"/>
        </w:rPr>
        <w:t>17</w:t>
      </w:r>
      <w:r>
        <w:rPr>
          <w:rFonts w:hint="eastAsia" w:ascii="宋体" w:hAnsi="宋体"/>
          <w:b/>
          <w:sz w:val="24"/>
        </w:rPr>
        <w:t>.保险</w:t>
      </w:r>
    </w:p>
    <w:p w14:paraId="4B7CAF55">
      <w:pPr>
        <w:spacing w:line="360" w:lineRule="auto"/>
        <w:ind w:firstLine="480" w:firstLineChars="200"/>
        <w:rPr>
          <w:rFonts w:hint="eastAsia" w:ascii="宋体" w:hAnsi="宋体"/>
          <w:sz w:val="24"/>
        </w:rPr>
      </w:pPr>
      <w:r>
        <w:rPr>
          <w:rFonts w:ascii="宋体" w:hAnsi="宋体"/>
          <w:sz w:val="24"/>
        </w:rPr>
        <w:t>17.</w:t>
      </w:r>
      <w:r>
        <w:rPr>
          <w:rFonts w:hint="eastAsia" w:ascii="宋体" w:hAnsi="宋体"/>
          <w:sz w:val="24"/>
        </w:rPr>
        <w:t>1卖方从事本项目应进行的一切保险（包括但不限于对雇员的保险）由卖方自理。并处理与之有关的所有保险索赔及其他一切事项。</w:t>
      </w:r>
    </w:p>
    <w:p w14:paraId="4C14F9D7">
      <w:pPr>
        <w:spacing w:line="360" w:lineRule="auto"/>
        <w:ind w:firstLine="480" w:firstLineChars="200"/>
        <w:rPr>
          <w:rFonts w:hint="eastAsia" w:ascii="宋体" w:hAnsi="宋体"/>
          <w:sz w:val="24"/>
        </w:rPr>
      </w:pPr>
      <w:r>
        <w:rPr>
          <w:rFonts w:ascii="宋体" w:hAnsi="宋体"/>
          <w:sz w:val="24"/>
        </w:rPr>
        <w:t>17.</w:t>
      </w:r>
      <w:r>
        <w:rPr>
          <w:rFonts w:hint="eastAsia" w:ascii="宋体" w:hAnsi="宋体"/>
          <w:sz w:val="24"/>
        </w:rPr>
        <w:t>2 卖方应买方要求，出示根据合同要求应购买的保险的任何保险单或保险证明以及保险费的收据。</w:t>
      </w:r>
    </w:p>
    <w:p w14:paraId="4A2EAED2">
      <w:pPr>
        <w:spacing w:line="360" w:lineRule="auto"/>
        <w:ind w:firstLine="480" w:firstLineChars="200"/>
        <w:rPr>
          <w:rFonts w:hint="eastAsia" w:ascii="宋体" w:hAnsi="宋体"/>
          <w:sz w:val="24"/>
        </w:rPr>
      </w:pPr>
      <w:r>
        <w:rPr>
          <w:rFonts w:ascii="宋体" w:hAnsi="宋体"/>
          <w:sz w:val="24"/>
        </w:rPr>
        <w:t>17</w:t>
      </w:r>
      <w:r>
        <w:rPr>
          <w:rFonts w:hint="eastAsia" w:ascii="宋体" w:hAnsi="宋体"/>
          <w:sz w:val="24"/>
        </w:rPr>
        <w:t>.3 所需的全部保险费均已包含在合同价中，买方不另行支付。</w:t>
      </w:r>
    </w:p>
    <w:p w14:paraId="2C38B55A">
      <w:pPr>
        <w:spacing w:line="360" w:lineRule="auto"/>
        <w:ind w:firstLine="480" w:firstLineChars="200"/>
        <w:rPr>
          <w:rFonts w:ascii="宋体" w:hAnsi="宋体"/>
          <w:sz w:val="24"/>
        </w:rPr>
      </w:pPr>
      <w:r>
        <w:rPr>
          <w:rFonts w:ascii="宋体" w:hAnsi="宋体"/>
          <w:sz w:val="24"/>
        </w:rPr>
        <w:t>17</w:t>
      </w:r>
      <w:r>
        <w:rPr>
          <w:rFonts w:hint="eastAsia" w:ascii="宋体" w:hAnsi="宋体"/>
          <w:sz w:val="24"/>
        </w:rPr>
        <w:t>.4 与本项目有关的索赔等事项，若卖方未购买保险，则由卖方自行处理赔偿事宜。</w:t>
      </w:r>
    </w:p>
    <w:p w14:paraId="32381EE3">
      <w:pPr>
        <w:spacing w:line="360" w:lineRule="auto"/>
        <w:ind w:firstLine="482" w:firstLineChars="200"/>
        <w:rPr>
          <w:rFonts w:ascii="宋体" w:hAnsi="宋体"/>
          <w:b/>
          <w:sz w:val="24"/>
        </w:rPr>
      </w:pPr>
      <w:r>
        <w:rPr>
          <w:rFonts w:ascii="宋体" w:hAnsi="宋体"/>
          <w:b/>
          <w:sz w:val="24"/>
        </w:rPr>
        <w:t>18</w:t>
      </w:r>
      <w:r>
        <w:rPr>
          <w:rFonts w:hint="eastAsia" w:ascii="宋体" w:hAnsi="宋体"/>
          <w:b/>
          <w:sz w:val="24"/>
        </w:rPr>
        <w:t>.验收</w:t>
      </w:r>
    </w:p>
    <w:p w14:paraId="7F4845AD">
      <w:pPr>
        <w:spacing w:line="360" w:lineRule="auto"/>
        <w:ind w:firstLine="480" w:firstLineChars="200"/>
        <w:rPr>
          <w:rFonts w:ascii="宋体" w:hAnsi="宋体"/>
          <w:sz w:val="24"/>
        </w:rPr>
      </w:pPr>
      <w:r>
        <w:rPr>
          <w:rFonts w:ascii="宋体" w:hAnsi="宋体"/>
          <w:sz w:val="24"/>
        </w:rPr>
        <w:t>18.1</w:t>
      </w:r>
      <w:r>
        <w:rPr>
          <w:rFonts w:hint="eastAsia" w:ascii="宋体" w:hAnsi="宋体"/>
          <w:sz w:val="24"/>
        </w:rPr>
        <w:t>买方或其代表有权对卖方的服务组织考核及验收，以确认服务符合合同规定的要求，并且除合同规定买方承担的费用外，不承担额外的费用。</w:t>
      </w:r>
    </w:p>
    <w:p w14:paraId="3711B1FF">
      <w:pPr>
        <w:spacing w:line="360" w:lineRule="auto"/>
        <w:ind w:firstLine="480" w:firstLineChars="200"/>
        <w:rPr>
          <w:rFonts w:ascii="宋体" w:hAnsi="宋体"/>
          <w:sz w:val="24"/>
        </w:rPr>
      </w:pPr>
      <w:r>
        <w:rPr>
          <w:rFonts w:ascii="宋体" w:hAnsi="宋体"/>
          <w:sz w:val="24"/>
        </w:rPr>
        <w:t>18.2</w:t>
      </w:r>
      <w:r>
        <w:rPr>
          <w:rFonts w:hint="eastAsia" w:ascii="宋体" w:hAnsi="宋体"/>
          <w:sz w:val="24"/>
        </w:rPr>
        <w:t>在任何情况下，任何考核和验收的结果均不免除卖方的合同责任。</w:t>
      </w:r>
    </w:p>
    <w:p w14:paraId="61F3BCA8">
      <w:pPr>
        <w:adjustRightInd w:val="0"/>
        <w:snapToGrid w:val="0"/>
        <w:spacing w:line="360" w:lineRule="auto"/>
        <w:ind w:firstLine="480" w:firstLineChars="200"/>
        <w:rPr>
          <w:rFonts w:ascii="宋体" w:hAnsi="宋体"/>
          <w:sz w:val="24"/>
          <w:szCs w:val="24"/>
        </w:rPr>
      </w:pPr>
      <w:r>
        <w:rPr>
          <w:rFonts w:ascii="宋体" w:hAnsi="宋体"/>
          <w:sz w:val="24"/>
        </w:rPr>
        <w:t>18.3</w:t>
      </w:r>
      <w:r>
        <w:rPr>
          <w:rFonts w:hint="eastAsia" w:ascii="宋体" w:hAnsi="宋体"/>
          <w:sz w:val="24"/>
          <w:szCs w:val="24"/>
        </w:rPr>
        <w:t>如有必要，买方可邀请专家或国家认可的质量检测机构参加验收（测试或检验）工作，</w:t>
      </w:r>
      <w:r>
        <w:rPr>
          <w:rFonts w:hint="eastAsia" w:ascii="宋体" w:hAnsi="宋体"/>
          <w:color w:val="auto"/>
          <w:sz w:val="24"/>
          <w:szCs w:val="24"/>
        </w:rPr>
        <w:t>其发生的合理费用由卖方承担。</w:t>
      </w:r>
      <w:r>
        <w:rPr>
          <w:rFonts w:hint="eastAsia" w:ascii="宋体" w:hAnsi="宋体"/>
          <w:sz w:val="24"/>
          <w:szCs w:val="24"/>
        </w:rPr>
        <w:t>但这种测试或检验是核查</w:t>
      </w:r>
      <w:r>
        <w:rPr>
          <w:rFonts w:hint="eastAsia" w:ascii="宋体" w:hAnsi="宋体"/>
          <w:sz w:val="24"/>
          <w:szCs w:val="24"/>
          <w:lang w:val="en-US" w:eastAsia="zh-Hans"/>
        </w:rPr>
        <w:t>服务</w:t>
      </w:r>
      <w:r>
        <w:rPr>
          <w:rFonts w:hint="eastAsia" w:ascii="宋体" w:hAnsi="宋体"/>
          <w:sz w:val="24"/>
          <w:szCs w:val="24"/>
        </w:rPr>
        <w:t>的特点和性能是否符合合同条款要求的技术规格和标准所必须的。</w:t>
      </w:r>
    </w:p>
    <w:p w14:paraId="16BCA144">
      <w:pPr>
        <w:adjustRightInd w:val="0"/>
        <w:snapToGrid w:val="0"/>
        <w:spacing w:line="360" w:lineRule="auto"/>
        <w:ind w:firstLine="480" w:firstLineChars="200"/>
        <w:rPr>
          <w:rFonts w:hint="eastAsia" w:ascii="宋体" w:hAnsi="宋体"/>
          <w:sz w:val="24"/>
        </w:rPr>
      </w:pPr>
      <w:r>
        <w:rPr>
          <w:rFonts w:hint="eastAsia" w:ascii="宋体" w:hAnsi="宋体"/>
          <w:sz w:val="24"/>
          <w:szCs w:val="24"/>
        </w:rPr>
        <w:t>1</w:t>
      </w:r>
      <w:r>
        <w:rPr>
          <w:rFonts w:ascii="宋体" w:hAnsi="宋体"/>
          <w:sz w:val="24"/>
          <w:szCs w:val="24"/>
        </w:rPr>
        <w:t>8..4</w:t>
      </w:r>
      <w:r>
        <w:rPr>
          <w:rFonts w:hint="eastAsia" w:ascii="宋体" w:hAnsi="宋体"/>
          <w:sz w:val="24"/>
          <w:szCs w:val="24"/>
        </w:rPr>
        <w:t>卖方同意，不论是否对服务进行考核和验收，都不能免除卖方在合同项下的保证义务或其他义务。</w:t>
      </w:r>
    </w:p>
    <w:p w14:paraId="504F282C">
      <w:pPr>
        <w:spacing w:line="360" w:lineRule="auto"/>
        <w:ind w:firstLine="482" w:firstLineChars="200"/>
        <w:rPr>
          <w:rFonts w:ascii="宋体" w:hAnsi="宋体"/>
          <w:b/>
          <w:sz w:val="24"/>
          <w:szCs w:val="24"/>
        </w:rPr>
      </w:pPr>
      <w:r>
        <w:rPr>
          <w:rFonts w:ascii="宋体" w:hAnsi="宋体"/>
          <w:b/>
          <w:sz w:val="24"/>
        </w:rPr>
        <w:t>19</w:t>
      </w:r>
      <w:r>
        <w:rPr>
          <w:rFonts w:ascii="宋体" w:hAnsi="宋体"/>
          <w:b/>
          <w:sz w:val="24"/>
          <w:szCs w:val="24"/>
        </w:rPr>
        <w:t>.</w:t>
      </w:r>
      <w:r>
        <w:rPr>
          <w:rFonts w:hint="eastAsia" w:ascii="宋体" w:hAnsi="宋体"/>
          <w:b/>
          <w:sz w:val="24"/>
          <w:szCs w:val="24"/>
        </w:rPr>
        <w:t>售后服务</w:t>
      </w:r>
    </w:p>
    <w:p w14:paraId="76F3A815">
      <w:pPr>
        <w:spacing w:line="360" w:lineRule="auto"/>
        <w:ind w:firstLine="480" w:firstLineChars="200"/>
        <w:rPr>
          <w:rFonts w:ascii="宋体" w:hAnsi="宋体"/>
          <w:sz w:val="24"/>
          <w:szCs w:val="24"/>
        </w:rPr>
      </w:pPr>
      <w:r>
        <w:rPr>
          <w:rFonts w:ascii="宋体" w:hAnsi="宋体"/>
          <w:sz w:val="24"/>
          <w:szCs w:val="24"/>
        </w:rPr>
        <w:t>19.1</w:t>
      </w:r>
      <w:r>
        <w:rPr>
          <w:rFonts w:hint="eastAsia" w:ascii="宋体" w:hAnsi="宋体"/>
          <w:sz w:val="24"/>
          <w:szCs w:val="24"/>
        </w:rPr>
        <w:t>卖方应提供24小时的电话服务，提供专业服务支持。不断完善服务管理和拓展新的服务模式，接受买方的监督和批评。</w:t>
      </w:r>
    </w:p>
    <w:p w14:paraId="44F29A7C">
      <w:pPr>
        <w:spacing w:line="360" w:lineRule="auto"/>
        <w:ind w:firstLine="480" w:firstLineChars="200"/>
        <w:rPr>
          <w:rFonts w:hint="eastAsia" w:ascii="宋体" w:hAnsi="宋体"/>
          <w:sz w:val="24"/>
          <w:szCs w:val="24"/>
        </w:rPr>
      </w:pPr>
      <w:r>
        <w:rPr>
          <w:rFonts w:ascii="宋体" w:hAnsi="宋体"/>
          <w:sz w:val="24"/>
          <w:szCs w:val="24"/>
        </w:rPr>
        <w:t>19.2</w:t>
      </w:r>
      <w:r>
        <w:rPr>
          <w:rFonts w:hint="eastAsia" w:ascii="宋体" w:hAnsi="宋体"/>
          <w:sz w:val="24"/>
          <w:szCs w:val="24"/>
        </w:rPr>
        <w:t>卖方应每半年不少于一次的主动回访，以便及时了解买方的意见，迅速改变服务的不足之处。。</w:t>
      </w:r>
    </w:p>
    <w:p w14:paraId="49C413A1">
      <w:pPr>
        <w:spacing w:line="360" w:lineRule="auto"/>
        <w:ind w:firstLine="482" w:firstLineChars="200"/>
        <w:rPr>
          <w:rFonts w:ascii="宋体" w:hAnsi="宋体"/>
          <w:b/>
          <w:sz w:val="24"/>
        </w:rPr>
      </w:pPr>
      <w:r>
        <w:rPr>
          <w:rFonts w:ascii="宋体" w:hAnsi="宋体"/>
          <w:b/>
          <w:sz w:val="24"/>
        </w:rPr>
        <w:t>20</w:t>
      </w:r>
      <w:r>
        <w:rPr>
          <w:rFonts w:hint="eastAsia" w:ascii="宋体" w:hAnsi="宋体"/>
          <w:b/>
          <w:sz w:val="24"/>
        </w:rPr>
        <w:t>. 合同的变更</w:t>
      </w:r>
    </w:p>
    <w:p w14:paraId="4392DE4C">
      <w:pPr>
        <w:spacing w:line="360" w:lineRule="auto"/>
        <w:ind w:firstLine="480" w:firstLineChars="200"/>
        <w:rPr>
          <w:rFonts w:ascii="宋体" w:hAnsi="宋体"/>
          <w:sz w:val="24"/>
        </w:rPr>
      </w:pPr>
      <w:r>
        <w:rPr>
          <w:rFonts w:ascii="宋体" w:hAnsi="宋体"/>
          <w:sz w:val="24"/>
        </w:rPr>
        <w:t>20.1</w:t>
      </w:r>
      <w:r>
        <w:rPr>
          <w:rFonts w:hint="eastAsia" w:ascii="宋体" w:hAnsi="宋体"/>
          <w:sz w:val="24"/>
        </w:rPr>
        <w:t>除出现服务内容增加外，合同价格不予调整。对于合同变更付款，应在最终结算时支付。</w:t>
      </w:r>
    </w:p>
    <w:p w14:paraId="572101BA">
      <w:pPr>
        <w:spacing w:line="360" w:lineRule="auto"/>
        <w:ind w:firstLine="480" w:firstLineChars="200"/>
        <w:rPr>
          <w:rFonts w:ascii="宋体" w:hAnsi="宋体"/>
          <w:sz w:val="24"/>
        </w:rPr>
      </w:pPr>
      <w:r>
        <w:rPr>
          <w:rFonts w:ascii="宋体" w:hAnsi="宋体"/>
          <w:sz w:val="24"/>
        </w:rPr>
        <w:t>20.2</w:t>
      </w:r>
      <w:r>
        <w:rPr>
          <w:rFonts w:hint="eastAsia" w:ascii="宋体" w:hAnsi="宋体"/>
          <w:sz w:val="24"/>
        </w:rPr>
        <w:t>如果卖方认为，任何变更方案可能阻碍或不利于履行合同义务，则卖方应按本合同规定以书面形式向买方提出意见。</w:t>
      </w:r>
    </w:p>
    <w:p w14:paraId="100B5323">
      <w:pPr>
        <w:spacing w:line="360" w:lineRule="auto"/>
        <w:ind w:firstLine="480" w:firstLineChars="200"/>
        <w:rPr>
          <w:rFonts w:ascii="宋体" w:hAnsi="宋体"/>
          <w:sz w:val="24"/>
        </w:rPr>
      </w:pPr>
      <w:r>
        <w:rPr>
          <w:rFonts w:ascii="宋体" w:hAnsi="宋体"/>
          <w:sz w:val="24"/>
        </w:rPr>
        <w:t>20.3</w:t>
      </w:r>
      <w:r>
        <w:rPr>
          <w:rFonts w:hint="eastAsia" w:ascii="宋体" w:hAnsi="宋体"/>
          <w:sz w:val="24"/>
        </w:rPr>
        <w:t>除非买方书面提出，卖方不得对服务内容进行任何变更。但是，卖方可以随时向买方提出为改进服务质量、技术进步、效率和安全性方面的变更建议，但必须经买方批准，且价格不变。</w:t>
      </w:r>
    </w:p>
    <w:p w14:paraId="761BC04F">
      <w:pPr>
        <w:spacing w:line="360" w:lineRule="auto"/>
        <w:ind w:firstLine="480" w:firstLineChars="200"/>
        <w:rPr>
          <w:rFonts w:ascii="宋体" w:hAnsi="宋体"/>
          <w:sz w:val="24"/>
        </w:rPr>
      </w:pPr>
      <w:r>
        <w:rPr>
          <w:rFonts w:ascii="宋体" w:hAnsi="宋体"/>
          <w:sz w:val="24"/>
        </w:rPr>
        <w:t>20.4</w:t>
      </w:r>
      <w:r>
        <w:rPr>
          <w:rFonts w:hint="eastAsia" w:ascii="宋体" w:hAnsi="宋体"/>
          <w:sz w:val="24"/>
        </w:rPr>
        <w:t>任何对合同条件的变更均须根据双方协商达成的协议，以修改书形式由双方授权代表签字盖章来完成，并作为本合同不可分割的组成部分，具有与合同本身同样的效力。</w:t>
      </w:r>
    </w:p>
    <w:p w14:paraId="3F9956F3">
      <w:pPr>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1</w:t>
      </w:r>
      <w:r>
        <w:rPr>
          <w:rFonts w:hint="eastAsia" w:ascii="宋体" w:hAnsi="宋体"/>
          <w:b/>
          <w:sz w:val="24"/>
        </w:rPr>
        <w:t>.转让和分包</w:t>
      </w:r>
    </w:p>
    <w:p w14:paraId="1323122C">
      <w:pPr>
        <w:spacing w:line="360" w:lineRule="auto"/>
        <w:ind w:firstLine="480" w:firstLineChars="200"/>
        <w:rPr>
          <w:rFonts w:ascii="宋体" w:hAnsi="宋体"/>
          <w:sz w:val="24"/>
        </w:rPr>
      </w:pPr>
      <w:r>
        <w:rPr>
          <w:rFonts w:hint="eastAsia" w:ascii="宋体" w:hAnsi="宋体"/>
          <w:sz w:val="24"/>
        </w:rPr>
        <w:t>2</w:t>
      </w:r>
      <w:r>
        <w:rPr>
          <w:rFonts w:ascii="宋体" w:hAnsi="宋体"/>
          <w:sz w:val="24"/>
        </w:rPr>
        <w:t>1.1</w:t>
      </w:r>
      <w:r>
        <w:rPr>
          <w:rFonts w:hint="eastAsia" w:ascii="宋体" w:hAnsi="宋体"/>
          <w:sz w:val="24"/>
        </w:rPr>
        <w:t>除买方事先书面同意外，卖方不得将其合同权利、责任和义务部分转让或全部转让给第三方。</w:t>
      </w:r>
    </w:p>
    <w:p w14:paraId="20A15816">
      <w:pPr>
        <w:adjustRightInd w:val="0"/>
        <w:snapToGrid w:val="0"/>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1.2</w:t>
      </w:r>
      <w:r>
        <w:rPr>
          <w:rFonts w:hint="eastAsia" w:ascii="宋体" w:hAnsi="宋体"/>
          <w:sz w:val="24"/>
        </w:rPr>
        <w:t>如</w:t>
      </w:r>
      <w:r>
        <w:rPr>
          <w:rFonts w:hint="default" w:ascii="宋体" w:hAnsi="宋体"/>
          <w:sz w:val="24"/>
        </w:rPr>
        <w:t>招标</w:t>
      </w:r>
      <w:r>
        <w:rPr>
          <w:rFonts w:hint="eastAsia" w:ascii="宋体" w:hAnsi="宋体"/>
          <w:sz w:val="24"/>
        </w:rPr>
        <w:t>文件允许分包的，</w:t>
      </w:r>
      <w:r>
        <w:rPr>
          <w:rFonts w:ascii="宋体" w:hAnsi="宋体"/>
          <w:sz w:val="24"/>
          <w:szCs w:val="24"/>
        </w:rPr>
        <w:t>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33B06FAC">
      <w:pPr>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2</w:t>
      </w:r>
      <w:r>
        <w:rPr>
          <w:rFonts w:hint="eastAsia" w:ascii="宋体" w:hAnsi="宋体"/>
          <w:b/>
          <w:sz w:val="24"/>
        </w:rPr>
        <w:t>.违约索赔与赔偿</w:t>
      </w:r>
    </w:p>
    <w:p w14:paraId="75A344DE">
      <w:pPr>
        <w:spacing w:line="360" w:lineRule="auto"/>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1质量索赔</w:t>
      </w:r>
    </w:p>
    <w:p w14:paraId="558A9419">
      <w:pPr>
        <w:spacing w:line="360" w:lineRule="auto"/>
        <w:ind w:firstLine="480" w:firstLineChars="200"/>
        <w:rPr>
          <w:rFonts w:hint="eastAsia" w:ascii="宋体" w:hAnsi="宋体"/>
          <w:sz w:val="24"/>
        </w:rPr>
      </w:pPr>
      <w:r>
        <w:rPr>
          <w:rFonts w:ascii="宋体" w:hAnsi="宋体"/>
          <w:sz w:val="24"/>
        </w:rPr>
        <w:t>22.1.1</w:t>
      </w:r>
      <w:r>
        <w:rPr>
          <w:rFonts w:ascii="宋体" w:hAnsi="宋体"/>
          <w:sz w:val="24"/>
        </w:rPr>
        <w:tab/>
      </w:r>
      <w:r>
        <w:rPr>
          <w:rFonts w:hint="eastAsia" w:ascii="宋体" w:hAnsi="宋体" w:cs="宋体"/>
          <w:sz w:val="24"/>
        </w:rPr>
        <w:t>除另有约定外，卖方违反本合同约定条款，每违反一条/次，同意按本合同签约合同总价的</w:t>
      </w:r>
      <w:r>
        <w:rPr>
          <w:rFonts w:ascii="宋体" w:hAnsi="宋体" w:cs="宋体"/>
          <w:sz w:val="24"/>
        </w:rPr>
        <w:t>3</w:t>
      </w:r>
      <w:r>
        <w:rPr>
          <w:rFonts w:hint="eastAsia" w:ascii="宋体" w:hAnsi="宋体" w:cs="宋体"/>
          <w:sz w:val="24"/>
        </w:rPr>
        <w:t>%作为向买方的违约赔偿，并赔偿由此导致买方的一切损失。同时，卖方还必须按照合同约定及买方要求提供符合合同要求的产品。</w:t>
      </w:r>
    </w:p>
    <w:p w14:paraId="0F3AB72B">
      <w:pPr>
        <w:spacing w:line="360" w:lineRule="auto"/>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1</w:t>
      </w:r>
      <w:r>
        <w:rPr>
          <w:rFonts w:ascii="宋体" w:hAnsi="宋体"/>
          <w:sz w:val="24"/>
        </w:rPr>
        <w:t>.</w:t>
      </w:r>
      <w:r>
        <w:rPr>
          <w:rFonts w:hint="eastAsia" w:ascii="宋体" w:hAnsi="宋体"/>
          <w:sz w:val="24"/>
        </w:rPr>
        <w:t>2</w:t>
      </w:r>
      <w:r>
        <w:rPr>
          <w:rFonts w:ascii="宋体" w:hAnsi="宋体"/>
          <w:sz w:val="24"/>
        </w:rPr>
        <w:tab/>
      </w:r>
      <w:r>
        <w:rPr>
          <w:rFonts w:hint="eastAsia" w:ascii="宋体" w:hAnsi="宋体"/>
          <w:sz w:val="24"/>
        </w:rPr>
        <w:t>如在合同所述之考核和验收过程中，发现服务质量不能达到服务要求，则买方应先以传真再以信函方式向卖方提出索赔。</w:t>
      </w:r>
    </w:p>
    <w:p w14:paraId="17C53627">
      <w:pPr>
        <w:spacing w:line="360" w:lineRule="auto"/>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1</w:t>
      </w:r>
      <w:r>
        <w:rPr>
          <w:rFonts w:ascii="宋体" w:hAnsi="宋体"/>
          <w:sz w:val="24"/>
        </w:rPr>
        <w:t>.</w:t>
      </w:r>
      <w:r>
        <w:rPr>
          <w:rFonts w:hint="eastAsia" w:ascii="宋体" w:hAnsi="宋体"/>
          <w:sz w:val="24"/>
        </w:rPr>
        <w:t>3卖方应在收到买方的索赔文件后</w:t>
      </w:r>
      <w:r>
        <w:rPr>
          <w:rFonts w:ascii="宋体" w:hAnsi="宋体"/>
          <w:sz w:val="24"/>
        </w:rPr>
        <w:t>14</w:t>
      </w:r>
      <w:r>
        <w:rPr>
          <w:rFonts w:hint="eastAsia" w:ascii="宋体" w:hAnsi="宋体"/>
          <w:sz w:val="24"/>
        </w:rPr>
        <w:t>天内做出答复以确认是否接受买方的索赔要求。如卖方在收到索赔文件</w:t>
      </w:r>
      <w:r>
        <w:rPr>
          <w:rFonts w:ascii="宋体" w:hAnsi="宋体"/>
          <w:sz w:val="24"/>
        </w:rPr>
        <w:t>14</w:t>
      </w:r>
      <w:r>
        <w:rPr>
          <w:rFonts w:hint="eastAsia" w:ascii="宋体" w:hAnsi="宋体"/>
          <w:sz w:val="24"/>
        </w:rPr>
        <w:t>天内不作答复，则应视为该索赔要求已被卖方接受。</w:t>
      </w:r>
    </w:p>
    <w:p w14:paraId="62C6FDB4">
      <w:pPr>
        <w:spacing w:line="360" w:lineRule="auto"/>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1</w:t>
      </w:r>
      <w:r>
        <w:rPr>
          <w:rFonts w:ascii="宋体" w:hAnsi="宋体"/>
          <w:sz w:val="24"/>
        </w:rPr>
        <w:t>.</w:t>
      </w:r>
      <w:r>
        <w:rPr>
          <w:rFonts w:hint="eastAsia" w:ascii="宋体" w:hAnsi="宋体"/>
          <w:sz w:val="24"/>
        </w:rPr>
        <w:t>4对服务提出的质量索赔，应当按以下的方式处理。</w:t>
      </w:r>
    </w:p>
    <w:p w14:paraId="0E9C1AFF">
      <w:pPr>
        <w:spacing w:line="360" w:lineRule="auto"/>
        <w:ind w:firstLine="480" w:firstLineChars="200"/>
        <w:rPr>
          <w:rFonts w:ascii="宋体" w:hAnsi="宋体"/>
          <w:sz w:val="24"/>
        </w:rPr>
      </w:pPr>
      <w:r>
        <w:rPr>
          <w:rFonts w:hint="eastAsia" w:ascii="宋体" w:hAnsi="宋体"/>
          <w:sz w:val="24"/>
        </w:rPr>
        <w:t>更换服务人员或服务配套设备</w:t>
      </w:r>
    </w:p>
    <w:p w14:paraId="572D35FE">
      <w:pPr>
        <w:spacing w:line="360" w:lineRule="auto"/>
        <w:ind w:firstLine="480" w:firstLineChars="200"/>
        <w:rPr>
          <w:rFonts w:ascii="宋体" w:hAnsi="宋体"/>
          <w:sz w:val="24"/>
        </w:rPr>
      </w:pPr>
      <w:r>
        <w:rPr>
          <w:rFonts w:hint="eastAsia" w:ascii="宋体" w:hAnsi="宋体"/>
          <w:sz w:val="24"/>
        </w:rPr>
        <w:t>卖方应按买方要求更换服务人员，或以全新及合格的设备材料替换有缺陷的及</w:t>
      </w:r>
      <w:r>
        <w:rPr>
          <w:rFonts w:ascii="宋体" w:hAnsi="宋体"/>
          <w:bCs/>
          <w:sz w:val="24"/>
        </w:rPr>
        <w:t>贴牌</w:t>
      </w:r>
      <w:r>
        <w:rPr>
          <w:rFonts w:hint="eastAsia" w:ascii="宋体" w:hAnsi="宋体"/>
          <w:sz w:val="24"/>
        </w:rPr>
        <w:t>设备材料，费用卖方自理。除买方特别许可外，替换应在</w:t>
      </w:r>
      <w:r>
        <w:rPr>
          <w:rFonts w:ascii="宋体" w:hAnsi="宋体"/>
          <w:sz w:val="24"/>
        </w:rPr>
        <w:t>接到</w:t>
      </w:r>
      <w:r>
        <w:rPr>
          <w:rFonts w:hint="eastAsia" w:ascii="宋体" w:hAnsi="宋体"/>
          <w:sz w:val="24"/>
        </w:rPr>
        <w:t>买方书面</w:t>
      </w:r>
      <w:r>
        <w:rPr>
          <w:rFonts w:ascii="宋体" w:hAnsi="宋体"/>
          <w:sz w:val="24"/>
        </w:rPr>
        <w:t>通知后15</w:t>
      </w:r>
      <w:r>
        <w:rPr>
          <w:rFonts w:hint="eastAsia" w:ascii="宋体" w:hAnsi="宋体"/>
          <w:sz w:val="24"/>
        </w:rPr>
        <w:t>天内完成。经替换的人员及设备买方认可后，买方应予以接受。</w:t>
      </w:r>
    </w:p>
    <w:p w14:paraId="7B62F42A">
      <w:pPr>
        <w:spacing w:line="360" w:lineRule="auto"/>
        <w:ind w:firstLine="480" w:firstLineChars="200"/>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4 违约金与赔偿金额计算</w:t>
      </w:r>
    </w:p>
    <w:p w14:paraId="58178426">
      <w:pPr>
        <w:spacing w:line="360" w:lineRule="auto"/>
        <w:ind w:firstLine="480" w:firstLineChars="200"/>
        <w:rPr>
          <w:rFonts w:ascii="宋体" w:hAnsi="宋体"/>
          <w:sz w:val="24"/>
        </w:rPr>
      </w:pPr>
      <w:r>
        <w:rPr>
          <w:rFonts w:hint="eastAsia" w:ascii="宋体" w:hAnsi="宋体"/>
          <w:sz w:val="24"/>
        </w:rPr>
        <w:t>本合同项下涉及的所有违约金和赔偿金额均依据合同的规定计算。如合同未有明确规定的，则根据国家或地方有关规定、惯例、行业规定等合理地估算。</w:t>
      </w:r>
    </w:p>
    <w:p w14:paraId="79876D07">
      <w:pPr>
        <w:spacing w:line="360" w:lineRule="auto"/>
        <w:ind w:firstLine="480" w:firstLineChars="200"/>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5</w:t>
      </w:r>
      <w:r>
        <w:rPr>
          <w:rFonts w:ascii="宋体" w:hAnsi="宋体"/>
          <w:sz w:val="24"/>
        </w:rPr>
        <w:t xml:space="preserve"> </w:t>
      </w:r>
      <w:r>
        <w:rPr>
          <w:rFonts w:hint="eastAsia" w:ascii="宋体" w:hAnsi="宋体"/>
          <w:sz w:val="24"/>
        </w:rPr>
        <w:t>违约金与赔偿的支付</w:t>
      </w:r>
    </w:p>
    <w:p w14:paraId="15819D5A">
      <w:pPr>
        <w:spacing w:line="360" w:lineRule="auto"/>
        <w:ind w:firstLine="480" w:firstLineChars="200"/>
        <w:rPr>
          <w:rFonts w:ascii="宋体" w:hAnsi="宋体"/>
          <w:sz w:val="24"/>
        </w:rPr>
      </w:pPr>
      <w:r>
        <w:rPr>
          <w:rFonts w:hint="eastAsia" w:ascii="宋体" w:hAnsi="宋体"/>
          <w:sz w:val="24"/>
        </w:rPr>
        <w:t>对于合同中所列的违约金和赔偿，买方有权从履约保证金中获得或从卖方的后续货款中扣除，或要求卖方在30天内凭买方索赔文件以电汇方式向买方支付偿还。</w:t>
      </w:r>
    </w:p>
    <w:p w14:paraId="482C9D04">
      <w:pPr>
        <w:spacing w:line="360" w:lineRule="auto"/>
        <w:ind w:firstLine="480" w:firstLineChars="200"/>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6卖方须据合同规定，对项目质量负完全责任。包括但不限于于造成任何人员死亡或人身伤害的法律责任，因故意或者重大过失造成财产损失的法律责任，根据可适用的强制性法律规定法律责任等其他情形。</w:t>
      </w:r>
    </w:p>
    <w:p w14:paraId="022D16F2">
      <w:pPr>
        <w:spacing w:line="360" w:lineRule="auto"/>
        <w:ind w:firstLine="480" w:firstLineChars="200"/>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7</w:t>
      </w:r>
      <w:r>
        <w:rPr>
          <w:rFonts w:ascii="宋体" w:hAnsi="宋体"/>
          <w:sz w:val="24"/>
        </w:rPr>
        <w:t xml:space="preserve"> </w:t>
      </w:r>
      <w:r>
        <w:rPr>
          <w:rFonts w:hint="eastAsia" w:ascii="宋体" w:hAnsi="宋体"/>
          <w:sz w:val="24"/>
        </w:rPr>
        <w:t>所有违约金和赔偿金的支付不减轻卖方合同项下的任何责任和义务。如果买方所遭受的损失超过违约金，卖方应对超出违约金部分的损失给予赔偿。</w:t>
      </w:r>
    </w:p>
    <w:p w14:paraId="2EE45AB7">
      <w:pPr>
        <w:spacing w:line="360" w:lineRule="auto"/>
        <w:ind w:firstLine="480" w:firstLineChars="200"/>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8卖方对违约金或赔偿的所有异议应按合同规定的时间向买方提出，买方收到后</w:t>
      </w:r>
      <w:r>
        <w:rPr>
          <w:rFonts w:ascii="宋体" w:hAnsi="宋体"/>
          <w:sz w:val="24"/>
        </w:rPr>
        <w:t>14</w:t>
      </w:r>
      <w:r>
        <w:rPr>
          <w:rFonts w:hint="eastAsia" w:ascii="宋体" w:hAnsi="宋体"/>
          <w:sz w:val="24"/>
        </w:rPr>
        <w:t>天内组织有关各方协商解决。但异议的协商不得影响合同项下的其它工作的继续进行。</w:t>
      </w:r>
    </w:p>
    <w:p w14:paraId="566F3507">
      <w:pPr>
        <w:spacing w:line="360" w:lineRule="auto"/>
        <w:ind w:firstLine="480" w:firstLineChars="200"/>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9</w:t>
      </w:r>
      <w:r>
        <w:rPr>
          <w:rFonts w:ascii="宋体" w:hAnsi="宋体"/>
          <w:sz w:val="24"/>
        </w:rPr>
        <w:t xml:space="preserve"> </w:t>
      </w:r>
      <w:r>
        <w:rPr>
          <w:rFonts w:hint="eastAsia" w:ascii="宋体" w:hAnsi="宋体"/>
          <w:sz w:val="24"/>
        </w:rPr>
        <w:t>本合同规定的卖方处理货物质量问题的时间如果与合同规定的关键节点时间有冲突，应首先满足该关键节点时间。</w:t>
      </w:r>
    </w:p>
    <w:p w14:paraId="5ED893CB">
      <w:pPr>
        <w:spacing w:line="360" w:lineRule="auto"/>
        <w:ind w:firstLine="482" w:firstLineChars="200"/>
        <w:rPr>
          <w:rFonts w:ascii="宋体" w:hAnsi="宋体"/>
          <w:b/>
          <w:sz w:val="24"/>
        </w:rPr>
      </w:pPr>
      <w:bookmarkStart w:id="235" w:name="_Toc413227965"/>
      <w:r>
        <w:rPr>
          <w:rFonts w:ascii="宋体" w:hAnsi="宋体"/>
          <w:b/>
          <w:sz w:val="24"/>
        </w:rPr>
        <w:t>2</w:t>
      </w:r>
      <w:r>
        <w:rPr>
          <w:rFonts w:hint="eastAsia" w:ascii="宋体" w:hAnsi="宋体"/>
          <w:b/>
          <w:sz w:val="24"/>
        </w:rPr>
        <w:t>8. 不可抗力</w:t>
      </w:r>
      <w:bookmarkEnd w:id="235"/>
    </w:p>
    <w:p w14:paraId="4B738987">
      <w:pPr>
        <w:spacing w:line="360" w:lineRule="auto"/>
        <w:ind w:firstLine="480" w:firstLineChars="200"/>
        <w:rPr>
          <w:rFonts w:ascii="宋体" w:hAnsi="宋体"/>
          <w:sz w:val="24"/>
        </w:rPr>
      </w:pPr>
      <w:bookmarkStart w:id="236" w:name="_Toc273567073"/>
      <w:bookmarkStart w:id="237" w:name="_Toc273354760"/>
      <w:bookmarkStart w:id="238" w:name="_Toc276034000"/>
      <w:bookmarkStart w:id="239" w:name="_Toc271622084"/>
      <w:bookmarkStart w:id="240" w:name="_Toc271643264"/>
      <w:bookmarkStart w:id="241" w:name="_Toc271644572"/>
      <w:bookmarkStart w:id="242" w:name="_Toc271634229"/>
      <w:bookmarkStart w:id="243" w:name="_Toc271634414"/>
      <w:bookmarkStart w:id="244" w:name="_Toc271626717"/>
      <w:bookmarkStart w:id="245" w:name="_Toc271644893"/>
      <w:bookmarkStart w:id="246" w:name="_Toc271733477"/>
      <w:bookmarkStart w:id="247" w:name="_Toc276033851"/>
      <w:r>
        <w:rPr>
          <w:rFonts w:ascii="宋体" w:hAnsi="宋体"/>
          <w:sz w:val="24"/>
        </w:rPr>
        <w:t>2</w:t>
      </w:r>
      <w:r>
        <w:rPr>
          <w:rFonts w:hint="eastAsia" w:ascii="宋体" w:hAnsi="宋体"/>
          <w:sz w:val="24"/>
        </w:rPr>
        <w:t>8</w:t>
      </w:r>
      <w:r>
        <w:rPr>
          <w:rFonts w:ascii="宋体" w:hAnsi="宋体"/>
          <w:sz w:val="24"/>
        </w:rPr>
        <w:t>.1</w:t>
      </w:r>
      <w:r>
        <w:rPr>
          <w:rFonts w:hint="eastAsia" w:ascii="宋体" w:hAnsi="宋体"/>
          <w:sz w:val="24"/>
        </w:rPr>
        <w:t>本条所述的“不可抗力”系指那些无法控制，不可预见的事件，但不包括违约或疏忽。不可抗力包括但不限于：战争、暴乱、洪水、台风、地震、防疫限制和禁运。</w:t>
      </w:r>
    </w:p>
    <w:p w14:paraId="64C49D35">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 xml:space="preserve">.2 </w:t>
      </w:r>
      <w:r>
        <w:rPr>
          <w:rFonts w:hint="eastAsia" w:ascii="宋体" w:hAnsi="宋体"/>
          <w:sz w:val="24"/>
        </w:rPr>
        <w:t>若不可抗力发生使合同执行受阻，则合同执行时间根据受影响的时间相应延长，但合同价格不得调整。</w:t>
      </w:r>
    </w:p>
    <w:p w14:paraId="31C733F6">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 xml:space="preserve">.3 </w:t>
      </w:r>
      <w:r>
        <w:rPr>
          <w:rFonts w:hint="eastAsia" w:ascii="宋体" w:hAnsi="宋体"/>
          <w:sz w:val="24"/>
        </w:rPr>
        <w:t>受阻方应在不可抗力事件发生后</w:t>
      </w:r>
      <w:r>
        <w:rPr>
          <w:rFonts w:ascii="宋体" w:hAnsi="宋体"/>
          <w:sz w:val="24"/>
        </w:rPr>
        <w:t>14</w:t>
      </w:r>
      <w:r>
        <w:rPr>
          <w:rFonts w:hint="eastAsia" w:ascii="宋体" w:hAnsi="宋体"/>
          <w:sz w:val="24"/>
        </w:rPr>
        <w:t>天内，以书面形式将不可抗力的情况和原因通知另一方，并附上有关证明材料。</w:t>
      </w:r>
    </w:p>
    <w:p w14:paraId="055FD11F">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 xml:space="preserve">.4 </w:t>
      </w:r>
      <w:r>
        <w:rPr>
          <w:rFonts w:hint="eastAsia" w:ascii="宋体" w:hAnsi="宋体"/>
          <w:sz w:val="24"/>
        </w:rPr>
        <w:t>任何因不可抗力所导致延误履行合同或不能履行合同，受阻方将不因此而构成违约。</w:t>
      </w:r>
    </w:p>
    <w:p w14:paraId="44B4D00C">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 xml:space="preserve">.5 </w:t>
      </w:r>
      <w:r>
        <w:rPr>
          <w:rFonts w:hint="eastAsia" w:ascii="宋体" w:hAnsi="宋体"/>
          <w:sz w:val="24"/>
        </w:rPr>
        <w:t>在发生任何不可抗力的情况时，只要合理可行，买卖双方应尽力继续履行其合同中的义务，并应通知对方准备采取的措施，包括不可抗力不能阻止的任何合理的替代履约方法。</w:t>
      </w:r>
    </w:p>
    <w:p w14:paraId="1DC8E4E4">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8</w:t>
      </w:r>
      <w:r>
        <w:rPr>
          <w:rFonts w:ascii="宋体" w:hAnsi="宋体"/>
          <w:sz w:val="24"/>
        </w:rPr>
        <w:t xml:space="preserve">.6 </w:t>
      </w:r>
      <w:r>
        <w:rPr>
          <w:rFonts w:hint="eastAsia" w:ascii="宋体" w:hAnsi="宋体"/>
          <w:sz w:val="24"/>
        </w:rPr>
        <w:t>如果不可抗力已发生并持续</w:t>
      </w:r>
      <w:r>
        <w:rPr>
          <w:rFonts w:ascii="宋体" w:hAnsi="宋体"/>
          <w:sz w:val="24"/>
        </w:rPr>
        <w:t>30</w:t>
      </w:r>
      <w:r>
        <w:rPr>
          <w:rFonts w:hint="eastAsia" w:ascii="宋体" w:hAnsi="宋体"/>
          <w:sz w:val="24"/>
        </w:rPr>
        <w:t>天，则</w:t>
      </w:r>
      <w:r>
        <w:rPr>
          <w:rFonts w:ascii="宋体" w:hAnsi="宋体"/>
          <w:sz w:val="24"/>
        </w:rPr>
        <w:t>双方可协商一致解除合同。</w:t>
      </w:r>
    </w:p>
    <w:p w14:paraId="431469EB">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.7</w:t>
      </w:r>
      <w:r>
        <w:rPr>
          <w:rFonts w:hint="eastAsia" w:ascii="宋体" w:hAnsi="宋体"/>
          <w:sz w:val="24"/>
        </w:rPr>
        <w:t>如果不可抗力的情况发生并因此根据合同法双方均被解除进一步履行合同，卖方的履约保证金不被没收。</w:t>
      </w:r>
    </w:p>
    <w:p w14:paraId="6BADDC64">
      <w:pPr>
        <w:spacing w:line="360" w:lineRule="auto"/>
        <w:ind w:firstLine="482" w:firstLineChars="200"/>
        <w:rPr>
          <w:rFonts w:ascii="宋体" w:hAnsi="宋体"/>
          <w:b/>
          <w:sz w:val="24"/>
        </w:rPr>
      </w:pPr>
      <w:bookmarkStart w:id="248" w:name="_Toc413227966"/>
      <w:r>
        <w:rPr>
          <w:rFonts w:hint="eastAsia" w:ascii="宋体" w:hAnsi="宋体"/>
          <w:b/>
          <w:sz w:val="24"/>
        </w:rPr>
        <w:t>29.合同终止与暂停</w:t>
      </w:r>
      <w:bookmarkEnd w:id="236"/>
      <w:bookmarkEnd w:id="237"/>
      <w:bookmarkEnd w:id="238"/>
      <w:bookmarkEnd w:id="239"/>
      <w:bookmarkEnd w:id="240"/>
      <w:bookmarkEnd w:id="241"/>
      <w:bookmarkEnd w:id="242"/>
      <w:bookmarkEnd w:id="243"/>
      <w:bookmarkEnd w:id="244"/>
      <w:bookmarkEnd w:id="245"/>
      <w:bookmarkEnd w:id="246"/>
      <w:bookmarkEnd w:id="247"/>
      <w:bookmarkEnd w:id="248"/>
    </w:p>
    <w:p w14:paraId="6AF6B52B">
      <w:pPr>
        <w:spacing w:line="360" w:lineRule="auto"/>
        <w:ind w:firstLine="480" w:firstLineChars="200"/>
        <w:rPr>
          <w:rFonts w:ascii="宋体" w:hAnsi="宋体"/>
          <w:sz w:val="24"/>
        </w:rPr>
      </w:pPr>
      <w:r>
        <w:rPr>
          <w:rFonts w:hint="eastAsia" w:ascii="宋体" w:hAnsi="宋体"/>
          <w:sz w:val="24"/>
        </w:rPr>
        <w:t>29</w:t>
      </w:r>
      <w:r>
        <w:rPr>
          <w:rFonts w:ascii="宋体" w:hAnsi="宋体"/>
          <w:sz w:val="24"/>
        </w:rPr>
        <w:t>.1</w:t>
      </w:r>
      <w:r>
        <w:rPr>
          <w:rFonts w:hint="eastAsia" w:ascii="宋体" w:hAnsi="宋体"/>
          <w:sz w:val="24"/>
        </w:rPr>
        <w:t>合同终止</w:t>
      </w:r>
    </w:p>
    <w:p w14:paraId="63B9D761">
      <w:pPr>
        <w:spacing w:line="360" w:lineRule="auto"/>
        <w:ind w:firstLine="480" w:firstLineChars="200"/>
        <w:rPr>
          <w:rFonts w:ascii="宋体" w:hAnsi="宋体"/>
          <w:sz w:val="24"/>
        </w:rPr>
      </w:pPr>
      <w:r>
        <w:rPr>
          <w:rFonts w:hint="eastAsia" w:ascii="宋体" w:hAnsi="宋体"/>
          <w:sz w:val="24"/>
        </w:rPr>
        <w:t>合同终止包括以下几种情形：</w:t>
      </w:r>
    </w:p>
    <w:p w14:paraId="76A3143F">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）当买卖双方完成了合同中规定的所有责任和义务，合同终止；</w:t>
      </w:r>
    </w:p>
    <w:p w14:paraId="2C410318">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）卖方违约时的终止和买方违约时的终止；</w:t>
      </w:r>
    </w:p>
    <w:p w14:paraId="5398DF57">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）因买方的便利而终止合同。</w:t>
      </w:r>
    </w:p>
    <w:p w14:paraId="2BD1DE1B">
      <w:pPr>
        <w:spacing w:line="360" w:lineRule="auto"/>
        <w:ind w:firstLine="480" w:firstLineChars="200"/>
        <w:rPr>
          <w:rFonts w:ascii="宋体" w:hAnsi="宋体"/>
          <w:sz w:val="24"/>
        </w:rPr>
      </w:pPr>
      <w:r>
        <w:rPr>
          <w:rFonts w:hint="eastAsia" w:ascii="宋体" w:hAnsi="宋体"/>
          <w:sz w:val="24"/>
        </w:rPr>
        <w:t>29</w:t>
      </w:r>
      <w:r>
        <w:rPr>
          <w:rFonts w:ascii="宋体" w:hAnsi="宋体"/>
          <w:sz w:val="24"/>
        </w:rPr>
        <w:t xml:space="preserve">.2 </w:t>
      </w:r>
      <w:r>
        <w:rPr>
          <w:rFonts w:hint="eastAsia" w:ascii="宋体" w:hAnsi="宋体"/>
          <w:sz w:val="24"/>
        </w:rPr>
        <w:t>违约通知</w:t>
      </w:r>
    </w:p>
    <w:p w14:paraId="7089EF48">
      <w:pPr>
        <w:spacing w:line="360" w:lineRule="auto"/>
        <w:ind w:firstLine="480" w:firstLineChars="200"/>
        <w:rPr>
          <w:rFonts w:ascii="宋体" w:hAnsi="宋体"/>
          <w:sz w:val="24"/>
        </w:rPr>
      </w:pPr>
      <w:r>
        <w:rPr>
          <w:rFonts w:hint="eastAsia" w:ascii="宋体" w:hAnsi="宋体"/>
          <w:sz w:val="24"/>
        </w:rPr>
        <w:t>如果卖方未按合同执行或因疏忽而未能履行本合同项下义务以致影响项目进行时，买方有权书面通知卖方，要求补救上述失误或疏忽。</w:t>
      </w:r>
    </w:p>
    <w:p w14:paraId="513FFA5D">
      <w:pPr>
        <w:spacing w:line="360" w:lineRule="auto"/>
        <w:ind w:firstLine="480" w:firstLineChars="200"/>
        <w:rPr>
          <w:rFonts w:ascii="宋体" w:hAnsi="宋体"/>
          <w:sz w:val="24"/>
        </w:rPr>
      </w:pPr>
      <w:r>
        <w:rPr>
          <w:rFonts w:hint="eastAsia" w:ascii="宋体" w:hAnsi="宋体"/>
          <w:sz w:val="24"/>
        </w:rPr>
        <w:t>29</w:t>
      </w:r>
      <w:r>
        <w:rPr>
          <w:rFonts w:ascii="宋体" w:hAnsi="宋体"/>
          <w:sz w:val="24"/>
        </w:rPr>
        <w:t xml:space="preserve">.3 </w:t>
      </w:r>
      <w:r>
        <w:rPr>
          <w:rFonts w:hint="eastAsia" w:ascii="宋体" w:hAnsi="宋体"/>
          <w:sz w:val="24"/>
        </w:rPr>
        <w:t>卖方违约时的终止</w:t>
      </w:r>
    </w:p>
    <w:p w14:paraId="6EC54D7D">
      <w:pPr>
        <w:spacing w:line="360" w:lineRule="auto"/>
        <w:ind w:firstLine="480" w:firstLineChars="200"/>
        <w:rPr>
          <w:rFonts w:ascii="宋体" w:hAnsi="宋体"/>
          <w:sz w:val="24"/>
        </w:rPr>
      </w:pPr>
      <w:r>
        <w:rPr>
          <w:rFonts w:hint="eastAsia" w:ascii="宋体" w:hAnsi="宋体"/>
          <w:sz w:val="24"/>
        </w:rPr>
        <w:t>如果卖方有以下情形之一：</w:t>
      </w:r>
    </w:p>
    <w:p w14:paraId="19CD4EFC">
      <w:pPr>
        <w:spacing w:line="360" w:lineRule="auto"/>
        <w:ind w:firstLine="480" w:firstLineChars="200"/>
        <w:rPr>
          <w:rFonts w:ascii="宋体" w:hAnsi="宋体"/>
          <w:sz w:val="24"/>
        </w:rPr>
      </w:pPr>
      <w:r>
        <w:rPr>
          <w:rFonts w:hint="eastAsia" w:ascii="宋体" w:hAnsi="宋体"/>
          <w:sz w:val="24"/>
        </w:rPr>
        <w:t>（</w:t>
      </w:r>
      <w:r>
        <w:rPr>
          <w:rFonts w:ascii="宋体" w:hAnsi="宋体"/>
          <w:sz w:val="24"/>
        </w:rPr>
        <w:t>a</w:t>
      </w:r>
      <w:r>
        <w:rPr>
          <w:rFonts w:hint="eastAsia" w:ascii="宋体" w:hAnsi="宋体"/>
          <w:sz w:val="24"/>
        </w:rPr>
        <w:t>）收到买方提出的违约通知后</w:t>
      </w:r>
      <w:r>
        <w:rPr>
          <w:rFonts w:ascii="宋体" w:hAnsi="宋体"/>
          <w:sz w:val="24"/>
        </w:rPr>
        <w:t>28</w:t>
      </w:r>
      <w:r>
        <w:rPr>
          <w:rFonts w:hint="eastAsia" w:ascii="宋体" w:hAnsi="宋体"/>
          <w:sz w:val="24"/>
        </w:rPr>
        <w:t>天内未能遵守并达到通知的要求。</w:t>
      </w:r>
      <w:r>
        <w:rPr>
          <w:rFonts w:ascii="宋体" w:hAnsi="宋体"/>
          <w:sz w:val="24"/>
        </w:rPr>
        <w:t xml:space="preserve"> </w:t>
      </w:r>
    </w:p>
    <w:p w14:paraId="37A72305">
      <w:pPr>
        <w:spacing w:line="360" w:lineRule="auto"/>
        <w:ind w:firstLine="480" w:firstLineChars="200"/>
        <w:rPr>
          <w:rFonts w:ascii="宋体" w:hAnsi="宋体"/>
          <w:sz w:val="24"/>
        </w:rPr>
      </w:pPr>
      <w:r>
        <w:rPr>
          <w:rFonts w:hint="eastAsia" w:ascii="宋体" w:hAnsi="宋体"/>
          <w:sz w:val="24"/>
        </w:rPr>
        <w:t>（</w:t>
      </w:r>
      <w:r>
        <w:rPr>
          <w:rFonts w:ascii="宋体" w:hAnsi="宋体"/>
          <w:sz w:val="24"/>
        </w:rPr>
        <w:t>b</w:t>
      </w:r>
      <w:r>
        <w:rPr>
          <w:rFonts w:hint="eastAsia" w:ascii="宋体" w:hAnsi="宋体"/>
          <w:sz w:val="24"/>
        </w:rPr>
        <w:t>）在合同有效期内，如卖方未经买方书面同意擅自转包或分包的，买方有权单方终止合同，卖方须支付买方合同总价20%的违约金，并赔偿买方的一切经济损失。</w:t>
      </w:r>
    </w:p>
    <w:p w14:paraId="6D508EE2">
      <w:pPr>
        <w:spacing w:line="360" w:lineRule="auto"/>
        <w:ind w:firstLine="480" w:firstLineChars="200"/>
        <w:rPr>
          <w:rFonts w:ascii="宋体" w:hAnsi="宋体"/>
          <w:sz w:val="24"/>
        </w:rPr>
      </w:pPr>
      <w:r>
        <w:rPr>
          <w:rFonts w:hint="eastAsia" w:ascii="宋体" w:hAnsi="宋体"/>
          <w:sz w:val="24"/>
        </w:rPr>
        <w:t>（</w:t>
      </w:r>
      <w:r>
        <w:rPr>
          <w:rFonts w:ascii="宋体" w:hAnsi="宋体"/>
          <w:sz w:val="24"/>
        </w:rPr>
        <w:t>c</w:t>
      </w:r>
      <w:r>
        <w:rPr>
          <w:rFonts w:hint="eastAsia" w:ascii="宋体" w:hAnsi="宋体"/>
          <w:sz w:val="24"/>
        </w:rPr>
        <w:t>）破产。</w:t>
      </w:r>
    </w:p>
    <w:p w14:paraId="3EA71DEF">
      <w:pPr>
        <w:spacing w:line="360" w:lineRule="auto"/>
        <w:ind w:firstLine="480" w:firstLineChars="200"/>
        <w:rPr>
          <w:rFonts w:ascii="宋体" w:hAnsi="宋体"/>
          <w:sz w:val="24"/>
        </w:rPr>
      </w:pPr>
      <w:r>
        <w:rPr>
          <w:rFonts w:hint="eastAsia" w:ascii="宋体" w:hAnsi="宋体"/>
          <w:sz w:val="24"/>
        </w:rPr>
        <w:t>（</w:t>
      </w:r>
      <w:r>
        <w:rPr>
          <w:rFonts w:ascii="宋体" w:hAnsi="宋体"/>
          <w:sz w:val="24"/>
        </w:rPr>
        <w:t>d</w:t>
      </w:r>
      <w:r>
        <w:rPr>
          <w:rFonts w:hint="eastAsia" w:ascii="宋体" w:hAnsi="宋体"/>
          <w:sz w:val="24"/>
        </w:rPr>
        <w:t>）卖方在本合同的竞争和实施过程中有腐败行为和欺诈行为。其中：</w:t>
      </w:r>
    </w:p>
    <w:p w14:paraId="665A32A9">
      <w:pPr>
        <w:spacing w:line="360" w:lineRule="auto"/>
        <w:ind w:firstLine="480" w:firstLineChars="200"/>
        <w:rPr>
          <w:rFonts w:ascii="宋体" w:hAnsi="宋体"/>
          <w:sz w:val="24"/>
        </w:rPr>
      </w:pPr>
      <w:r>
        <w:rPr>
          <w:rFonts w:ascii="宋体" w:hAnsi="宋体"/>
          <w:sz w:val="24"/>
        </w:rPr>
        <w:t>i</w:t>
      </w:r>
      <w:r>
        <w:rPr>
          <w:rFonts w:hint="eastAsia" w:ascii="宋体" w:hAnsi="宋体"/>
          <w:sz w:val="24"/>
        </w:rPr>
        <w:t>）“腐败行为”是指提供、给予、接受或索取任何有价值的东西来影响买方在采购过程或合同实施过程中的行为；</w:t>
      </w:r>
    </w:p>
    <w:p w14:paraId="16F96E05">
      <w:pPr>
        <w:spacing w:line="360" w:lineRule="auto"/>
        <w:ind w:firstLine="480" w:firstLineChars="200"/>
        <w:rPr>
          <w:rFonts w:ascii="宋体" w:hAnsi="宋体"/>
          <w:sz w:val="24"/>
        </w:rPr>
      </w:pPr>
      <w:r>
        <w:rPr>
          <w:rFonts w:ascii="宋体" w:hAnsi="宋体"/>
          <w:sz w:val="24"/>
        </w:rPr>
        <w:t>ii</w:t>
      </w:r>
      <w:r>
        <w:rPr>
          <w:rFonts w:hint="eastAsia" w:ascii="宋体" w:hAnsi="宋体"/>
          <w:sz w:val="24"/>
        </w:rPr>
        <w:t>）“欺诈行为”是指为了影响采购过程或合同实施过程而谎报事实，损害买方利益的行为。</w:t>
      </w:r>
    </w:p>
    <w:p w14:paraId="69280B5F">
      <w:pPr>
        <w:spacing w:line="360" w:lineRule="auto"/>
        <w:ind w:firstLine="480" w:firstLineChars="200"/>
        <w:rPr>
          <w:rFonts w:ascii="宋体" w:hAnsi="宋体"/>
          <w:sz w:val="24"/>
        </w:rPr>
      </w:pPr>
      <w:r>
        <w:rPr>
          <w:rFonts w:hint="eastAsia" w:ascii="宋体" w:hAnsi="宋体"/>
          <w:sz w:val="24"/>
        </w:rPr>
        <w:t>（</w:t>
      </w:r>
      <w:r>
        <w:rPr>
          <w:rFonts w:ascii="宋体" w:hAnsi="宋体"/>
          <w:sz w:val="24"/>
        </w:rPr>
        <w:t>e</w:t>
      </w:r>
      <w:r>
        <w:rPr>
          <w:rFonts w:hint="eastAsia" w:ascii="宋体" w:hAnsi="宋体"/>
          <w:sz w:val="24"/>
        </w:rPr>
        <w:t>）卖方违约导致卖方支付违约金达到合同规定的任一最高限额。</w:t>
      </w:r>
    </w:p>
    <w:p w14:paraId="5E68A145">
      <w:pPr>
        <w:spacing w:line="360" w:lineRule="auto"/>
        <w:ind w:firstLine="480" w:firstLineChars="200"/>
        <w:rPr>
          <w:rFonts w:ascii="宋体" w:hAnsi="宋体"/>
          <w:sz w:val="24"/>
        </w:rPr>
      </w:pPr>
      <w:r>
        <w:rPr>
          <w:rFonts w:hint="eastAsia" w:ascii="宋体" w:hAnsi="宋体"/>
          <w:sz w:val="24"/>
        </w:rPr>
        <w:t>则买方可在向卖方发出终止通知</w:t>
      </w:r>
      <w:r>
        <w:rPr>
          <w:rFonts w:ascii="宋体" w:hAnsi="宋体"/>
          <w:sz w:val="24"/>
        </w:rPr>
        <w:t>14</w:t>
      </w:r>
      <w:r>
        <w:rPr>
          <w:rFonts w:hint="eastAsia" w:ascii="宋体" w:hAnsi="宋体"/>
          <w:sz w:val="24"/>
        </w:rPr>
        <w:t>天后选择终止部分或全部合同。但是，卖方应继续执行合同中未终止的部分。</w:t>
      </w:r>
    </w:p>
    <w:p w14:paraId="56B3922D">
      <w:pPr>
        <w:spacing w:line="360" w:lineRule="auto"/>
        <w:ind w:firstLine="480" w:firstLineChars="200"/>
        <w:rPr>
          <w:rFonts w:ascii="宋体" w:hAnsi="宋体"/>
          <w:sz w:val="24"/>
        </w:rPr>
      </w:pPr>
      <w:r>
        <w:rPr>
          <w:rFonts w:hint="eastAsia" w:ascii="宋体" w:hAnsi="宋体"/>
          <w:sz w:val="24"/>
        </w:rPr>
        <w:t>如果买方依据本款规定终止了全部或部分合同，买方可以依其认为适当的条件和方法购买与未到货物或服务类似的货物和服务，卖方应当承担买方因购买类似货物或服务而产生的额外支出。同时，卖方应当继续执行合同中未终止的部分。</w:t>
      </w:r>
    </w:p>
    <w:p w14:paraId="12CA695B">
      <w:pPr>
        <w:spacing w:line="360" w:lineRule="auto"/>
        <w:ind w:firstLine="480" w:firstLineChars="200"/>
        <w:rPr>
          <w:rFonts w:ascii="宋体" w:hAnsi="宋体"/>
          <w:sz w:val="24"/>
        </w:rPr>
      </w:pPr>
      <w:r>
        <w:rPr>
          <w:rFonts w:hint="eastAsia" w:ascii="宋体" w:hAnsi="宋体"/>
          <w:sz w:val="24"/>
        </w:rPr>
        <w:t>29</w:t>
      </w:r>
      <w:r>
        <w:rPr>
          <w:rFonts w:ascii="宋体" w:hAnsi="宋体"/>
          <w:sz w:val="24"/>
        </w:rPr>
        <w:t>.4</w:t>
      </w:r>
      <w:r>
        <w:rPr>
          <w:rFonts w:hint="eastAsia" w:ascii="宋体" w:hAnsi="宋体"/>
          <w:sz w:val="24"/>
        </w:rPr>
        <w:t>买方违约时的终止</w:t>
      </w:r>
    </w:p>
    <w:p w14:paraId="4EA6B9B2">
      <w:pPr>
        <w:spacing w:line="360" w:lineRule="auto"/>
        <w:ind w:firstLine="480" w:firstLineChars="200"/>
        <w:rPr>
          <w:rFonts w:ascii="宋体" w:hAnsi="宋体"/>
          <w:sz w:val="24"/>
        </w:rPr>
      </w:pPr>
      <w:r>
        <w:rPr>
          <w:rFonts w:hint="eastAsia" w:ascii="宋体" w:hAnsi="宋体"/>
          <w:sz w:val="24"/>
        </w:rPr>
        <w:t>如果买方破产，卖方在向买方发出通知</w:t>
      </w:r>
      <w:r>
        <w:rPr>
          <w:rFonts w:ascii="宋体" w:hAnsi="宋体"/>
          <w:sz w:val="24"/>
        </w:rPr>
        <w:t>14</w:t>
      </w:r>
      <w:r>
        <w:rPr>
          <w:rFonts w:hint="eastAsia" w:ascii="宋体" w:hAnsi="宋体"/>
          <w:sz w:val="24"/>
        </w:rPr>
        <w:t>天后可终止合同。买方应将在终止合同日期前卖方应得的所有金额向卖方支付。任何此类终止均不应损害本合同项下买方的任何其它权利。</w:t>
      </w:r>
    </w:p>
    <w:p w14:paraId="06043A0C">
      <w:pPr>
        <w:spacing w:line="360" w:lineRule="auto"/>
        <w:ind w:firstLine="480" w:firstLineChars="200"/>
        <w:rPr>
          <w:rFonts w:ascii="宋体" w:hAnsi="宋体"/>
          <w:sz w:val="24"/>
        </w:rPr>
      </w:pPr>
      <w:r>
        <w:rPr>
          <w:rFonts w:hint="eastAsia" w:ascii="宋体" w:hAnsi="宋体"/>
          <w:sz w:val="24"/>
        </w:rPr>
        <w:t>29</w:t>
      </w:r>
      <w:r>
        <w:rPr>
          <w:rFonts w:ascii="宋体" w:hAnsi="宋体"/>
          <w:sz w:val="24"/>
        </w:rPr>
        <w:t>.5</w:t>
      </w:r>
      <w:r>
        <w:rPr>
          <w:rFonts w:hint="eastAsia" w:ascii="宋体" w:hAnsi="宋体"/>
          <w:sz w:val="24"/>
        </w:rPr>
        <w:t>因买方的便利而终止合同</w:t>
      </w:r>
    </w:p>
    <w:p w14:paraId="3C173BF0">
      <w:pPr>
        <w:spacing w:line="360" w:lineRule="auto"/>
        <w:ind w:firstLine="480" w:firstLineChars="200"/>
        <w:rPr>
          <w:rFonts w:ascii="宋体" w:hAnsi="宋体"/>
          <w:sz w:val="24"/>
        </w:rPr>
      </w:pPr>
      <w:r>
        <w:rPr>
          <w:rFonts w:hint="eastAsia" w:ascii="宋体" w:hAnsi="宋体"/>
          <w:sz w:val="24"/>
        </w:rPr>
        <w:t>29</w:t>
      </w:r>
      <w:r>
        <w:rPr>
          <w:rFonts w:ascii="宋体" w:hAnsi="宋体"/>
          <w:sz w:val="24"/>
        </w:rPr>
        <w:t>.5.1</w:t>
      </w:r>
      <w:r>
        <w:rPr>
          <w:rFonts w:hint="eastAsia" w:ascii="宋体" w:hAnsi="宋体"/>
          <w:sz w:val="24"/>
        </w:rPr>
        <w:t xml:space="preserve"> 买方可在任何时候出于自身的便利向卖方发出书面通知全部或部分终止合同，终止通知应明确该终止合同是出于买方的便利，合同终止的程度，以及终止的生效日期。</w:t>
      </w:r>
    </w:p>
    <w:p w14:paraId="3DCA9972">
      <w:pPr>
        <w:spacing w:line="360" w:lineRule="auto"/>
        <w:ind w:firstLine="480" w:firstLineChars="200"/>
        <w:rPr>
          <w:rFonts w:hint="eastAsia" w:ascii="宋体" w:hAnsi="宋体"/>
          <w:sz w:val="24"/>
        </w:rPr>
      </w:pPr>
      <w:r>
        <w:rPr>
          <w:rFonts w:hint="eastAsia" w:ascii="宋体" w:hAnsi="宋体"/>
          <w:sz w:val="24"/>
        </w:rPr>
        <w:t>29.5.2 对卖方在收到终止通知后</w:t>
      </w:r>
      <w:r>
        <w:rPr>
          <w:rFonts w:ascii="宋体" w:hAnsi="宋体"/>
          <w:sz w:val="24"/>
        </w:rPr>
        <w:t>15</w:t>
      </w:r>
      <w:r>
        <w:rPr>
          <w:rFonts w:hint="eastAsia" w:ascii="宋体" w:hAnsi="宋体"/>
          <w:sz w:val="24"/>
        </w:rPr>
        <w:t>天内已完成并准备装运的货物，买方应按合同约定予以接受，对于剩下的货物，买方可：</w:t>
      </w:r>
    </w:p>
    <w:p w14:paraId="569C6BB5">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按照合同的约定接收货物；和</w:t>
      </w:r>
      <w:r>
        <w:rPr>
          <w:rFonts w:ascii="宋体" w:hAnsi="宋体"/>
          <w:sz w:val="24"/>
        </w:rPr>
        <w:t>/</w:t>
      </w:r>
      <w:r>
        <w:rPr>
          <w:rFonts w:hint="eastAsia" w:ascii="宋体" w:hAnsi="宋体"/>
          <w:sz w:val="24"/>
        </w:rPr>
        <w:t>或</w:t>
      </w:r>
    </w:p>
    <w:p w14:paraId="538DAA8B">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 取消接受该剩下的货物，并按双方商定的金额向卖方支付部分完成的货物和服务以及卖方已采购的材料和部件的费用。</w:t>
      </w:r>
    </w:p>
    <w:p w14:paraId="2C55CA61">
      <w:pPr>
        <w:spacing w:line="360" w:lineRule="auto"/>
        <w:ind w:firstLine="480" w:firstLineChars="200"/>
        <w:rPr>
          <w:rFonts w:ascii="宋体" w:hAnsi="宋体"/>
          <w:sz w:val="24"/>
        </w:rPr>
      </w:pPr>
      <w:r>
        <w:rPr>
          <w:rFonts w:hint="eastAsia" w:ascii="宋体" w:hAnsi="宋体"/>
          <w:sz w:val="24"/>
        </w:rPr>
        <w:t>29</w:t>
      </w:r>
      <w:r>
        <w:rPr>
          <w:rFonts w:ascii="宋体" w:hAnsi="宋体"/>
          <w:sz w:val="24"/>
        </w:rPr>
        <w:t xml:space="preserve">.6 </w:t>
      </w:r>
      <w:r>
        <w:rPr>
          <w:rFonts w:hint="eastAsia" w:ascii="宋体" w:hAnsi="宋体"/>
          <w:sz w:val="24"/>
        </w:rPr>
        <w:t>合同暂停</w:t>
      </w:r>
    </w:p>
    <w:p w14:paraId="08EADE36">
      <w:pPr>
        <w:spacing w:line="360" w:lineRule="auto"/>
        <w:ind w:firstLine="480" w:firstLineChars="200"/>
        <w:rPr>
          <w:rFonts w:ascii="宋体" w:hAnsi="宋体"/>
          <w:sz w:val="24"/>
        </w:rPr>
      </w:pPr>
      <w:bookmarkStart w:id="249" w:name="_Toc273567074"/>
      <w:bookmarkStart w:id="250" w:name="_Toc271634415"/>
      <w:bookmarkStart w:id="251" w:name="_Toc271643265"/>
      <w:bookmarkStart w:id="252" w:name="_Toc276034001"/>
      <w:bookmarkStart w:id="253" w:name="_Toc276033852"/>
      <w:bookmarkStart w:id="254" w:name="_Toc271644894"/>
      <w:bookmarkStart w:id="255" w:name="_Toc271622085"/>
      <w:bookmarkStart w:id="256" w:name="_Toc271634230"/>
      <w:bookmarkStart w:id="257" w:name="_Toc273354761"/>
      <w:bookmarkStart w:id="258" w:name="_Toc271626718"/>
      <w:bookmarkStart w:id="259" w:name="_Toc271733478"/>
      <w:bookmarkStart w:id="260" w:name="_Toc271644573"/>
      <w:r>
        <w:rPr>
          <w:rFonts w:hint="eastAsia" w:ascii="宋体" w:hAnsi="宋体"/>
          <w:sz w:val="24"/>
        </w:rPr>
        <w:t>买方可随时指示令卖方：</w:t>
      </w:r>
    </w:p>
    <w:p w14:paraId="418F783C">
      <w:pPr>
        <w:spacing w:line="360" w:lineRule="auto"/>
        <w:ind w:firstLine="480" w:firstLineChars="200"/>
        <w:rPr>
          <w:rFonts w:ascii="宋体" w:hAnsi="宋体"/>
          <w:sz w:val="24"/>
        </w:rPr>
      </w:pPr>
      <w:r>
        <w:rPr>
          <w:rFonts w:hint="eastAsia" w:ascii="宋体" w:hAnsi="宋体"/>
          <w:sz w:val="24"/>
        </w:rPr>
        <w:t>（</w:t>
      </w:r>
      <w:r>
        <w:rPr>
          <w:rFonts w:ascii="宋体" w:hAnsi="宋体"/>
          <w:sz w:val="24"/>
        </w:rPr>
        <w:t>a</w:t>
      </w:r>
      <w:r>
        <w:rPr>
          <w:rFonts w:hint="eastAsia" w:ascii="宋体" w:hAnsi="宋体"/>
          <w:sz w:val="24"/>
        </w:rPr>
        <w:t>）暂停提供合同供货及服务；或</w:t>
      </w:r>
    </w:p>
    <w:p w14:paraId="342D94A0">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b</w:t>
      </w:r>
      <w:r>
        <w:rPr>
          <w:rFonts w:hint="eastAsia" w:ascii="宋体" w:hAnsi="宋体"/>
          <w:sz w:val="24"/>
        </w:rPr>
        <w:t>）暂停发运按进度计划中规定时间（或者如未规定时间，按拟定的适当发运时间）准备运往现场的合同货物或卖方的货物；或</w:t>
      </w:r>
    </w:p>
    <w:p w14:paraId="692E161D">
      <w:pPr>
        <w:spacing w:line="360" w:lineRule="auto"/>
        <w:ind w:firstLine="480" w:firstLineChars="200"/>
        <w:rPr>
          <w:rFonts w:ascii="宋体" w:hAnsi="宋体"/>
          <w:sz w:val="24"/>
        </w:rPr>
      </w:pPr>
      <w:r>
        <w:rPr>
          <w:rFonts w:hint="eastAsia" w:ascii="宋体" w:hAnsi="宋体"/>
          <w:sz w:val="24"/>
        </w:rPr>
        <w:t>（</w:t>
      </w:r>
      <w:r>
        <w:rPr>
          <w:rFonts w:ascii="宋体" w:hAnsi="宋体"/>
          <w:sz w:val="24"/>
        </w:rPr>
        <w:t>c</w:t>
      </w:r>
      <w:r>
        <w:rPr>
          <w:rFonts w:hint="eastAsia" w:ascii="宋体" w:hAnsi="宋体"/>
          <w:sz w:val="24"/>
        </w:rPr>
        <w:t>）暂停调试业已运至现场的合同货物。</w:t>
      </w:r>
    </w:p>
    <w:p w14:paraId="128CADD2">
      <w:pPr>
        <w:spacing w:line="360" w:lineRule="auto"/>
        <w:ind w:firstLine="480" w:firstLineChars="200"/>
        <w:rPr>
          <w:rFonts w:ascii="宋体" w:hAnsi="宋体"/>
          <w:sz w:val="24"/>
        </w:rPr>
      </w:pPr>
      <w:r>
        <w:rPr>
          <w:rFonts w:hint="eastAsia" w:ascii="宋体" w:hAnsi="宋体"/>
          <w:sz w:val="24"/>
        </w:rPr>
        <w:t>当买方阻止卖方按进度计划发运合同货物时，即应认为买方已下达了暂时停工的指令。在暂时停工期间，卖方应保护并保障处在卖方的工厂或其它地方或现场（视情况而定）受到影响的项目或合同货物免受任何损蚀、损失或损害。</w:t>
      </w:r>
    </w:p>
    <w:p w14:paraId="689B8C4E">
      <w:pPr>
        <w:spacing w:line="360" w:lineRule="auto"/>
        <w:ind w:firstLine="482" w:firstLineChars="200"/>
        <w:rPr>
          <w:rFonts w:ascii="宋体" w:hAnsi="宋体"/>
          <w:b/>
          <w:sz w:val="24"/>
        </w:rPr>
      </w:pPr>
      <w:bookmarkStart w:id="261" w:name="_Toc413227967"/>
      <w:r>
        <w:rPr>
          <w:rFonts w:hint="eastAsia" w:ascii="宋体" w:hAnsi="宋体"/>
          <w:b/>
          <w:sz w:val="24"/>
        </w:rPr>
        <w:t>30.争端的解决</w:t>
      </w:r>
      <w:bookmarkEnd w:id="249"/>
      <w:bookmarkEnd w:id="250"/>
      <w:bookmarkEnd w:id="251"/>
      <w:bookmarkEnd w:id="252"/>
      <w:bookmarkEnd w:id="253"/>
      <w:bookmarkEnd w:id="254"/>
      <w:bookmarkEnd w:id="255"/>
      <w:bookmarkEnd w:id="256"/>
      <w:bookmarkEnd w:id="257"/>
      <w:bookmarkEnd w:id="258"/>
      <w:bookmarkEnd w:id="259"/>
      <w:bookmarkEnd w:id="260"/>
      <w:bookmarkEnd w:id="261"/>
    </w:p>
    <w:p w14:paraId="5D00B2F9">
      <w:pPr>
        <w:spacing w:line="360" w:lineRule="auto"/>
        <w:ind w:firstLine="480" w:firstLineChars="200"/>
        <w:rPr>
          <w:rFonts w:hint="eastAsia" w:ascii="宋体" w:hAnsi="宋体"/>
          <w:sz w:val="24"/>
        </w:rPr>
      </w:pPr>
      <w:r>
        <w:rPr>
          <w:rFonts w:hint="eastAsia" w:ascii="宋体" w:hAnsi="宋体"/>
          <w:sz w:val="24"/>
        </w:rPr>
        <w:t>协议实施或与协议有关的一切争议应通过双方协商解决。如果协商不能解决，争端应向买方所在地的人民法院提起诉讼。</w:t>
      </w:r>
    </w:p>
    <w:p w14:paraId="3993102E">
      <w:pPr>
        <w:spacing w:line="360" w:lineRule="auto"/>
        <w:ind w:firstLine="482" w:firstLineChars="200"/>
        <w:rPr>
          <w:rFonts w:ascii="宋体" w:hAnsi="宋体"/>
          <w:b/>
          <w:sz w:val="24"/>
        </w:rPr>
      </w:pPr>
      <w:bookmarkStart w:id="262" w:name="_Toc271626719"/>
      <w:bookmarkStart w:id="263" w:name="_Toc413227968"/>
      <w:bookmarkStart w:id="264" w:name="_Toc271733479"/>
      <w:bookmarkStart w:id="265" w:name="_Toc271634416"/>
      <w:bookmarkStart w:id="266" w:name="_Toc271634231"/>
      <w:bookmarkStart w:id="267" w:name="_Toc271622086"/>
      <w:bookmarkStart w:id="268" w:name="_Toc271643266"/>
      <w:bookmarkStart w:id="269" w:name="_Toc273354762"/>
      <w:bookmarkStart w:id="270" w:name="_Toc271644574"/>
      <w:bookmarkStart w:id="271" w:name="_Toc273567075"/>
      <w:bookmarkStart w:id="272" w:name="_Toc276034002"/>
      <w:bookmarkStart w:id="273" w:name="_Toc276033853"/>
      <w:bookmarkStart w:id="274" w:name="_Toc271644895"/>
      <w:r>
        <w:rPr>
          <w:rFonts w:hint="eastAsia" w:ascii="宋体" w:hAnsi="宋体"/>
          <w:b/>
          <w:sz w:val="24"/>
        </w:rPr>
        <w:t>31. 通知</w:t>
      </w:r>
      <w:bookmarkEnd w:id="262"/>
      <w:bookmarkEnd w:id="263"/>
      <w:bookmarkEnd w:id="264"/>
      <w:bookmarkEnd w:id="265"/>
      <w:bookmarkEnd w:id="266"/>
      <w:bookmarkEnd w:id="267"/>
      <w:bookmarkEnd w:id="268"/>
      <w:bookmarkEnd w:id="269"/>
      <w:bookmarkEnd w:id="270"/>
      <w:bookmarkEnd w:id="271"/>
      <w:bookmarkEnd w:id="272"/>
      <w:bookmarkEnd w:id="273"/>
      <w:bookmarkEnd w:id="274"/>
    </w:p>
    <w:p w14:paraId="6E9976D1">
      <w:pPr>
        <w:spacing w:line="360" w:lineRule="auto"/>
        <w:ind w:firstLine="480" w:firstLineChars="200"/>
        <w:rPr>
          <w:rFonts w:ascii="宋体" w:hAnsi="宋体"/>
          <w:sz w:val="24"/>
        </w:rPr>
      </w:pPr>
      <w:bookmarkStart w:id="275" w:name="_Toc271634417"/>
      <w:bookmarkStart w:id="276" w:name="_Toc271644896"/>
      <w:bookmarkStart w:id="277" w:name="_Toc271634232"/>
      <w:bookmarkStart w:id="278" w:name="_Toc271781084"/>
      <w:bookmarkStart w:id="279" w:name="_Toc273567076"/>
      <w:bookmarkStart w:id="280" w:name="_Toc273354763"/>
      <w:bookmarkStart w:id="281" w:name="_Toc271630364"/>
      <w:bookmarkStart w:id="282" w:name="_Toc271626720"/>
      <w:bookmarkStart w:id="283" w:name="_Toc271733480"/>
      <w:bookmarkStart w:id="284" w:name="_Toc271622087"/>
      <w:bookmarkStart w:id="285" w:name="_Toc271644575"/>
      <w:bookmarkStart w:id="286" w:name="_Toc273611886"/>
      <w:bookmarkStart w:id="287" w:name="_Toc271643267"/>
      <w:bookmarkStart w:id="288" w:name="_Toc276033854"/>
      <w:bookmarkStart w:id="289" w:name="_Toc273354764"/>
      <w:bookmarkStart w:id="290" w:name="_Toc271634233"/>
      <w:bookmarkStart w:id="291" w:name="_Toc271626721"/>
      <w:bookmarkStart w:id="292" w:name="_Toc271644897"/>
      <w:bookmarkStart w:id="293" w:name="_Toc276034003"/>
      <w:bookmarkStart w:id="294" w:name="_Toc271644576"/>
      <w:bookmarkStart w:id="295" w:name="_Toc271733481"/>
      <w:bookmarkStart w:id="296" w:name="_Toc271634418"/>
      <w:bookmarkStart w:id="297" w:name="_Toc271622088"/>
      <w:bookmarkStart w:id="298" w:name="_Toc273567077"/>
      <w:bookmarkStart w:id="299" w:name="_Toc271643268"/>
      <w:r>
        <w:rPr>
          <w:rFonts w:hint="eastAsia" w:ascii="宋体" w:hAnsi="宋体"/>
          <w:sz w:val="24"/>
        </w:rPr>
        <w:t>31</w:t>
      </w:r>
      <w:r>
        <w:rPr>
          <w:rFonts w:ascii="宋体" w:hAnsi="宋体"/>
          <w:sz w:val="24"/>
        </w:rPr>
        <w:t>.1</w:t>
      </w:r>
      <w:r>
        <w:rPr>
          <w:rFonts w:hint="eastAsia" w:ascii="宋体" w:hAnsi="宋体"/>
          <w:sz w:val="24"/>
        </w:rPr>
        <w:t>本合同一方给对方的通知应用书面形式、或传真送到合同中规定的对方的地址，传真要经书面确认。</w:t>
      </w:r>
      <w:bookmarkEnd w:id="275"/>
      <w:bookmarkEnd w:id="276"/>
      <w:bookmarkEnd w:id="277"/>
      <w:bookmarkEnd w:id="278"/>
      <w:bookmarkEnd w:id="279"/>
      <w:bookmarkEnd w:id="280"/>
      <w:bookmarkEnd w:id="281"/>
      <w:bookmarkEnd w:id="282"/>
      <w:bookmarkEnd w:id="283"/>
      <w:bookmarkEnd w:id="284"/>
      <w:bookmarkEnd w:id="285"/>
      <w:bookmarkEnd w:id="286"/>
      <w:bookmarkEnd w:id="287"/>
    </w:p>
    <w:p w14:paraId="4A390180">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.2</w:t>
      </w:r>
      <w:r>
        <w:rPr>
          <w:rFonts w:hint="eastAsia" w:ascii="宋体" w:hAnsi="宋体"/>
          <w:sz w:val="24"/>
        </w:rPr>
        <w:t>通知以送达日期或通知书中注明的生效日期为生效日期，两者中以晚的日期为准。</w:t>
      </w:r>
    </w:p>
    <w:p w14:paraId="4EDE6122">
      <w:pPr>
        <w:spacing w:line="360" w:lineRule="auto"/>
        <w:ind w:firstLine="482" w:firstLineChars="200"/>
        <w:rPr>
          <w:rFonts w:ascii="宋体" w:hAnsi="宋体"/>
          <w:b/>
          <w:sz w:val="24"/>
        </w:rPr>
      </w:pPr>
      <w:bookmarkStart w:id="300" w:name="_Toc413227969"/>
      <w:r>
        <w:rPr>
          <w:rFonts w:hint="eastAsia" w:ascii="宋体" w:hAnsi="宋体"/>
          <w:b/>
          <w:sz w:val="24"/>
        </w:rPr>
        <w:t>32. 税款</w:t>
      </w:r>
      <w:bookmarkEnd w:id="288"/>
      <w:bookmarkEnd w:id="289"/>
      <w:bookmarkEnd w:id="290"/>
      <w:bookmarkEnd w:id="291"/>
      <w:bookmarkEnd w:id="292"/>
      <w:bookmarkEnd w:id="293"/>
      <w:bookmarkEnd w:id="294"/>
      <w:bookmarkEnd w:id="295"/>
      <w:bookmarkEnd w:id="296"/>
      <w:bookmarkEnd w:id="297"/>
      <w:bookmarkEnd w:id="298"/>
      <w:bookmarkEnd w:id="299"/>
      <w:bookmarkEnd w:id="300"/>
    </w:p>
    <w:p w14:paraId="75607585">
      <w:pPr>
        <w:spacing w:line="360" w:lineRule="auto"/>
        <w:ind w:firstLine="480" w:firstLineChars="200"/>
        <w:rPr>
          <w:rFonts w:ascii="宋体" w:hAnsi="宋体"/>
          <w:sz w:val="24"/>
        </w:rPr>
      </w:pPr>
      <w:bookmarkStart w:id="301" w:name="_Toc271634234"/>
      <w:bookmarkStart w:id="302" w:name="_Toc271622089"/>
      <w:bookmarkStart w:id="303" w:name="_Toc271643269"/>
      <w:bookmarkStart w:id="304" w:name="_Toc276034004"/>
      <w:bookmarkStart w:id="305" w:name="_Toc271733482"/>
      <w:bookmarkStart w:id="306" w:name="_Toc271634419"/>
      <w:bookmarkStart w:id="307" w:name="_Toc273354765"/>
      <w:bookmarkStart w:id="308" w:name="_Toc273567078"/>
      <w:bookmarkStart w:id="309" w:name="_Toc271644577"/>
      <w:bookmarkStart w:id="310" w:name="_Toc271644898"/>
      <w:bookmarkStart w:id="311" w:name="_Toc276033855"/>
      <w:bookmarkStart w:id="312" w:name="_Toc271626722"/>
      <w:r>
        <w:rPr>
          <w:rFonts w:hint="eastAsia" w:ascii="宋体" w:hAnsi="宋体"/>
          <w:sz w:val="24"/>
        </w:rPr>
        <w:t>32</w:t>
      </w:r>
      <w:r>
        <w:rPr>
          <w:rFonts w:ascii="宋体" w:hAnsi="宋体"/>
          <w:sz w:val="24"/>
        </w:rPr>
        <w:t>.1</w:t>
      </w:r>
      <w:r>
        <w:rPr>
          <w:rFonts w:hint="eastAsia" w:ascii="宋体" w:hAnsi="宋体"/>
          <w:sz w:val="24"/>
        </w:rPr>
        <w:t>中国政府根据现行税法及相关规定对买方征收的与本合同有关的一切税费均应由买方负担。</w:t>
      </w:r>
    </w:p>
    <w:p w14:paraId="29D24C9E">
      <w:pPr>
        <w:spacing w:line="360" w:lineRule="auto"/>
        <w:ind w:firstLine="480" w:firstLineChars="200"/>
        <w:rPr>
          <w:rFonts w:ascii="宋体" w:hAnsi="宋体"/>
          <w:sz w:val="24"/>
        </w:rPr>
      </w:pPr>
      <w:r>
        <w:rPr>
          <w:rFonts w:hint="eastAsia" w:ascii="宋体" w:hAnsi="宋体"/>
          <w:sz w:val="24"/>
        </w:rPr>
        <w:t>32</w:t>
      </w:r>
      <w:r>
        <w:rPr>
          <w:rFonts w:ascii="宋体" w:hAnsi="宋体"/>
          <w:sz w:val="24"/>
        </w:rPr>
        <w:t xml:space="preserve">.2 </w:t>
      </w:r>
      <w:r>
        <w:rPr>
          <w:rFonts w:hint="eastAsia" w:ascii="宋体" w:hAnsi="宋体"/>
          <w:sz w:val="24"/>
        </w:rPr>
        <w:t>中国政府根据现行的税法及相关规定对卖方及其雇员征收的与本合同有关的一切税费，均由卖方负担，并已包含在合同总价中。</w:t>
      </w:r>
    </w:p>
    <w:bookmarkEnd w:id="301"/>
    <w:bookmarkEnd w:id="302"/>
    <w:bookmarkEnd w:id="303"/>
    <w:bookmarkEnd w:id="304"/>
    <w:bookmarkEnd w:id="305"/>
    <w:bookmarkEnd w:id="306"/>
    <w:bookmarkEnd w:id="307"/>
    <w:bookmarkEnd w:id="308"/>
    <w:bookmarkEnd w:id="309"/>
    <w:bookmarkEnd w:id="310"/>
    <w:bookmarkEnd w:id="311"/>
    <w:bookmarkEnd w:id="312"/>
    <w:p w14:paraId="446CC6FB">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3</w:t>
      </w:r>
      <w:r>
        <w:rPr>
          <w:rFonts w:hint="eastAsia" w:ascii="宋体" w:hAnsi="宋体"/>
          <w:b/>
          <w:sz w:val="24"/>
        </w:rPr>
        <w:t>.侵权和保密</w:t>
      </w:r>
    </w:p>
    <w:p w14:paraId="2F73CFBA">
      <w:pPr>
        <w:spacing w:line="360" w:lineRule="auto"/>
        <w:ind w:firstLine="480" w:firstLineChars="200"/>
        <w:rPr>
          <w:rFonts w:ascii="宋体" w:hAnsi="宋体"/>
          <w:sz w:val="24"/>
        </w:rPr>
      </w:pPr>
      <w:r>
        <w:rPr>
          <w:rFonts w:hint="eastAsia" w:ascii="宋体" w:hAnsi="宋体"/>
          <w:sz w:val="24"/>
        </w:rPr>
        <w:t>3</w:t>
      </w:r>
      <w:r>
        <w:rPr>
          <w:rFonts w:ascii="宋体" w:hAnsi="宋体"/>
          <w:sz w:val="24"/>
        </w:rPr>
        <w:t>3</w:t>
      </w:r>
      <w:r>
        <w:rPr>
          <w:rFonts w:hint="eastAsia" w:ascii="宋体" w:hAnsi="宋体"/>
          <w:sz w:val="24"/>
        </w:rPr>
        <w:t>.1卖方应保证买方免受第三方因卖方货物存在的瑕疵而提出的侵权诉讼及索赔。任何第三方如果提出侵权指控，卖方须与第三方交涉并承担由此而引起的一切法律责任和费用。</w:t>
      </w:r>
    </w:p>
    <w:p w14:paraId="4193C15C">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3</w:t>
      </w:r>
      <w:r>
        <w:rPr>
          <w:rFonts w:hint="eastAsia" w:ascii="宋体" w:hAnsi="宋体"/>
          <w:sz w:val="24"/>
        </w:rPr>
        <w:t>.2未经买方事先书面同意，卖方不得以任何形式将本协议内容（包括但不限于合同条款、各种资料成果等）提供给与履行本协议无关的任何第三方。若卖方违反本款约定，并因此产生法律纠纷，则由卖方承担全部责任。</w:t>
      </w:r>
    </w:p>
    <w:p w14:paraId="5C40692C">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4</w:t>
      </w:r>
      <w:r>
        <w:rPr>
          <w:rFonts w:hint="eastAsia" w:ascii="宋体" w:hAnsi="宋体"/>
          <w:b/>
          <w:sz w:val="24"/>
        </w:rPr>
        <w:t>. 其他</w:t>
      </w:r>
    </w:p>
    <w:p w14:paraId="186BE3E4">
      <w:pPr>
        <w:spacing w:line="360" w:lineRule="auto"/>
        <w:ind w:firstLine="480" w:firstLineChars="200"/>
        <w:rPr>
          <w:rFonts w:ascii="宋体" w:hAnsi="宋体"/>
          <w:sz w:val="24"/>
        </w:rPr>
      </w:pPr>
      <w:r>
        <w:rPr>
          <w:rFonts w:hint="eastAsia" w:ascii="宋体" w:hAnsi="宋体"/>
          <w:sz w:val="24"/>
        </w:rPr>
        <w:t>34.1其他约定见合同特殊条款。</w:t>
      </w:r>
    </w:p>
    <w:p w14:paraId="4B98730D">
      <w:pPr>
        <w:spacing w:line="360" w:lineRule="auto"/>
        <w:ind w:firstLine="480" w:firstLineChars="200"/>
        <w:rPr>
          <w:rFonts w:ascii="宋体" w:hAnsi="宋体"/>
          <w:sz w:val="24"/>
        </w:rPr>
      </w:pPr>
      <w:r>
        <w:rPr>
          <w:rFonts w:hint="eastAsia" w:ascii="宋体" w:hAnsi="宋体"/>
          <w:sz w:val="24"/>
        </w:rPr>
        <w:t>3</w:t>
      </w:r>
      <w:r>
        <w:rPr>
          <w:rFonts w:ascii="宋体" w:hAnsi="宋体"/>
          <w:sz w:val="24"/>
        </w:rPr>
        <w:t>4</w:t>
      </w:r>
      <w:r>
        <w:rPr>
          <w:rFonts w:hint="eastAsia" w:ascii="宋体" w:hAnsi="宋体"/>
          <w:sz w:val="24"/>
        </w:rPr>
        <w:t>.</w:t>
      </w:r>
      <w:r>
        <w:rPr>
          <w:rFonts w:ascii="宋体" w:hAnsi="宋体"/>
          <w:sz w:val="24"/>
        </w:rPr>
        <w:t>2</w:t>
      </w:r>
      <w:r>
        <w:rPr>
          <w:rFonts w:hint="eastAsia" w:ascii="宋体" w:hAnsi="宋体"/>
          <w:sz w:val="24"/>
        </w:rPr>
        <w:t>本合同在卖方提交履约担保</w:t>
      </w:r>
      <w:r>
        <w:rPr>
          <w:rFonts w:hint="eastAsia" w:ascii="宋体" w:hAnsi="宋体"/>
          <w:sz w:val="24"/>
          <w:szCs w:val="24"/>
        </w:rPr>
        <w:t>（如需要，详见合同特殊条款）</w:t>
      </w:r>
      <w:r>
        <w:rPr>
          <w:rFonts w:hint="eastAsia" w:ascii="宋体" w:hAnsi="宋体"/>
          <w:sz w:val="24"/>
        </w:rPr>
        <w:t>，并经双方法定代表人或法人授权代表签字并加盖公章后生效。本合同的正本及副本具有同等法律效力。</w:t>
      </w:r>
    </w:p>
    <w:p w14:paraId="2A7E1891">
      <w:pPr>
        <w:adjustRightInd w:val="0"/>
        <w:snapToGrid w:val="0"/>
        <w:spacing w:line="360" w:lineRule="auto"/>
        <w:ind w:firstLine="480" w:firstLineChars="200"/>
        <w:rPr>
          <w:rFonts w:ascii="宋体" w:hAnsi="宋体"/>
          <w:sz w:val="24"/>
        </w:rPr>
      </w:pPr>
      <w:r>
        <w:rPr>
          <w:rFonts w:ascii="宋体" w:hAnsi="宋体"/>
          <w:sz w:val="24"/>
        </w:rPr>
        <w:t>34</w:t>
      </w:r>
      <w:r>
        <w:rPr>
          <w:rFonts w:hint="eastAsia" w:ascii="宋体" w:hAnsi="宋体"/>
          <w:sz w:val="24"/>
        </w:rPr>
        <w:t>.</w:t>
      </w:r>
      <w:r>
        <w:rPr>
          <w:rFonts w:ascii="宋体" w:hAnsi="宋体"/>
          <w:sz w:val="24"/>
        </w:rPr>
        <w:t>3</w:t>
      </w:r>
      <w:r>
        <w:rPr>
          <w:rFonts w:hint="eastAsia" w:ascii="宋体" w:hAnsi="宋体"/>
          <w:sz w:val="24"/>
        </w:rPr>
        <w:t>本合同的规定如与国家颁布新的法律或规定相矛盾，以国家法律规定为准，双方由此所受到的损失由双方各自承担。</w:t>
      </w:r>
    </w:p>
    <w:p w14:paraId="17CDD8C7">
      <w:pPr>
        <w:adjustRightInd w:val="0"/>
        <w:snapToGrid w:val="0"/>
        <w:spacing w:line="360" w:lineRule="auto"/>
        <w:ind w:firstLine="480" w:firstLineChars="200"/>
        <w:rPr>
          <w:rFonts w:ascii="宋体" w:hAnsi="宋体"/>
          <w:sz w:val="24"/>
          <w:szCs w:val="24"/>
        </w:rPr>
      </w:pPr>
    </w:p>
    <w:p w14:paraId="39807416">
      <w:pPr>
        <w:adjustRightInd w:val="0"/>
        <w:snapToGrid w:val="0"/>
        <w:spacing w:line="360" w:lineRule="auto"/>
        <w:rPr>
          <w:rFonts w:ascii="宋体" w:hAnsi="宋体"/>
          <w:sz w:val="24"/>
          <w:szCs w:val="24"/>
        </w:rPr>
      </w:pPr>
      <w:r>
        <w:rPr>
          <w:rFonts w:hint="eastAsia" w:ascii="宋体" w:hAnsi="宋体"/>
          <w:sz w:val="24"/>
          <w:szCs w:val="24"/>
        </w:rPr>
        <w:t>附：合同一般条款附件《廉政协议》</w:t>
      </w:r>
    </w:p>
    <w:p w14:paraId="2872F1AC">
      <w:pPr>
        <w:adjustRightInd w:val="0"/>
        <w:snapToGrid w:val="0"/>
        <w:spacing w:line="360" w:lineRule="auto"/>
        <w:rPr>
          <w:rFonts w:ascii="宋体" w:hAnsi="宋体"/>
          <w:sz w:val="24"/>
          <w:szCs w:val="24"/>
        </w:rPr>
      </w:pPr>
      <w:r>
        <w:rPr>
          <w:rFonts w:ascii="宋体" w:hAnsi="宋体"/>
          <w:sz w:val="24"/>
          <w:szCs w:val="24"/>
        </w:rPr>
        <w:br w:type="page"/>
      </w:r>
      <w:r>
        <w:rPr>
          <w:rFonts w:hint="eastAsia" w:ascii="宋体" w:hAnsi="宋体"/>
          <w:sz w:val="24"/>
          <w:szCs w:val="24"/>
        </w:rPr>
        <w:t>合同一般条款附件：《廉政协议》</w:t>
      </w:r>
    </w:p>
    <w:p w14:paraId="27EDC708">
      <w:pPr>
        <w:spacing w:line="360" w:lineRule="auto"/>
        <w:jc w:val="center"/>
        <w:rPr>
          <w:rFonts w:ascii="宋体" w:hAnsi="宋体"/>
          <w:sz w:val="24"/>
          <w:szCs w:val="24"/>
        </w:rPr>
      </w:pPr>
    </w:p>
    <w:p w14:paraId="54A6F31C">
      <w:pPr>
        <w:spacing w:line="360" w:lineRule="auto"/>
        <w:jc w:val="center"/>
        <w:rPr>
          <w:rFonts w:hint="eastAsia" w:ascii="宋体" w:hAnsi="宋体"/>
          <w:b/>
          <w:bCs/>
          <w:color w:val="000000"/>
          <w:szCs w:val="28"/>
        </w:rPr>
      </w:pPr>
      <w:r>
        <w:rPr>
          <w:rFonts w:ascii="宋体" w:hAnsi="宋体"/>
          <w:b/>
          <w:bCs/>
          <w:color w:val="000000"/>
          <w:szCs w:val="28"/>
        </w:rPr>
        <w:t>廉政协议</w:t>
      </w:r>
    </w:p>
    <w:p w14:paraId="47885D5F">
      <w:pPr>
        <w:spacing w:line="360" w:lineRule="auto"/>
        <w:ind w:firstLine="480" w:firstLineChars="200"/>
        <w:rPr>
          <w:rFonts w:ascii="宋体" w:hAnsi="宋体"/>
          <w:color w:val="000000"/>
          <w:sz w:val="24"/>
        </w:rPr>
      </w:pPr>
      <w:r>
        <w:rPr>
          <w:rFonts w:hint="eastAsia" w:ascii="宋体" w:hAnsi="宋体"/>
          <w:color w:val="000000"/>
          <w:sz w:val="24"/>
        </w:rPr>
        <w:t>买方</w:t>
      </w:r>
      <w:r>
        <w:rPr>
          <w:rFonts w:ascii="宋体" w:hAnsi="宋体"/>
          <w:color w:val="000000"/>
          <w:sz w:val="24"/>
        </w:rPr>
        <w:t xml:space="preserve">： </w:t>
      </w:r>
    </w:p>
    <w:p w14:paraId="6893F916">
      <w:pPr>
        <w:spacing w:line="360" w:lineRule="auto"/>
        <w:ind w:firstLine="480" w:firstLineChars="200"/>
        <w:rPr>
          <w:rFonts w:ascii="宋体" w:hAnsi="宋体"/>
          <w:color w:val="000000"/>
          <w:sz w:val="24"/>
        </w:rPr>
      </w:pPr>
      <w:r>
        <w:rPr>
          <w:rFonts w:hint="eastAsia" w:ascii="宋体" w:hAnsi="宋体"/>
          <w:color w:val="000000"/>
          <w:sz w:val="24"/>
        </w:rPr>
        <w:t>卖方</w:t>
      </w:r>
      <w:r>
        <w:rPr>
          <w:rFonts w:ascii="宋体" w:hAnsi="宋体"/>
          <w:color w:val="000000"/>
          <w:sz w:val="24"/>
        </w:rPr>
        <w:t>：</w:t>
      </w:r>
    </w:p>
    <w:p w14:paraId="5E2F743F">
      <w:pPr>
        <w:spacing w:line="360" w:lineRule="auto"/>
        <w:ind w:firstLine="482" w:firstLineChars="200"/>
        <w:rPr>
          <w:rFonts w:ascii="宋体" w:hAnsi="宋体"/>
          <w:b/>
          <w:bCs/>
          <w:color w:val="000000"/>
          <w:sz w:val="24"/>
        </w:rPr>
      </w:pPr>
      <w:r>
        <w:rPr>
          <w:rFonts w:ascii="宋体" w:hAnsi="宋体"/>
          <w:b/>
          <w:bCs/>
          <w:color w:val="000000"/>
          <w:sz w:val="24"/>
        </w:rPr>
        <w:t>为了在保持廉政自律的工作作风，防止各种不正当行为的发生，根据国家和市有关廉政建设的各项规定，结合</w:t>
      </w:r>
      <w:r>
        <w:rPr>
          <w:rFonts w:hint="eastAsia" w:ascii="宋体" w:hAnsi="宋体"/>
          <w:b/>
          <w:bCs/>
          <w:color w:val="000000"/>
          <w:sz w:val="24"/>
        </w:rPr>
        <w:t>项目</w:t>
      </w:r>
      <w:r>
        <w:rPr>
          <w:rFonts w:ascii="宋体" w:hAnsi="宋体"/>
          <w:b/>
          <w:bCs/>
          <w:color w:val="000000"/>
          <w:sz w:val="24"/>
        </w:rPr>
        <w:t>的特点，特订立本协议如下：</w:t>
      </w:r>
    </w:p>
    <w:p w14:paraId="17AA0640">
      <w:pPr>
        <w:spacing w:line="360" w:lineRule="auto"/>
        <w:ind w:firstLine="480" w:firstLineChars="200"/>
        <w:rPr>
          <w:rFonts w:ascii="宋体" w:hAnsi="宋体"/>
          <w:color w:val="000000"/>
          <w:sz w:val="24"/>
        </w:rPr>
      </w:pPr>
      <w:r>
        <w:rPr>
          <w:rFonts w:ascii="宋体" w:hAnsi="宋体"/>
          <w:color w:val="000000"/>
          <w:sz w:val="24"/>
        </w:rPr>
        <w:t>一、</w:t>
      </w:r>
      <w:r>
        <w:rPr>
          <w:rFonts w:hint="eastAsia" w:ascii="宋体" w:hAnsi="宋体"/>
          <w:color w:val="000000"/>
          <w:sz w:val="24"/>
        </w:rPr>
        <w:t>买卖</w:t>
      </w:r>
      <w:r>
        <w:rPr>
          <w:rFonts w:ascii="宋体" w:hAnsi="宋体"/>
          <w:color w:val="000000"/>
          <w:sz w:val="24"/>
        </w:rPr>
        <w:t>双方应当自觉遵守国家和市有关廉政建设的各项规定。</w:t>
      </w:r>
    </w:p>
    <w:p w14:paraId="47CB86C6">
      <w:pPr>
        <w:spacing w:line="360" w:lineRule="auto"/>
        <w:ind w:firstLine="480" w:firstLineChars="200"/>
        <w:rPr>
          <w:rFonts w:ascii="宋体" w:hAnsi="宋体"/>
          <w:color w:val="000000"/>
          <w:sz w:val="24"/>
        </w:rPr>
      </w:pPr>
      <w:r>
        <w:rPr>
          <w:rFonts w:ascii="宋体" w:hAnsi="宋体"/>
          <w:color w:val="000000"/>
          <w:sz w:val="24"/>
        </w:rPr>
        <w:t>二、</w:t>
      </w:r>
      <w:r>
        <w:rPr>
          <w:rFonts w:hint="eastAsia" w:ascii="宋体" w:hAnsi="宋体"/>
          <w:color w:val="000000"/>
          <w:sz w:val="24"/>
        </w:rPr>
        <w:t>买方</w:t>
      </w:r>
      <w:r>
        <w:rPr>
          <w:rFonts w:ascii="宋体" w:hAnsi="宋体"/>
          <w:color w:val="000000"/>
          <w:sz w:val="24"/>
        </w:rPr>
        <w:t>及其工作人员不得以任何形式向</w:t>
      </w:r>
      <w:r>
        <w:rPr>
          <w:rFonts w:hint="eastAsia" w:ascii="宋体" w:hAnsi="宋体"/>
          <w:color w:val="000000"/>
          <w:sz w:val="24"/>
        </w:rPr>
        <w:t>卖方</w:t>
      </w:r>
      <w:r>
        <w:rPr>
          <w:rFonts w:ascii="宋体" w:hAnsi="宋体"/>
          <w:color w:val="000000"/>
          <w:sz w:val="24"/>
        </w:rPr>
        <w:t>索要和收受回扣等好处费。</w:t>
      </w:r>
    </w:p>
    <w:p w14:paraId="4BB6C24A">
      <w:pPr>
        <w:spacing w:line="360" w:lineRule="auto"/>
        <w:ind w:firstLine="480" w:firstLineChars="200"/>
        <w:rPr>
          <w:rFonts w:ascii="宋体" w:hAnsi="宋体"/>
          <w:color w:val="000000"/>
          <w:sz w:val="24"/>
        </w:rPr>
      </w:pPr>
      <w:r>
        <w:rPr>
          <w:rFonts w:ascii="宋体" w:hAnsi="宋体"/>
          <w:color w:val="000000"/>
          <w:sz w:val="24"/>
        </w:rPr>
        <w:t>三、</w:t>
      </w:r>
      <w:r>
        <w:rPr>
          <w:rFonts w:hint="eastAsia" w:ascii="宋体" w:hAnsi="宋体"/>
          <w:color w:val="000000"/>
          <w:sz w:val="24"/>
        </w:rPr>
        <w:t>买方</w:t>
      </w:r>
      <w:r>
        <w:rPr>
          <w:rFonts w:ascii="宋体" w:hAnsi="宋体"/>
          <w:color w:val="000000"/>
          <w:sz w:val="24"/>
        </w:rPr>
        <w:t>工作人员应当保持与</w:t>
      </w:r>
      <w:r>
        <w:rPr>
          <w:rFonts w:hint="eastAsia" w:ascii="宋体" w:hAnsi="宋体"/>
          <w:color w:val="000000"/>
          <w:sz w:val="24"/>
        </w:rPr>
        <w:t>卖方</w:t>
      </w:r>
      <w:r>
        <w:rPr>
          <w:rFonts w:ascii="宋体" w:hAnsi="宋体"/>
          <w:color w:val="000000"/>
          <w:sz w:val="24"/>
        </w:rPr>
        <w:t>的正常业务交往，不得接受</w:t>
      </w:r>
      <w:r>
        <w:rPr>
          <w:rFonts w:hint="eastAsia" w:ascii="宋体" w:hAnsi="宋体"/>
          <w:color w:val="000000"/>
          <w:sz w:val="24"/>
        </w:rPr>
        <w:t>卖方</w:t>
      </w:r>
      <w:r>
        <w:rPr>
          <w:rFonts w:ascii="宋体" w:hAnsi="宋体"/>
          <w:color w:val="000000"/>
          <w:sz w:val="24"/>
        </w:rPr>
        <w:t>的现金、有价证券和贵重物品，不得在</w:t>
      </w:r>
      <w:r>
        <w:rPr>
          <w:rFonts w:hint="eastAsia" w:ascii="宋体" w:hAnsi="宋体"/>
          <w:color w:val="000000"/>
          <w:sz w:val="24"/>
        </w:rPr>
        <w:t>卖方</w:t>
      </w:r>
      <w:r>
        <w:rPr>
          <w:rFonts w:ascii="宋体" w:hAnsi="宋体"/>
          <w:color w:val="000000"/>
          <w:sz w:val="24"/>
        </w:rPr>
        <w:t>报销任何应</w:t>
      </w:r>
      <w:r>
        <w:rPr>
          <w:rFonts w:hint="eastAsia" w:ascii="宋体" w:hAnsi="宋体"/>
          <w:color w:val="000000"/>
          <w:sz w:val="24"/>
        </w:rPr>
        <w:t>由</w:t>
      </w:r>
      <w:r>
        <w:rPr>
          <w:rFonts w:ascii="宋体" w:hAnsi="宋体"/>
          <w:color w:val="000000"/>
          <w:sz w:val="24"/>
        </w:rPr>
        <w:t>个人支付的费用。</w:t>
      </w:r>
    </w:p>
    <w:p w14:paraId="7DCBDFB2">
      <w:pPr>
        <w:spacing w:line="360" w:lineRule="auto"/>
        <w:ind w:firstLine="480" w:firstLineChars="200"/>
        <w:rPr>
          <w:rFonts w:ascii="宋体" w:hAnsi="宋体"/>
          <w:color w:val="000000"/>
          <w:sz w:val="24"/>
        </w:rPr>
      </w:pPr>
      <w:r>
        <w:rPr>
          <w:rFonts w:ascii="宋体" w:hAnsi="宋体"/>
          <w:color w:val="000000"/>
          <w:sz w:val="24"/>
        </w:rPr>
        <w:t>四、</w:t>
      </w:r>
      <w:r>
        <w:rPr>
          <w:rFonts w:hint="eastAsia" w:ascii="宋体" w:hAnsi="宋体"/>
          <w:color w:val="000000"/>
          <w:sz w:val="24"/>
        </w:rPr>
        <w:t>买方</w:t>
      </w:r>
      <w:r>
        <w:rPr>
          <w:rFonts w:ascii="宋体" w:hAnsi="宋体"/>
          <w:color w:val="000000"/>
          <w:sz w:val="24"/>
        </w:rPr>
        <w:t>工作人员不得参加可能对公正执行公务有影响的宴请和娱乐活动。</w:t>
      </w:r>
    </w:p>
    <w:p w14:paraId="1A3151BA">
      <w:pPr>
        <w:spacing w:line="360" w:lineRule="auto"/>
        <w:ind w:firstLine="480" w:firstLineChars="200"/>
        <w:rPr>
          <w:rFonts w:ascii="宋体" w:hAnsi="宋体"/>
          <w:color w:val="000000"/>
          <w:sz w:val="24"/>
        </w:rPr>
      </w:pPr>
      <w:r>
        <w:rPr>
          <w:rFonts w:ascii="宋体" w:hAnsi="宋体"/>
          <w:color w:val="000000"/>
          <w:sz w:val="24"/>
        </w:rPr>
        <w:t>五、</w:t>
      </w:r>
      <w:r>
        <w:rPr>
          <w:rFonts w:hint="eastAsia" w:ascii="宋体" w:hAnsi="宋体"/>
          <w:color w:val="000000"/>
          <w:sz w:val="24"/>
        </w:rPr>
        <w:t>买方</w:t>
      </w:r>
      <w:r>
        <w:rPr>
          <w:rFonts w:ascii="宋体" w:hAnsi="宋体"/>
          <w:color w:val="000000"/>
          <w:sz w:val="24"/>
        </w:rPr>
        <w:t>工作人员不得要求接受</w:t>
      </w:r>
      <w:r>
        <w:rPr>
          <w:rFonts w:hint="eastAsia" w:ascii="宋体" w:hAnsi="宋体"/>
          <w:color w:val="000000"/>
          <w:sz w:val="24"/>
        </w:rPr>
        <w:t>卖方</w:t>
      </w:r>
      <w:r>
        <w:rPr>
          <w:rFonts w:ascii="宋体" w:hAnsi="宋体"/>
          <w:color w:val="000000"/>
          <w:sz w:val="24"/>
        </w:rPr>
        <w:t>为其住房装修、婚丧嫁娶、家属和子女的工作安排以及出国等提供方便。</w:t>
      </w:r>
    </w:p>
    <w:p w14:paraId="362A152F">
      <w:pPr>
        <w:spacing w:line="360" w:lineRule="auto"/>
        <w:ind w:firstLine="480" w:firstLineChars="200"/>
        <w:rPr>
          <w:rFonts w:ascii="宋体" w:hAnsi="宋体"/>
          <w:color w:val="000000"/>
          <w:sz w:val="24"/>
        </w:rPr>
      </w:pPr>
      <w:r>
        <w:rPr>
          <w:rFonts w:ascii="宋体" w:hAnsi="宋体"/>
          <w:color w:val="000000"/>
          <w:sz w:val="24"/>
        </w:rPr>
        <w:t>六、</w:t>
      </w:r>
      <w:r>
        <w:rPr>
          <w:rFonts w:hint="eastAsia" w:ascii="宋体" w:hAnsi="宋体"/>
          <w:color w:val="000000"/>
          <w:sz w:val="24"/>
        </w:rPr>
        <w:t>买方</w:t>
      </w:r>
      <w:r>
        <w:rPr>
          <w:rFonts w:ascii="宋体" w:hAnsi="宋体"/>
          <w:color w:val="000000"/>
          <w:sz w:val="24"/>
        </w:rPr>
        <w:t>工作人员不得向</w:t>
      </w:r>
      <w:r>
        <w:rPr>
          <w:rFonts w:hint="eastAsia" w:ascii="宋体" w:hAnsi="宋体"/>
          <w:color w:val="000000"/>
          <w:sz w:val="24"/>
        </w:rPr>
        <w:t>卖方</w:t>
      </w:r>
      <w:r>
        <w:rPr>
          <w:rFonts w:ascii="宋体" w:hAnsi="宋体"/>
          <w:color w:val="000000"/>
          <w:sz w:val="24"/>
        </w:rPr>
        <w:t>介绍家属或者亲友从事与</w:t>
      </w:r>
      <w:r>
        <w:rPr>
          <w:rFonts w:hint="eastAsia" w:ascii="宋体" w:hAnsi="宋体"/>
          <w:color w:val="000000"/>
          <w:sz w:val="24"/>
        </w:rPr>
        <w:t>买方</w:t>
      </w:r>
      <w:r>
        <w:rPr>
          <w:rFonts w:ascii="宋体" w:hAnsi="宋体"/>
          <w:color w:val="000000"/>
          <w:sz w:val="24"/>
        </w:rPr>
        <w:t>项目有关的材料设备供应、项目分包等经济活动。</w:t>
      </w:r>
    </w:p>
    <w:p w14:paraId="75D61AD8">
      <w:pPr>
        <w:spacing w:line="360" w:lineRule="auto"/>
        <w:ind w:firstLine="480" w:firstLineChars="200"/>
        <w:rPr>
          <w:rFonts w:ascii="宋体" w:hAnsi="宋体"/>
          <w:color w:val="000000"/>
          <w:sz w:val="24"/>
        </w:rPr>
      </w:pPr>
      <w:r>
        <w:rPr>
          <w:rFonts w:ascii="宋体" w:hAnsi="宋体"/>
          <w:color w:val="000000"/>
          <w:sz w:val="24"/>
        </w:rPr>
        <w:t>七、</w:t>
      </w:r>
      <w:r>
        <w:rPr>
          <w:rFonts w:hint="eastAsia" w:ascii="宋体" w:hAnsi="宋体"/>
          <w:color w:val="000000"/>
          <w:sz w:val="24"/>
        </w:rPr>
        <w:t>卖方</w:t>
      </w:r>
      <w:r>
        <w:rPr>
          <w:rFonts w:ascii="宋体" w:hAnsi="宋体"/>
          <w:color w:val="000000"/>
          <w:sz w:val="24"/>
        </w:rPr>
        <w:t>应当通过正常途径开展相对业务工作，不得为获取某些不正当利益而向</w:t>
      </w:r>
      <w:r>
        <w:rPr>
          <w:rFonts w:hint="eastAsia" w:ascii="宋体" w:hAnsi="宋体"/>
          <w:color w:val="000000"/>
          <w:sz w:val="24"/>
        </w:rPr>
        <w:t>买方</w:t>
      </w:r>
      <w:r>
        <w:rPr>
          <w:rFonts w:ascii="宋体" w:hAnsi="宋体"/>
          <w:color w:val="000000"/>
          <w:sz w:val="24"/>
        </w:rPr>
        <w:t>工作人员赠送礼金、有价证券和贵重物品等。</w:t>
      </w:r>
    </w:p>
    <w:p w14:paraId="2AA734C3">
      <w:pPr>
        <w:spacing w:line="360" w:lineRule="auto"/>
        <w:ind w:firstLine="480" w:firstLineChars="200"/>
        <w:rPr>
          <w:rFonts w:ascii="宋体" w:hAnsi="宋体"/>
          <w:color w:val="000000"/>
          <w:sz w:val="24"/>
        </w:rPr>
      </w:pPr>
      <w:r>
        <w:rPr>
          <w:rFonts w:ascii="宋体" w:hAnsi="宋体"/>
          <w:color w:val="000000"/>
          <w:sz w:val="24"/>
        </w:rPr>
        <w:t>八、</w:t>
      </w:r>
      <w:r>
        <w:rPr>
          <w:rFonts w:hint="eastAsia" w:ascii="宋体" w:hAnsi="宋体"/>
          <w:color w:val="000000"/>
          <w:sz w:val="24"/>
        </w:rPr>
        <w:t>卖方</w:t>
      </w:r>
      <w:r>
        <w:rPr>
          <w:rFonts w:ascii="宋体" w:hAnsi="宋体"/>
          <w:color w:val="000000"/>
          <w:sz w:val="24"/>
        </w:rPr>
        <w:t>不得为谋取私利擅自与</w:t>
      </w:r>
      <w:r>
        <w:rPr>
          <w:rFonts w:hint="eastAsia" w:ascii="宋体" w:hAnsi="宋体"/>
          <w:color w:val="000000"/>
          <w:sz w:val="24"/>
        </w:rPr>
        <w:t>买方</w:t>
      </w:r>
      <w:r>
        <w:rPr>
          <w:rFonts w:ascii="宋体" w:hAnsi="宋体"/>
          <w:color w:val="000000"/>
          <w:sz w:val="24"/>
        </w:rPr>
        <w:t>工作人员就项目承包、项目费用、材料设备供应、项目量变动、项目验收、项目质量问题处理等进行私下商谈或者达成默契。</w:t>
      </w:r>
    </w:p>
    <w:p w14:paraId="4A75F0E9">
      <w:pPr>
        <w:spacing w:line="360" w:lineRule="auto"/>
        <w:ind w:firstLine="480" w:firstLineChars="200"/>
        <w:rPr>
          <w:rFonts w:ascii="宋体" w:hAnsi="宋体"/>
          <w:color w:val="000000"/>
          <w:sz w:val="24"/>
        </w:rPr>
      </w:pPr>
      <w:r>
        <w:rPr>
          <w:rFonts w:ascii="宋体" w:hAnsi="宋体"/>
          <w:color w:val="000000"/>
          <w:sz w:val="24"/>
        </w:rPr>
        <w:t>九、</w:t>
      </w:r>
      <w:r>
        <w:rPr>
          <w:rFonts w:hint="eastAsia" w:ascii="宋体" w:hAnsi="宋体"/>
          <w:color w:val="000000"/>
          <w:sz w:val="24"/>
        </w:rPr>
        <w:t>卖方</w:t>
      </w:r>
      <w:r>
        <w:rPr>
          <w:rFonts w:ascii="宋体" w:hAnsi="宋体"/>
          <w:color w:val="000000"/>
          <w:sz w:val="24"/>
        </w:rPr>
        <w:t>不得以洽谈业务、签订经济合同为借口，邀请</w:t>
      </w:r>
      <w:r>
        <w:rPr>
          <w:rFonts w:hint="eastAsia" w:ascii="宋体" w:hAnsi="宋体"/>
          <w:color w:val="000000"/>
          <w:sz w:val="24"/>
        </w:rPr>
        <w:t>买方</w:t>
      </w:r>
      <w:r>
        <w:rPr>
          <w:rFonts w:ascii="宋体" w:hAnsi="宋体"/>
          <w:color w:val="000000"/>
          <w:sz w:val="24"/>
        </w:rPr>
        <w:t>工作人员外出旅游和进入高档娱乐性场所。</w:t>
      </w:r>
    </w:p>
    <w:p w14:paraId="13CDD9D1">
      <w:pPr>
        <w:spacing w:line="360" w:lineRule="auto"/>
        <w:ind w:firstLine="480" w:firstLineChars="200"/>
        <w:rPr>
          <w:rFonts w:ascii="宋体" w:hAnsi="宋体"/>
          <w:color w:val="000000"/>
          <w:sz w:val="24"/>
        </w:rPr>
      </w:pPr>
      <w:r>
        <w:rPr>
          <w:rFonts w:ascii="宋体" w:hAnsi="宋体"/>
          <w:color w:val="000000"/>
          <w:sz w:val="24"/>
        </w:rPr>
        <w:t>十、</w:t>
      </w:r>
      <w:r>
        <w:rPr>
          <w:rFonts w:hint="eastAsia" w:ascii="宋体" w:hAnsi="宋体"/>
          <w:color w:val="000000"/>
          <w:sz w:val="24"/>
        </w:rPr>
        <w:t>卖方</w:t>
      </w:r>
      <w:r>
        <w:rPr>
          <w:rFonts w:ascii="宋体" w:hAnsi="宋体"/>
          <w:color w:val="000000"/>
          <w:sz w:val="24"/>
        </w:rPr>
        <w:t>不得为</w:t>
      </w:r>
      <w:r>
        <w:rPr>
          <w:rFonts w:hint="eastAsia" w:ascii="宋体" w:hAnsi="宋体"/>
          <w:color w:val="000000"/>
          <w:sz w:val="24"/>
        </w:rPr>
        <w:t>买方</w:t>
      </w:r>
      <w:r>
        <w:rPr>
          <w:rFonts w:ascii="宋体" w:hAnsi="宋体"/>
          <w:color w:val="000000"/>
          <w:sz w:val="24"/>
        </w:rPr>
        <w:t>和个人购置或者提供通讯工具、家电、高档办公用品等物品。</w:t>
      </w:r>
    </w:p>
    <w:p w14:paraId="7850BF2E">
      <w:pPr>
        <w:spacing w:line="360" w:lineRule="auto"/>
        <w:ind w:firstLine="480" w:firstLineChars="200"/>
        <w:rPr>
          <w:rFonts w:ascii="宋体" w:hAnsi="宋体"/>
          <w:color w:val="000000"/>
          <w:sz w:val="24"/>
        </w:rPr>
      </w:pPr>
      <w:r>
        <w:rPr>
          <w:rFonts w:ascii="宋体" w:hAnsi="宋体"/>
          <w:color w:val="000000"/>
          <w:sz w:val="24"/>
        </w:rPr>
        <w:t>十一、</w:t>
      </w:r>
      <w:r>
        <w:rPr>
          <w:rFonts w:hint="eastAsia" w:ascii="宋体" w:hAnsi="宋体"/>
          <w:color w:val="000000"/>
          <w:sz w:val="24"/>
        </w:rPr>
        <w:t>卖方</w:t>
      </w:r>
      <w:r>
        <w:rPr>
          <w:rFonts w:ascii="宋体" w:hAnsi="宋体"/>
          <w:color w:val="000000"/>
          <w:sz w:val="24"/>
        </w:rPr>
        <w:t>如发现</w:t>
      </w:r>
      <w:r>
        <w:rPr>
          <w:rFonts w:hint="eastAsia" w:ascii="宋体" w:hAnsi="宋体"/>
          <w:color w:val="000000"/>
          <w:sz w:val="24"/>
        </w:rPr>
        <w:t>买方</w:t>
      </w:r>
      <w:r>
        <w:rPr>
          <w:rFonts w:ascii="宋体" w:hAnsi="宋体"/>
          <w:color w:val="000000"/>
          <w:sz w:val="24"/>
        </w:rPr>
        <w:t>工作人员有违反上述协议者，应向</w:t>
      </w:r>
      <w:r>
        <w:rPr>
          <w:rFonts w:hint="eastAsia" w:ascii="宋体" w:hAnsi="宋体"/>
          <w:color w:val="000000"/>
          <w:sz w:val="24"/>
        </w:rPr>
        <w:t>买方</w:t>
      </w:r>
      <w:r>
        <w:rPr>
          <w:rFonts w:ascii="宋体" w:hAnsi="宋体"/>
          <w:color w:val="000000"/>
          <w:sz w:val="24"/>
        </w:rPr>
        <w:t>领导或者</w:t>
      </w:r>
      <w:r>
        <w:rPr>
          <w:rFonts w:hint="eastAsia" w:ascii="宋体" w:hAnsi="宋体"/>
          <w:color w:val="000000"/>
          <w:sz w:val="24"/>
        </w:rPr>
        <w:t>买方</w:t>
      </w:r>
      <w:r>
        <w:rPr>
          <w:rFonts w:ascii="宋体" w:hAnsi="宋体"/>
          <w:color w:val="000000"/>
          <w:sz w:val="24"/>
        </w:rPr>
        <w:t>上级单位举报。</w:t>
      </w:r>
      <w:r>
        <w:rPr>
          <w:rFonts w:hint="eastAsia" w:ascii="宋体" w:hAnsi="宋体"/>
          <w:color w:val="000000"/>
          <w:sz w:val="24"/>
        </w:rPr>
        <w:t>买方</w:t>
      </w:r>
      <w:r>
        <w:rPr>
          <w:rFonts w:ascii="宋体" w:hAnsi="宋体"/>
          <w:color w:val="000000"/>
          <w:sz w:val="24"/>
        </w:rPr>
        <w:t>不得找任何借口对</w:t>
      </w:r>
      <w:r>
        <w:rPr>
          <w:rFonts w:hint="eastAsia" w:ascii="宋体" w:hAnsi="宋体"/>
          <w:color w:val="000000"/>
          <w:sz w:val="24"/>
        </w:rPr>
        <w:t>卖方</w:t>
      </w:r>
      <w:r>
        <w:rPr>
          <w:rFonts w:ascii="宋体" w:hAnsi="宋体"/>
          <w:color w:val="000000"/>
          <w:sz w:val="24"/>
        </w:rPr>
        <w:t>进行报复。</w:t>
      </w:r>
      <w:r>
        <w:rPr>
          <w:rFonts w:hint="eastAsia" w:ascii="宋体" w:hAnsi="宋体"/>
          <w:color w:val="000000"/>
          <w:sz w:val="24"/>
        </w:rPr>
        <w:t>买方</w:t>
      </w:r>
      <w:r>
        <w:rPr>
          <w:rFonts w:ascii="宋体" w:hAnsi="宋体"/>
          <w:color w:val="000000"/>
          <w:sz w:val="24"/>
        </w:rPr>
        <w:t>对举报属实和严格遵守廉政协议的</w:t>
      </w:r>
      <w:r>
        <w:rPr>
          <w:rFonts w:hint="eastAsia" w:ascii="宋体" w:hAnsi="宋体"/>
          <w:color w:val="000000"/>
          <w:sz w:val="24"/>
        </w:rPr>
        <w:t>卖方</w:t>
      </w:r>
      <w:r>
        <w:rPr>
          <w:rFonts w:ascii="宋体" w:hAnsi="宋体"/>
          <w:color w:val="000000"/>
          <w:sz w:val="24"/>
        </w:rPr>
        <w:t>，在同等条件下给予承接后续项目的优先邀请权。</w:t>
      </w:r>
    </w:p>
    <w:p w14:paraId="5589CD39">
      <w:pPr>
        <w:spacing w:line="360" w:lineRule="auto"/>
        <w:ind w:firstLine="480" w:firstLineChars="200"/>
        <w:rPr>
          <w:rFonts w:ascii="宋体" w:hAnsi="宋体"/>
          <w:color w:val="000000"/>
          <w:sz w:val="24"/>
        </w:rPr>
      </w:pPr>
      <w:r>
        <w:rPr>
          <w:rFonts w:ascii="宋体" w:hAnsi="宋体"/>
          <w:color w:val="000000"/>
          <w:sz w:val="24"/>
        </w:rPr>
        <w:t>十二、</w:t>
      </w:r>
      <w:r>
        <w:rPr>
          <w:rFonts w:hint="eastAsia" w:ascii="宋体" w:hAnsi="宋体"/>
          <w:color w:val="000000"/>
          <w:sz w:val="24"/>
        </w:rPr>
        <w:t>买方</w:t>
      </w:r>
      <w:r>
        <w:rPr>
          <w:rFonts w:ascii="宋体" w:hAnsi="宋体"/>
          <w:color w:val="000000"/>
          <w:sz w:val="24"/>
        </w:rPr>
        <w:t>发现</w:t>
      </w:r>
      <w:r>
        <w:rPr>
          <w:rFonts w:hint="eastAsia" w:ascii="宋体" w:hAnsi="宋体"/>
          <w:color w:val="000000"/>
          <w:sz w:val="24"/>
        </w:rPr>
        <w:t>卖方</w:t>
      </w:r>
      <w:r>
        <w:rPr>
          <w:rFonts w:ascii="宋体" w:hAnsi="宋体"/>
          <w:color w:val="000000"/>
          <w:sz w:val="24"/>
        </w:rPr>
        <w:t>有违反本协议或者采用不正当的手段行贿</w:t>
      </w:r>
      <w:r>
        <w:rPr>
          <w:rFonts w:hint="eastAsia" w:ascii="宋体" w:hAnsi="宋体"/>
          <w:color w:val="000000"/>
          <w:sz w:val="24"/>
        </w:rPr>
        <w:t>买方</w:t>
      </w:r>
      <w:r>
        <w:rPr>
          <w:rFonts w:ascii="宋体" w:hAnsi="宋体"/>
          <w:color w:val="000000"/>
          <w:sz w:val="24"/>
        </w:rPr>
        <w:t>工作人员，</w:t>
      </w:r>
      <w:r>
        <w:rPr>
          <w:rFonts w:hint="eastAsia" w:ascii="宋体" w:hAnsi="宋体"/>
          <w:color w:val="000000"/>
          <w:sz w:val="24"/>
        </w:rPr>
        <w:t>买方</w:t>
      </w:r>
      <w:r>
        <w:rPr>
          <w:rFonts w:ascii="宋体" w:hAnsi="宋体"/>
          <w:color w:val="000000"/>
          <w:sz w:val="24"/>
        </w:rPr>
        <w:t>根据具体情节和造成的后果追究</w:t>
      </w:r>
      <w:r>
        <w:rPr>
          <w:rFonts w:hint="eastAsia" w:ascii="宋体" w:hAnsi="宋体"/>
          <w:color w:val="000000"/>
          <w:sz w:val="24"/>
        </w:rPr>
        <w:t>卖方1</w:t>
      </w:r>
      <w:r>
        <w:rPr>
          <w:rFonts w:ascii="宋体" w:hAnsi="宋体"/>
          <w:color w:val="000000"/>
          <w:sz w:val="24"/>
        </w:rPr>
        <w:t>万元～</w:t>
      </w:r>
      <w:r>
        <w:rPr>
          <w:rFonts w:hint="eastAsia" w:ascii="宋体" w:hAnsi="宋体"/>
          <w:color w:val="000000"/>
          <w:sz w:val="24"/>
        </w:rPr>
        <w:t>3</w:t>
      </w:r>
      <w:r>
        <w:rPr>
          <w:rFonts w:ascii="宋体" w:hAnsi="宋体"/>
          <w:color w:val="000000"/>
          <w:sz w:val="24"/>
        </w:rPr>
        <w:t>万元的违约金，由此给</w:t>
      </w:r>
      <w:r>
        <w:rPr>
          <w:rFonts w:hint="eastAsia" w:ascii="宋体" w:hAnsi="宋体"/>
          <w:color w:val="000000"/>
          <w:sz w:val="24"/>
        </w:rPr>
        <w:t>买方</w:t>
      </w:r>
      <w:r>
        <w:rPr>
          <w:rFonts w:ascii="宋体" w:hAnsi="宋体"/>
          <w:color w:val="000000"/>
          <w:sz w:val="24"/>
        </w:rPr>
        <w:t>造成的损失均由</w:t>
      </w:r>
      <w:r>
        <w:rPr>
          <w:rFonts w:hint="eastAsia" w:ascii="宋体" w:hAnsi="宋体"/>
          <w:color w:val="000000"/>
          <w:sz w:val="24"/>
        </w:rPr>
        <w:t>卖方</w:t>
      </w:r>
      <w:r>
        <w:rPr>
          <w:rFonts w:ascii="宋体" w:hAnsi="宋体"/>
          <w:color w:val="000000"/>
          <w:sz w:val="24"/>
        </w:rPr>
        <w:t>承担，</w:t>
      </w:r>
      <w:r>
        <w:rPr>
          <w:rFonts w:hint="eastAsia" w:ascii="宋体" w:hAnsi="宋体"/>
          <w:color w:val="000000"/>
          <w:sz w:val="24"/>
        </w:rPr>
        <w:t>卖方</w:t>
      </w:r>
      <w:r>
        <w:rPr>
          <w:rFonts w:ascii="宋体" w:hAnsi="宋体"/>
          <w:color w:val="000000"/>
          <w:sz w:val="24"/>
        </w:rPr>
        <w:t>用不正当手段获取的非法所得由</w:t>
      </w:r>
      <w:r>
        <w:rPr>
          <w:rFonts w:hint="eastAsia" w:ascii="宋体" w:hAnsi="宋体"/>
          <w:color w:val="000000"/>
          <w:sz w:val="24"/>
        </w:rPr>
        <w:t>买方</w:t>
      </w:r>
      <w:r>
        <w:rPr>
          <w:rFonts w:ascii="宋体" w:hAnsi="宋体"/>
          <w:color w:val="000000"/>
          <w:sz w:val="24"/>
        </w:rPr>
        <w:t>单位予以追缴。</w:t>
      </w:r>
    </w:p>
    <w:p w14:paraId="0779639B">
      <w:pPr>
        <w:spacing w:line="360" w:lineRule="auto"/>
        <w:ind w:firstLine="480" w:firstLineChars="200"/>
        <w:rPr>
          <w:rFonts w:ascii="宋体" w:hAnsi="宋体"/>
          <w:color w:val="000000"/>
          <w:sz w:val="24"/>
        </w:rPr>
      </w:pPr>
      <w:r>
        <w:rPr>
          <w:rFonts w:ascii="宋体" w:hAnsi="宋体"/>
          <w:color w:val="000000"/>
          <w:sz w:val="24"/>
        </w:rPr>
        <w:t>十三、严格执行中纪委下发的中纪发【2007】7号《中共中央纪委关于严格禁止利用职务上的便利谋取不正当利益的若干规定》。</w:t>
      </w:r>
    </w:p>
    <w:p w14:paraId="05C5A0B4">
      <w:pPr>
        <w:spacing w:line="360" w:lineRule="auto"/>
        <w:ind w:firstLine="480" w:firstLineChars="200"/>
        <w:rPr>
          <w:rFonts w:ascii="宋体" w:hAnsi="宋体"/>
          <w:color w:val="000000"/>
          <w:sz w:val="24"/>
        </w:rPr>
      </w:pPr>
      <w:r>
        <w:rPr>
          <w:rFonts w:ascii="宋体" w:hAnsi="宋体"/>
          <w:color w:val="000000"/>
          <w:sz w:val="24"/>
        </w:rPr>
        <w:t>十四、本廉政协议作为合同的附件，与合同具有同等法律效力，经协议双方签署后立即生效。</w:t>
      </w:r>
    </w:p>
    <w:p w14:paraId="57E17581">
      <w:pPr>
        <w:spacing w:line="360" w:lineRule="auto"/>
        <w:ind w:firstLine="480" w:firstLineChars="200"/>
        <w:rPr>
          <w:rFonts w:ascii="宋体" w:hAnsi="宋体"/>
          <w:color w:val="000000"/>
          <w:sz w:val="24"/>
        </w:rPr>
      </w:pPr>
    </w:p>
    <w:p w14:paraId="0CA68B43">
      <w:pPr>
        <w:spacing w:line="360" w:lineRule="auto"/>
        <w:ind w:firstLine="480" w:firstLineChars="200"/>
        <w:rPr>
          <w:rFonts w:ascii="宋体" w:hAnsi="宋体"/>
          <w:color w:val="000000"/>
          <w:sz w:val="24"/>
        </w:rPr>
      </w:pPr>
    </w:p>
    <w:p w14:paraId="125AF340">
      <w:pPr>
        <w:spacing w:line="360" w:lineRule="auto"/>
        <w:ind w:firstLine="480" w:firstLineChars="200"/>
        <w:rPr>
          <w:rFonts w:ascii="宋体" w:hAnsi="宋体"/>
          <w:color w:val="000000"/>
          <w:sz w:val="24"/>
        </w:rPr>
      </w:pPr>
      <w:r>
        <w:rPr>
          <w:rFonts w:ascii="宋体" w:hAnsi="宋体"/>
          <w:color w:val="000000"/>
          <w:sz w:val="24"/>
        </w:rPr>
        <w:t>买方（公章）：</w:t>
      </w:r>
      <w:r>
        <w:rPr>
          <w:rFonts w:hint="eastAsia" w:ascii="宋体" w:hAnsi="宋体"/>
          <w:color w:val="000000"/>
          <w:sz w:val="24"/>
        </w:rPr>
        <w:t xml:space="preserve">                     </w:t>
      </w:r>
      <w:r>
        <w:rPr>
          <w:rFonts w:ascii="宋体" w:hAnsi="宋体"/>
          <w:color w:val="000000"/>
          <w:sz w:val="24"/>
        </w:rPr>
        <w:t xml:space="preserve"> 卖方（公章）：</w:t>
      </w:r>
    </w:p>
    <w:p w14:paraId="52BAB4ED">
      <w:pPr>
        <w:spacing w:line="360" w:lineRule="auto"/>
        <w:ind w:firstLine="480" w:firstLineChars="200"/>
        <w:rPr>
          <w:rFonts w:ascii="宋体" w:hAnsi="宋体"/>
          <w:color w:val="000000"/>
          <w:sz w:val="24"/>
        </w:rPr>
      </w:pPr>
      <w:r>
        <w:rPr>
          <w:rFonts w:ascii="宋体" w:hAnsi="宋体"/>
          <w:color w:val="000000"/>
          <w:sz w:val="24"/>
        </w:rPr>
        <w:t>法定代表人：</w:t>
      </w:r>
      <w:r>
        <w:rPr>
          <w:rFonts w:hint="eastAsia" w:ascii="宋体" w:hAnsi="宋体"/>
          <w:color w:val="000000"/>
          <w:sz w:val="24"/>
        </w:rPr>
        <w:t xml:space="preserve">                        </w:t>
      </w:r>
      <w:r>
        <w:rPr>
          <w:rFonts w:ascii="宋体" w:hAnsi="宋体"/>
          <w:color w:val="000000"/>
          <w:sz w:val="24"/>
        </w:rPr>
        <w:t>法定代表人：</w:t>
      </w:r>
    </w:p>
    <w:p w14:paraId="716BDD78">
      <w:pPr>
        <w:spacing w:line="360" w:lineRule="auto"/>
        <w:ind w:firstLine="480" w:firstLineChars="200"/>
        <w:rPr>
          <w:rFonts w:ascii="宋体" w:hAnsi="宋体"/>
          <w:color w:val="000000"/>
          <w:sz w:val="24"/>
        </w:rPr>
      </w:pPr>
      <w:r>
        <w:rPr>
          <w:rFonts w:ascii="宋体" w:hAnsi="宋体"/>
          <w:color w:val="000000"/>
          <w:sz w:val="24"/>
        </w:rPr>
        <w:t>或委托代表人：</w:t>
      </w:r>
      <w:r>
        <w:rPr>
          <w:rFonts w:hint="eastAsia" w:ascii="宋体" w:hAnsi="宋体"/>
          <w:color w:val="000000"/>
          <w:sz w:val="24"/>
        </w:rPr>
        <w:t xml:space="preserve">                      </w:t>
      </w:r>
      <w:r>
        <w:rPr>
          <w:rFonts w:ascii="宋体" w:hAnsi="宋体"/>
          <w:color w:val="000000"/>
          <w:sz w:val="24"/>
        </w:rPr>
        <w:t>或委托代表人：</w:t>
      </w:r>
    </w:p>
    <w:p w14:paraId="0139D18D">
      <w:pPr>
        <w:spacing w:line="360" w:lineRule="auto"/>
        <w:ind w:firstLine="480" w:firstLineChars="200"/>
        <w:rPr>
          <w:rFonts w:ascii="宋体" w:hAnsi="宋体"/>
          <w:color w:val="000000"/>
          <w:sz w:val="24"/>
        </w:rPr>
      </w:pPr>
      <w:r>
        <w:rPr>
          <w:rFonts w:hint="default" w:ascii="宋体" w:hAnsi="宋体"/>
          <w:color w:val="000000"/>
          <w:sz w:val="24"/>
        </w:rPr>
        <w:t xml:space="preserve">    </w:t>
      </w:r>
      <w:r>
        <w:rPr>
          <w:rFonts w:ascii="宋体" w:hAnsi="宋体"/>
          <w:color w:val="000000"/>
          <w:sz w:val="24"/>
        </w:rPr>
        <w:t>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rPr>
        <w:t xml:space="preserve">   </w:t>
      </w:r>
      <w:r>
        <w:rPr>
          <w:rFonts w:ascii="宋体" w:hAnsi="宋体"/>
          <w:color w:val="000000"/>
          <w:sz w:val="24"/>
        </w:rPr>
        <w:t>日</w:t>
      </w:r>
      <w:r>
        <w:rPr>
          <w:rFonts w:hint="eastAsia" w:ascii="宋体" w:hAnsi="宋体"/>
          <w:color w:val="000000"/>
          <w:sz w:val="24"/>
        </w:rPr>
        <w:t xml:space="preserve">                    </w:t>
      </w:r>
      <w:r>
        <w:rPr>
          <w:rFonts w:hint="default" w:ascii="宋体" w:hAnsi="宋体"/>
          <w:color w:val="000000"/>
          <w:sz w:val="24"/>
        </w:rPr>
        <w:t xml:space="preserve">     </w:t>
      </w:r>
      <w:r>
        <w:rPr>
          <w:rFonts w:ascii="宋体" w:hAnsi="宋体"/>
          <w:color w:val="000000"/>
          <w:sz w:val="24"/>
        </w:rPr>
        <w:t>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rPr>
        <w:t xml:space="preserve">   </w:t>
      </w:r>
      <w:r>
        <w:rPr>
          <w:rFonts w:ascii="宋体" w:hAnsi="宋体"/>
          <w:color w:val="000000"/>
          <w:sz w:val="24"/>
        </w:rPr>
        <w:t>日</w:t>
      </w:r>
    </w:p>
    <w:p w14:paraId="33ECCDFE">
      <w:pPr>
        <w:adjustRightInd w:val="0"/>
        <w:snapToGrid w:val="0"/>
        <w:spacing w:line="360" w:lineRule="auto"/>
        <w:rPr>
          <w:rFonts w:hint="eastAsia" w:ascii="宋体" w:hAnsi="宋体"/>
          <w:sz w:val="24"/>
          <w:szCs w:val="24"/>
        </w:rPr>
      </w:pPr>
    </w:p>
    <w:p w14:paraId="16D0E55F">
      <w:pPr>
        <w:pStyle w:val="3"/>
        <w:numPr>
          <w:ilvl w:val="0"/>
          <w:numId w:val="0"/>
        </w:numPr>
        <w:tabs>
          <w:tab w:val="left" w:pos="706"/>
        </w:tabs>
        <w:jc w:val="center"/>
        <w:rPr>
          <w:rStyle w:val="90"/>
        </w:rPr>
      </w:pPr>
      <w:r>
        <w:rPr>
          <w:rFonts w:ascii="宋体" w:hAnsi="宋体" w:eastAsia="宋体"/>
          <w:sz w:val="24"/>
          <w:szCs w:val="24"/>
        </w:rPr>
        <w:br w:type="page"/>
      </w:r>
      <w:bookmarkStart w:id="313" w:name="_Toc4585"/>
      <w:bookmarkStart w:id="314" w:name="_Toc170"/>
      <w:bookmarkStart w:id="315" w:name="_Toc464483859"/>
      <w:bookmarkStart w:id="316" w:name="_Toc26367"/>
      <w:bookmarkStart w:id="317" w:name="_Toc24907"/>
      <w:bookmarkStart w:id="318" w:name="_Toc4854"/>
      <w:r>
        <w:rPr>
          <w:rStyle w:val="90"/>
          <w:rFonts w:hint="eastAsia" w:ascii="黑体" w:hAnsi="黑体" w:eastAsia="黑体" w:cs="黑体"/>
          <w:b w:val="0"/>
          <w:bCs w:val="0"/>
        </w:rPr>
        <w:t>三、合同特殊条款</w:t>
      </w:r>
      <w:bookmarkEnd w:id="313"/>
      <w:bookmarkEnd w:id="314"/>
      <w:bookmarkEnd w:id="315"/>
      <w:bookmarkEnd w:id="316"/>
      <w:bookmarkEnd w:id="317"/>
      <w:bookmarkEnd w:id="318"/>
    </w:p>
    <w:p w14:paraId="75AFAA98">
      <w:pPr>
        <w:spacing w:line="360" w:lineRule="auto"/>
        <w:ind w:firstLine="482" w:firstLineChars="200"/>
        <w:rPr>
          <w:rFonts w:ascii="宋体" w:hAnsi="宋体"/>
          <w:b/>
          <w:sz w:val="24"/>
        </w:rPr>
      </w:pPr>
      <w:bookmarkStart w:id="319" w:name="_Toc413227949"/>
      <w:r>
        <w:rPr>
          <w:rFonts w:hint="eastAsia" w:ascii="宋体" w:hAnsi="宋体"/>
          <w:b/>
          <w:sz w:val="24"/>
        </w:rPr>
        <w:t>12</w:t>
      </w:r>
      <w:r>
        <w:rPr>
          <w:rFonts w:ascii="宋体" w:hAnsi="宋体"/>
          <w:b/>
          <w:sz w:val="24"/>
        </w:rPr>
        <w:t xml:space="preserve">. </w:t>
      </w:r>
      <w:r>
        <w:rPr>
          <w:rFonts w:hint="eastAsia" w:ascii="宋体" w:hAnsi="宋体"/>
          <w:b/>
          <w:sz w:val="24"/>
        </w:rPr>
        <w:t>履约担保</w:t>
      </w:r>
      <w:bookmarkEnd w:id="319"/>
    </w:p>
    <w:p w14:paraId="2701C96A">
      <w:pPr>
        <w:spacing w:line="360" w:lineRule="auto"/>
        <w:ind w:firstLine="480" w:firstLineChars="200"/>
        <w:rPr>
          <w:rFonts w:hint="eastAsia" w:ascii="宋体" w:hAnsi="宋体"/>
          <w:sz w:val="24"/>
        </w:rPr>
      </w:pPr>
      <w:r>
        <w:rPr>
          <w:rFonts w:hint="eastAsia" w:ascii="宋体" w:hAnsi="宋体"/>
          <w:sz w:val="24"/>
        </w:rPr>
        <w:t>本项目卖方须向买方提交履约担保。提供方式如下：</w:t>
      </w:r>
    </w:p>
    <w:p w14:paraId="530828B4">
      <w:pPr>
        <w:spacing w:line="360" w:lineRule="auto"/>
        <w:ind w:firstLine="480" w:firstLineChars="200"/>
        <w:rPr>
          <w:rFonts w:hint="eastAsia" w:ascii="宋体" w:hAnsi="宋体"/>
          <w:sz w:val="24"/>
        </w:rPr>
      </w:pPr>
      <w:r>
        <w:rPr>
          <w:rFonts w:hint="eastAsia" w:ascii="宋体" w:hAnsi="宋体"/>
          <w:sz w:val="24"/>
        </w:rPr>
        <w:t>（1）卖方在接到买方成交通知书后并在签定合同前向买方提供履约担保，履约担保金额为合同价的</w:t>
      </w:r>
      <w:r>
        <w:rPr>
          <w:rFonts w:ascii="宋体" w:hAnsi="宋体"/>
          <w:sz w:val="24"/>
          <w:u w:val="single"/>
        </w:rPr>
        <w:t xml:space="preserve">   </w:t>
      </w:r>
      <w:r>
        <w:rPr>
          <w:rFonts w:hint="eastAsia" w:ascii="宋体" w:hAnsi="宋体"/>
          <w:sz w:val="24"/>
        </w:rPr>
        <w:t>%，以银行转账形式提交。</w:t>
      </w:r>
    </w:p>
    <w:p w14:paraId="5EDE8FE0">
      <w:pPr>
        <w:spacing w:line="360" w:lineRule="auto"/>
        <w:ind w:firstLine="480" w:firstLineChars="200"/>
        <w:rPr>
          <w:rFonts w:hint="eastAsia" w:ascii="宋体" w:hAnsi="宋体"/>
          <w:sz w:val="24"/>
        </w:rPr>
      </w:pPr>
      <w:r>
        <w:rPr>
          <w:rFonts w:hint="eastAsia" w:ascii="宋体" w:hAnsi="宋体"/>
          <w:sz w:val="24"/>
        </w:rPr>
        <w:t>（2）履约担保用于补偿买方因卖方不能完成其合同义务而蒙受的损失。</w:t>
      </w:r>
    </w:p>
    <w:p w14:paraId="108133FD">
      <w:pPr>
        <w:spacing w:line="360" w:lineRule="auto"/>
        <w:ind w:firstLine="480" w:firstLineChars="200"/>
        <w:rPr>
          <w:rFonts w:hint="eastAsia" w:ascii="宋体" w:hAnsi="宋体"/>
          <w:sz w:val="24"/>
        </w:rPr>
      </w:pPr>
      <w:r>
        <w:rPr>
          <w:rFonts w:hint="eastAsia" w:ascii="宋体" w:hAnsi="宋体"/>
          <w:sz w:val="24"/>
        </w:rPr>
        <w:t>（3）履约保证金的有效期延展至本项目验收合格且经买方确认后30天。当合同按相关条款延期时，卖方应对履约担保作相应延期。</w:t>
      </w:r>
    </w:p>
    <w:p w14:paraId="3C77F81A">
      <w:pPr>
        <w:adjustRightInd w:val="0"/>
        <w:snapToGrid w:val="0"/>
        <w:spacing w:line="360" w:lineRule="auto"/>
        <w:ind w:firstLine="480" w:firstLineChars="200"/>
        <w:rPr>
          <w:rFonts w:ascii="宋体" w:hAnsi="宋体"/>
          <w:sz w:val="24"/>
        </w:rPr>
      </w:pPr>
      <w:r>
        <w:rPr>
          <w:rFonts w:hint="eastAsia" w:ascii="宋体" w:hAnsi="宋体"/>
          <w:sz w:val="24"/>
        </w:rPr>
        <w:t>（4）本项目验收合格并经买方确认后</w:t>
      </w:r>
      <w:r>
        <w:rPr>
          <w:rFonts w:ascii="宋体" w:hAnsi="宋体"/>
          <w:sz w:val="24"/>
        </w:rPr>
        <w:t xml:space="preserve"> </w:t>
      </w:r>
      <w:r>
        <w:rPr>
          <w:rFonts w:ascii="宋体" w:hAnsi="宋体"/>
          <w:sz w:val="24"/>
          <w:u w:val="single"/>
        </w:rPr>
        <w:t xml:space="preserve">    </w:t>
      </w:r>
      <w:r>
        <w:rPr>
          <w:rFonts w:hint="eastAsia" w:ascii="宋体" w:hAnsi="宋体"/>
          <w:sz w:val="24"/>
        </w:rPr>
        <w:t>天内，买方将把履约担保无息退还卖方。如在退还履约担保时发生银行费用，则在履约担保金额内扣减银行费用后将履约担保余额退回。</w:t>
      </w:r>
    </w:p>
    <w:p w14:paraId="2BD38D30">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本项目卖方不须向买方提交履约担保。</w:t>
      </w:r>
    </w:p>
    <w:p w14:paraId="1B575E40">
      <w:pPr>
        <w:adjustRightInd w:val="0"/>
        <w:snapToGrid w:val="0"/>
        <w:spacing w:line="360" w:lineRule="auto"/>
        <w:ind w:firstLine="482" w:firstLineChars="200"/>
        <w:rPr>
          <w:rFonts w:ascii="宋体" w:hAnsi="宋体"/>
          <w:b/>
          <w:sz w:val="24"/>
        </w:rPr>
      </w:pPr>
      <w:r>
        <w:rPr>
          <w:rFonts w:hint="eastAsia" w:ascii="宋体" w:hAnsi="宋体"/>
          <w:b/>
          <w:sz w:val="24"/>
        </w:rPr>
        <w:t>13</w:t>
      </w:r>
      <w:r>
        <w:rPr>
          <w:rFonts w:ascii="宋体" w:hAnsi="宋体"/>
          <w:b/>
          <w:sz w:val="24"/>
        </w:rPr>
        <w:t>.</w:t>
      </w:r>
      <w:r>
        <w:rPr>
          <w:rFonts w:hint="eastAsia" w:ascii="宋体" w:hAnsi="宋体"/>
          <w:b/>
          <w:sz w:val="24"/>
        </w:rPr>
        <w:t>价格</w:t>
      </w:r>
    </w:p>
    <w:p w14:paraId="37BF5499">
      <w:pPr>
        <w:adjustRightInd w:val="0"/>
        <w:snapToGrid w:val="0"/>
        <w:spacing w:line="360" w:lineRule="auto"/>
        <w:ind w:firstLine="480" w:firstLineChars="200"/>
        <w:rPr>
          <w:rFonts w:ascii="宋体" w:hAnsi="宋体"/>
          <w:sz w:val="24"/>
          <w:u w:val="single"/>
        </w:rPr>
      </w:pPr>
      <w:r>
        <w:rPr>
          <w:rFonts w:hint="eastAsia" w:ascii="宋体" w:hAnsi="宋体"/>
          <w:sz w:val="24"/>
        </w:rPr>
        <w:t>13.1本合同价格类</w:t>
      </w:r>
      <w:r>
        <w:rPr>
          <w:rFonts w:hint="eastAsia" w:ascii="宋体" w:hAnsi="宋体"/>
          <w:color w:val="auto"/>
          <w:sz w:val="24"/>
        </w:rPr>
        <w:t>型为</w:t>
      </w:r>
      <w:r>
        <w:rPr>
          <w:rFonts w:hint="eastAsia" w:ascii="宋体" w:hAnsi="宋体"/>
          <w:color w:val="auto"/>
          <w:sz w:val="24"/>
          <w:u w:val="single"/>
        </w:rPr>
        <w:t>总价合同/单价合同</w:t>
      </w:r>
      <w:r>
        <w:rPr>
          <w:rFonts w:hint="eastAsia" w:ascii="宋体" w:hAnsi="宋体"/>
          <w:color w:val="auto"/>
          <w:sz w:val="24"/>
        </w:rPr>
        <w:t>。</w:t>
      </w:r>
      <w:r>
        <w:rPr>
          <w:rFonts w:hint="eastAsia" w:ascii="宋体" w:hAnsi="宋体"/>
          <w:sz w:val="24"/>
        </w:rPr>
        <w:t>包括完成本合同范围内的所有工作及服务以及与本合同相关的一切费用。在合同执行期间除合同规定的合同变更外，合同价格不得以任何理由上浮、上调、上涨。</w:t>
      </w:r>
    </w:p>
    <w:p w14:paraId="7BD9753F">
      <w:pPr>
        <w:adjustRightInd w:val="0"/>
        <w:snapToGrid w:val="0"/>
        <w:spacing w:line="360" w:lineRule="auto"/>
        <w:ind w:firstLine="480" w:firstLineChars="200"/>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2合同</w:t>
      </w:r>
      <w:r>
        <w:rPr>
          <w:rFonts w:ascii="宋体" w:hAnsi="宋体"/>
          <w:sz w:val="24"/>
        </w:rPr>
        <w:t>总价</w:t>
      </w:r>
      <w:r>
        <w:rPr>
          <w:rFonts w:hint="eastAsia" w:ascii="宋体" w:hAnsi="宋体"/>
          <w:sz w:val="24"/>
          <w:u w:val="single"/>
        </w:rPr>
        <w:t xml:space="preserve"> 即签约价 详见合同协议</w:t>
      </w:r>
      <w:r>
        <w:rPr>
          <w:rFonts w:hint="eastAsia" w:ascii="宋体" w:hAnsi="宋体"/>
          <w:sz w:val="24"/>
        </w:rPr>
        <w:t>。</w:t>
      </w:r>
    </w:p>
    <w:p w14:paraId="08F475EE">
      <w:pPr>
        <w:spacing w:line="360" w:lineRule="auto"/>
        <w:ind w:firstLine="482" w:firstLineChars="200"/>
        <w:rPr>
          <w:rFonts w:ascii="宋体" w:hAnsi="宋体"/>
          <w:b/>
          <w:sz w:val="24"/>
        </w:rPr>
      </w:pPr>
      <w:r>
        <w:rPr>
          <w:rFonts w:hint="eastAsia" w:ascii="宋体" w:hAnsi="宋体"/>
          <w:b/>
          <w:sz w:val="24"/>
        </w:rPr>
        <w:t>14</w:t>
      </w:r>
      <w:r>
        <w:rPr>
          <w:rFonts w:ascii="宋体" w:hAnsi="宋体"/>
          <w:b/>
          <w:sz w:val="24"/>
        </w:rPr>
        <w:t>.</w:t>
      </w:r>
      <w:r>
        <w:rPr>
          <w:rFonts w:hint="eastAsia" w:ascii="宋体" w:hAnsi="宋体"/>
          <w:b/>
          <w:sz w:val="24"/>
        </w:rPr>
        <w:t>付款</w:t>
      </w:r>
    </w:p>
    <w:p w14:paraId="70E8428B">
      <w:pPr>
        <w:spacing w:line="360" w:lineRule="auto"/>
        <w:ind w:firstLine="480" w:firstLineChars="200"/>
        <w:rPr>
          <w:rFonts w:ascii="宋体" w:hAnsi="宋体"/>
          <w:sz w:val="24"/>
        </w:rPr>
      </w:pPr>
      <w:r>
        <w:rPr>
          <w:rFonts w:hint="eastAsia" w:ascii="宋体" w:hAnsi="宋体"/>
          <w:sz w:val="24"/>
        </w:rPr>
        <w:t>14</w:t>
      </w:r>
      <w:r>
        <w:rPr>
          <w:rFonts w:ascii="宋体" w:hAnsi="宋体"/>
          <w:sz w:val="24"/>
        </w:rPr>
        <w:t>.2</w:t>
      </w:r>
      <w:r>
        <w:rPr>
          <w:rFonts w:hint="eastAsia" w:ascii="宋体" w:hAnsi="宋体"/>
          <w:sz w:val="24"/>
        </w:rPr>
        <w:t>合同价款的支付：</w:t>
      </w:r>
    </w:p>
    <w:p w14:paraId="2C711900">
      <w:pPr>
        <w:spacing w:line="360" w:lineRule="auto"/>
        <w:ind w:firstLine="480" w:firstLineChars="200"/>
        <w:rPr>
          <w:rFonts w:ascii="宋体" w:hAnsi="宋体"/>
          <w:sz w:val="24"/>
          <w:u w:val="single"/>
        </w:rPr>
      </w:pPr>
      <w:r>
        <w:rPr>
          <w:rFonts w:hint="eastAsia" w:ascii="宋体" w:hAnsi="宋体"/>
          <w:sz w:val="24"/>
        </w:rPr>
        <w:t>（1）</w:t>
      </w:r>
      <w:r>
        <w:rPr>
          <w:rFonts w:hint="eastAsia" w:ascii="宋体" w:hAnsi="宋体"/>
          <w:sz w:val="24"/>
          <w:u w:val="single"/>
        </w:rPr>
        <w:t xml:space="preserve">                         </w:t>
      </w:r>
      <w:r>
        <w:rPr>
          <w:rFonts w:hint="eastAsia" w:ascii="宋体" w:hAnsi="宋体"/>
          <w:sz w:val="24"/>
        </w:rPr>
        <w:t>；</w:t>
      </w:r>
    </w:p>
    <w:p w14:paraId="021D7881">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rPr>
        <w:t>；</w:t>
      </w:r>
    </w:p>
    <w:p w14:paraId="1572ECEC">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u w:val="single"/>
        </w:rPr>
        <w:t xml:space="preserve">                         </w:t>
      </w:r>
      <w:r>
        <w:rPr>
          <w:rFonts w:hint="eastAsia" w:ascii="宋体" w:hAnsi="宋体"/>
          <w:sz w:val="24"/>
        </w:rPr>
        <w:t>。</w:t>
      </w:r>
    </w:p>
    <w:p w14:paraId="0217C4AA">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7</w:t>
      </w:r>
      <w:r>
        <w:rPr>
          <w:rFonts w:hint="eastAsia" w:ascii="宋体" w:hAnsi="宋体"/>
          <w:b/>
          <w:sz w:val="24"/>
        </w:rPr>
        <w:t>. 交货时间、地点及方式</w:t>
      </w:r>
    </w:p>
    <w:p w14:paraId="1A1CF9BB">
      <w:pPr>
        <w:spacing w:line="360" w:lineRule="auto"/>
        <w:ind w:firstLine="480" w:firstLineChars="200"/>
        <w:rPr>
          <w:rFonts w:hint="eastAsia" w:ascii="宋体" w:hAnsi="宋体"/>
          <w:sz w:val="24"/>
        </w:rPr>
      </w:pPr>
      <w:r>
        <w:rPr>
          <w:rFonts w:hint="eastAsia" w:ascii="宋体" w:hAnsi="宋体"/>
          <w:sz w:val="24"/>
        </w:rPr>
        <w:t>（1）交货时间：</w:t>
      </w:r>
    </w:p>
    <w:p w14:paraId="434DEFEA">
      <w:pPr>
        <w:spacing w:line="360" w:lineRule="auto"/>
        <w:ind w:firstLine="480" w:firstLineChars="200"/>
        <w:rPr>
          <w:rFonts w:ascii="宋体" w:hAnsi="宋体"/>
          <w:sz w:val="24"/>
          <w:u w:val="single"/>
        </w:rPr>
      </w:pPr>
      <w:r>
        <w:rPr>
          <w:rFonts w:hint="eastAsia" w:ascii="宋体" w:hAnsi="宋体"/>
          <w:sz w:val="24"/>
        </w:rPr>
        <w:t>1）</w:t>
      </w:r>
      <w:r>
        <w:rPr>
          <w:rFonts w:hint="eastAsia" w:ascii="宋体" w:hAnsi="宋体"/>
          <w:sz w:val="24"/>
          <w:u w:val="single"/>
        </w:rPr>
        <w:t xml:space="preserve">                         </w:t>
      </w:r>
      <w:r>
        <w:rPr>
          <w:rFonts w:hint="eastAsia" w:ascii="宋体" w:hAnsi="宋体"/>
          <w:sz w:val="24"/>
        </w:rPr>
        <w:t>；</w:t>
      </w:r>
    </w:p>
    <w:p w14:paraId="42AAF044">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rPr>
        <w:t>；</w:t>
      </w:r>
    </w:p>
    <w:p w14:paraId="376AA5DC">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u w:val="single"/>
        </w:rPr>
        <w:t xml:space="preserve">                         </w:t>
      </w:r>
      <w:r>
        <w:rPr>
          <w:rFonts w:hint="eastAsia" w:ascii="宋体" w:hAnsi="宋体"/>
          <w:sz w:val="24"/>
        </w:rPr>
        <w:t>。</w:t>
      </w:r>
    </w:p>
    <w:p w14:paraId="266B3E48">
      <w:pPr>
        <w:spacing w:line="360" w:lineRule="auto"/>
        <w:ind w:firstLine="480" w:firstLineChars="200"/>
        <w:rPr>
          <w:rFonts w:hint="eastAsia" w:ascii="宋体" w:hAnsi="宋体"/>
          <w:sz w:val="24"/>
        </w:rPr>
      </w:pPr>
      <w:r>
        <w:rPr>
          <w:rFonts w:hint="eastAsia" w:ascii="宋体" w:hAnsi="宋体"/>
          <w:sz w:val="24"/>
        </w:rPr>
        <w:t>（2）交货地点：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szCs w:val="24"/>
          <w:u w:val="single"/>
        </w:rPr>
        <w:t xml:space="preserve">           </w:t>
      </w:r>
      <w:r>
        <w:rPr>
          <w:rFonts w:hint="eastAsia" w:ascii="宋体" w:hAnsi="宋体"/>
          <w:sz w:val="24"/>
        </w:rPr>
        <w:t>；</w:t>
      </w:r>
    </w:p>
    <w:p w14:paraId="1854F207">
      <w:pPr>
        <w:spacing w:line="360" w:lineRule="auto"/>
        <w:ind w:firstLine="480" w:firstLineChars="200"/>
        <w:rPr>
          <w:rFonts w:hint="eastAsia" w:ascii="宋体" w:hAnsi="宋体"/>
          <w:sz w:val="24"/>
        </w:rPr>
      </w:pPr>
      <w:r>
        <w:rPr>
          <w:rFonts w:hint="eastAsia" w:ascii="宋体" w:hAnsi="宋体"/>
          <w:sz w:val="24"/>
        </w:rPr>
        <w:t>（3）交货方式：</w:t>
      </w:r>
      <w:r>
        <w:rPr>
          <w:rFonts w:hint="eastAsia" w:ascii="宋体" w:hAnsi="宋体"/>
          <w:sz w:val="24"/>
          <w:u w:val="single"/>
        </w:rPr>
        <w:t>货到卖方指定地点并完成安装及调试。</w:t>
      </w:r>
    </w:p>
    <w:p w14:paraId="0CD8B919">
      <w:pPr>
        <w:spacing w:line="360" w:lineRule="auto"/>
        <w:ind w:firstLine="482" w:firstLineChars="200"/>
        <w:rPr>
          <w:rFonts w:ascii="宋体" w:hAnsi="宋体"/>
          <w:b/>
          <w:sz w:val="24"/>
        </w:rPr>
      </w:pPr>
      <w:bookmarkStart w:id="320" w:name="_Toc413227961"/>
      <w:r>
        <w:rPr>
          <w:rFonts w:hint="eastAsia" w:ascii="宋体" w:hAnsi="宋体"/>
          <w:b/>
          <w:sz w:val="24"/>
        </w:rPr>
        <w:t>23. 保证</w:t>
      </w:r>
      <w:bookmarkEnd w:id="320"/>
    </w:p>
    <w:p w14:paraId="05CCE985">
      <w:pPr>
        <w:spacing w:line="360" w:lineRule="auto"/>
        <w:ind w:firstLine="480" w:firstLineChars="200"/>
        <w:rPr>
          <w:rFonts w:ascii="宋体" w:hAnsi="宋体"/>
          <w:sz w:val="24"/>
        </w:rPr>
      </w:pPr>
      <w:r>
        <w:rPr>
          <w:rFonts w:hint="eastAsia" w:ascii="宋体" w:hAnsi="宋体"/>
          <w:sz w:val="24"/>
        </w:rPr>
        <w:t>23</w:t>
      </w:r>
      <w:r>
        <w:rPr>
          <w:rFonts w:ascii="宋体" w:hAnsi="宋体"/>
          <w:sz w:val="24"/>
        </w:rPr>
        <w:t>.</w:t>
      </w:r>
      <w:r>
        <w:rPr>
          <w:rFonts w:hint="eastAsia" w:ascii="宋体" w:hAnsi="宋体"/>
          <w:sz w:val="24"/>
        </w:rPr>
        <w:t>2质量保证期</w:t>
      </w:r>
      <w:r>
        <w:rPr>
          <w:rFonts w:ascii="宋体" w:hAnsi="宋体"/>
          <w:sz w:val="24"/>
        </w:rPr>
        <w:t xml:space="preserve"> </w:t>
      </w:r>
    </w:p>
    <w:p w14:paraId="3FD9D06B">
      <w:pPr>
        <w:spacing w:line="360" w:lineRule="auto"/>
        <w:ind w:firstLine="480" w:firstLineChars="200"/>
        <w:rPr>
          <w:rFonts w:ascii="宋体" w:hAnsi="宋体"/>
          <w:sz w:val="24"/>
        </w:rPr>
      </w:pPr>
      <w:r>
        <w:rPr>
          <w:rFonts w:hint="eastAsia" w:ascii="宋体" w:hAnsi="宋体"/>
          <w:sz w:val="24"/>
        </w:rPr>
        <w:t>2</w:t>
      </w:r>
      <w:r>
        <w:rPr>
          <w:rFonts w:ascii="宋体" w:hAnsi="宋体"/>
          <w:sz w:val="24"/>
        </w:rPr>
        <w:t>3.</w:t>
      </w:r>
      <w:r>
        <w:rPr>
          <w:rFonts w:hint="eastAsia" w:ascii="宋体" w:hAnsi="宋体"/>
          <w:sz w:val="24"/>
        </w:rPr>
        <w:t>2</w:t>
      </w:r>
      <w:r>
        <w:rPr>
          <w:rFonts w:ascii="宋体" w:hAnsi="宋体"/>
          <w:sz w:val="24"/>
        </w:rPr>
        <w:t>.1</w:t>
      </w:r>
      <w:r>
        <w:rPr>
          <w:rFonts w:ascii="宋体" w:hAnsi="宋体"/>
          <w:sz w:val="24"/>
        </w:rPr>
        <w:tab/>
      </w:r>
      <w:r>
        <w:rPr>
          <w:rFonts w:hint="eastAsia" w:ascii="宋体" w:hAnsi="宋体"/>
          <w:sz w:val="24"/>
        </w:rPr>
        <w:t>正常质量保证期</w:t>
      </w:r>
    </w:p>
    <w:p w14:paraId="5576C0B5">
      <w:pPr>
        <w:spacing w:line="360" w:lineRule="auto"/>
        <w:ind w:firstLine="480" w:firstLineChars="200"/>
        <w:rPr>
          <w:rFonts w:ascii="宋体" w:hAnsi="宋体"/>
          <w:sz w:val="24"/>
        </w:rPr>
      </w:pPr>
      <w:r>
        <w:rPr>
          <w:rFonts w:hint="eastAsia" w:ascii="宋体" w:hAnsi="宋体"/>
          <w:sz w:val="24"/>
        </w:rPr>
        <w:t>2</w:t>
      </w:r>
      <w:r>
        <w:rPr>
          <w:rFonts w:ascii="宋体" w:hAnsi="宋体"/>
          <w:sz w:val="24"/>
        </w:rPr>
        <w:t>3.</w:t>
      </w:r>
      <w:r>
        <w:rPr>
          <w:rFonts w:hint="eastAsia" w:ascii="宋体" w:hAnsi="宋体"/>
          <w:sz w:val="24"/>
        </w:rPr>
        <w:t>2</w:t>
      </w:r>
      <w:r>
        <w:rPr>
          <w:rFonts w:ascii="宋体" w:hAnsi="宋体"/>
          <w:sz w:val="24"/>
        </w:rPr>
        <w:t>.1.1</w:t>
      </w:r>
      <w:r>
        <w:rPr>
          <w:rFonts w:hint="eastAsia" w:ascii="宋体" w:hAnsi="宋体"/>
          <w:sz w:val="24"/>
        </w:rPr>
        <w:t>正常质量保证期</w:t>
      </w:r>
      <w:r>
        <w:rPr>
          <w:rFonts w:hint="eastAsia" w:ascii="宋体" w:hAnsi="宋体"/>
          <w:sz w:val="24"/>
          <w:u w:val="single"/>
        </w:rPr>
        <w:t>为</w:t>
      </w:r>
      <w:r>
        <w:rPr>
          <w:rFonts w:ascii="宋体" w:hAnsi="宋体"/>
          <w:sz w:val="24"/>
          <w:u w:val="single"/>
        </w:rPr>
        <w:t>最终</w:t>
      </w:r>
      <w:r>
        <w:rPr>
          <w:rFonts w:hint="eastAsia" w:ascii="宋体" w:hAnsi="宋体"/>
          <w:sz w:val="24"/>
          <w:u w:val="single"/>
        </w:rPr>
        <w:t>验收合格之日起</w:t>
      </w:r>
      <w:r>
        <w:rPr>
          <w:rFonts w:ascii="宋体" w:hAnsi="宋体"/>
          <w:sz w:val="24"/>
          <w:u w:val="single"/>
        </w:rPr>
        <w:t xml:space="preserve">   </w:t>
      </w:r>
      <w:r>
        <w:rPr>
          <w:rFonts w:hint="eastAsia" w:ascii="宋体" w:hAnsi="宋体"/>
          <w:sz w:val="24"/>
          <w:u w:val="single"/>
        </w:rPr>
        <w:t>个月。</w:t>
      </w:r>
    </w:p>
    <w:p w14:paraId="591F54EB">
      <w:pPr>
        <w:spacing w:line="360" w:lineRule="auto"/>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4.</w:t>
      </w:r>
      <w:r>
        <w:rPr>
          <w:rFonts w:hint="eastAsia" w:ascii="宋体" w:hAnsi="宋体"/>
          <w:b/>
          <w:sz w:val="24"/>
          <w:szCs w:val="24"/>
        </w:rPr>
        <w:t>售后服务</w:t>
      </w:r>
    </w:p>
    <w:p w14:paraId="188A2BCD">
      <w:pPr>
        <w:spacing w:line="360" w:lineRule="auto"/>
        <w:ind w:firstLine="480" w:firstLineChars="200"/>
        <w:rPr>
          <w:rFonts w:hint="eastAsia" w:ascii="宋体" w:hAnsi="宋体"/>
          <w:sz w:val="24"/>
          <w:szCs w:val="24"/>
        </w:rPr>
      </w:pPr>
      <w:r>
        <w:rPr>
          <w:rFonts w:ascii="宋体" w:hAnsi="宋体"/>
          <w:sz w:val="24"/>
          <w:szCs w:val="24"/>
        </w:rPr>
        <w:t>24.3</w:t>
      </w:r>
      <w:r>
        <w:rPr>
          <w:rFonts w:hint="eastAsia" w:ascii="宋体" w:hAnsi="宋体"/>
          <w:sz w:val="24"/>
          <w:szCs w:val="24"/>
        </w:rPr>
        <w:t>售后服务响应时间：对于卖方提出的服务申请，须立即作出响应，并能在</w:t>
      </w:r>
      <w:r>
        <w:rPr>
          <w:rFonts w:ascii="宋体" w:hAnsi="宋体"/>
          <w:sz w:val="24"/>
          <w:szCs w:val="24"/>
        </w:rPr>
        <w:t xml:space="preserve">  </w:t>
      </w:r>
      <w:r>
        <w:rPr>
          <w:rFonts w:hint="eastAsia" w:ascii="宋体" w:hAnsi="宋体"/>
          <w:sz w:val="24"/>
          <w:szCs w:val="24"/>
        </w:rPr>
        <w:t>小时内到达现场。</w:t>
      </w:r>
    </w:p>
    <w:p w14:paraId="27AC3E08">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4</w:t>
      </w:r>
      <w:r>
        <w:rPr>
          <w:rFonts w:hint="eastAsia" w:ascii="宋体" w:hAnsi="宋体"/>
          <w:b/>
          <w:sz w:val="24"/>
        </w:rPr>
        <w:t>. 其他</w:t>
      </w:r>
    </w:p>
    <w:p w14:paraId="1C385798">
      <w:pPr>
        <w:spacing w:line="360" w:lineRule="auto"/>
        <w:ind w:firstLine="480" w:firstLineChars="200"/>
        <w:rPr>
          <w:rFonts w:ascii="宋体" w:hAnsi="宋体"/>
          <w:sz w:val="24"/>
        </w:rPr>
      </w:pPr>
      <w:r>
        <w:rPr>
          <w:rFonts w:hint="eastAsia" w:ascii="宋体" w:hAnsi="宋体"/>
          <w:sz w:val="24"/>
        </w:rPr>
        <w:t>34.1其他约定：</w:t>
      </w:r>
    </w:p>
    <w:p w14:paraId="3CA89FB6">
      <w:pPr>
        <w:spacing w:line="360" w:lineRule="auto"/>
        <w:ind w:firstLine="480" w:firstLineChars="200"/>
        <w:rPr>
          <w:rFonts w:ascii="宋体" w:hAnsi="宋体"/>
          <w:sz w:val="24"/>
          <w:u w:val="single"/>
        </w:rPr>
      </w:pPr>
      <w:r>
        <w:rPr>
          <w:rFonts w:hint="eastAsia" w:ascii="宋体" w:hAnsi="宋体"/>
          <w:sz w:val="24"/>
        </w:rPr>
        <w:t>（1）</w:t>
      </w:r>
      <w:r>
        <w:rPr>
          <w:rFonts w:hint="eastAsia" w:ascii="宋体" w:hAnsi="宋体"/>
          <w:sz w:val="24"/>
          <w:u w:val="single"/>
        </w:rPr>
        <w:t xml:space="preserve">（如分包情况说明等）                         </w:t>
      </w:r>
      <w:r>
        <w:rPr>
          <w:rFonts w:hint="eastAsia" w:ascii="宋体" w:hAnsi="宋体"/>
          <w:sz w:val="24"/>
        </w:rPr>
        <w:t>；</w:t>
      </w:r>
    </w:p>
    <w:p w14:paraId="651F90C7">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14:paraId="7E02C1C1">
      <w:pPr>
        <w:pStyle w:val="34"/>
        <w:ind w:firstLine="480"/>
      </w:pPr>
      <w:r>
        <w:rPr>
          <w:rFonts w:hint="eastAsia" w:ascii="宋体" w:hAnsi="宋体"/>
          <w:sz w:val="24"/>
        </w:rPr>
        <w:t>（3）</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r>
        <w:br w:type="page"/>
      </w:r>
    </w:p>
    <w:p w14:paraId="5371E4C5">
      <w:pPr>
        <w:pStyle w:val="35"/>
      </w:pPr>
      <w:bookmarkStart w:id="321" w:name="_Toc13073"/>
      <w:bookmarkStart w:id="322" w:name="_Toc4699"/>
      <w:bookmarkStart w:id="323" w:name="_Toc25485"/>
      <w:bookmarkStart w:id="324" w:name="_Toc12847"/>
      <w:bookmarkStart w:id="325" w:name="_Toc12703"/>
      <w:r>
        <w:rPr>
          <w:rFonts w:hint="eastAsia"/>
        </w:rPr>
        <w:t>评审方法和标准</w:t>
      </w:r>
      <w:bookmarkEnd w:id="321"/>
      <w:bookmarkEnd w:id="322"/>
      <w:bookmarkEnd w:id="323"/>
      <w:bookmarkEnd w:id="324"/>
      <w:bookmarkEnd w:id="325"/>
    </w:p>
    <w:p w14:paraId="0D55EB73">
      <w:pPr>
        <w:pStyle w:val="36"/>
        <w:numPr>
          <w:ilvl w:val="1"/>
          <w:numId w:val="109"/>
        </w:numPr>
      </w:pPr>
      <w:bookmarkStart w:id="326" w:name="_Toc6230"/>
      <w:bookmarkStart w:id="327" w:name="_Toc16764"/>
      <w:bookmarkStart w:id="328" w:name="_Toc19802"/>
      <w:bookmarkStart w:id="329" w:name="_Toc7006"/>
      <w:bookmarkStart w:id="330" w:name="_Toc23047"/>
      <w:r>
        <w:rPr>
          <w:rFonts w:hint="eastAsia"/>
        </w:rPr>
        <w:t>评审方法</w:t>
      </w:r>
      <w:bookmarkEnd w:id="326"/>
      <w:bookmarkEnd w:id="327"/>
      <w:bookmarkEnd w:id="328"/>
      <w:bookmarkEnd w:id="329"/>
      <w:bookmarkEnd w:id="330"/>
    </w:p>
    <w:p w14:paraId="25212164">
      <w:pPr>
        <w:pStyle w:val="34"/>
        <w:ind w:firstLine="480"/>
        <w:rPr>
          <w:lang w:eastAsia="zh-CN"/>
        </w:rPr>
      </w:pPr>
      <w:r>
        <w:rPr>
          <w:rFonts w:hint="eastAsia"/>
        </w:rPr>
        <w:t>本项目采用</w:t>
      </w:r>
      <w:r>
        <w:rPr>
          <w:rFonts w:hint="eastAsia"/>
          <w:b/>
          <w:bCs/>
        </w:rPr>
        <w:t>综合评分法</w:t>
      </w:r>
      <w:r>
        <w:rPr>
          <w:rFonts w:hint="eastAsia"/>
          <w:lang w:eastAsia="zh-CN"/>
        </w:rPr>
        <w:t>。</w:t>
      </w:r>
    </w:p>
    <w:p w14:paraId="0D1FF5CE">
      <w:pPr>
        <w:pStyle w:val="34"/>
        <w:ind w:firstLine="480"/>
      </w:pPr>
      <w:r>
        <w:rPr>
          <w:rFonts w:hint="eastAsia"/>
        </w:rPr>
        <w:t>评审委员会将按照本章规定的评审方法、评分标准，对符合性审查合格的投标文件进行商务和技术的评估、综合评价。评标时，评审委员会各成员将独立对每个投标人的投标文件进行评价，并汇总每个投标人的得分。评分过程中采用四舍五入法，保留小数二位。</w:t>
      </w:r>
      <w:r>
        <w:rPr>
          <w:rFonts w:hint="eastAsia"/>
          <w:u w:val="single"/>
        </w:rPr>
        <w:t>综合得分=商务技术得分+报价得分</w:t>
      </w:r>
    </w:p>
    <w:p w14:paraId="454E041C">
      <w:pPr>
        <w:pStyle w:val="34"/>
        <w:ind w:firstLine="480"/>
        <w:rPr>
          <w:rFonts w:hint="default"/>
          <w:b w:val="0"/>
          <w:bCs w:val="0"/>
          <w:color w:val="auto"/>
          <w:u w:val="none"/>
          <w:lang w:val="en-US" w:eastAsia="zh-Hans"/>
        </w:rPr>
      </w:pPr>
    </w:p>
    <w:p w14:paraId="62A89F7E">
      <w:pPr>
        <w:pStyle w:val="36"/>
        <w:numPr>
          <w:ilvl w:val="1"/>
          <w:numId w:val="109"/>
        </w:numPr>
        <w:rPr>
          <w:rFonts w:hint="eastAsia"/>
          <w:u w:val="single"/>
        </w:rPr>
      </w:pPr>
      <w:bookmarkStart w:id="331" w:name="_Toc27239"/>
      <w:bookmarkStart w:id="332" w:name="_Toc18558"/>
      <w:bookmarkStart w:id="333" w:name="_Toc31095"/>
      <w:bookmarkStart w:id="334" w:name="_Toc25473"/>
      <w:bookmarkStart w:id="335" w:name="_Toc84"/>
      <w:r>
        <w:rPr>
          <w:rFonts w:hint="eastAsia"/>
          <w:lang w:val="en-US" w:eastAsia="zh-CN"/>
        </w:rPr>
        <w:t>评分标准</w:t>
      </w:r>
      <w:bookmarkEnd w:id="331"/>
      <w:bookmarkEnd w:id="332"/>
      <w:bookmarkEnd w:id="333"/>
      <w:bookmarkEnd w:id="334"/>
      <w:bookmarkEnd w:id="335"/>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6772"/>
        <w:gridCol w:w="965"/>
        <w:gridCol w:w="2"/>
      </w:tblGrid>
      <w:tr w14:paraId="7332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8" w:type="pct"/>
            <w:tcBorders>
              <w:right w:val="single" w:color="000000" w:sz="4" w:space="0"/>
            </w:tcBorders>
            <w:shd w:val="clear" w:color="auto" w:fill="D7D7D7" w:themeFill="background1" w:themeFillShade="D8"/>
            <w:vAlign w:val="center"/>
          </w:tcPr>
          <w:p w14:paraId="1CDDDA88">
            <w:pPr>
              <w:pStyle w:val="34"/>
              <w:spacing w:line="36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序号</w:t>
            </w:r>
          </w:p>
        </w:tc>
        <w:tc>
          <w:tcPr>
            <w:tcW w:w="3974" w:type="pct"/>
            <w:tcBorders>
              <w:left w:val="single" w:color="000000" w:sz="4" w:space="0"/>
              <w:right w:val="single" w:color="000000" w:sz="4" w:space="0"/>
            </w:tcBorders>
            <w:shd w:val="clear" w:color="auto" w:fill="D7D7D7" w:themeFill="background1" w:themeFillShade="D8"/>
            <w:vAlign w:val="center"/>
          </w:tcPr>
          <w:p w14:paraId="55473030">
            <w:pPr>
              <w:pStyle w:val="34"/>
              <w:spacing w:line="36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Hans"/>
              </w:rPr>
              <w:t>评分项</w:t>
            </w:r>
          </w:p>
        </w:tc>
        <w:tc>
          <w:tcPr>
            <w:tcW w:w="567" w:type="pct"/>
            <w:gridSpan w:val="2"/>
            <w:tcBorders>
              <w:left w:val="single" w:color="000000" w:sz="4" w:space="0"/>
            </w:tcBorders>
            <w:shd w:val="clear" w:color="auto" w:fill="D7D7D7" w:themeFill="background1" w:themeFillShade="D8"/>
            <w:vAlign w:val="center"/>
          </w:tcPr>
          <w:p w14:paraId="20FB6AB2">
            <w:pPr>
              <w:pStyle w:val="34"/>
              <w:spacing w:line="360" w:lineRule="auto"/>
              <w:ind w:firstLine="0" w:firstLineChars="0"/>
              <w:jc w:val="center"/>
              <w:rPr>
                <w:rFonts w:hint="eastAsia" w:ascii="宋体" w:hAnsi="宋体" w:eastAsia="宋体" w:cs="宋体"/>
                <w:b/>
                <w:bCs/>
                <w:kern w:val="0"/>
                <w:sz w:val="24"/>
                <w:szCs w:val="24"/>
                <w:lang w:val="en-US" w:eastAsia="zh-Hans"/>
              </w:rPr>
            </w:pPr>
            <w:r>
              <w:rPr>
                <w:rFonts w:hint="eastAsia" w:ascii="宋体" w:hAnsi="宋体" w:eastAsia="宋体" w:cs="宋体"/>
                <w:b/>
                <w:bCs/>
                <w:kern w:val="0"/>
                <w:sz w:val="24"/>
                <w:szCs w:val="24"/>
                <w:lang w:val="en-US" w:eastAsia="zh-Hans"/>
              </w:rPr>
              <w:t>分值</w:t>
            </w:r>
          </w:p>
        </w:tc>
      </w:tr>
      <w:tr w14:paraId="1A88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78F1DCAA">
            <w:pPr>
              <w:pStyle w:val="34"/>
              <w:numPr>
                <w:ilvl w:val="0"/>
                <w:numId w:val="11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501A6B88">
            <w:pPr>
              <w:pStyle w:val="34"/>
              <w:spacing w:line="360" w:lineRule="auto"/>
              <w:ind w:firstLine="0" w:firstLineChars="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项目</w:t>
            </w:r>
            <w:r>
              <w:rPr>
                <w:rFonts w:hint="eastAsia" w:ascii="宋体" w:hAnsi="宋体" w:eastAsia="宋体" w:cs="宋体"/>
                <w:b/>
                <w:bCs/>
                <w:sz w:val="24"/>
                <w:szCs w:val="24"/>
              </w:rPr>
              <w:t>需求分析</w:t>
            </w:r>
            <w:r>
              <w:rPr>
                <w:rFonts w:hint="eastAsia" w:ascii="宋体" w:hAnsi="宋体" w:eastAsia="宋体" w:cs="宋体"/>
                <w:b/>
                <w:bCs/>
                <w:sz w:val="24"/>
                <w:szCs w:val="24"/>
                <w:lang w:val="en-US" w:eastAsia="zh-Hans"/>
              </w:rPr>
              <w:t>评价</w:t>
            </w:r>
          </w:p>
          <w:p w14:paraId="6F6FA445">
            <w:pPr>
              <w:pStyle w:val="34"/>
              <w:ind w:firstLine="0" w:firstLineChars="0"/>
              <w:rPr>
                <w:rFonts w:hint="eastAsia" w:cs="宋体"/>
                <w:color w:val="auto"/>
                <w:szCs w:val="24"/>
                <w:highlight w:val="none"/>
                <w:lang w:eastAsia="zh-CN"/>
              </w:rPr>
            </w:pPr>
            <w:r>
              <w:rPr>
                <w:rFonts w:hint="eastAsia" w:cs="宋体"/>
                <w:color w:val="auto"/>
                <w:szCs w:val="24"/>
                <w:highlight w:val="none"/>
                <w:lang w:eastAsia="zh-CN"/>
              </w:rPr>
              <w:t>供应商</w:t>
            </w:r>
            <w:r>
              <w:rPr>
                <w:rFonts w:hint="eastAsia" w:cs="宋体"/>
                <w:color w:val="auto"/>
                <w:szCs w:val="24"/>
                <w:highlight w:val="none"/>
              </w:rPr>
              <w:t>对</w:t>
            </w:r>
            <w:r>
              <w:rPr>
                <w:rFonts w:hint="eastAsia" w:cs="宋体"/>
                <w:color w:val="auto"/>
                <w:szCs w:val="24"/>
                <w:highlight w:val="none"/>
                <w:lang w:eastAsia="zh-CN"/>
              </w:rPr>
              <w:t>项目</w:t>
            </w:r>
            <w:r>
              <w:rPr>
                <w:rFonts w:hint="eastAsia" w:cs="宋体"/>
                <w:color w:val="auto"/>
                <w:szCs w:val="24"/>
                <w:highlight w:val="none"/>
              </w:rPr>
              <w:t>的理解</w:t>
            </w:r>
            <w:r>
              <w:rPr>
                <w:rFonts w:hint="eastAsia" w:cs="宋体"/>
                <w:color w:val="auto"/>
                <w:szCs w:val="24"/>
                <w:highlight w:val="none"/>
                <w:lang w:eastAsia="zh-CN"/>
              </w:rPr>
              <w:t>,</w:t>
            </w:r>
            <w:r>
              <w:rPr>
                <w:rFonts w:hint="eastAsia" w:cs="宋体"/>
                <w:color w:val="auto"/>
                <w:szCs w:val="24"/>
                <w:highlight w:val="none"/>
              </w:rPr>
              <w:t>对本</w:t>
            </w:r>
            <w:r>
              <w:rPr>
                <w:rFonts w:hint="eastAsia" w:cs="宋体"/>
                <w:color w:val="auto"/>
                <w:szCs w:val="24"/>
                <w:highlight w:val="none"/>
                <w:lang w:val="en-US" w:eastAsia="zh-CN"/>
              </w:rPr>
              <w:t>项目</w:t>
            </w:r>
            <w:r>
              <w:rPr>
                <w:rFonts w:hint="eastAsia" w:cs="宋体"/>
                <w:color w:val="auto"/>
                <w:szCs w:val="24"/>
                <w:highlight w:val="none"/>
              </w:rPr>
              <w:t>背景和</w:t>
            </w:r>
            <w:r>
              <w:rPr>
                <w:rFonts w:hint="eastAsia" w:cs="宋体"/>
                <w:color w:val="auto"/>
                <w:szCs w:val="24"/>
                <w:highlight w:val="none"/>
                <w:lang w:eastAsia="zh-CN"/>
              </w:rPr>
              <w:t>目标</w:t>
            </w:r>
            <w:r>
              <w:rPr>
                <w:rFonts w:hint="eastAsia" w:cs="宋体"/>
                <w:color w:val="auto"/>
                <w:szCs w:val="24"/>
                <w:highlight w:val="none"/>
              </w:rPr>
              <w:t>的了解程度，与</w:t>
            </w:r>
            <w:r>
              <w:rPr>
                <w:rFonts w:hint="eastAsia" w:cs="宋体"/>
                <w:color w:val="auto"/>
                <w:szCs w:val="24"/>
                <w:highlight w:val="none"/>
                <w:lang w:eastAsia="zh-CN"/>
              </w:rPr>
              <w:t>采购人</w:t>
            </w:r>
            <w:r>
              <w:rPr>
                <w:rFonts w:hint="eastAsia" w:cs="宋体"/>
                <w:color w:val="auto"/>
                <w:szCs w:val="24"/>
                <w:highlight w:val="none"/>
              </w:rPr>
              <w:t>需求吻合程度。</w:t>
            </w:r>
            <w:r>
              <w:rPr>
                <w:rFonts w:hint="eastAsia" w:cs="宋体"/>
                <w:color w:val="auto"/>
                <w:szCs w:val="24"/>
                <w:highlight w:val="none"/>
                <w:lang w:eastAsia="zh-CN"/>
              </w:rPr>
              <w:t>分析</w:t>
            </w:r>
            <w:r>
              <w:rPr>
                <w:rFonts w:hint="eastAsia" w:cs="宋体"/>
                <w:color w:val="auto"/>
                <w:szCs w:val="24"/>
                <w:highlight w:val="none"/>
              </w:rPr>
              <w:t>明确、详尽、业务熟悉、针对性强且</w:t>
            </w:r>
            <w:r>
              <w:rPr>
                <w:rFonts w:hint="eastAsia" w:cs="宋体"/>
                <w:color w:val="auto"/>
                <w:szCs w:val="24"/>
                <w:highlight w:val="none"/>
                <w:lang w:eastAsia="zh-CN"/>
              </w:rPr>
              <w:t>可行性高</w:t>
            </w:r>
            <w:r>
              <w:rPr>
                <w:rFonts w:hint="eastAsia" w:cs="宋体"/>
                <w:color w:val="auto"/>
                <w:szCs w:val="24"/>
                <w:highlight w:val="none"/>
              </w:rPr>
              <w:t>的得</w:t>
            </w:r>
            <w:r>
              <w:rPr>
                <w:rFonts w:hint="eastAsia" w:cs="宋体"/>
                <w:color w:val="auto"/>
                <w:szCs w:val="24"/>
                <w:highlight w:val="none"/>
                <w:lang w:val="en-US" w:eastAsia="zh-CN"/>
              </w:rPr>
              <w:t>5</w:t>
            </w:r>
            <w:r>
              <w:rPr>
                <w:rFonts w:hint="eastAsia" w:cs="宋体"/>
                <w:color w:val="auto"/>
                <w:szCs w:val="24"/>
                <w:highlight w:val="none"/>
              </w:rPr>
              <w:t>分；内容有欠缺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olor w:val="auto"/>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；缺陷明显且可能会影响到具体项目实施的得1分，内容完全不符或未提供不得分。</w:t>
            </w:r>
          </w:p>
          <w:p w14:paraId="1EF63F9A">
            <w:pPr>
              <w:pStyle w:val="34"/>
              <w:spacing w:line="360" w:lineRule="auto"/>
              <w:ind w:firstLine="0" w:firstLineChars="0"/>
              <w:rPr>
                <w:rFonts w:hint="eastAsia" w:ascii="宋体" w:hAnsi="宋体" w:eastAsia="宋体" w:cs="宋体"/>
                <w:sz w:val="24"/>
                <w:szCs w:val="24"/>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3917989F">
            <w:pPr>
              <w:pStyle w:val="34"/>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4B9B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7804AE67">
            <w:pPr>
              <w:pStyle w:val="34"/>
              <w:numPr>
                <w:ilvl w:val="0"/>
                <w:numId w:val="11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724A0F74">
            <w:pPr>
              <w:pStyle w:val="34"/>
              <w:numPr>
                <w:ilvl w:val="0"/>
                <w:numId w:val="0"/>
              </w:numPr>
              <w:spacing w:line="360" w:lineRule="auto"/>
              <w:rPr>
                <w:rFonts w:hint="eastAsia" w:ascii="宋体" w:hAnsi="宋体" w:eastAsia="宋体" w:cs="宋体"/>
                <w:b/>
                <w:bCs/>
                <w:sz w:val="24"/>
                <w:szCs w:val="24"/>
                <w:lang w:val="en-US" w:eastAsia="zh-Hans"/>
              </w:rPr>
            </w:pPr>
            <w:r>
              <w:rPr>
                <w:rFonts w:hint="eastAsia" w:ascii="宋体" w:hAnsi="宋体" w:eastAsia="宋体" w:cs="宋体"/>
                <w:b/>
                <w:bCs/>
                <w:sz w:val="24"/>
                <w:szCs w:val="24"/>
              </w:rPr>
              <w:t>重难点分析</w:t>
            </w:r>
            <w:r>
              <w:rPr>
                <w:rFonts w:hint="eastAsia" w:ascii="宋体" w:hAnsi="宋体" w:eastAsia="宋体" w:cs="宋体"/>
                <w:b/>
                <w:bCs/>
                <w:sz w:val="24"/>
                <w:szCs w:val="24"/>
                <w:lang w:val="en-US" w:eastAsia="zh-Hans"/>
              </w:rPr>
              <w:t>评价</w:t>
            </w:r>
          </w:p>
          <w:p w14:paraId="0D59B184">
            <w:pPr>
              <w:pStyle w:val="34"/>
              <w:ind w:firstLine="0" w:firstLineChars="0"/>
              <w:rPr>
                <w:rFonts w:hint="eastAsia" w:cs="宋体"/>
                <w:color w:val="auto"/>
                <w:szCs w:val="24"/>
                <w:highlight w:val="none"/>
                <w:lang w:eastAsia="zh-CN"/>
              </w:rPr>
            </w:pPr>
            <w:r>
              <w:rPr>
                <w:rFonts w:hint="eastAsia" w:cs="宋体"/>
                <w:color w:val="auto"/>
                <w:szCs w:val="24"/>
                <w:highlight w:val="none"/>
                <w:lang w:eastAsia="zh-CN"/>
              </w:rPr>
              <w:t>根据项目特点进行</w:t>
            </w:r>
            <w:r>
              <w:rPr>
                <w:rFonts w:hint="eastAsia" w:cs="宋体"/>
                <w:color w:val="auto"/>
                <w:szCs w:val="24"/>
                <w:highlight w:val="none"/>
              </w:rPr>
              <w:t>重难点分析</w:t>
            </w:r>
            <w:r>
              <w:rPr>
                <w:rFonts w:hint="eastAsia" w:cs="宋体"/>
                <w:color w:val="auto"/>
                <w:szCs w:val="24"/>
                <w:highlight w:val="none"/>
                <w:lang w:eastAsia="zh-CN"/>
              </w:rPr>
              <w:t>，分析</w:t>
            </w:r>
            <w:r>
              <w:rPr>
                <w:rFonts w:hint="eastAsia" w:cs="宋体"/>
                <w:color w:val="auto"/>
                <w:szCs w:val="24"/>
                <w:highlight w:val="none"/>
              </w:rPr>
              <w:t>清楚准确到位，符合项目实际情况，对应的解决方法与措施</w:t>
            </w:r>
            <w:r>
              <w:rPr>
                <w:rFonts w:hint="eastAsia" w:cs="宋体"/>
                <w:color w:val="auto"/>
                <w:szCs w:val="24"/>
                <w:highlight w:val="none"/>
                <w:lang w:eastAsia="zh-CN"/>
              </w:rPr>
              <w:t>准确</w:t>
            </w:r>
            <w:r>
              <w:rPr>
                <w:rFonts w:hint="eastAsia" w:cs="宋体"/>
                <w:color w:val="auto"/>
                <w:szCs w:val="24"/>
                <w:highlight w:val="none"/>
              </w:rPr>
              <w:t>可行，针对性强，具有可操作性的得</w:t>
            </w:r>
            <w:r>
              <w:rPr>
                <w:rFonts w:hint="eastAsia" w:cs="宋体"/>
                <w:color w:val="auto"/>
                <w:szCs w:val="24"/>
                <w:highlight w:val="none"/>
                <w:lang w:val="en-US" w:eastAsia="zh-CN"/>
              </w:rPr>
              <w:t>5</w:t>
            </w:r>
            <w:r>
              <w:rPr>
                <w:rFonts w:hint="eastAsia" w:cs="宋体"/>
                <w:color w:val="auto"/>
                <w:szCs w:val="24"/>
                <w:highlight w:val="none"/>
              </w:rPr>
              <w:t>分，内容有欠缺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s="宋体"/>
                <w:color w:val="auto"/>
                <w:szCs w:val="24"/>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；缺陷明显且可能会影响到具体项目实施的得1分，内容完全不符或未提供不得分。</w:t>
            </w:r>
          </w:p>
          <w:p w14:paraId="3AED66F9">
            <w:pPr>
              <w:pStyle w:val="34"/>
              <w:spacing w:line="360" w:lineRule="auto"/>
              <w:ind w:firstLine="0" w:firstLineChars="0"/>
              <w:rPr>
                <w:rFonts w:hint="eastAsia" w:ascii="宋体" w:hAnsi="宋体" w:eastAsia="宋体" w:cs="宋体"/>
                <w:sz w:val="24"/>
                <w:szCs w:val="24"/>
                <w:lang w:val="en-US" w:eastAsia="zh-Hans"/>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657AD643">
            <w:pPr>
              <w:pStyle w:val="34"/>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6C01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6F6CBB96">
            <w:pPr>
              <w:pStyle w:val="34"/>
              <w:numPr>
                <w:ilvl w:val="0"/>
                <w:numId w:val="11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273A8587">
            <w:pPr>
              <w:pStyle w:val="34"/>
              <w:spacing w:line="360" w:lineRule="auto"/>
              <w:ind w:firstLine="0" w:firstLineChars="0"/>
              <w:rPr>
                <w:rFonts w:hint="eastAsia"/>
                <w:b/>
                <w:bCs/>
                <w:color w:val="auto"/>
                <w:highlight w:val="none"/>
                <w:lang w:val="en-US" w:eastAsia="zh-CN"/>
              </w:rPr>
            </w:pPr>
            <w:r>
              <w:rPr>
                <w:rFonts w:hint="eastAsia"/>
                <w:b/>
                <w:bCs/>
                <w:color w:val="auto"/>
                <w:highlight w:val="none"/>
                <w:lang w:val="en-US" w:eastAsia="zh-CN"/>
              </w:rPr>
              <w:t>项目系统运维方案评价</w:t>
            </w:r>
          </w:p>
          <w:p w14:paraId="338CFF25">
            <w:pPr>
              <w:pStyle w:val="34"/>
              <w:spacing w:line="360" w:lineRule="auto"/>
              <w:ind w:firstLine="0" w:firstLineChars="0"/>
              <w:rPr>
                <w:rFonts w:hint="eastAsia"/>
                <w:b w:val="0"/>
                <w:bCs w:val="0"/>
                <w:color w:val="auto"/>
                <w:highlight w:val="none"/>
                <w:lang w:val="en-US" w:eastAsia="zh-CN"/>
              </w:rPr>
            </w:pPr>
            <w:r>
              <w:rPr>
                <w:rFonts w:hint="eastAsia"/>
                <w:b w:val="0"/>
                <w:bCs w:val="0"/>
                <w:color w:val="auto"/>
                <w:highlight w:val="none"/>
                <w:lang w:val="en-US" w:eastAsia="zh-CN"/>
              </w:rPr>
              <w:t>投标人根据采购需求提供对应的系统运维方案，包括但不限于以下几点：</w:t>
            </w:r>
          </w:p>
          <w:p w14:paraId="712306FB">
            <w:pPr>
              <w:pStyle w:val="34"/>
              <w:numPr>
                <w:ilvl w:val="0"/>
                <w:numId w:val="111"/>
              </w:numPr>
              <w:spacing w:line="360" w:lineRule="auto"/>
              <w:ind w:firstLine="0" w:firstLineChars="0"/>
              <w:rPr>
                <w:rFonts w:hint="eastAsia"/>
                <w:b w:val="0"/>
                <w:bCs w:val="0"/>
                <w:color w:val="auto"/>
                <w:highlight w:val="none"/>
                <w:lang w:val="en-US" w:eastAsia="zh-CN"/>
              </w:rPr>
            </w:pPr>
            <w:r>
              <w:rPr>
                <w:rFonts w:hint="eastAsia"/>
                <w:b w:val="0"/>
                <w:bCs w:val="0"/>
                <w:color w:val="auto"/>
                <w:highlight w:val="none"/>
                <w:lang w:val="en-US" w:eastAsia="zh-CN"/>
              </w:rPr>
              <w:t>防汛防台视频可视化支撑系统维保服务</w:t>
            </w:r>
          </w:p>
          <w:p w14:paraId="08B48B0F">
            <w:pPr>
              <w:pStyle w:val="34"/>
              <w:numPr>
                <w:ilvl w:val="0"/>
                <w:numId w:val="111"/>
              </w:numPr>
              <w:tabs>
                <w:tab w:val="left" w:pos="1418"/>
              </w:tabs>
              <w:spacing w:line="360" w:lineRule="auto"/>
              <w:ind w:firstLine="0" w:firstLineChars="0"/>
              <w:rPr>
                <w:rFonts w:hint="default"/>
                <w:b w:val="0"/>
                <w:bCs w:val="0"/>
                <w:color w:val="auto"/>
                <w:highlight w:val="none"/>
                <w:lang w:val="en-US" w:eastAsia="zh-CN"/>
              </w:rPr>
            </w:pPr>
            <w:r>
              <w:rPr>
                <w:rFonts w:hint="default"/>
                <w:b w:val="0"/>
                <w:bCs w:val="0"/>
                <w:color w:val="auto"/>
                <w:highlight w:val="none"/>
                <w:lang w:val="en-US" w:eastAsia="zh-CN"/>
              </w:rPr>
              <w:t>应急指挥车维护服务</w:t>
            </w:r>
          </w:p>
          <w:p w14:paraId="3D3415B0">
            <w:pPr>
              <w:pStyle w:val="34"/>
              <w:numPr>
                <w:ilvl w:val="0"/>
                <w:numId w:val="111"/>
              </w:numPr>
              <w:tabs>
                <w:tab w:val="left" w:pos="1418"/>
              </w:tabs>
              <w:spacing w:line="360" w:lineRule="auto"/>
              <w:ind w:firstLine="0" w:firstLineChars="0"/>
              <w:rPr>
                <w:rFonts w:hint="default"/>
                <w:b w:val="0"/>
                <w:bCs w:val="0"/>
                <w:color w:val="auto"/>
                <w:highlight w:val="none"/>
                <w:lang w:val="en-US" w:eastAsia="zh-CN"/>
              </w:rPr>
            </w:pPr>
            <w:r>
              <w:rPr>
                <w:rFonts w:hint="default"/>
                <w:b w:val="0"/>
                <w:bCs w:val="0"/>
                <w:color w:val="auto"/>
                <w:highlight w:val="none"/>
                <w:lang w:val="en-US" w:eastAsia="zh-CN"/>
              </w:rPr>
              <w:t>浙里焊数字化拓展推广应用项目运维</w:t>
            </w:r>
          </w:p>
          <w:p w14:paraId="199CF93C">
            <w:pPr>
              <w:pStyle w:val="34"/>
              <w:numPr>
                <w:ilvl w:val="0"/>
                <w:numId w:val="111"/>
              </w:numPr>
              <w:tabs>
                <w:tab w:val="left" w:pos="1418"/>
              </w:tabs>
              <w:spacing w:line="360" w:lineRule="auto"/>
              <w:ind w:firstLine="0" w:firstLineChars="0"/>
              <w:rPr>
                <w:rFonts w:hint="default"/>
                <w:b w:val="0"/>
                <w:bCs w:val="0"/>
                <w:color w:val="auto"/>
                <w:highlight w:val="none"/>
                <w:lang w:val="en-US" w:eastAsia="zh-CN"/>
              </w:rPr>
            </w:pPr>
            <w:r>
              <w:rPr>
                <w:rFonts w:hint="default"/>
                <w:b w:val="0"/>
                <w:bCs w:val="0"/>
                <w:color w:val="auto"/>
                <w:highlight w:val="none"/>
                <w:lang w:val="en-US" w:eastAsia="zh-CN"/>
              </w:rPr>
              <w:t>2025年浙江省应急管理厅危化品安全风险监测预警系统维护服务</w:t>
            </w:r>
          </w:p>
          <w:p w14:paraId="51C9A4B1">
            <w:pPr>
              <w:pStyle w:val="34"/>
              <w:numPr>
                <w:ilvl w:val="0"/>
                <w:numId w:val="111"/>
              </w:numPr>
              <w:tabs>
                <w:tab w:val="left" w:pos="1418"/>
              </w:tabs>
              <w:spacing w:line="360" w:lineRule="auto"/>
              <w:ind w:firstLine="0" w:firstLineChars="0"/>
              <w:rPr>
                <w:rFonts w:hint="default"/>
                <w:b w:val="0"/>
                <w:bCs w:val="0"/>
                <w:color w:val="auto"/>
                <w:highlight w:val="none"/>
                <w:lang w:val="en-US" w:eastAsia="zh-CN"/>
              </w:rPr>
            </w:pPr>
            <w:r>
              <w:rPr>
                <w:rFonts w:hint="default"/>
                <w:b w:val="0"/>
                <w:bCs w:val="0"/>
                <w:color w:val="auto"/>
                <w:highlight w:val="none"/>
                <w:lang w:val="en-US" w:eastAsia="zh-CN"/>
              </w:rPr>
              <w:t>2025年浙江省应急管理厅危化品风险防控大数据平台维护服务</w:t>
            </w:r>
          </w:p>
          <w:p w14:paraId="63E9FBA1">
            <w:pPr>
              <w:pStyle w:val="34"/>
              <w:numPr>
                <w:ilvl w:val="0"/>
                <w:numId w:val="111"/>
              </w:numPr>
              <w:tabs>
                <w:tab w:val="left" w:pos="1418"/>
              </w:tabs>
              <w:spacing w:line="360" w:lineRule="auto"/>
              <w:ind w:firstLine="0" w:firstLineChars="0"/>
              <w:rPr>
                <w:rFonts w:hint="default"/>
                <w:b w:val="0"/>
                <w:bCs w:val="0"/>
                <w:color w:val="auto"/>
                <w:highlight w:val="none"/>
                <w:lang w:val="en-US" w:eastAsia="zh-CN"/>
              </w:rPr>
            </w:pPr>
            <w:r>
              <w:rPr>
                <w:rFonts w:hint="default"/>
                <w:b w:val="0"/>
                <w:bCs w:val="0"/>
                <w:color w:val="auto"/>
                <w:highlight w:val="none"/>
                <w:lang w:val="en-US" w:eastAsia="zh-CN"/>
              </w:rPr>
              <w:t>服务总线系统运维服务</w:t>
            </w:r>
          </w:p>
          <w:p w14:paraId="3B1BB340">
            <w:pPr>
              <w:pStyle w:val="34"/>
              <w:numPr>
                <w:ilvl w:val="0"/>
                <w:numId w:val="111"/>
              </w:numPr>
              <w:tabs>
                <w:tab w:val="left" w:pos="1418"/>
              </w:tabs>
              <w:spacing w:line="360" w:lineRule="auto"/>
              <w:ind w:firstLine="0" w:firstLineChars="0"/>
              <w:rPr>
                <w:rFonts w:hint="default"/>
                <w:b w:val="0"/>
                <w:bCs w:val="0"/>
                <w:color w:val="auto"/>
                <w:highlight w:val="none"/>
                <w:lang w:val="en-US" w:eastAsia="zh-CN"/>
              </w:rPr>
            </w:pPr>
            <w:r>
              <w:rPr>
                <w:rFonts w:hint="default"/>
                <w:b w:val="0"/>
                <w:bCs w:val="0"/>
                <w:color w:val="auto"/>
                <w:highlight w:val="none"/>
                <w:lang w:val="en-US" w:eastAsia="zh-CN"/>
              </w:rPr>
              <w:t>视频资源接入服务链路</w:t>
            </w:r>
          </w:p>
          <w:p w14:paraId="49EED89D">
            <w:pPr>
              <w:pStyle w:val="34"/>
              <w:numPr>
                <w:ilvl w:val="0"/>
                <w:numId w:val="111"/>
              </w:numPr>
              <w:tabs>
                <w:tab w:val="left" w:pos="1418"/>
              </w:tabs>
              <w:spacing w:line="360" w:lineRule="auto"/>
              <w:ind w:firstLine="0" w:firstLineChars="0"/>
              <w:rPr>
                <w:rFonts w:hint="default"/>
                <w:b w:val="0"/>
                <w:bCs w:val="0"/>
                <w:color w:val="auto"/>
                <w:highlight w:val="none"/>
                <w:lang w:val="en-US" w:eastAsia="zh-CN"/>
              </w:rPr>
            </w:pPr>
            <w:r>
              <w:rPr>
                <w:rFonts w:hint="default"/>
                <w:b w:val="0"/>
                <w:bCs w:val="0"/>
                <w:color w:val="auto"/>
                <w:highlight w:val="none"/>
                <w:lang w:val="en-US" w:eastAsia="zh-CN"/>
              </w:rPr>
              <w:t>西溪河下88号应急管理宣传教育中心考试监控专线</w:t>
            </w:r>
          </w:p>
          <w:p w14:paraId="5900E67D">
            <w:pPr>
              <w:pStyle w:val="34"/>
              <w:numPr>
                <w:ilvl w:val="0"/>
                <w:numId w:val="111"/>
              </w:numPr>
              <w:tabs>
                <w:tab w:val="left" w:pos="1418"/>
              </w:tabs>
              <w:spacing w:line="360" w:lineRule="auto"/>
              <w:ind w:firstLine="0" w:firstLineChars="0"/>
              <w:rPr>
                <w:rFonts w:hint="default"/>
                <w:b w:val="0"/>
                <w:bCs w:val="0"/>
                <w:color w:val="auto"/>
                <w:highlight w:val="none"/>
                <w:lang w:val="en-US" w:eastAsia="zh-CN"/>
              </w:rPr>
            </w:pPr>
            <w:r>
              <w:rPr>
                <w:rFonts w:hint="default"/>
                <w:b w:val="0"/>
                <w:bCs w:val="0"/>
                <w:color w:val="auto"/>
                <w:highlight w:val="none"/>
                <w:lang w:val="en-US" w:eastAsia="zh-CN"/>
              </w:rPr>
              <w:t>全省重大危险源和可视化平台专线</w:t>
            </w:r>
          </w:p>
          <w:p w14:paraId="3E26DD66">
            <w:pPr>
              <w:pStyle w:val="34"/>
              <w:numPr>
                <w:ilvl w:val="0"/>
                <w:numId w:val="0"/>
              </w:numPr>
              <w:tabs>
                <w:tab w:val="left" w:pos="1418"/>
              </w:tabs>
              <w:spacing w:line="360" w:lineRule="auto"/>
              <w:rPr>
                <w:rFonts w:hint="default"/>
                <w:b w:val="0"/>
                <w:bCs w:val="0"/>
                <w:color w:val="auto"/>
                <w:highlight w:val="none"/>
                <w:lang w:val="en-US" w:eastAsia="zh-CN"/>
              </w:rPr>
            </w:pPr>
            <w:r>
              <w:rPr>
                <w:rFonts w:hint="default"/>
                <w:b w:val="0"/>
                <w:bCs w:val="0"/>
                <w:color w:val="auto"/>
                <w:highlight w:val="none"/>
                <w:lang w:val="en-US" w:eastAsia="zh-CN"/>
              </w:rPr>
              <w:t>根据采购需求内容提供对应的</w:t>
            </w:r>
            <w:r>
              <w:rPr>
                <w:rFonts w:hint="eastAsia"/>
                <w:b w:val="0"/>
                <w:bCs w:val="0"/>
                <w:color w:val="auto"/>
                <w:highlight w:val="none"/>
                <w:lang w:val="en-US" w:eastAsia="zh-CN"/>
              </w:rPr>
              <w:t>运维</w:t>
            </w:r>
            <w:r>
              <w:rPr>
                <w:rFonts w:hint="default"/>
                <w:b w:val="0"/>
                <w:bCs w:val="0"/>
                <w:color w:val="auto"/>
                <w:highlight w:val="none"/>
                <w:lang w:val="en-US" w:eastAsia="zh-CN"/>
              </w:rPr>
              <w:t>方案，</w:t>
            </w:r>
            <w:r>
              <w:rPr>
                <w:rFonts w:hint="eastAsia"/>
                <w:b w:val="0"/>
                <w:bCs w:val="0"/>
                <w:color w:val="auto"/>
                <w:highlight w:val="none"/>
                <w:lang w:val="en-US" w:eastAsia="zh-CN"/>
              </w:rPr>
              <w:t>、</w:t>
            </w:r>
            <w:r>
              <w:rPr>
                <w:rFonts w:hint="default"/>
                <w:b w:val="0"/>
                <w:bCs w:val="0"/>
                <w:color w:val="auto"/>
                <w:highlight w:val="none"/>
                <w:lang w:val="en-US" w:eastAsia="zh-CN"/>
              </w:rPr>
              <w:t>方案内容完整、针对性强</w:t>
            </w:r>
            <w:r>
              <w:rPr>
                <w:rFonts w:hint="eastAsia"/>
                <w:b w:val="0"/>
                <w:bCs w:val="0"/>
                <w:color w:val="auto"/>
                <w:highlight w:val="none"/>
                <w:lang w:val="en-US" w:eastAsia="zh-CN"/>
              </w:rPr>
              <w:t>的（1）、（4）、（5）</w:t>
            </w:r>
            <w:r>
              <w:rPr>
                <w:rFonts w:hint="default"/>
                <w:b w:val="0"/>
                <w:bCs w:val="0"/>
                <w:color w:val="auto"/>
                <w:highlight w:val="none"/>
                <w:lang w:val="en-US" w:eastAsia="zh-CN"/>
              </w:rPr>
              <w:t>得</w:t>
            </w:r>
            <w:r>
              <w:rPr>
                <w:rFonts w:hint="eastAsia"/>
                <w:b w:val="0"/>
                <w:bCs w:val="0"/>
                <w:color w:val="auto"/>
                <w:highlight w:val="none"/>
                <w:lang w:val="en-US" w:eastAsia="zh-CN"/>
              </w:rPr>
              <w:t>3</w:t>
            </w:r>
            <w:r>
              <w:rPr>
                <w:rFonts w:hint="default"/>
                <w:b w:val="0"/>
                <w:bCs w:val="0"/>
                <w:color w:val="auto"/>
                <w:highlight w:val="none"/>
                <w:lang w:val="en-US" w:eastAsia="zh-CN"/>
              </w:rPr>
              <w:t>分/项，</w:t>
            </w:r>
            <w:r>
              <w:rPr>
                <w:rFonts w:hint="eastAsia"/>
                <w:b w:val="0"/>
                <w:bCs w:val="0"/>
                <w:color w:val="auto"/>
                <w:highlight w:val="none"/>
                <w:lang w:val="en-US" w:eastAsia="zh-CN"/>
              </w:rPr>
              <w:t>（2）、（3）、（6）、（7）、（8）、（9）得2分/项；内容</w:t>
            </w:r>
            <w:r>
              <w:rPr>
                <w:rFonts w:hint="default"/>
                <w:b w:val="0"/>
                <w:bCs w:val="0"/>
                <w:color w:val="auto"/>
                <w:highlight w:val="none"/>
                <w:lang w:val="en-US" w:eastAsia="zh-CN"/>
              </w:rPr>
              <w:t>有欠缺或没有针对性但不影响项目实施的</w:t>
            </w:r>
            <w:r>
              <w:rPr>
                <w:rFonts w:hint="eastAsia" w:cs="宋体"/>
                <w:szCs w:val="24"/>
                <w:highlight w:val="none"/>
                <w:u w:val="single"/>
                <w:lang w:val="en-US" w:eastAsia="zh-CN"/>
              </w:rPr>
              <w:t xml:space="preserve">  </w:t>
            </w:r>
            <w:r>
              <w:rPr>
                <w:rFonts w:hint="eastAsia" w:cs="宋体"/>
                <w:b/>
                <w:bCs/>
                <w:szCs w:val="24"/>
                <w:highlight w:val="none"/>
                <w:u w:val="single"/>
                <w:lang w:val="en-US" w:eastAsia="zh-CN"/>
              </w:rPr>
              <w:t xml:space="preserve">扣  </w:t>
            </w:r>
            <w:r>
              <w:rPr>
                <w:rFonts w:hint="eastAsia" w:cs="宋体"/>
                <w:szCs w:val="24"/>
                <w:highlight w:val="none"/>
                <w:lang w:val="en-US" w:eastAsia="zh-CN"/>
              </w:rPr>
              <w:t>1</w:t>
            </w:r>
            <w:r>
              <w:rPr>
                <w:rFonts w:hint="eastAsia" w:cs="宋体"/>
                <w:szCs w:val="24"/>
                <w:highlight w:val="none"/>
                <w:lang w:eastAsia="zh-CN"/>
              </w:rPr>
              <w:t>分</w:t>
            </w:r>
            <w:r>
              <w:rPr>
                <w:rFonts w:hint="eastAsia" w:cs="宋体"/>
                <w:szCs w:val="24"/>
                <w:highlight w:val="none"/>
                <w:lang w:val="en-US" w:eastAsia="zh-CN"/>
              </w:rPr>
              <w:t>/项</w:t>
            </w:r>
            <w:r>
              <w:rPr>
                <w:rFonts w:hint="default"/>
                <w:b w:val="0"/>
                <w:bCs w:val="0"/>
                <w:color w:val="auto"/>
                <w:highlight w:val="none"/>
                <w:lang w:val="en-US" w:eastAsia="zh-CN"/>
              </w:rPr>
              <w:t>；</w:t>
            </w:r>
            <w:r>
              <w:rPr>
                <w:rFonts w:hint="eastAsia" w:cs="宋体"/>
                <w:color w:val="auto"/>
                <w:szCs w:val="24"/>
                <w:highlight w:val="none"/>
                <w:lang w:eastAsia="zh-CN"/>
              </w:rPr>
              <w:t>内容完全不符或未提供</w:t>
            </w:r>
            <w:r>
              <w:rPr>
                <w:rFonts w:hint="eastAsia" w:cs="宋体"/>
                <w:color w:val="auto"/>
                <w:szCs w:val="24"/>
                <w:highlight w:val="none"/>
                <w:lang w:val="en-US" w:eastAsia="zh-CN"/>
              </w:rPr>
              <w:t>的该小项</w:t>
            </w:r>
            <w:r>
              <w:rPr>
                <w:rFonts w:hint="eastAsia" w:cs="宋体"/>
                <w:color w:val="auto"/>
                <w:szCs w:val="24"/>
                <w:highlight w:val="none"/>
                <w:lang w:eastAsia="zh-CN"/>
              </w:rPr>
              <w:t>不得分。</w:t>
            </w:r>
          </w:p>
          <w:p w14:paraId="18F22583">
            <w:pPr>
              <w:pStyle w:val="34"/>
              <w:numPr>
                <w:ilvl w:val="0"/>
                <w:numId w:val="0"/>
              </w:numPr>
              <w:tabs>
                <w:tab w:val="left" w:pos="1418"/>
              </w:tabs>
              <w:spacing w:line="360" w:lineRule="auto"/>
              <w:rPr>
                <w:rFonts w:hint="default"/>
                <w:b w:val="0"/>
                <w:bCs w:val="0"/>
                <w:color w:val="auto"/>
                <w:highlight w:val="none"/>
                <w:lang w:val="en-US" w:eastAsia="zh-CN"/>
              </w:rPr>
            </w:pPr>
            <w:r>
              <w:rPr>
                <w:rFonts w:hint="default"/>
                <w:b w:val="0"/>
                <w:bCs w:val="0"/>
                <w:color w:val="auto"/>
                <w:highlight w:val="none"/>
                <w:lang w:val="en-US"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6B7346E6">
            <w:pPr>
              <w:pStyle w:val="34"/>
              <w:spacing w:line="360" w:lineRule="auto"/>
              <w:ind w:firstLine="0" w:firstLineChars="0"/>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21</w:t>
            </w:r>
          </w:p>
        </w:tc>
      </w:tr>
      <w:tr w14:paraId="3FF2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30FDEFFE">
            <w:pPr>
              <w:pStyle w:val="34"/>
              <w:numPr>
                <w:ilvl w:val="0"/>
                <w:numId w:val="11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4D636182">
            <w:pPr>
              <w:pStyle w:val="34"/>
              <w:numPr>
                <w:ilvl w:val="0"/>
                <w:numId w:val="0"/>
              </w:numPr>
              <w:tabs>
                <w:tab w:val="left" w:pos="1418"/>
              </w:tabs>
              <w:spacing w:line="360" w:lineRule="auto"/>
              <w:rPr>
                <w:rFonts w:hint="default"/>
                <w:b w:val="0"/>
                <w:bCs w:val="0"/>
                <w:color w:val="auto"/>
                <w:highlight w:val="none"/>
                <w:lang w:val="en-US" w:eastAsia="zh-CN"/>
              </w:rPr>
            </w:pPr>
            <w:r>
              <w:rPr>
                <w:rFonts w:hint="default"/>
                <w:b/>
                <w:bCs/>
                <w:color w:val="auto"/>
                <w:highlight w:val="none"/>
                <w:lang w:val="en-US" w:eastAsia="zh-CN"/>
              </w:rPr>
              <w:t>设备关键技术指标评价</w:t>
            </w:r>
          </w:p>
          <w:p w14:paraId="213B41A1">
            <w:pPr>
              <w:pStyle w:val="34"/>
              <w:numPr>
                <w:ilvl w:val="0"/>
                <w:numId w:val="0"/>
              </w:numPr>
              <w:tabs>
                <w:tab w:val="left" w:pos="1418"/>
              </w:tabs>
              <w:spacing w:line="360" w:lineRule="auto"/>
              <w:rPr>
                <w:rFonts w:hint="eastAsia"/>
                <w:b w:val="0"/>
                <w:bCs w:val="0"/>
                <w:color w:val="auto"/>
                <w:highlight w:val="none"/>
                <w:lang w:val="en-US" w:eastAsia="zh-CN"/>
              </w:rPr>
            </w:pPr>
            <w:r>
              <w:rPr>
                <w:rFonts w:hint="default"/>
                <w:b w:val="0"/>
                <w:bCs w:val="0"/>
                <w:color w:val="auto"/>
                <w:highlight w:val="none"/>
                <w:lang w:val="en-US" w:eastAsia="zh-CN"/>
              </w:rPr>
              <w:t>移动视频终端及公网链路</w:t>
            </w:r>
            <w:r>
              <w:rPr>
                <w:rFonts w:hint="eastAsia"/>
                <w:b w:val="0"/>
                <w:bCs w:val="0"/>
                <w:color w:val="auto"/>
                <w:highlight w:val="none"/>
                <w:lang w:val="en-US" w:eastAsia="zh-CN"/>
              </w:rPr>
              <w:t>、移动视频会议终端</w:t>
            </w:r>
            <w:r>
              <w:rPr>
                <w:rFonts w:hint="default"/>
                <w:b w:val="0"/>
                <w:bCs w:val="0"/>
                <w:color w:val="auto"/>
                <w:highlight w:val="none"/>
                <w:lang w:val="en-US" w:eastAsia="zh-CN"/>
              </w:rPr>
              <w:t>的性能参数、部署要求（详见</w:t>
            </w:r>
            <w:r>
              <w:rPr>
                <w:rFonts w:hint="eastAsia"/>
                <w:b w:val="0"/>
                <w:bCs w:val="0"/>
                <w:color w:val="auto"/>
                <w:highlight w:val="none"/>
                <w:lang w:val="en-US" w:eastAsia="zh-CN"/>
              </w:rPr>
              <w:t>第三章 “具体参数需求-（七）、（八）”</w:t>
            </w:r>
            <w:r>
              <w:rPr>
                <w:rFonts w:hint="default"/>
                <w:b w:val="0"/>
                <w:bCs w:val="0"/>
                <w:color w:val="auto"/>
                <w:highlight w:val="none"/>
                <w:lang w:val="en-US" w:eastAsia="zh-CN"/>
              </w:rPr>
              <w:t>）与需求的吻合程度和偏差情况是否能够满足招标文件要求</w:t>
            </w:r>
            <w:r>
              <w:rPr>
                <w:rFonts w:hint="eastAsia"/>
                <w:b w:val="0"/>
                <w:bCs w:val="0"/>
                <w:color w:val="auto"/>
                <w:highlight w:val="none"/>
                <w:lang w:val="en-US" w:eastAsia="zh-CN"/>
              </w:rPr>
              <w:t>：</w:t>
            </w:r>
          </w:p>
          <w:p w14:paraId="40B5C5F9">
            <w:pPr>
              <w:pStyle w:val="34"/>
              <w:numPr>
                <w:ilvl w:val="0"/>
                <w:numId w:val="112"/>
              </w:numPr>
              <w:ind w:firstLine="0" w:firstLineChars="0"/>
              <w:rPr>
                <w:rFonts w:cs="宋体"/>
                <w:color w:val="auto"/>
                <w:szCs w:val="24"/>
                <w:highlight w:val="none"/>
                <w:lang w:eastAsia="zh-CN"/>
              </w:rPr>
            </w:pPr>
            <w:r>
              <w:rPr>
                <w:rFonts w:hint="eastAsia" w:cs="宋体"/>
                <w:color w:val="auto"/>
                <w:szCs w:val="24"/>
                <w:highlight w:val="none"/>
              </w:rPr>
              <w:t>技术指标中</w:t>
            </w:r>
            <w:r>
              <w:rPr>
                <w:rFonts w:hint="eastAsia" w:cs="宋体"/>
                <w:color w:val="auto"/>
                <w:szCs w:val="24"/>
                <w:highlight w:val="none"/>
                <w:lang w:eastAsia="zh-CN"/>
              </w:rPr>
              <w:t>标记有</w:t>
            </w:r>
            <w:r>
              <w:rPr>
                <w:rFonts w:hint="eastAsia" w:cs="宋体"/>
                <w:color w:val="auto"/>
                <w:szCs w:val="24"/>
                <w:highlight w:val="none"/>
              </w:rPr>
              <w:t>“★”号的指标</w:t>
            </w:r>
            <w:r>
              <w:rPr>
                <w:rFonts w:hint="eastAsia" w:cs="宋体"/>
                <w:color w:val="auto"/>
                <w:szCs w:val="24"/>
                <w:highlight w:val="none"/>
                <w:lang w:eastAsia="zh-CN"/>
              </w:rPr>
              <w:t>为重要指标</w:t>
            </w:r>
            <w:r>
              <w:rPr>
                <w:rFonts w:hint="eastAsia" w:cs="宋体"/>
                <w:b/>
                <w:bCs/>
                <w:color w:val="auto"/>
                <w:szCs w:val="24"/>
                <w:highlight w:val="none"/>
                <w:lang w:eastAsia="zh-CN"/>
              </w:rPr>
              <w:t>（</w:t>
            </w:r>
            <w:r>
              <w:rPr>
                <w:rFonts w:hint="eastAsia" w:cs="宋体"/>
                <w:b/>
                <w:bCs/>
                <w:color w:val="auto"/>
                <w:szCs w:val="24"/>
                <w:highlight w:val="none"/>
                <w:lang w:val="en-US" w:eastAsia="zh-CN"/>
              </w:rPr>
              <w:t>共6条</w:t>
            </w:r>
            <w:r>
              <w:rPr>
                <w:rFonts w:hint="eastAsia" w:cs="宋体"/>
                <w:b/>
                <w:bCs/>
                <w:color w:val="auto"/>
                <w:szCs w:val="24"/>
                <w:highlight w:val="none"/>
                <w:lang w:eastAsia="zh-CN"/>
              </w:rPr>
              <w:t>）</w:t>
            </w:r>
            <w:r>
              <w:rPr>
                <w:rFonts w:hint="eastAsia" w:cs="宋体"/>
                <w:color w:val="auto"/>
                <w:szCs w:val="24"/>
                <w:highlight w:val="none"/>
                <w:lang w:eastAsia="zh-CN"/>
              </w:rPr>
              <w:t>，</w:t>
            </w:r>
            <w:r>
              <w:rPr>
                <w:rFonts w:hint="eastAsia" w:cs="宋体"/>
                <w:color w:val="auto"/>
                <w:szCs w:val="24"/>
                <w:highlight w:val="none"/>
                <w:lang w:val="en-US" w:eastAsia="zh-CN"/>
              </w:rPr>
              <w:t>重要指标全部满足或优于招标文件要求的得满分6分，</w:t>
            </w:r>
            <w:r>
              <w:rPr>
                <w:rFonts w:hint="eastAsia" w:cs="宋体"/>
                <w:color w:val="auto"/>
                <w:szCs w:val="24"/>
                <w:highlight w:val="none"/>
                <w:lang w:eastAsia="zh-CN"/>
              </w:rPr>
              <w:t>有</w:t>
            </w:r>
            <w:r>
              <w:rPr>
                <w:rFonts w:hint="eastAsia" w:cs="宋体"/>
                <w:color w:val="auto"/>
                <w:szCs w:val="24"/>
                <w:highlight w:val="none"/>
              </w:rPr>
              <w:t>“★”号</w:t>
            </w:r>
            <w:r>
              <w:rPr>
                <w:rFonts w:hint="eastAsia" w:cs="宋体"/>
                <w:color w:val="auto"/>
                <w:szCs w:val="24"/>
                <w:highlight w:val="none"/>
                <w:lang w:val="en-US" w:eastAsia="zh-CN"/>
              </w:rPr>
              <w:t>重要指标响应得分=（投标人满足</w:t>
            </w:r>
            <w:r>
              <w:rPr>
                <w:rFonts w:hint="eastAsia" w:cs="宋体"/>
                <w:color w:val="auto"/>
                <w:szCs w:val="24"/>
                <w:highlight w:val="none"/>
                <w:lang w:eastAsia="zh-CN"/>
              </w:rPr>
              <w:t>有</w:t>
            </w:r>
            <w:r>
              <w:rPr>
                <w:rFonts w:hint="eastAsia" w:cs="宋体"/>
                <w:color w:val="auto"/>
                <w:szCs w:val="24"/>
                <w:highlight w:val="none"/>
              </w:rPr>
              <w:t>“★”号</w:t>
            </w:r>
            <w:r>
              <w:rPr>
                <w:rFonts w:hint="eastAsia" w:cs="宋体"/>
                <w:color w:val="auto"/>
                <w:szCs w:val="24"/>
                <w:highlight w:val="none"/>
                <w:lang w:val="en-US" w:eastAsia="zh-CN"/>
              </w:rPr>
              <w:t>重要指标的数量÷招标文件</w:t>
            </w:r>
            <w:r>
              <w:rPr>
                <w:rFonts w:hint="eastAsia" w:cs="宋体"/>
                <w:color w:val="auto"/>
                <w:szCs w:val="24"/>
                <w:highlight w:val="none"/>
                <w:lang w:eastAsia="zh-CN"/>
              </w:rPr>
              <w:t>有</w:t>
            </w:r>
            <w:r>
              <w:rPr>
                <w:rFonts w:hint="eastAsia" w:cs="宋体"/>
                <w:color w:val="auto"/>
                <w:szCs w:val="24"/>
                <w:highlight w:val="none"/>
              </w:rPr>
              <w:t>“★”号</w:t>
            </w:r>
            <w:r>
              <w:rPr>
                <w:rFonts w:hint="eastAsia" w:cs="宋体"/>
                <w:color w:val="auto"/>
                <w:szCs w:val="24"/>
                <w:highlight w:val="none"/>
                <w:lang w:val="en-US" w:eastAsia="zh-CN"/>
              </w:rPr>
              <w:t>重要指标的总数量）×6分</w:t>
            </w:r>
            <w:r>
              <w:rPr>
                <w:rFonts w:hint="eastAsia" w:cs="宋体"/>
                <w:color w:val="auto"/>
                <w:szCs w:val="24"/>
                <w:highlight w:val="none"/>
                <w:lang w:eastAsia="zh-CN"/>
              </w:rPr>
              <w:t>；</w:t>
            </w:r>
          </w:p>
          <w:p w14:paraId="5CDE55F9">
            <w:pPr>
              <w:pStyle w:val="34"/>
              <w:numPr>
                <w:ilvl w:val="0"/>
                <w:numId w:val="112"/>
              </w:numPr>
              <w:ind w:firstLine="0" w:firstLineChars="0"/>
              <w:rPr>
                <w:rFonts w:cs="宋体"/>
                <w:color w:val="auto"/>
                <w:szCs w:val="24"/>
                <w:highlight w:val="none"/>
                <w:lang w:eastAsia="zh-CN"/>
              </w:rPr>
            </w:pPr>
            <w:r>
              <w:rPr>
                <w:rFonts w:hint="eastAsia" w:cs="宋体"/>
                <w:color w:val="auto"/>
                <w:szCs w:val="24"/>
                <w:highlight w:val="none"/>
              </w:rPr>
              <w:t>其他一般指标</w:t>
            </w:r>
            <w:r>
              <w:rPr>
                <w:rFonts w:hint="eastAsia" w:cs="宋体"/>
                <w:b/>
                <w:bCs/>
                <w:color w:val="auto"/>
                <w:szCs w:val="24"/>
                <w:highlight w:val="none"/>
                <w:lang w:eastAsia="zh-CN"/>
              </w:rPr>
              <w:t>（</w:t>
            </w:r>
            <w:r>
              <w:rPr>
                <w:rFonts w:hint="eastAsia" w:cs="宋体"/>
                <w:b/>
                <w:bCs/>
                <w:color w:val="auto"/>
                <w:szCs w:val="24"/>
                <w:highlight w:val="none"/>
                <w:lang w:val="en-US" w:eastAsia="zh-CN"/>
              </w:rPr>
              <w:t>共19条</w:t>
            </w:r>
            <w:r>
              <w:rPr>
                <w:rFonts w:hint="eastAsia" w:cs="宋体"/>
                <w:b/>
                <w:bCs/>
                <w:color w:val="auto"/>
                <w:szCs w:val="24"/>
                <w:highlight w:val="none"/>
                <w:lang w:eastAsia="zh-CN"/>
              </w:rPr>
              <w:t>）</w:t>
            </w:r>
            <w:r>
              <w:rPr>
                <w:rFonts w:hint="eastAsia" w:cs="宋体"/>
                <w:color w:val="auto"/>
                <w:szCs w:val="24"/>
                <w:highlight w:val="none"/>
                <w:lang w:val="en-US" w:eastAsia="zh-CN"/>
              </w:rPr>
              <w:t>全部满足或优于采购文件要求的得满分5分，</w:t>
            </w:r>
            <w:r>
              <w:rPr>
                <w:rFonts w:hint="eastAsia" w:cs="宋体"/>
                <w:color w:val="auto"/>
                <w:szCs w:val="24"/>
                <w:highlight w:val="none"/>
              </w:rPr>
              <w:t>其他一般指标</w:t>
            </w:r>
            <w:r>
              <w:rPr>
                <w:rFonts w:hint="eastAsia" w:cs="宋体"/>
                <w:color w:val="auto"/>
                <w:szCs w:val="24"/>
                <w:highlight w:val="none"/>
                <w:lang w:val="en-US" w:eastAsia="zh-CN"/>
              </w:rPr>
              <w:t>响应得分=（投标人满足</w:t>
            </w:r>
            <w:r>
              <w:rPr>
                <w:rFonts w:hint="eastAsia" w:cs="宋体"/>
                <w:color w:val="auto"/>
                <w:szCs w:val="24"/>
                <w:highlight w:val="none"/>
              </w:rPr>
              <w:t>其他一般指标</w:t>
            </w:r>
            <w:r>
              <w:rPr>
                <w:rFonts w:hint="eastAsia" w:cs="宋体"/>
                <w:color w:val="auto"/>
                <w:szCs w:val="24"/>
                <w:highlight w:val="none"/>
                <w:lang w:val="en-US" w:eastAsia="zh-CN"/>
              </w:rPr>
              <w:t>的数量÷招标文件</w:t>
            </w:r>
            <w:r>
              <w:rPr>
                <w:rFonts w:hint="eastAsia" w:cs="宋体"/>
                <w:color w:val="auto"/>
                <w:szCs w:val="24"/>
                <w:highlight w:val="none"/>
              </w:rPr>
              <w:t>其他一般指标</w:t>
            </w:r>
            <w:r>
              <w:rPr>
                <w:rFonts w:hint="eastAsia" w:cs="宋体"/>
                <w:color w:val="auto"/>
                <w:szCs w:val="24"/>
                <w:highlight w:val="none"/>
                <w:lang w:val="en-US" w:eastAsia="zh-CN"/>
              </w:rPr>
              <w:t>的总数量）×5分</w:t>
            </w:r>
            <w:r>
              <w:rPr>
                <w:rFonts w:hint="eastAsia" w:cs="宋体"/>
                <w:color w:val="auto"/>
                <w:szCs w:val="24"/>
                <w:highlight w:val="none"/>
                <w:lang w:eastAsia="zh-CN"/>
              </w:rPr>
              <w:t>。</w:t>
            </w:r>
          </w:p>
          <w:p w14:paraId="0A47F5EC">
            <w:pPr>
              <w:pStyle w:val="34"/>
              <w:numPr>
                <w:ilvl w:val="0"/>
                <w:numId w:val="0"/>
              </w:numPr>
              <w:rPr>
                <w:rFonts w:hint="eastAsia"/>
                <w:b w:val="0"/>
                <w:bCs w:val="0"/>
                <w:color w:val="auto"/>
                <w:highlight w:val="none"/>
                <w:lang w:val="en-US" w:eastAsia="zh-CN"/>
              </w:rPr>
            </w:pPr>
            <w:r>
              <w:rPr>
                <w:rFonts w:hint="eastAsia" w:cs="宋体"/>
                <w:b/>
                <w:bCs/>
                <w:color w:val="auto"/>
                <w:szCs w:val="24"/>
                <w:highlight w:val="none"/>
                <w:lang w:val="en-US" w:eastAsia="zh-CN"/>
              </w:rPr>
              <w:t>备注：</w:t>
            </w:r>
            <w:r>
              <w:rPr>
                <w:rFonts w:hint="eastAsia" w:cs="宋体"/>
                <w:color w:val="auto"/>
                <w:szCs w:val="24"/>
                <w:highlight w:val="none"/>
                <w:lang w:val="en-US" w:eastAsia="zh-CN"/>
              </w:rPr>
              <w:t>以</w:t>
            </w:r>
            <w:r>
              <w:rPr>
                <w:rFonts w:hint="eastAsia"/>
                <w:b w:val="0"/>
                <w:bCs w:val="0"/>
                <w:color w:val="auto"/>
                <w:highlight w:val="none"/>
                <w:lang w:val="en-US" w:eastAsia="zh-CN"/>
              </w:rPr>
              <w:t>第三章 “具体参数需求-（七）、（八）”中的</w:t>
            </w:r>
            <w:r>
              <w:rPr>
                <w:rFonts w:hint="eastAsia" w:cs="宋体"/>
                <w:color w:val="auto"/>
                <w:szCs w:val="24"/>
                <w:highlight w:val="none"/>
                <w:lang w:val="en-US" w:eastAsia="zh-CN"/>
              </w:rPr>
              <w:t>阿拉伯数字编号“（1）”“（2）”“（3）”…为一条，得分四舍五入保留小数点后两位小数</w:t>
            </w:r>
          </w:p>
          <w:p w14:paraId="0C824AF0">
            <w:pPr>
              <w:pStyle w:val="34"/>
              <w:numPr>
                <w:ilvl w:val="0"/>
                <w:numId w:val="0"/>
              </w:numPr>
              <w:tabs>
                <w:tab w:val="left" w:pos="1418"/>
              </w:tabs>
              <w:spacing w:line="360" w:lineRule="auto"/>
              <w:rPr>
                <w:rFonts w:hint="default"/>
                <w:b w:val="0"/>
                <w:bCs w:val="0"/>
                <w:color w:val="auto"/>
                <w:highlight w:val="none"/>
                <w:lang w:val="en-US" w:eastAsia="zh-CN"/>
              </w:rPr>
            </w:pPr>
            <w:r>
              <w:rPr>
                <w:rFonts w:hint="default"/>
                <w:b/>
                <w:bCs/>
                <w:color w:val="auto"/>
                <w:highlight w:val="none"/>
                <w:lang w:val="en-US" w:eastAsia="zh-CN"/>
              </w:rPr>
              <w:t>有效证明文件</w:t>
            </w:r>
            <w:r>
              <w:rPr>
                <w:rFonts w:hint="default"/>
                <w:b w:val="0"/>
                <w:bCs w:val="0"/>
                <w:color w:val="auto"/>
                <w:highlight w:val="none"/>
                <w:lang w:val="en-US" w:eastAsia="zh-CN"/>
              </w:rPr>
              <w:t>：可提供权威检测机构出具的检测报告复制件或制造商公开发布的宣传手册扫描件或制造商官网截图或加盖制造商公章的技术规格书（白皮书）等其他佐证材料。</w:t>
            </w:r>
          </w:p>
          <w:p w14:paraId="22F6DEDF">
            <w:pPr>
              <w:pStyle w:val="34"/>
              <w:numPr>
                <w:ilvl w:val="0"/>
                <w:numId w:val="0"/>
              </w:numPr>
              <w:tabs>
                <w:tab w:val="left" w:pos="1418"/>
              </w:tabs>
              <w:spacing w:line="360" w:lineRule="auto"/>
              <w:rPr>
                <w:rFonts w:hint="default"/>
                <w:b w:val="0"/>
                <w:bCs w:val="0"/>
                <w:color w:val="auto"/>
                <w:highlight w:val="none"/>
                <w:lang w:val="en-US" w:eastAsia="zh-CN"/>
              </w:rPr>
            </w:pPr>
            <w:r>
              <w:rPr>
                <w:rFonts w:hint="default"/>
                <w:b w:val="0"/>
                <w:bCs w:val="0"/>
                <w:color w:val="auto"/>
                <w:highlight w:val="none"/>
                <w:lang w:val="en-US" w:eastAsia="zh-CN"/>
              </w:rPr>
              <w:t>投标人应按技术需求逐一对应填写偏离情况并标明佐证材料对应页码。未提供或证明材料不充分的，将被视为负偏离。</w:t>
            </w:r>
          </w:p>
        </w:tc>
        <w:tc>
          <w:tcPr>
            <w:tcW w:w="567" w:type="pct"/>
            <w:gridSpan w:val="2"/>
            <w:vAlign w:val="center"/>
          </w:tcPr>
          <w:p w14:paraId="64417AF9">
            <w:pPr>
              <w:pStyle w:val="34"/>
              <w:spacing w:line="360" w:lineRule="auto"/>
              <w:ind w:firstLine="0" w:firstLineChars="0"/>
              <w:jc w:val="center"/>
              <w:rPr>
                <w:rFonts w:hint="default" w:cs="宋体"/>
                <w:kern w:val="0"/>
                <w:sz w:val="24"/>
                <w:szCs w:val="24"/>
                <w:lang w:val="en-US" w:eastAsia="zh-CN"/>
              </w:rPr>
            </w:pPr>
            <w:r>
              <w:rPr>
                <w:rFonts w:hint="eastAsia" w:cs="宋体"/>
                <w:kern w:val="0"/>
                <w:sz w:val="24"/>
                <w:szCs w:val="24"/>
                <w:lang w:val="en-US" w:eastAsia="zh-CN"/>
              </w:rPr>
              <w:t>11</w:t>
            </w:r>
          </w:p>
        </w:tc>
      </w:tr>
      <w:tr w14:paraId="0455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7A27EEB3">
            <w:pPr>
              <w:pStyle w:val="34"/>
              <w:numPr>
                <w:ilvl w:val="0"/>
                <w:numId w:val="11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1517AC22">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服务质量保证措施评价</w:t>
            </w:r>
          </w:p>
          <w:p w14:paraId="5428ACB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采购需求提供相关服务质量保证措施，措施全面、有效规范、可行性强的得5分，内容有欠缺或没有针对性但不影响项目实施的得3分；缺陷明显且可能会影响到具体项目实施的得1分；内容完全不符或未提供不得分。</w:t>
            </w:r>
          </w:p>
          <w:p w14:paraId="5C6E538B">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20B4366F">
            <w:pPr>
              <w:pStyle w:val="34"/>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0562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1C1AE2E5">
            <w:pPr>
              <w:pStyle w:val="34"/>
              <w:numPr>
                <w:ilvl w:val="0"/>
                <w:numId w:val="11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65E2414A">
            <w:pPr>
              <w:spacing w:line="360" w:lineRule="auto"/>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CN"/>
              </w:rPr>
              <w:t>项目实施计划及进度保证措施方案</w:t>
            </w:r>
            <w:r>
              <w:rPr>
                <w:rFonts w:hint="eastAsia" w:ascii="宋体" w:hAnsi="宋体" w:eastAsia="宋体" w:cs="宋体"/>
                <w:b/>
                <w:bCs/>
                <w:sz w:val="24"/>
                <w:szCs w:val="24"/>
                <w:lang w:val="en-US" w:eastAsia="zh-Hans"/>
              </w:rPr>
              <w:t>评价</w:t>
            </w:r>
          </w:p>
          <w:p w14:paraId="5591391E">
            <w:pPr>
              <w:pStyle w:val="34"/>
              <w:spacing w:line="360" w:lineRule="auto"/>
              <w:ind w:firstLine="0" w:firstLineChars="0"/>
              <w:rPr>
                <w:rFonts w:hint="eastAsia" w:cs="宋体"/>
                <w:szCs w:val="24"/>
                <w:lang w:eastAsia="zh-CN"/>
              </w:rPr>
            </w:pPr>
            <w:r>
              <w:rPr>
                <w:rFonts w:hint="eastAsia" w:cs="宋体"/>
                <w:szCs w:val="24"/>
                <w:lang w:eastAsia="zh-CN"/>
              </w:rPr>
              <w:t>方案内容完整、针对性强</w:t>
            </w:r>
            <w:r>
              <w:rPr>
                <w:rFonts w:hint="eastAsia" w:cs="宋体"/>
                <w:szCs w:val="24"/>
              </w:rPr>
              <w:t>得</w:t>
            </w:r>
            <w:r>
              <w:rPr>
                <w:rFonts w:hint="eastAsia" w:cs="宋体"/>
                <w:szCs w:val="24"/>
                <w:lang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r>
              <w:rPr>
                <w:rFonts w:hint="eastAsia" w:cs="宋体"/>
                <w:szCs w:val="24"/>
                <w:lang w:eastAsia="zh-CN"/>
              </w:rPr>
              <w:t>。</w:t>
            </w:r>
          </w:p>
          <w:p w14:paraId="1A53BEE9">
            <w:pPr>
              <w:pStyle w:val="34"/>
              <w:spacing w:line="360" w:lineRule="auto"/>
              <w:ind w:firstLine="0" w:firstLineChars="0"/>
              <w:rPr>
                <w:rFonts w:hint="eastAsia" w:ascii="宋体" w:hAnsi="宋体" w:eastAsia="宋体" w:cs="宋体"/>
                <w:sz w:val="24"/>
                <w:szCs w:val="24"/>
                <w:lang w:val="en-US" w:eastAsia="zh-Hans"/>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3CF95857">
            <w:pPr>
              <w:pStyle w:val="34"/>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2B6F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519E1A5F">
            <w:pPr>
              <w:pStyle w:val="34"/>
              <w:numPr>
                <w:ilvl w:val="0"/>
                <w:numId w:val="11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3DE7FE14">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应急处理方案</w:t>
            </w:r>
            <w:r>
              <w:rPr>
                <w:rFonts w:hint="eastAsia" w:ascii="宋体" w:hAnsi="宋体" w:eastAsia="宋体" w:cs="宋体"/>
                <w:b/>
                <w:bCs/>
                <w:sz w:val="24"/>
                <w:szCs w:val="24"/>
                <w:lang w:val="en-US" w:eastAsia="zh-Hans"/>
              </w:rPr>
              <w:t>评价</w:t>
            </w:r>
          </w:p>
          <w:p w14:paraId="68474355">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应急情况处理，突发事件的应急预案、措施的详细性、可操作性等方案，详尽明确、针对性强且可行性程度高的得5分，内容有欠缺或没有针对性但不影响项目实施的得3分；缺陷明显且可能会影响到具体项目实施的得1分；内容完全不符或未提供不得分。</w:t>
            </w:r>
          </w:p>
          <w:p w14:paraId="71709A9C">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3B19615F">
            <w:pPr>
              <w:pStyle w:val="34"/>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1C01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456B92EC">
            <w:pPr>
              <w:pStyle w:val="34"/>
              <w:numPr>
                <w:ilvl w:val="0"/>
                <w:numId w:val="11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77F437A9">
            <w:pPr>
              <w:spacing w:line="360" w:lineRule="auto"/>
              <w:rPr>
                <w:rFonts w:hint="default" w:ascii="宋体" w:hAnsi="宋体" w:eastAsia="宋体" w:cs="宋体"/>
                <w:b/>
                <w:bCs/>
                <w:sz w:val="24"/>
                <w:szCs w:val="24"/>
                <w:lang w:eastAsia="zh-CN"/>
              </w:rPr>
            </w:pPr>
            <w:r>
              <w:rPr>
                <w:rFonts w:hint="eastAsia" w:ascii="宋体" w:hAnsi="宋体" w:cs="宋体"/>
                <w:b/>
                <w:bCs/>
                <w:sz w:val="24"/>
                <w:szCs w:val="24"/>
                <w:lang w:val="en-US" w:eastAsia="zh-CN"/>
              </w:rPr>
              <w:t>培训</w:t>
            </w:r>
            <w:r>
              <w:rPr>
                <w:rFonts w:hint="eastAsia" w:ascii="宋体" w:hAnsi="宋体" w:eastAsia="宋体" w:cs="宋体"/>
                <w:b/>
                <w:bCs/>
                <w:sz w:val="24"/>
                <w:szCs w:val="24"/>
                <w:lang w:val="en-US" w:eastAsia="zh-CN"/>
              </w:rPr>
              <w:t>方案评价</w:t>
            </w:r>
          </w:p>
          <w:p w14:paraId="16D62D6F">
            <w:pPr>
              <w:pStyle w:val="34"/>
              <w:spacing w:line="360" w:lineRule="auto"/>
              <w:ind w:firstLine="0" w:firstLineChars="0"/>
              <w:rPr>
                <w:rFonts w:hint="eastAsia" w:cs="宋体"/>
                <w:szCs w:val="24"/>
                <w:lang w:eastAsia="zh-CN"/>
              </w:rPr>
            </w:pPr>
            <w:r>
              <w:rPr>
                <w:rFonts w:hint="eastAsia" w:cs="宋体"/>
                <w:szCs w:val="24"/>
                <w:lang w:eastAsia="zh-CN"/>
              </w:rPr>
              <w:t>方案内容完整、针对性强</w:t>
            </w:r>
            <w:r>
              <w:rPr>
                <w:rFonts w:hint="eastAsia" w:cs="宋体"/>
                <w:szCs w:val="24"/>
              </w:rPr>
              <w:t>得</w:t>
            </w:r>
            <w:r>
              <w:rPr>
                <w:rFonts w:hint="eastAsia" w:cs="宋体"/>
                <w:szCs w:val="24"/>
                <w:lang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r>
              <w:rPr>
                <w:rFonts w:hint="eastAsia" w:cs="宋体"/>
                <w:szCs w:val="24"/>
                <w:lang w:eastAsia="zh-CN"/>
              </w:rPr>
              <w:t>。</w:t>
            </w:r>
          </w:p>
          <w:p w14:paraId="1DA6DAF5">
            <w:pPr>
              <w:pStyle w:val="34"/>
              <w:spacing w:line="360" w:lineRule="auto"/>
              <w:ind w:firstLine="0" w:firstLineChars="0"/>
              <w:rPr>
                <w:rFonts w:hint="eastAsia" w:ascii="宋体" w:hAnsi="宋体" w:eastAsia="宋体" w:cs="宋体"/>
                <w:sz w:val="24"/>
                <w:szCs w:val="24"/>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35778C46">
            <w:pPr>
              <w:pStyle w:val="34"/>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3AD0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64BCB484">
            <w:pPr>
              <w:pStyle w:val="34"/>
              <w:numPr>
                <w:ilvl w:val="0"/>
                <w:numId w:val="11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1E833FCB">
            <w:pPr>
              <w:pStyle w:val="34"/>
              <w:spacing w:line="360" w:lineRule="auto"/>
              <w:ind w:firstLine="0" w:firstLineChars="0"/>
              <w:rPr>
                <w:rFonts w:hint="eastAsia"/>
                <w:b/>
                <w:bCs/>
                <w:color w:val="auto"/>
                <w:highlight w:val="none"/>
                <w:lang w:val="en-US" w:eastAsia="zh-CN"/>
              </w:rPr>
            </w:pPr>
            <w:r>
              <w:rPr>
                <w:rFonts w:hint="eastAsia"/>
                <w:b/>
                <w:bCs/>
                <w:color w:val="auto"/>
                <w:highlight w:val="none"/>
                <w:lang w:val="en-US" w:eastAsia="zh-CN"/>
              </w:rPr>
              <w:t>保密方案评价</w:t>
            </w:r>
          </w:p>
          <w:p w14:paraId="5ECA4703">
            <w:pPr>
              <w:pStyle w:val="34"/>
              <w:spacing w:line="360" w:lineRule="auto"/>
              <w:ind w:firstLine="0" w:firstLineChars="0"/>
              <w:rPr>
                <w:rFonts w:hint="eastAsia" w:cs="宋体"/>
                <w:szCs w:val="24"/>
                <w:lang w:eastAsia="zh-CN"/>
              </w:rPr>
            </w:pPr>
            <w:r>
              <w:rPr>
                <w:rFonts w:hint="eastAsia" w:cs="宋体"/>
                <w:szCs w:val="24"/>
                <w:lang w:eastAsia="zh-CN"/>
              </w:rPr>
              <w:t>方案内容完整、针对性强</w:t>
            </w:r>
            <w:r>
              <w:rPr>
                <w:rFonts w:hint="eastAsia" w:cs="宋体"/>
                <w:szCs w:val="24"/>
              </w:rPr>
              <w:t>得</w:t>
            </w:r>
            <w:r>
              <w:rPr>
                <w:rFonts w:hint="eastAsia" w:cs="宋体"/>
                <w:szCs w:val="24"/>
                <w:lang w:val="en-US"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val="en-US"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r>
              <w:rPr>
                <w:rFonts w:hint="eastAsia" w:cs="宋体"/>
                <w:szCs w:val="24"/>
                <w:lang w:eastAsia="zh-CN"/>
              </w:rPr>
              <w:t>。</w:t>
            </w:r>
          </w:p>
          <w:p w14:paraId="34DD2862">
            <w:pPr>
              <w:pStyle w:val="34"/>
              <w:spacing w:line="360" w:lineRule="auto"/>
              <w:ind w:firstLine="0" w:firstLineChars="0"/>
              <w:rPr>
                <w:rFonts w:hint="default"/>
                <w:color w:val="auto"/>
                <w:highlight w:val="none"/>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1A33AEDE">
            <w:pPr>
              <w:pStyle w:val="34"/>
              <w:spacing w:line="360" w:lineRule="auto"/>
              <w:ind w:firstLine="0" w:firstLineChars="0"/>
              <w:jc w:val="center"/>
              <w:rPr>
                <w:rFonts w:hint="eastAsia" w:ascii="宋体" w:hAnsi="宋体" w:eastAsia="宋体" w:cs="宋体"/>
                <w:kern w:val="0"/>
                <w:sz w:val="24"/>
                <w:szCs w:val="24"/>
                <w:lang w:val="en-US" w:eastAsia="zh-CN"/>
              </w:rPr>
            </w:pPr>
            <w:r>
              <w:rPr>
                <w:rFonts w:hint="eastAsia" w:cs="宋体"/>
                <w:kern w:val="0"/>
                <w:sz w:val="24"/>
                <w:szCs w:val="24"/>
                <w:lang w:val="en-US" w:eastAsia="zh-CN"/>
              </w:rPr>
              <w:t>5</w:t>
            </w:r>
          </w:p>
        </w:tc>
      </w:tr>
      <w:tr w14:paraId="2E27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349BBEBD">
            <w:pPr>
              <w:pStyle w:val="34"/>
              <w:numPr>
                <w:ilvl w:val="0"/>
                <w:numId w:val="11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0C7CDD39">
            <w:pPr>
              <w:pStyle w:val="34"/>
              <w:spacing w:line="360" w:lineRule="auto"/>
              <w:ind w:firstLine="0" w:firstLineChars="0"/>
              <w:rPr>
                <w:rFonts w:hint="eastAsia"/>
                <w:color w:val="auto"/>
                <w:highlight w:val="none"/>
                <w:lang w:val="en-US" w:eastAsia="zh-CN"/>
              </w:rPr>
            </w:pPr>
            <w:r>
              <w:rPr>
                <w:rFonts w:hint="eastAsia"/>
                <w:b/>
                <w:bCs/>
                <w:color w:val="auto"/>
                <w:highlight w:val="none"/>
                <w:lang w:val="en-US" w:eastAsia="zh-CN"/>
              </w:rPr>
              <w:t>服务承诺评价</w:t>
            </w:r>
          </w:p>
          <w:p w14:paraId="4AEEE6EB">
            <w:pPr>
              <w:pStyle w:val="34"/>
              <w:numPr>
                <w:ilvl w:val="0"/>
                <w:numId w:val="113"/>
              </w:numPr>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根据采购需求提供服务响应方案或承诺书，完全响应或优于采购文件要求的得</w:t>
            </w:r>
            <w:r>
              <w:rPr>
                <w:rFonts w:hint="eastAsia" w:cs="宋体"/>
                <w:sz w:val="24"/>
                <w:szCs w:val="24"/>
                <w:lang w:val="en-US" w:eastAsia="zh-CN"/>
              </w:rPr>
              <w:t>2</w:t>
            </w:r>
            <w:r>
              <w:rPr>
                <w:rFonts w:hint="eastAsia" w:ascii="宋体" w:hAnsi="宋体" w:eastAsia="宋体" w:cs="宋体"/>
                <w:sz w:val="24"/>
                <w:szCs w:val="24"/>
                <w:lang w:val="en-US" w:eastAsia="zh-CN"/>
              </w:rPr>
              <w:t>分，否则不得</w:t>
            </w:r>
            <w:bookmarkStart w:id="428" w:name="_GoBack"/>
            <w:bookmarkEnd w:id="428"/>
            <w:r>
              <w:rPr>
                <w:rFonts w:hint="eastAsia" w:ascii="宋体" w:hAnsi="宋体" w:eastAsia="宋体" w:cs="宋体"/>
                <w:sz w:val="24"/>
                <w:szCs w:val="24"/>
                <w:lang w:val="en-US" w:eastAsia="zh-CN"/>
              </w:rPr>
              <w:t>分。</w:t>
            </w:r>
          </w:p>
          <w:p w14:paraId="5F609917">
            <w:pPr>
              <w:pStyle w:val="34"/>
              <w:numPr>
                <w:ilvl w:val="0"/>
                <w:numId w:val="113"/>
              </w:numPr>
              <w:spacing w:line="360" w:lineRule="auto"/>
              <w:ind w:firstLine="0" w:firstLineChars="0"/>
              <w:rPr>
                <w:rFonts w:hint="eastAsia" w:ascii="宋体" w:hAnsi="宋体" w:eastAsia="宋体" w:cs="宋体"/>
                <w:sz w:val="24"/>
                <w:szCs w:val="24"/>
                <w:lang w:val="en-US" w:eastAsia="zh-CN"/>
              </w:rPr>
            </w:pPr>
            <w:r>
              <w:rPr>
                <w:rFonts w:hint="eastAsia" w:cs="宋体"/>
                <w:sz w:val="24"/>
                <w:szCs w:val="24"/>
                <w:lang w:val="en-US" w:eastAsia="zh-CN"/>
              </w:rPr>
              <w:t>根据采购需求提供相应的设备质保服务期承诺，完全响应或优于采购文件要求的得1分，否则不得分。</w:t>
            </w:r>
          </w:p>
          <w:p w14:paraId="531F943E">
            <w:pPr>
              <w:pStyle w:val="34"/>
              <w:spacing w:line="360" w:lineRule="auto"/>
              <w:ind w:firstLine="0" w:firstLineChars="0"/>
              <w:rPr>
                <w:rFonts w:hint="default"/>
                <w:color w:val="auto"/>
                <w:highlight w:val="none"/>
                <w:lang w:val="en-US" w:eastAsia="zh-CN"/>
              </w:rPr>
            </w:pPr>
            <w:r>
              <w:rPr>
                <w:rFonts w:ascii="Times New Roman" w:hAnsi="Times New Roman" w:eastAsia="宋体" w:cs="Times New Roman"/>
                <w:b/>
                <w:bCs/>
                <w:color w:val="auto"/>
                <w:highlight w:val="none"/>
              </w:rPr>
              <w:t>有效证明文件：</w:t>
            </w:r>
            <w:r>
              <w:rPr>
                <w:rFonts w:ascii="Times New Roman" w:hAnsi="Times New Roman" w:eastAsia="宋体" w:cs="Times New Roman"/>
                <w:color w:val="auto"/>
                <w:highlight w:val="none"/>
              </w:rPr>
              <w:t>承诺书</w:t>
            </w:r>
            <w:r>
              <w:rPr>
                <w:rFonts w:hint="eastAsia" w:ascii="Times New Roman" w:hAnsi="Times New Roman" w:eastAsia="宋体" w:cs="Times New Roman"/>
                <w:color w:val="auto"/>
                <w:highlight w:val="none"/>
                <w:lang w:val="en-US" w:eastAsia="zh-CN"/>
              </w:rPr>
              <w:t>或具体方案</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格式自拟</w:t>
            </w:r>
            <w:r>
              <w:rPr>
                <w:rFonts w:hint="eastAsia" w:ascii="Times New Roman" w:hAnsi="Times New Roman" w:eastAsia="宋体" w:cs="Times New Roman"/>
                <w:color w:val="auto"/>
                <w:highlight w:val="none"/>
                <w:lang w:eastAsia="zh-CN"/>
              </w:rPr>
              <w:t>）</w:t>
            </w:r>
          </w:p>
        </w:tc>
        <w:tc>
          <w:tcPr>
            <w:tcW w:w="567" w:type="pct"/>
            <w:gridSpan w:val="2"/>
            <w:vAlign w:val="center"/>
          </w:tcPr>
          <w:p w14:paraId="3FFD347A">
            <w:pPr>
              <w:pStyle w:val="34"/>
              <w:spacing w:line="360" w:lineRule="auto"/>
              <w:ind w:firstLine="0" w:firstLineChars="0"/>
              <w:jc w:val="center"/>
              <w:rPr>
                <w:rFonts w:hint="default" w:cs="宋体"/>
                <w:kern w:val="0"/>
                <w:sz w:val="24"/>
                <w:szCs w:val="24"/>
                <w:lang w:val="en-US" w:eastAsia="zh-CN"/>
              </w:rPr>
            </w:pPr>
            <w:r>
              <w:rPr>
                <w:rFonts w:hint="eastAsia" w:cs="宋体"/>
                <w:kern w:val="0"/>
                <w:sz w:val="24"/>
                <w:szCs w:val="24"/>
                <w:lang w:val="en-US" w:eastAsia="zh-CN"/>
              </w:rPr>
              <w:t>3</w:t>
            </w:r>
          </w:p>
        </w:tc>
      </w:tr>
      <w:tr w14:paraId="44FF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290D4D4B">
            <w:pPr>
              <w:pStyle w:val="34"/>
              <w:numPr>
                <w:ilvl w:val="0"/>
                <w:numId w:val="11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279ACDF5">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服务团队负责人能力评价</w:t>
            </w:r>
          </w:p>
          <w:p w14:paraId="734F9E76">
            <w:pPr>
              <w:pStyle w:val="34"/>
              <w:keepNext w:val="0"/>
              <w:keepLines w:val="0"/>
              <w:pageBreakBefore w:val="0"/>
              <w:widowControl w:val="0"/>
              <w:numPr>
                <w:ilvl w:val="0"/>
                <w:numId w:val="114"/>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拟派</w:t>
            </w:r>
            <w:r>
              <w:rPr>
                <w:rFonts w:hint="eastAsia" w:ascii="宋体" w:hAnsi="宋体" w:eastAsia="宋体" w:cs="宋体"/>
                <w:color w:val="auto"/>
                <w:kern w:val="0"/>
                <w:sz w:val="24"/>
                <w:szCs w:val="24"/>
                <w:highlight w:val="none"/>
              </w:rPr>
              <w:t>项目负责人</w:t>
            </w:r>
            <w:r>
              <w:rPr>
                <w:rFonts w:hint="eastAsia" w:ascii="宋体" w:hAnsi="宋体" w:eastAsia="宋体" w:cs="宋体"/>
                <w:color w:val="auto"/>
                <w:kern w:val="0"/>
                <w:sz w:val="24"/>
                <w:szCs w:val="24"/>
                <w:highlight w:val="none"/>
                <w:lang w:eastAsia="zh-CN"/>
              </w:rPr>
              <w:t>自2022年1月1日以来（以合同签订时间为准）以项目负责人身份参与的类似项目业绩，每有一个得</w:t>
            </w:r>
            <w:r>
              <w:rPr>
                <w:rFonts w:hint="eastAsia"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分，本</w:t>
            </w:r>
            <w:r>
              <w:rPr>
                <w:rFonts w:hint="eastAsia" w:ascii="宋体" w:hAnsi="宋体" w:eastAsia="宋体" w:cs="宋体"/>
                <w:color w:val="auto"/>
                <w:kern w:val="0"/>
                <w:sz w:val="24"/>
                <w:szCs w:val="24"/>
                <w:highlight w:val="none"/>
                <w:lang w:val="en-US" w:eastAsia="zh-CN"/>
              </w:rPr>
              <w:t>小</w:t>
            </w:r>
            <w:r>
              <w:rPr>
                <w:rFonts w:hint="eastAsia" w:ascii="宋体" w:hAnsi="宋体" w:eastAsia="宋体" w:cs="宋体"/>
                <w:color w:val="auto"/>
                <w:kern w:val="0"/>
                <w:sz w:val="24"/>
                <w:szCs w:val="24"/>
                <w:highlight w:val="none"/>
                <w:lang w:eastAsia="zh-CN"/>
              </w:rPr>
              <w:t>项满分</w:t>
            </w:r>
            <w:r>
              <w:rPr>
                <w:rFonts w:hint="eastAsia"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分。</w:t>
            </w:r>
          </w:p>
          <w:p w14:paraId="57886C12">
            <w:pPr>
              <w:pStyle w:val="34"/>
              <w:keepNext w:val="0"/>
              <w:keepLines w:val="0"/>
              <w:pageBreakBefore w:val="0"/>
              <w:widowControl w:val="0"/>
              <w:numPr>
                <w:ilvl w:val="0"/>
                <w:numId w:val="114"/>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拟派</w:t>
            </w:r>
            <w:r>
              <w:rPr>
                <w:rFonts w:hint="eastAsia" w:ascii="宋体" w:hAnsi="宋体" w:eastAsia="宋体" w:cs="宋体"/>
                <w:color w:val="auto"/>
                <w:kern w:val="0"/>
                <w:sz w:val="24"/>
                <w:szCs w:val="24"/>
                <w:highlight w:val="none"/>
              </w:rPr>
              <w:t>项目负责人</w:t>
            </w:r>
            <w:r>
              <w:rPr>
                <w:rFonts w:hint="eastAsia" w:ascii="宋体" w:hAnsi="宋体" w:eastAsia="宋体" w:cs="宋体"/>
                <w:color w:val="auto"/>
                <w:kern w:val="0"/>
                <w:sz w:val="24"/>
                <w:szCs w:val="24"/>
                <w:highlight w:val="none"/>
                <w:lang w:val="en-US" w:eastAsia="zh-CN"/>
              </w:rPr>
              <w:t>具有</w:t>
            </w:r>
            <w:r>
              <w:rPr>
                <w:rFonts w:hint="eastAsia" w:cs="宋体"/>
                <w:color w:val="auto"/>
                <w:kern w:val="0"/>
                <w:sz w:val="24"/>
                <w:szCs w:val="24"/>
                <w:highlight w:val="none"/>
                <w:lang w:val="en-US" w:eastAsia="zh-CN"/>
              </w:rPr>
              <w:t>本项目服务内容相关的</w:t>
            </w:r>
            <w:r>
              <w:rPr>
                <w:rFonts w:hint="eastAsia" w:ascii="宋体" w:hAnsi="宋体" w:eastAsia="宋体" w:cs="宋体"/>
                <w:color w:val="auto"/>
                <w:kern w:val="0"/>
                <w:sz w:val="24"/>
                <w:szCs w:val="24"/>
                <w:highlight w:val="none"/>
                <w:lang w:val="en-US" w:eastAsia="zh-CN"/>
              </w:rPr>
              <w:t>运维服务</w:t>
            </w:r>
            <w:r>
              <w:rPr>
                <w:rFonts w:hint="eastAsia" w:ascii="宋体" w:hAnsi="宋体" w:eastAsia="宋体" w:cs="宋体"/>
                <w:color w:val="auto"/>
                <w:kern w:val="0"/>
                <w:sz w:val="24"/>
                <w:szCs w:val="24"/>
                <w:highlight w:val="none"/>
              </w:rPr>
              <w:t>从业经验</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年及以上的得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分；具有</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年及以上</w:t>
            </w:r>
            <w:r>
              <w:rPr>
                <w:rFonts w:hint="eastAsia" w:ascii="宋体" w:hAnsi="宋体" w:eastAsia="宋体" w:cs="宋体"/>
                <w:color w:val="auto"/>
                <w:kern w:val="0"/>
                <w:sz w:val="24"/>
                <w:szCs w:val="24"/>
                <w:highlight w:val="none"/>
                <w:lang w:val="en-US" w:eastAsia="zh-CN"/>
              </w:rPr>
              <w:t>不足3年</w:t>
            </w:r>
            <w:r>
              <w:rPr>
                <w:rFonts w:hint="eastAsia" w:ascii="宋体" w:hAnsi="宋体" w:eastAsia="宋体" w:cs="宋体"/>
                <w:color w:val="auto"/>
                <w:kern w:val="0"/>
                <w:sz w:val="24"/>
                <w:szCs w:val="24"/>
                <w:highlight w:val="none"/>
              </w:rPr>
              <w:t>的得1分。</w:t>
            </w:r>
          </w:p>
          <w:p w14:paraId="49ED2BDC">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本项目负责人</w:t>
            </w:r>
            <w:r>
              <w:rPr>
                <w:rFonts w:hint="eastAsia" w:ascii="宋体" w:hAnsi="宋体" w:eastAsia="宋体" w:cs="宋体"/>
                <w:color w:val="auto"/>
                <w:kern w:val="0"/>
                <w:sz w:val="24"/>
                <w:szCs w:val="24"/>
                <w:lang w:val="en-US" w:eastAsia="zh-CN" w:bidi="ar-SA"/>
              </w:rPr>
              <w:t>具有国家人力资源和社会保障部及工业和信息化部共同颁发的“计算机技术与软件专业技术资格”</w:t>
            </w:r>
            <w:r>
              <w:rPr>
                <w:rFonts w:hint="eastAsia" w:ascii="宋体" w:hAnsi="宋体" w:eastAsia="宋体" w:cs="宋体"/>
                <w:color w:val="auto"/>
                <w:kern w:val="0"/>
                <w:sz w:val="24"/>
                <w:szCs w:val="24"/>
                <w:lang w:val="en-US" w:eastAsia="zh-CN"/>
              </w:rPr>
              <w:t>类</w:t>
            </w:r>
            <w:r>
              <w:rPr>
                <w:rFonts w:hint="eastAsia" w:ascii="宋体" w:hAnsi="宋体" w:eastAsia="宋体" w:cs="宋体"/>
                <w:color w:val="auto"/>
                <w:kern w:val="0"/>
                <w:sz w:val="24"/>
                <w:szCs w:val="24"/>
              </w:rPr>
              <w:t>证书</w:t>
            </w:r>
            <w:r>
              <w:rPr>
                <w:rFonts w:hint="eastAsia" w:ascii="宋体" w:hAnsi="宋体" w:eastAsia="宋体" w:cs="宋体"/>
                <w:color w:val="auto"/>
                <w:kern w:val="0"/>
                <w:sz w:val="24"/>
                <w:szCs w:val="24"/>
                <w:lang w:val="en-US" w:eastAsia="zh-CN" w:bidi="ar-SA"/>
              </w:rPr>
              <w:t>，每有一项高级资格专业的得2分</w:t>
            </w:r>
            <w:r>
              <w:rPr>
                <w:rFonts w:hint="eastAsia" w:ascii="宋体" w:hAnsi="宋体" w:eastAsia="宋体" w:cs="宋体"/>
                <w:b w:val="0"/>
                <w:bCs w:val="0"/>
                <w:color w:val="auto"/>
                <w:kern w:val="0"/>
                <w:sz w:val="24"/>
                <w:szCs w:val="24"/>
                <w:lang w:val="en-US" w:eastAsia="zh-CN"/>
              </w:rPr>
              <w:t>,</w:t>
            </w:r>
            <w:r>
              <w:rPr>
                <w:rFonts w:hint="eastAsia" w:ascii="宋体" w:hAnsi="宋体" w:eastAsia="宋体" w:cs="宋体"/>
                <w:color w:val="auto"/>
                <w:sz w:val="24"/>
                <w:szCs w:val="24"/>
                <w:lang w:val="en-US" w:eastAsia="zh-Hans"/>
              </w:rPr>
              <w:t>最多</w:t>
            </w:r>
            <w:r>
              <w:rPr>
                <w:rFonts w:hint="eastAsia" w:cs="宋体"/>
                <w:color w:val="auto"/>
                <w:sz w:val="24"/>
                <w:szCs w:val="24"/>
                <w:lang w:val="en-US" w:eastAsia="zh-CN"/>
              </w:rPr>
              <w:t>4</w:t>
            </w:r>
            <w:r>
              <w:rPr>
                <w:rFonts w:hint="eastAsia" w:ascii="宋体" w:hAnsi="宋体" w:eastAsia="宋体" w:cs="宋体"/>
                <w:color w:val="auto"/>
                <w:sz w:val="24"/>
                <w:szCs w:val="24"/>
                <w:lang w:val="en-US" w:eastAsia="zh-Hans"/>
              </w:rPr>
              <w:t>分</w:t>
            </w:r>
            <w:r>
              <w:rPr>
                <w:rFonts w:hint="eastAsia" w:ascii="宋体" w:hAnsi="宋体" w:eastAsia="宋体" w:cs="宋体"/>
                <w:color w:val="auto"/>
                <w:kern w:val="0"/>
                <w:sz w:val="24"/>
                <w:szCs w:val="24"/>
              </w:rPr>
              <w:t>。</w:t>
            </w:r>
          </w:p>
          <w:p w14:paraId="58452EEF">
            <w:pPr>
              <w:pStyle w:val="34"/>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rPr>
              <w:t>有效证明文件：</w:t>
            </w:r>
            <w:r>
              <w:rPr>
                <w:rFonts w:hint="eastAsia" w:ascii="宋体" w:hAnsi="宋体" w:eastAsia="宋体" w:cs="宋体"/>
                <w:szCs w:val="24"/>
                <w:lang w:val="en-US" w:eastAsia="zh-CN"/>
              </w:rPr>
              <w:t>1、</w:t>
            </w:r>
            <w:r>
              <w:rPr>
                <w:rFonts w:hint="eastAsia" w:ascii="宋体" w:hAnsi="宋体" w:eastAsia="宋体" w:cs="宋体"/>
                <w:szCs w:val="24"/>
                <w:lang w:eastAsia="zh-CN"/>
              </w:rPr>
              <w:t>劳动合同或在本单位的社保缴纳记录等证明其为投标人在职员工的证明材料（社保机构网上打印件与社保机构出具的具有同等效力，“</w:t>
            </w:r>
            <w:r>
              <w:rPr>
                <w:rFonts w:hint="eastAsia" w:ascii="宋体" w:hAnsi="宋体" w:eastAsia="宋体" w:cs="宋体"/>
                <w:szCs w:val="24"/>
                <w:lang w:val="en-US" w:eastAsia="zh-CN"/>
              </w:rPr>
              <w:t>退休返聘</w:t>
            </w:r>
            <w:r>
              <w:rPr>
                <w:rFonts w:hint="eastAsia" w:ascii="宋体" w:hAnsi="宋体" w:eastAsia="宋体" w:cs="宋体"/>
                <w:szCs w:val="24"/>
                <w:lang w:eastAsia="zh-CN"/>
              </w:rPr>
              <w:t>”、“劳务派遣”视为非在职员工。）；</w:t>
            </w:r>
          </w:p>
          <w:p w14:paraId="56864802">
            <w:pPr>
              <w:pStyle w:val="34"/>
              <w:keepNext w:val="0"/>
              <w:keepLines w:val="0"/>
              <w:pageBreakBefore w:val="0"/>
              <w:widowControl w:val="0"/>
              <w:numPr>
                <w:ilvl w:val="0"/>
                <w:numId w:val="115"/>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lang w:eastAsia="zh-CN"/>
              </w:rPr>
            </w:pPr>
            <w:r>
              <w:rPr>
                <w:rFonts w:hint="eastAsia" w:cs="宋体"/>
                <w:szCs w:val="24"/>
                <w:lang w:eastAsia="zh-CN"/>
              </w:rPr>
              <w:t>项目业绩提供</w:t>
            </w:r>
            <w:r>
              <w:rPr>
                <w:rFonts w:hint="eastAsia" w:cs="Times New Roman (正文 CS 字体)"/>
                <w:lang w:eastAsia="zh-CN"/>
              </w:rPr>
              <w:t>合同复制件（</w:t>
            </w:r>
            <w:r>
              <w:rPr>
                <w:rFonts w:hint="eastAsia" w:cs="Times New Roman (正文 CS 字体)"/>
                <w:lang w:val="en-US" w:eastAsia="zh-CN"/>
              </w:rPr>
              <w:t>合同</w:t>
            </w:r>
            <w:r>
              <w:rPr>
                <w:rFonts w:hint="eastAsia" w:cs="Times New Roman (正文 CS 字体)"/>
                <w:lang w:eastAsia="zh-CN"/>
              </w:rPr>
              <w:t>须能体现项目</w:t>
            </w:r>
            <w:r>
              <w:rPr>
                <w:rFonts w:hint="eastAsia" w:cs="Times New Roman (正文 CS 字体)"/>
                <w:lang w:val="en-US" w:eastAsia="zh-CN"/>
              </w:rPr>
              <w:t>负责人</w:t>
            </w:r>
            <w:r>
              <w:rPr>
                <w:rFonts w:hint="eastAsia" w:cs="Times New Roman (正文 CS 字体)"/>
                <w:lang w:eastAsia="zh-CN"/>
              </w:rPr>
              <w:t>信息，否则须提供合同甲方出具的证明文件，如该项业绩与提供的投标人以往业绩相同，不重复计分且评分第</w:t>
            </w:r>
            <w:r>
              <w:rPr>
                <w:rFonts w:hint="eastAsia" w:cs="Times New Roman (正文 CS 字体)"/>
                <w:lang w:val="en-US" w:eastAsia="zh-CN"/>
              </w:rPr>
              <w:t>14</w:t>
            </w:r>
            <w:r>
              <w:rPr>
                <w:rFonts w:hint="eastAsia" w:cs="Times New Roman (正文 CS 字体)"/>
                <w:lang w:eastAsia="zh-CN"/>
              </w:rPr>
              <w:t>项优先）；</w:t>
            </w:r>
          </w:p>
          <w:p w14:paraId="7FC33B1F">
            <w:pPr>
              <w:pStyle w:val="34"/>
              <w:keepNext w:val="0"/>
              <w:keepLines w:val="0"/>
              <w:pageBreakBefore w:val="0"/>
              <w:widowControl w:val="0"/>
              <w:numPr>
                <w:ilvl w:val="0"/>
                <w:numId w:val="115"/>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从业经验证明（提供含负责人项目任职的项目合同复制件</w:t>
            </w:r>
            <w:r>
              <w:rPr>
                <w:rFonts w:hint="eastAsia" w:ascii="宋体" w:hAnsi="宋体" w:eastAsia="宋体" w:cs="宋体"/>
                <w:color w:val="auto"/>
                <w:kern w:val="0"/>
                <w:sz w:val="24"/>
                <w:szCs w:val="24"/>
                <w:lang w:val="en-US" w:eastAsia="zh-CN"/>
              </w:rPr>
              <w:t>或其他证明材料（如用户证明等），</w:t>
            </w:r>
            <w:r>
              <w:rPr>
                <w:rFonts w:hint="eastAsia" w:ascii="宋体" w:hAnsi="宋体" w:eastAsia="宋体" w:cs="宋体"/>
                <w:color w:val="auto"/>
                <w:kern w:val="0"/>
                <w:sz w:val="24"/>
                <w:szCs w:val="24"/>
              </w:rPr>
              <w:t>从业经验在投标人在职年限不够可合并累计原单位证明。</w:t>
            </w:r>
            <w:r>
              <w:rPr>
                <w:rFonts w:hint="eastAsia" w:ascii="宋体" w:hAnsi="宋体" w:eastAsia="宋体" w:cs="宋体"/>
                <w:color w:val="auto"/>
                <w:kern w:val="0"/>
                <w:sz w:val="24"/>
                <w:szCs w:val="24"/>
                <w:lang w:val="en-US" w:eastAsia="zh-CN"/>
              </w:rPr>
              <w:t>合同内容或其他证明文件不能体现工作内容或者工作时间的视为无效证明。</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w:t>
            </w:r>
          </w:p>
          <w:p w14:paraId="01DC662F">
            <w:pPr>
              <w:pStyle w:val="34"/>
              <w:keepNext w:val="0"/>
              <w:keepLines w:val="0"/>
              <w:pageBreakBefore w:val="0"/>
              <w:widowControl w:val="0"/>
              <w:numPr>
                <w:ilvl w:val="0"/>
                <w:numId w:val="115"/>
              </w:numPr>
              <w:kinsoku/>
              <w:wordWrap/>
              <w:overflowPunct/>
              <w:topLinePunct w:val="0"/>
              <w:autoSpaceDE/>
              <w:autoSpaceDN/>
              <w:bidi w:val="0"/>
              <w:adjustRightInd w:val="0"/>
              <w:snapToGrid w:val="0"/>
              <w:spacing w:line="360" w:lineRule="auto"/>
              <w:ind w:left="0" w:leftChars="0" w:firstLine="0" w:firstLineChars="0"/>
              <w:textAlignment w:val="auto"/>
              <w:rPr>
                <w:rFonts w:hint="eastAsia"/>
                <w:color w:val="auto"/>
                <w:sz w:val="24"/>
                <w:szCs w:val="24"/>
                <w:highlight w:val="none"/>
                <w:lang w:val="en-US" w:eastAsia="zh-CN"/>
              </w:rPr>
            </w:pPr>
            <w:r>
              <w:rPr>
                <w:rFonts w:hint="eastAsia" w:ascii="宋体" w:hAnsi="宋体" w:eastAsia="宋体" w:cs="宋体"/>
                <w:color w:val="auto"/>
                <w:kern w:val="0"/>
                <w:sz w:val="24"/>
                <w:szCs w:val="24"/>
                <w:lang w:eastAsia="zh-CN"/>
              </w:rPr>
              <w:t>相关证书复印件（证书须为国家人力资源和社会保障部及工业和信息化部共同颁发，其他培训等机构颁发的无效）。</w:t>
            </w:r>
          </w:p>
        </w:tc>
        <w:tc>
          <w:tcPr>
            <w:tcW w:w="567" w:type="pct"/>
            <w:gridSpan w:val="2"/>
            <w:vAlign w:val="center"/>
          </w:tcPr>
          <w:p w14:paraId="0FE5D063">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0"/>
                <w:sz w:val="24"/>
                <w:szCs w:val="24"/>
                <w:lang w:val="en-US"/>
              </w:rPr>
            </w:pPr>
            <w:r>
              <w:rPr>
                <w:rFonts w:hint="eastAsia" w:cs="宋体"/>
                <w:color w:val="auto"/>
                <w:kern w:val="0"/>
                <w:sz w:val="24"/>
                <w:szCs w:val="24"/>
                <w:lang w:val="en-US" w:eastAsia="zh-CN"/>
              </w:rPr>
              <w:t>8</w:t>
            </w:r>
          </w:p>
        </w:tc>
      </w:tr>
      <w:tr w14:paraId="7105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53A279EB">
            <w:pPr>
              <w:pStyle w:val="34"/>
              <w:numPr>
                <w:ilvl w:val="0"/>
                <w:numId w:val="11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0AE07B2D">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服务团队成员能力评价</w:t>
            </w:r>
          </w:p>
          <w:p w14:paraId="1A686569">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Times New Roman"/>
                <w:color w:val="auto"/>
                <w:highlight w:val="none"/>
                <w:lang w:val="en-US" w:eastAsia="zh-CN"/>
              </w:rPr>
            </w:pPr>
            <w:r>
              <w:rPr>
                <w:rFonts w:hint="eastAsia" w:cs="宋体"/>
                <w:color w:val="auto"/>
                <w:kern w:val="0"/>
                <w:sz w:val="24"/>
                <w:szCs w:val="24"/>
                <w:highlight w:val="none"/>
                <w:lang w:eastAsia="zh-CN"/>
              </w:rPr>
              <w:t>（</w:t>
            </w:r>
            <w:r>
              <w:rPr>
                <w:rFonts w:hint="eastAsia" w:cs="宋体"/>
                <w:color w:val="auto"/>
                <w:kern w:val="0"/>
                <w:sz w:val="24"/>
                <w:szCs w:val="24"/>
                <w:highlight w:val="none"/>
                <w:lang w:val="en-US" w:eastAsia="zh-CN"/>
              </w:rPr>
              <w:t>1</w:t>
            </w:r>
            <w:r>
              <w:rPr>
                <w:rFonts w:hint="eastAsia" w:cs="宋体"/>
                <w:color w:val="auto"/>
                <w:kern w:val="0"/>
                <w:sz w:val="24"/>
                <w:szCs w:val="24"/>
                <w:highlight w:val="none"/>
                <w:lang w:eastAsia="zh-CN"/>
              </w:rPr>
              <w:t>）</w:t>
            </w:r>
            <w:r>
              <w:rPr>
                <w:rFonts w:hint="eastAsia" w:ascii="宋体" w:hAnsi="宋体" w:eastAsia="宋体" w:cs="宋体"/>
                <w:color w:val="auto"/>
                <w:kern w:val="0"/>
                <w:sz w:val="24"/>
                <w:szCs w:val="24"/>
                <w:highlight w:val="none"/>
              </w:rPr>
              <w:t>投标人拟定的服务团队</w:t>
            </w:r>
            <w:r>
              <w:rPr>
                <w:rFonts w:hint="eastAsia" w:cs="宋体"/>
                <w:color w:val="auto"/>
                <w:kern w:val="0"/>
                <w:sz w:val="24"/>
                <w:szCs w:val="24"/>
                <w:highlight w:val="none"/>
                <w:lang w:val="en-US" w:eastAsia="zh-CN"/>
              </w:rPr>
              <w:t>成员</w:t>
            </w:r>
            <w:r>
              <w:rPr>
                <w:rFonts w:hint="eastAsia" w:cs="宋体"/>
                <w:color w:val="auto"/>
                <w:kern w:val="0"/>
                <w:sz w:val="24"/>
                <w:szCs w:val="24"/>
                <w:highlight w:val="none"/>
                <w:lang w:eastAsia="zh-CN"/>
              </w:rPr>
              <w:t>（</w:t>
            </w:r>
            <w:r>
              <w:rPr>
                <w:rFonts w:hint="eastAsia" w:cs="宋体"/>
                <w:color w:val="auto"/>
                <w:kern w:val="0"/>
                <w:sz w:val="24"/>
                <w:szCs w:val="24"/>
                <w:highlight w:val="none"/>
                <w:lang w:val="en-US" w:eastAsia="zh-CN"/>
              </w:rPr>
              <w:t>不包含项目负责人</w:t>
            </w:r>
            <w:r>
              <w:rPr>
                <w:rFonts w:hint="eastAsia"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bidi="ar-SA"/>
              </w:rPr>
              <w:t>具有国家人力资源和社会保障部及工业和信息化部共同颁发的“计算机技术与软件专业技术资格”</w:t>
            </w:r>
            <w:r>
              <w:rPr>
                <w:rFonts w:hint="eastAsia" w:ascii="宋体" w:hAnsi="宋体" w:eastAsia="宋体" w:cs="宋体"/>
                <w:color w:val="auto"/>
                <w:kern w:val="0"/>
                <w:sz w:val="24"/>
                <w:szCs w:val="24"/>
                <w:highlight w:val="none"/>
                <w:lang w:val="en-US" w:eastAsia="zh-CN"/>
              </w:rPr>
              <w:t>类</w:t>
            </w:r>
            <w:r>
              <w:rPr>
                <w:rFonts w:hint="eastAsia" w:ascii="宋体" w:hAnsi="宋体" w:eastAsia="宋体" w:cs="宋体"/>
                <w:color w:val="auto"/>
                <w:kern w:val="0"/>
                <w:sz w:val="24"/>
                <w:szCs w:val="24"/>
                <w:highlight w:val="none"/>
              </w:rPr>
              <w:t>证书</w:t>
            </w:r>
            <w:r>
              <w:rPr>
                <w:rFonts w:hint="eastAsia" w:ascii="宋体" w:hAnsi="宋体" w:eastAsia="宋体" w:cs="宋体"/>
                <w:color w:val="auto"/>
                <w:kern w:val="0"/>
                <w:sz w:val="24"/>
                <w:szCs w:val="24"/>
                <w:highlight w:val="none"/>
                <w:lang w:val="en-US" w:eastAsia="zh-CN" w:bidi="ar-SA"/>
              </w:rPr>
              <w:t>，每有一项高级资格专业的得2分，每有一项中级资格专业的得1分，最高得8分</w:t>
            </w:r>
            <w:r>
              <w:rPr>
                <w:rFonts w:hint="eastAsia" w:ascii="宋体" w:hAnsi="宋体" w:eastAsia="宋体" w:cs="Times New Roman"/>
                <w:color w:val="auto"/>
                <w:highlight w:val="none"/>
                <w:lang w:val="en-US" w:eastAsia="zh-CN"/>
              </w:rPr>
              <w:t>（一个人员只计一个证书）。</w:t>
            </w:r>
          </w:p>
          <w:p w14:paraId="01107C8A">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eastAsia="宋体" w:cs="宋体"/>
                <w:color w:val="auto"/>
                <w:kern w:val="0"/>
                <w:sz w:val="24"/>
                <w:szCs w:val="24"/>
                <w:highlight w:val="none"/>
                <w:lang w:val="en-US"/>
              </w:rPr>
            </w:pPr>
            <w:r>
              <w:rPr>
                <w:rFonts w:hint="eastAsia" w:ascii="宋体" w:hAnsi="宋体" w:eastAsia="宋体" w:cs="Times New Roman"/>
                <w:color w:val="auto"/>
                <w:highlight w:val="none"/>
                <w:lang w:val="en-US" w:eastAsia="zh-CN"/>
              </w:rPr>
              <w:t>（2）记有“▲”号的指标为实质性指标，供应商须在投标文件中根据采购需求明确人员在项目组中的职务，未明确人员职务或驻场人员多项采购内容复用的，视为无效投标。</w:t>
            </w:r>
          </w:p>
          <w:p w14:paraId="7163FE99">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color w:val="auto"/>
                <w:sz w:val="24"/>
                <w:szCs w:val="24"/>
                <w:highlight w:val="none"/>
                <w:lang w:val="en-US" w:eastAsia="zh-CN"/>
              </w:rPr>
            </w:pPr>
            <w:r>
              <w:rPr>
                <w:rFonts w:hint="eastAsia" w:ascii="宋体" w:hAnsi="宋体" w:eastAsia="宋体" w:cs="宋体"/>
                <w:b/>
                <w:bCs/>
                <w:color w:val="auto"/>
                <w:kern w:val="0"/>
                <w:sz w:val="24"/>
                <w:szCs w:val="24"/>
              </w:rPr>
              <w:t>有效证明文件：</w:t>
            </w:r>
            <w:r>
              <w:rPr>
                <w:rFonts w:hint="eastAsia" w:ascii="宋体" w:hAnsi="宋体" w:eastAsia="宋体" w:cs="宋体"/>
                <w:color w:val="auto"/>
                <w:kern w:val="0"/>
                <w:sz w:val="24"/>
                <w:szCs w:val="24"/>
              </w:rPr>
              <w:t>劳动合同或在本单位的社保缴纳记录等证明其为投标人在职员工的证明材料（社保机构网上打印件与社保机构出具的具有同等效力，</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退休返聘</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“劳务派遣”视为非在职员工。）</w:t>
            </w:r>
            <w:r>
              <w:rPr>
                <w:rFonts w:hint="eastAsia" w:ascii="宋体" w:hAnsi="宋体" w:eastAsia="宋体" w:cs="宋体"/>
                <w:color w:val="auto"/>
                <w:kern w:val="0"/>
                <w:sz w:val="24"/>
                <w:szCs w:val="24"/>
                <w:lang w:eastAsia="zh-CN"/>
              </w:rPr>
              <w:t>；相关证书</w:t>
            </w:r>
            <w:r>
              <w:rPr>
                <w:rFonts w:hint="eastAsia" w:ascii="宋体" w:hAnsi="宋体" w:eastAsia="宋体" w:cs="宋体"/>
                <w:color w:val="auto"/>
                <w:kern w:val="0"/>
                <w:sz w:val="24"/>
                <w:szCs w:val="24"/>
                <w:lang w:val="en-US" w:eastAsia="zh-CN"/>
              </w:rPr>
              <w:t>复制</w:t>
            </w:r>
            <w:r>
              <w:rPr>
                <w:rFonts w:hint="eastAsia" w:ascii="宋体" w:hAnsi="宋体" w:eastAsia="宋体" w:cs="宋体"/>
                <w:color w:val="auto"/>
                <w:kern w:val="0"/>
                <w:sz w:val="24"/>
                <w:szCs w:val="24"/>
                <w:lang w:eastAsia="zh-CN"/>
              </w:rPr>
              <w:t>件（证书须为国家人力资源和社会保障部及工业和信息化部共同颁发，其他培训等机构颁发的无效）。</w:t>
            </w:r>
          </w:p>
        </w:tc>
        <w:tc>
          <w:tcPr>
            <w:tcW w:w="567" w:type="pct"/>
            <w:gridSpan w:val="2"/>
            <w:vAlign w:val="center"/>
          </w:tcPr>
          <w:p w14:paraId="3847350D">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0"/>
                <w:sz w:val="24"/>
                <w:szCs w:val="24"/>
              </w:rPr>
            </w:pPr>
            <w:r>
              <w:rPr>
                <w:rFonts w:hint="eastAsia" w:ascii="宋体" w:hAnsi="宋体" w:eastAsia="宋体" w:cs="宋体"/>
                <w:color w:val="auto"/>
                <w:kern w:val="0"/>
                <w:sz w:val="24"/>
                <w:szCs w:val="24"/>
                <w:lang w:val="en-US" w:eastAsia="zh-CN"/>
              </w:rPr>
              <w:t>8</w:t>
            </w:r>
          </w:p>
        </w:tc>
      </w:tr>
      <w:tr w14:paraId="7E5B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2F581446">
            <w:pPr>
              <w:pStyle w:val="34"/>
              <w:numPr>
                <w:ilvl w:val="0"/>
                <w:numId w:val="11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5A4D52DE">
            <w:pPr>
              <w:pStyle w:val="34"/>
              <w:spacing w:line="360" w:lineRule="auto"/>
              <w:ind w:firstLine="0" w:firstLineChars="0"/>
              <w:rPr>
                <w:rFonts w:hint="eastAsia" w:cs="宋体"/>
                <w:b/>
                <w:bCs/>
                <w:color w:val="auto"/>
                <w:szCs w:val="24"/>
                <w:highlight w:val="none"/>
                <w:lang w:val="en-US" w:eastAsia="zh-CN"/>
              </w:rPr>
            </w:pPr>
            <w:r>
              <w:rPr>
                <w:rFonts w:hint="eastAsia" w:cs="宋体"/>
                <w:b/>
                <w:bCs/>
                <w:color w:val="auto"/>
                <w:szCs w:val="24"/>
                <w:highlight w:val="none"/>
                <w:lang w:val="en-US" w:eastAsia="zh-CN"/>
              </w:rPr>
              <w:t>管理体系评价</w:t>
            </w:r>
          </w:p>
          <w:p w14:paraId="349AF077">
            <w:pPr>
              <w:pStyle w:val="44"/>
              <w:keepNext w:val="0"/>
              <w:keepLines w:val="0"/>
              <w:pageBreakBefore w:val="0"/>
              <w:widowControl w:val="0"/>
              <w:numPr>
                <w:ilvl w:val="0"/>
                <w:numId w:val="116"/>
              </w:numPr>
              <w:kinsoku/>
              <w:wordWrap/>
              <w:overflowPunct/>
              <w:topLinePunct w:val="0"/>
              <w:autoSpaceDE/>
              <w:autoSpaceDN/>
              <w:bidi w:val="0"/>
              <w:adjustRightInd w:val="0"/>
              <w:snapToGrid/>
              <w:ind w:firstLine="0" w:firstLineChars="0"/>
              <w:textAlignment w:val="auto"/>
              <w:rPr>
                <w:rFonts w:hint="eastAsia" w:cs="Times New Roman"/>
                <w:color w:val="auto"/>
                <w:highlight w:val="none"/>
              </w:rPr>
            </w:pPr>
            <w:r>
              <w:rPr>
                <w:rFonts w:hint="eastAsia"/>
                <w:color w:val="auto"/>
                <w:highlight w:val="none"/>
              </w:rPr>
              <w:t>具有</w:t>
            </w:r>
            <w:r>
              <w:rPr>
                <w:rFonts w:ascii="宋体" w:hAnsi="宋体" w:cs="仿宋"/>
                <w:sz w:val="24"/>
              </w:rPr>
              <w:t>ISO9001质量管理体系认证</w:t>
            </w:r>
            <w:r>
              <w:rPr>
                <w:rFonts w:hint="eastAsia" w:ascii="宋体" w:hAnsi="宋体" w:cs="仿宋"/>
                <w:sz w:val="24"/>
                <w:lang w:val="en-US" w:eastAsia="zh-CN"/>
              </w:rPr>
              <w:t>的得1分</w:t>
            </w:r>
            <w:r>
              <w:rPr>
                <w:rFonts w:hint="eastAsia" w:cs="Times New Roman"/>
                <w:color w:val="auto"/>
                <w:highlight w:val="none"/>
              </w:rPr>
              <w:t>；</w:t>
            </w:r>
          </w:p>
          <w:p w14:paraId="3E441DCE">
            <w:pPr>
              <w:pStyle w:val="44"/>
              <w:keepNext w:val="0"/>
              <w:keepLines w:val="0"/>
              <w:pageBreakBefore w:val="0"/>
              <w:widowControl w:val="0"/>
              <w:numPr>
                <w:ilvl w:val="0"/>
                <w:numId w:val="116"/>
              </w:numPr>
              <w:kinsoku/>
              <w:wordWrap/>
              <w:overflowPunct/>
              <w:topLinePunct w:val="0"/>
              <w:autoSpaceDE/>
              <w:autoSpaceDN/>
              <w:bidi w:val="0"/>
              <w:adjustRightInd w:val="0"/>
              <w:snapToGrid/>
              <w:ind w:firstLine="0" w:firstLineChars="0"/>
              <w:textAlignment w:val="auto"/>
              <w:rPr>
                <w:rFonts w:hint="eastAsia"/>
                <w:color w:val="auto"/>
                <w:highlight w:val="none"/>
              </w:rPr>
            </w:pPr>
            <w:r>
              <w:rPr>
                <w:rFonts w:hint="eastAsia" w:cs="Times New Roman"/>
                <w:color w:val="auto"/>
                <w:highlight w:val="none"/>
              </w:rPr>
              <w:t>具有</w:t>
            </w:r>
            <w:r>
              <w:rPr>
                <w:rFonts w:ascii="宋体" w:hAnsi="宋体" w:cs="仿宋"/>
                <w:sz w:val="24"/>
              </w:rPr>
              <w:t>ISO14001环境管理体系认证</w:t>
            </w:r>
            <w:r>
              <w:rPr>
                <w:rFonts w:hint="eastAsia" w:ascii="宋体" w:hAnsi="宋体" w:cs="仿宋"/>
                <w:sz w:val="24"/>
                <w:lang w:val="en-US" w:eastAsia="zh-CN"/>
              </w:rPr>
              <w:t>的得1分</w:t>
            </w:r>
            <w:r>
              <w:rPr>
                <w:rFonts w:hint="eastAsia"/>
                <w:color w:val="auto"/>
                <w:highlight w:val="none"/>
              </w:rPr>
              <w:t>；</w:t>
            </w:r>
          </w:p>
          <w:p w14:paraId="515822E9">
            <w:pPr>
              <w:pStyle w:val="44"/>
              <w:keepNext w:val="0"/>
              <w:keepLines w:val="0"/>
              <w:pageBreakBefore w:val="0"/>
              <w:widowControl w:val="0"/>
              <w:numPr>
                <w:ilvl w:val="0"/>
                <w:numId w:val="116"/>
              </w:numPr>
              <w:kinsoku/>
              <w:wordWrap/>
              <w:overflowPunct/>
              <w:topLinePunct w:val="0"/>
              <w:autoSpaceDE/>
              <w:autoSpaceDN/>
              <w:bidi w:val="0"/>
              <w:adjustRightInd w:val="0"/>
              <w:snapToGrid/>
              <w:ind w:firstLine="0" w:firstLineChars="0"/>
              <w:textAlignment w:val="auto"/>
              <w:rPr>
                <w:rFonts w:hint="eastAsia" w:cs="Times New Roman"/>
                <w:color w:val="auto"/>
                <w:highlight w:val="none"/>
                <w:lang w:val="en-US" w:eastAsia="zh-CN"/>
              </w:rPr>
            </w:pPr>
            <w:r>
              <w:rPr>
                <w:rFonts w:hint="eastAsia" w:cs="宋体"/>
                <w:color w:val="auto"/>
                <w:kern w:val="0"/>
                <w:szCs w:val="24"/>
                <w:highlight w:val="none"/>
                <w:u w:val="none"/>
                <w:lang w:eastAsia="zh-CN"/>
              </w:rPr>
              <w:t>具有ISO45001</w:t>
            </w:r>
            <w:r>
              <w:rPr>
                <w:rFonts w:ascii="宋体" w:hAnsi="宋体" w:cs="仿宋"/>
                <w:sz w:val="24"/>
              </w:rPr>
              <w:t>职业健康安全管理体系认证</w:t>
            </w:r>
            <w:r>
              <w:rPr>
                <w:rFonts w:hint="eastAsia" w:ascii="宋体" w:hAnsi="宋体" w:cs="仿宋"/>
                <w:sz w:val="24"/>
                <w:lang w:val="en-US" w:eastAsia="zh-CN"/>
              </w:rPr>
              <w:t>的得1分</w:t>
            </w:r>
            <w:r>
              <w:rPr>
                <w:rFonts w:hint="eastAsia" w:cs="Times New Roman"/>
                <w:color w:val="auto"/>
                <w:highlight w:val="none"/>
                <w:lang w:eastAsia="zh-CN"/>
              </w:rPr>
              <w:t>。</w:t>
            </w:r>
          </w:p>
          <w:p w14:paraId="1B0AAD0B">
            <w:pPr>
              <w:pStyle w:val="34"/>
              <w:spacing w:line="360" w:lineRule="auto"/>
              <w:ind w:firstLine="0" w:firstLineChars="0"/>
              <w:rPr>
                <w:rFonts w:hint="eastAsia" w:ascii="宋体" w:hAnsi="宋体" w:eastAsia="宋体" w:cs="宋体"/>
                <w:sz w:val="24"/>
                <w:szCs w:val="24"/>
                <w:lang w:val="en-US" w:eastAsia="zh-CN"/>
              </w:rPr>
            </w:pPr>
            <w:r>
              <w:rPr>
                <w:rFonts w:hint="eastAsia" w:cs="Times New Roman"/>
                <w:b/>
                <w:bCs/>
                <w:color w:val="auto"/>
                <w:highlight w:val="none"/>
                <w:lang w:val="en-US" w:eastAsia="zh-CN"/>
              </w:rPr>
              <w:t>有效证明文件</w:t>
            </w:r>
            <w:r>
              <w:rPr>
                <w:rFonts w:hint="eastAsia" w:cs="Times New Roman"/>
                <w:color w:val="auto"/>
                <w:highlight w:val="none"/>
                <w:lang w:val="en-US" w:eastAsia="zh-CN"/>
              </w:rPr>
              <w:t>：</w:t>
            </w:r>
            <w:r>
              <w:rPr>
                <w:rFonts w:hint="eastAsia" w:cs="宋体"/>
                <w:b w:val="0"/>
                <w:bCs w:val="0"/>
                <w:color w:val="auto"/>
                <w:kern w:val="0"/>
                <w:szCs w:val="24"/>
                <w:highlight w:val="none"/>
                <w:u w:val="none"/>
                <w:lang w:val="en-US" w:eastAsia="zh-CN"/>
              </w:rPr>
              <w:t>有效期内的</w:t>
            </w:r>
            <w:r>
              <w:rPr>
                <w:rFonts w:hint="eastAsia" w:cs="宋体"/>
                <w:color w:val="auto"/>
                <w:kern w:val="0"/>
                <w:szCs w:val="24"/>
                <w:highlight w:val="none"/>
                <w:u w:val="none"/>
                <w:lang w:eastAsia="zh-CN"/>
              </w:rPr>
              <w:t>证书复制件</w:t>
            </w:r>
            <w:r>
              <w:rPr>
                <w:rFonts w:hint="eastAsia" w:cs="宋体"/>
                <w:color w:val="auto"/>
                <w:kern w:val="0"/>
                <w:szCs w:val="24"/>
                <w:highlight w:val="none"/>
                <w:u w:val="none"/>
                <w:lang w:val="en-US" w:eastAsia="zh-CN"/>
              </w:rPr>
              <w:t>并加盖公章</w:t>
            </w:r>
          </w:p>
        </w:tc>
        <w:tc>
          <w:tcPr>
            <w:tcW w:w="567" w:type="pct"/>
            <w:gridSpan w:val="2"/>
            <w:vAlign w:val="center"/>
          </w:tcPr>
          <w:p w14:paraId="132B06EA">
            <w:pPr>
              <w:pStyle w:val="34"/>
              <w:spacing w:line="360" w:lineRule="auto"/>
              <w:ind w:firstLine="0" w:firstLineChars="0"/>
              <w:jc w:val="center"/>
              <w:rPr>
                <w:rFonts w:hint="default" w:ascii="宋体" w:hAnsi="宋体" w:eastAsia="宋体" w:cs="宋体"/>
                <w:kern w:val="0"/>
                <w:sz w:val="24"/>
                <w:szCs w:val="24"/>
              </w:rPr>
            </w:pPr>
            <w:r>
              <w:rPr>
                <w:rFonts w:hint="eastAsia" w:cs="宋体"/>
                <w:kern w:val="0"/>
                <w:sz w:val="24"/>
                <w:szCs w:val="24"/>
                <w:lang w:val="en-US" w:eastAsia="zh-CN"/>
              </w:rPr>
              <w:t>3</w:t>
            </w:r>
          </w:p>
        </w:tc>
      </w:tr>
      <w:tr w14:paraId="398A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75DA4C36">
            <w:pPr>
              <w:pStyle w:val="34"/>
              <w:numPr>
                <w:ilvl w:val="0"/>
                <w:numId w:val="11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6088F541">
            <w:pPr>
              <w:pStyle w:val="34"/>
              <w:spacing w:line="360" w:lineRule="auto"/>
              <w:ind w:firstLine="0" w:firstLineChars="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以往业绩评价</w:t>
            </w:r>
          </w:p>
          <w:p w14:paraId="23BC4203">
            <w:pPr>
              <w:pStyle w:val="34"/>
              <w:ind w:firstLine="0" w:firstLineChars="0"/>
              <w:jc w:val="left"/>
              <w:rPr>
                <w:rFonts w:cs="宋体"/>
                <w:szCs w:val="24"/>
              </w:rPr>
            </w:pPr>
            <w:r>
              <w:rPr>
                <w:rFonts w:hint="eastAsia" w:cs="宋体"/>
                <w:szCs w:val="24"/>
                <w:lang w:eastAsia="zh-CN"/>
              </w:rPr>
              <w:t>自</w:t>
            </w:r>
            <w:r>
              <w:rPr>
                <w:rFonts w:hint="eastAsia" w:cs="宋体"/>
                <w:szCs w:val="24"/>
              </w:rPr>
              <w:t>202</w:t>
            </w:r>
            <w:r>
              <w:rPr>
                <w:rFonts w:hint="eastAsia" w:cs="宋体"/>
                <w:szCs w:val="24"/>
                <w:lang w:eastAsia="zh-CN"/>
              </w:rPr>
              <w:t>2</w:t>
            </w:r>
            <w:r>
              <w:rPr>
                <w:rFonts w:hint="eastAsia" w:cs="宋体"/>
                <w:szCs w:val="24"/>
              </w:rPr>
              <w:t>年1月1日（以合同签订时间为准）以来</w:t>
            </w:r>
            <w:r>
              <w:rPr>
                <w:rFonts w:hint="eastAsia" w:cs="宋体"/>
                <w:szCs w:val="24"/>
                <w:lang w:eastAsia="zh-CN"/>
              </w:rPr>
              <w:t>，</w:t>
            </w:r>
            <w:r>
              <w:rPr>
                <w:rFonts w:cs="宋体"/>
                <w:szCs w:val="24"/>
              </w:rPr>
              <w:t>具有类似项目成交案例，每提供1个得0.5分，最多</w:t>
            </w:r>
            <w:r>
              <w:rPr>
                <w:rFonts w:hint="eastAsia" w:cs="宋体"/>
                <w:szCs w:val="24"/>
                <w:lang w:val="en-US" w:eastAsia="zh-CN"/>
              </w:rPr>
              <w:t>1</w:t>
            </w:r>
            <w:r>
              <w:rPr>
                <w:rFonts w:cs="宋体"/>
                <w:szCs w:val="24"/>
              </w:rPr>
              <w:t>分。</w:t>
            </w:r>
          </w:p>
          <w:p w14:paraId="406FE80A">
            <w:pPr>
              <w:pStyle w:val="34"/>
              <w:spacing w:line="360" w:lineRule="auto"/>
              <w:ind w:firstLine="0" w:firstLineChars="0"/>
              <w:rPr>
                <w:rFonts w:hint="default" w:ascii="宋体" w:hAnsi="宋体" w:eastAsia="宋体" w:cs="宋体"/>
                <w:sz w:val="24"/>
                <w:szCs w:val="24"/>
                <w:lang w:val="en-US" w:eastAsia="zh-Hans"/>
              </w:rPr>
            </w:pPr>
            <w:r>
              <w:rPr>
                <w:rFonts w:hint="eastAsia" w:cs="宋体"/>
                <w:szCs w:val="24"/>
              </w:rPr>
              <w:t>有效证明文件：合同复制件</w:t>
            </w:r>
          </w:p>
        </w:tc>
        <w:tc>
          <w:tcPr>
            <w:tcW w:w="567" w:type="pct"/>
            <w:gridSpan w:val="2"/>
            <w:vAlign w:val="center"/>
          </w:tcPr>
          <w:p w14:paraId="759B7A80">
            <w:pPr>
              <w:pStyle w:val="34"/>
              <w:spacing w:line="360" w:lineRule="auto"/>
              <w:ind w:firstLine="0" w:firstLineChars="0"/>
              <w:jc w:val="center"/>
              <w:rPr>
                <w:rFonts w:hint="default" w:ascii="宋体" w:hAnsi="宋体" w:eastAsia="宋体" w:cs="宋体"/>
                <w:kern w:val="0"/>
                <w:sz w:val="24"/>
                <w:szCs w:val="24"/>
              </w:rPr>
            </w:pPr>
            <w:r>
              <w:rPr>
                <w:rFonts w:hint="eastAsia" w:cs="宋体"/>
                <w:kern w:val="0"/>
                <w:sz w:val="24"/>
                <w:szCs w:val="24"/>
                <w:lang w:val="en-US" w:eastAsia="zh-CN"/>
              </w:rPr>
              <w:t>1</w:t>
            </w:r>
          </w:p>
        </w:tc>
      </w:tr>
      <w:tr w14:paraId="0685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pct"/>
            <w:vAlign w:val="center"/>
          </w:tcPr>
          <w:p w14:paraId="166A0DCB">
            <w:pPr>
              <w:pStyle w:val="34"/>
              <w:numPr>
                <w:ilvl w:val="0"/>
                <w:numId w:val="11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74" w:type="pct"/>
            <w:vAlign w:val="center"/>
          </w:tcPr>
          <w:p w14:paraId="4D39C638">
            <w:pPr>
              <w:pStyle w:val="34"/>
              <w:spacing w:line="360" w:lineRule="auto"/>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报价评价</w:t>
            </w:r>
          </w:p>
          <w:p w14:paraId="5FF40A2A">
            <w:pPr>
              <w:pStyle w:val="34"/>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（1）满足招标文件要求的最低评标价为评标基准价，价格权值为</w:t>
            </w:r>
            <w:r>
              <w:rPr>
                <w:rFonts w:hint="eastAsia" w:cs="宋体"/>
                <w:sz w:val="24"/>
                <w:szCs w:val="24"/>
                <w:lang w:val="en-US" w:eastAsia="zh-CN"/>
              </w:rPr>
              <w:t>1</w:t>
            </w:r>
            <w:r>
              <w:rPr>
                <w:rFonts w:hint="eastAsia" w:ascii="宋体" w:hAnsi="宋体" w:eastAsia="宋体" w:cs="宋体"/>
                <w:sz w:val="24"/>
                <w:szCs w:val="24"/>
                <w:lang w:val="en-US" w:eastAsia="zh-CN"/>
              </w:rPr>
              <w:t>0；</w:t>
            </w:r>
          </w:p>
          <w:p w14:paraId="2E8786C8">
            <w:pPr>
              <w:pStyle w:val="34"/>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（2）报价分统一按照下列公式计算（四舍五入，精确到小数点后二位）：</w:t>
            </w:r>
            <w:r>
              <w:rPr>
                <w:rFonts w:hint="eastAsia" w:cs="宋体"/>
                <w:color w:val="auto"/>
                <w:szCs w:val="24"/>
                <w:lang w:eastAsia="zh-CN"/>
              </w:rPr>
              <w:t>报价得分=（评标基准价／供应商评标价）×</w:t>
            </w:r>
            <w:r>
              <w:rPr>
                <w:rFonts w:hint="eastAsia" w:cs="宋体"/>
                <w:color w:val="auto"/>
                <w:szCs w:val="24"/>
                <w:lang w:val="en-US" w:eastAsia="zh-CN"/>
              </w:rPr>
              <w:t>10</w:t>
            </w:r>
            <w:r>
              <w:rPr>
                <w:rFonts w:hint="eastAsia" w:ascii="宋体" w:hAnsi="宋体" w:eastAsia="宋体" w:cs="宋体"/>
                <w:sz w:val="24"/>
                <w:szCs w:val="24"/>
                <w:lang w:val="en-US" w:eastAsia="zh-CN"/>
              </w:rPr>
              <w:t>；</w:t>
            </w:r>
          </w:p>
        </w:tc>
        <w:tc>
          <w:tcPr>
            <w:tcW w:w="567" w:type="pct"/>
            <w:gridSpan w:val="2"/>
            <w:vAlign w:val="center"/>
          </w:tcPr>
          <w:p w14:paraId="41AA60E6">
            <w:pPr>
              <w:pStyle w:val="34"/>
              <w:spacing w:line="360" w:lineRule="auto"/>
              <w:ind w:firstLine="0" w:firstLineChars="0"/>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10</w:t>
            </w:r>
          </w:p>
        </w:tc>
      </w:tr>
      <w:tr w14:paraId="3923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jc w:val="center"/>
        </w:trPr>
        <w:tc>
          <w:tcPr>
            <w:tcW w:w="4432" w:type="pct"/>
            <w:gridSpan w:val="2"/>
            <w:vAlign w:val="center"/>
          </w:tcPr>
          <w:p w14:paraId="4C088ED4">
            <w:pPr>
              <w:pStyle w:val="34"/>
              <w:spacing w:line="360" w:lineRule="auto"/>
              <w:ind w:left="0" w:leftChars="0" w:right="0" w:rightChars="0" w:firstLine="0" w:firstLineChars="0"/>
              <w:jc w:val="center"/>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合计</w:t>
            </w:r>
          </w:p>
        </w:tc>
        <w:tc>
          <w:tcPr>
            <w:tcW w:w="566" w:type="pct"/>
            <w:vAlign w:val="center"/>
          </w:tcPr>
          <w:p w14:paraId="5F76D943">
            <w:pPr>
              <w:pStyle w:val="34"/>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fldChar w:fldCharType="begin"/>
            </w:r>
            <w:r>
              <w:rPr>
                <w:rFonts w:hint="default" w:ascii="宋体" w:hAnsi="宋体" w:eastAsia="宋体" w:cs="宋体"/>
                <w:kern w:val="0"/>
                <w:sz w:val="24"/>
                <w:szCs w:val="24"/>
              </w:rPr>
              <w:instrText xml:space="preserve"> = SUM(ABOVE) \* MERGEFORMAT </w:instrText>
            </w:r>
            <w:r>
              <w:rPr>
                <w:rFonts w:hint="default" w:ascii="宋体" w:hAnsi="宋体" w:eastAsia="宋体" w:cs="宋体"/>
                <w:kern w:val="0"/>
                <w:sz w:val="24"/>
                <w:szCs w:val="24"/>
              </w:rPr>
              <w:fldChar w:fldCharType="separate"/>
            </w:r>
            <w:r>
              <w:rPr>
                <w:rFonts w:hint="default" w:ascii="宋体" w:hAnsi="宋体" w:eastAsia="宋体" w:cs="宋体"/>
                <w:kern w:val="0"/>
                <w:sz w:val="24"/>
                <w:szCs w:val="24"/>
              </w:rPr>
              <w:t>100</w:t>
            </w:r>
            <w:r>
              <w:rPr>
                <w:rFonts w:hint="default" w:ascii="宋体" w:hAnsi="宋体" w:eastAsia="宋体" w:cs="宋体"/>
                <w:kern w:val="0"/>
                <w:sz w:val="24"/>
                <w:szCs w:val="24"/>
              </w:rPr>
              <w:fldChar w:fldCharType="end"/>
            </w:r>
          </w:p>
        </w:tc>
      </w:tr>
    </w:tbl>
    <w:p w14:paraId="123413F5">
      <w:pPr>
        <w:pStyle w:val="34"/>
        <w:ind w:left="0" w:leftChars="0" w:firstLine="0" w:firstLineChars="0"/>
        <w:rPr>
          <w:rFonts w:hint="default"/>
          <w:b w:val="0"/>
          <w:bCs w:val="0"/>
          <w:color w:val="auto"/>
          <w:u w:val="none"/>
          <w:lang w:val="en-US" w:eastAsia="zh-Hans"/>
        </w:rPr>
      </w:pPr>
    </w:p>
    <w:p w14:paraId="2B7E2E7B">
      <w:pPr>
        <w:pStyle w:val="36"/>
        <w:numPr>
          <w:ilvl w:val="1"/>
          <w:numId w:val="109"/>
        </w:numPr>
        <w:rPr>
          <w:color w:val="000000"/>
        </w:rPr>
      </w:pPr>
      <w:bookmarkStart w:id="336" w:name="_Toc13735"/>
      <w:bookmarkStart w:id="337" w:name="_Toc2283"/>
      <w:bookmarkStart w:id="338" w:name="_Toc5185"/>
      <w:bookmarkStart w:id="339" w:name="_Toc5606"/>
      <w:bookmarkStart w:id="340" w:name="_Toc26828"/>
      <w:r>
        <w:rPr>
          <w:rFonts w:hint="eastAsia"/>
        </w:rPr>
        <w:t>评审流程及内容</w:t>
      </w:r>
      <w:bookmarkEnd w:id="336"/>
      <w:bookmarkEnd w:id="337"/>
      <w:bookmarkEnd w:id="338"/>
      <w:bookmarkEnd w:id="339"/>
      <w:bookmarkEnd w:id="340"/>
    </w:p>
    <w:p w14:paraId="4CDD116E">
      <w:pPr>
        <w:pStyle w:val="34"/>
        <w:ind w:firstLine="480"/>
      </w:pPr>
      <w:r>
        <w:rPr>
          <w:rFonts w:hint="eastAsia"/>
        </w:rPr>
        <w:t>本项目具体的评审事务由评审委员会负责，评审流程及内容如下：</w:t>
      </w:r>
    </w:p>
    <w:p w14:paraId="2E6A2509">
      <w:pPr>
        <w:pStyle w:val="37"/>
        <w:numPr>
          <w:ilvl w:val="2"/>
          <w:numId w:val="108"/>
        </w:numPr>
        <w:rPr>
          <w:color w:val="000000"/>
        </w:rPr>
      </w:pPr>
      <w:r>
        <w:rPr>
          <w:rFonts w:hint="eastAsia"/>
        </w:rPr>
        <w:t>评审前准备</w:t>
      </w:r>
    </w:p>
    <w:p w14:paraId="5E705649">
      <w:pPr>
        <w:pStyle w:val="44"/>
        <w:numPr>
          <w:ilvl w:val="0"/>
          <w:numId w:val="117"/>
        </w:numPr>
        <w:bidi w:val="0"/>
      </w:pPr>
      <w:r>
        <w:t>由评审专家推选评审小组组长，采购人代表不得担任评审小组组长。</w:t>
      </w:r>
    </w:p>
    <w:p w14:paraId="36D2CF7C">
      <w:pPr>
        <w:pStyle w:val="44"/>
        <w:numPr>
          <w:ilvl w:val="0"/>
          <w:numId w:val="117"/>
        </w:numPr>
        <w:bidi w:val="0"/>
      </w:pPr>
      <w:r>
        <w:t>由评审小组组长召集所有评委成员阅读采购文件及相关补充、质疑、答复文件、项目书面说明等材料，熟悉采购项目基本情况、采购需求、合同主要条款、投标文件无效情形、评审办法、评审标准，以及其他与评审有关的内容。</w:t>
      </w:r>
    </w:p>
    <w:p w14:paraId="34EC36E5">
      <w:pPr>
        <w:pStyle w:val="37"/>
        <w:numPr>
          <w:ilvl w:val="2"/>
          <w:numId w:val="108"/>
        </w:numPr>
      </w:pPr>
      <w:r>
        <w:rPr>
          <w:rFonts w:hint="eastAsia"/>
        </w:rPr>
        <w:t>商务技术文件符合性审查</w:t>
      </w:r>
    </w:p>
    <w:p w14:paraId="38FD01A7">
      <w:pPr>
        <w:pStyle w:val="44"/>
        <w:numPr>
          <w:ilvl w:val="0"/>
          <w:numId w:val="118"/>
        </w:numPr>
        <w:bidi w:val="0"/>
      </w:pPr>
      <w:r>
        <w:t>评审委员会首先对通过资格审查的投标人的商务技术文件进行符合性审查，以确定其是否满足招标文件的实质性要求。</w:t>
      </w:r>
    </w:p>
    <w:p w14:paraId="186BBA37">
      <w:pPr>
        <w:pStyle w:val="44"/>
        <w:numPr>
          <w:ilvl w:val="0"/>
          <w:numId w:val="118"/>
        </w:numPr>
        <w:bidi w:val="0"/>
      </w:pPr>
      <w:r>
        <w:t>商务技术文件存在下列情形之一的，经评审委员会认定后作无效标处理：</w:t>
      </w:r>
    </w:p>
    <w:p w14:paraId="3F1583A4">
      <w:pPr>
        <w:pStyle w:val="45"/>
        <w:numPr>
          <w:ilvl w:val="0"/>
          <w:numId w:val="119"/>
        </w:numPr>
        <w:bidi w:val="0"/>
        <w:rPr>
          <w:u w:val="single"/>
        </w:rPr>
      </w:pPr>
      <w:r>
        <w:rPr>
          <w:rFonts w:hint="eastAsia"/>
          <w:u w:val="single"/>
        </w:rPr>
        <w:t>投标文件没有对本采购文件作出实质性响应的，或不满足（不响应）本采购文件中标注“▲”的实质性要求条款的；</w:t>
      </w:r>
    </w:p>
    <w:p w14:paraId="4A0C2127">
      <w:pPr>
        <w:pStyle w:val="45"/>
        <w:numPr>
          <w:ilvl w:val="0"/>
          <w:numId w:val="119"/>
        </w:numPr>
        <w:bidi w:val="0"/>
        <w:rPr>
          <w:u w:val="single"/>
        </w:rPr>
      </w:pPr>
      <w:r>
        <w:rPr>
          <w:rFonts w:hint="eastAsia"/>
          <w:u w:val="single"/>
        </w:rPr>
        <w:t>投标文件存在一个或一个以上备选（替代）</w:t>
      </w:r>
      <w:r>
        <w:rPr>
          <w:rFonts w:hint="eastAsia"/>
          <w:u w:val="single"/>
          <w:lang w:eastAsia="zh-CN"/>
        </w:rPr>
        <w:t>方</w:t>
      </w:r>
      <w:r>
        <w:rPr>
          <w:rFonts w:hint="eastAsia"/>
          <w:u w:val="single"/>
        </w:rPr>
        <w:t>案的；</w:t>
      </w:r>
    </w:p>
    <w:p w14:paraId="3FC656DF">
      <w:pPr>
        <w:pStyle w:val="45"/>
        <w:numPr>
          <w:ilvl w:val="0"/>
          <w:numId w:val="119"/>
        </w:numPr>
        <w:bidi w:val="0"/>
        <w:rPr>
          <w:u w:val="single"/>
        </w:rPr>
      </w:pPr>
      <w:r>
        <w:rPr>
          <w:rFonts w:hint="eastAsia"/>
          <w:u w:val="single"/>
        </w:rPr>
        <w:t>仅提交“备份投标文件”的；</w:t>
      </w:r>
    </w:p>
    <w:p w14:paraId="66FDDEE9">
      <w:pPr>
        <w:pStyle w:val="45"/>
        <w:numPr>
          <w:ilvl w:val="0"/>
          <w:numId w:val="119"/>
        </w:numPr>
        <w:bidi w:val="0"/>
        <w:rPr>
          <w:u w:val="single"/>
          <w:lang w:eastAsia="zh-CN"/>
        </w:rPr>
      </w:pPr>
      <w:r>
        <w:rPr>
          <w:rFonts w:hint="eastAsia"/>
          <w:u w:val="single"/>
        </w:rPr>
        <w:t>投标文件未按本</w:t>
      </w:r>
      <w:r>
        <w:rPr>
          <w:rFonts w:hint="eastAsia"/>
          <w:u w:val="single"/>
          <w:lang w:eastAsia="zh-CN"/>
        </w:rPr>
        <w:t>招标文件</w:t>
      </w:r>
      <w:r>
        <w:rPr>
          <w:rFonts w:hint="eastAsia"/>
          <w:u w:val="single"/>
          <w:lang w:eastAsia="zh-Hans"/>
        </w:rPr>
        <w:t>“</w:t>
      </w:r>
      <w:r>
        <w:rPr>
          <w:rFonts w:hint="eastAsia"/>
          <w:u w:val="single"/>
          <w:lang w:val="en-US" w:eastAsia="zh-Hans"/>
        </w:rPr>
        <w:t>第六章</w:t>
      </w:r>
      <w:r>
        <w:rPr>
          <w:rFonts w:hint="default"/>
          <w:u w:val="single"/>
          <w:lang w:eastAsia="zh-Hans"/>
        </w:rPr>
        <w:t xml:space="preserve"> </w:t>
      </w:r>
      <w:r>
        <w:rPr>
          <w:rFonts w:hint="eastAsia"/>
          <w:u w:val="single"/>
          <w:lang w:val="en-US" w:eastAsia="zh-Hans"/>
        </w:rPr>
        <w:t>投标文件部分</w:t>
      </w:r>
      <w:r>
        <w:rPr>
          <w:rFonts w:hint="eastAsia"/>
          <w:u w:val="single"/>
          <w:lang w:eastAsia="zh-CN"/>
        </w:rPr>
        <w:t>格式文本</w:t>
      </w:r>
      <w:r>
        <w:rPr>
          <w:rFonts w:hint="eastAsia"/>
          <w:u w:val="single"/>
          <w:lang w:eastAsia="zh-Hans"/>
        </w:rPr>
        <w:t>”</w:t>
      </w:r>
      <w:r>
        <w:rPr>
          <w:rFonts w:hint="eastAsia"/>
          <w:u w:val="single"/>
        </w:rPr>
        <w:t>要求进行盖章或签署的；</w:t>
      </w:r>
    </w:p>
    <w:p w14:paraId="7560543C">
      <w:pPr>
        <w:pStyle w:val="45"/>
        <w:numPr>
          <w:ilvl w:val="0"/>
          <w:numId w:val="119"/>
        </w:numPr>
        <w:bidi w:val="0"/>
        <w:rPr>
          <w:u w:val="single"/>
        </w:rPr>
      </w:pPr>
      <w:r>
        <w:rPr>
          <w:rFonts w:hint="eastAsia"/>
          <w:u w:val="single"/>
        </w:rPr>
        <w:t>投标文件组成内容不齐全，本</w:t>
      </w:r>
      <w:r>
        <w:rPr>
          <w:rFonts w:hint="eastAsia"/>
          <w:u w:val="single"/>
          <w:lang w:eastAsia="zh-CN"/>
        </w:rPr>
        <w:t>招标</w:t>
      </w:r>
      <w:r>
        <w:rPr>
          <w:rFonts w:hint="eastAsia"/>
          <w:u w:val="single"/>
        </w:rPr>
        <w:t>文件规定必须提供而未提供的；</w:t>
      </w:r>
    </w:p>
    <w:p w14:paraId="23A1DDBD">
      <w:pPr>
        <w:pStyle w:val="45"/>
        <w:numPr>
          <w:ilvl w:val="0"/>
          <w:numId w:val="119"/>
        </w:numPr>
        <w:bidi w:val="0"/>
        <w:rPr>
          <w:u w:val="single"/>
        </w:rPr>
      </w:pPr>
      <w:r>
        <w:rPr>
          <w:rFonts w:hint="eastAsia"/>
          <w:u w:val="single"/>
        </w:rPr>
        <w:t>投标文件标注的响应或偏离情况与事实不符，或提供了虚假材料的；</w:t>
      </w:r>
    </w:p>
    <w:p w14:paraId="494E94D0">
      <w:pPr>
        <w:pStyle w:val="45"/>
        <w:numPr>
          <w:ilvl w:val="0"/>
          <w:numId w:val="119"/>
        </w:numPr>
        <w:bidi w:val="0"/>
        <w:rPr>
          <w:u w:val="single"/>
        </w:rPr>
      </w:pPr>
      <w:r>
        <w:rPr>
          <w:rFonts w:hint="eastAsia"/>
          <w:u w:val="single"/>
        </w:rPr>
        <w:t>投标文件有效期不符合本采购文件要求的；</w:t>
      </w:r>
    </w:p>
    <w:p w14:paraId="6C638566">
      <w:pPr>
        <w:pStyle w:val="45"/>
        <w:numPr>
          <w:ilvl w:val="0"/>
          <w:numId w:val="119"/>
        </w:numPr>
        <w:bidi w:val="0"/>
        <w:rPr>
          <w:u w:val="single"/>
        </w:rPr>
      </w:pPr>
      <w:r>
        <w:rPr>
          <w:rFonts w:hint="eastAsia"/>
          <w:u w:val="single"/>
        </w:rPr>
        <w:t>不响应或擅自改变本采购文件要求或投标文件含有</w:t>
      </w:r>
      <w:r>
        <w:rPr>
          <w:rFonts w:hint="eastAsia"/>
          <w:u w:val="single"/>
          <w:lang w:eastAsia="zh-CN"/>
        </w:rPr>
        <w:t>招标</w:t>
      </w:r>
      <w:r>
        <w:rPr>
          <w:rFonts w:hint="eastAsia"/>
          <w:u w:val="single"/>
        </w:rPr>
        <w:t>人不能接受的附加条件的；</w:t>
      </w:r>
    </w:p>
    <w:p w14:paraId="49F63605">
      <w:pPr>
        <w:pStyle w:val="45"/>
        <w:numPr>
          <w:ilvl w:val="0"/>
          <w:numId w:val="119"/>
        </w:numPr>
        <w:bidi w:val="0"/>
        <w:rPr>
          <w:u w:val="single"/>
        </w:rPr>
      </w:pPr>
      <w:r>
        <w:rPr>
          <w:rFonts w:hint="eastAsia"/>
          <w:u w:val="single"/>
        </w:rPr>
        <w:t>属于本招标文件明确限制投标的供应商提供的投标文件；</w:t>
      </w:r>
    </w:p>
    <w:p w14:paraId="4CD29103">
      <w:pPr>
        <w:pStyle w:val="45"/>
        <w:numPr>
          <w:ilvl w:val="0"/>
          <w:numId w:val="119"/>
        </w:numPr>
        <w:bidi w:val="0"/>
      </w:pPr>
      <w:r>
        <w:rPr>
          <w:rFonts w:hint="eastAsia"/>
          <w:u w:val="single"/>
        </w:rPr>
        <w:t>未提供有效投标函及投标代表人身份证明的投标文件；</w:t>
      </w:r>
    </w:p>
    <w:p w14:paraId="20C0319B">
      <w:pPr>
        <w:pStyle w:val="45"/>
        <w:numPr>
          <w:ilvl w:val="0"/>
          <w:numId w:val="119"/>
        </w:numPr>
        <w:bidi w:val="0"/>
        <w:rPr>
          <w:u w:val="single"/>
        </w:rPr>
      </w:pPr>
      <w:r>
        <w:rPr>
          <w:rFonts w:hint="eastAsia"/>
          <w:u w:val="single"/>
        </w:rPr>
        <w:t>存在法律、法规和采购文件规定的其他无效情形的。</w:t>
      </w:r>
    </w:p>
    <w:p w14:paraId="56802854">
      <w:pPr>
        <w:pStyle w:val="44"/>
        <w:bidi w:val="0"/>
        <w:rPr>
          <w:rFonts w:hint="default"/>
          <w:color w:val="auto"/>
          <w:lang w:val="en-US" w:eastAsia="zh-CN"/>
        </w:rPr>
      </w:pPr>
      <w:r>
        <w:rPr>
          <w:rFonts w:hint="eastAsia"/>
          <w:color w:val="auto"/>
          <w:lang w:val="en-US" w:eastAsia="zh-CN"/>
        </w:rPr>
        <w:t>电子交易活动中，出现以下情形之一的，相关方均作无效投标处理：</w:t>
      </w:r>
    </w:p>
    <w:p w14:paraId="0229A3B8">
      <w:pPr>
        <w:pStyle w:val="45"/>
        <w:numPr>
          <w:ilvl w:val="0"/>
          <w:numId w:val="120"/>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0D2DC503">
      <w:pPr>
        <w:pStyle w:val="45"/>
        <w:numPr>
          <w:ilvl w:val="0"/>
          <w:numId w:val="120"/>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537E4400">
      <w:pPr>
        <w:pStyle w:val="45"/>
        <w:numPr>
          <w:ilvl w:val="0"/>
          <w:numId w:val="120"/>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3DBD4E57">
      <w:pPr>
        <w:pStyle w:val="45"/>
        <w:numPr>
          <w:ilvl w:val="0"/>
          <w:numId w:val="120"/>
        </w:numPr>
        <w:bidi w:val="0"/>
        <w:rPr>
          <w:rFonts w:hint="default"/>
          <w:color w:val="auto"/>
          <w:u w:val="single"/>
          <w:lang w:val="en-US" w:eastAsia="zh-CN"/>
        </w:rPr>
      </w:pPr>
      <w:r>
        <w:rPr>
          <w:rFonts w:hint="eastAsia"/>
          <w:color w:val="auto"/>
          <w:u w:val="single"/>
          <w:lang w:val="en-US" w:eastAsia="zh-CN"/>
        </w:rPr>
        <w:t>电子交易平台提示不同投标人其他设备或电子文档属性信息重复的。</w:t>
      </w:r>
    </w:p>
    <w:p w14:paraId="0EF5C0BC">
      <w:pPr>
        <w:pStyle w:val="37"/>
        <w:numPr>
          <w:ilvl w:val="2"/>
          <w:numId w:val="108"/>
        </w:numPr>
      </w:pPr>
      <w:r>
        <w:rPr>
          <w:rFonts w:hint="eastAsia"/>
        </w:rPr>
        <w:t>商务技术文件评分</w:t>
      </w:r>
    </w:p>
    <w:p w14:paraId="2614F92B">
      <w:pPr>
        <w:pStyle w:val="34"/>
        <w:ind w:firstLine="480"/>
        <w:rPr>
          <w:rFonts w:cs="Arial"/>
          <w:kern w:val="0"/>
        </w:rPr>
      </w:pPr>
      <w:r>
        <w:rPr>
          <w:rFonts w:hint="eastAsia"/>
        </w:rPr>
        <w:t>评审委员会首先对</w:t>
      </w:r>
      <w:r>
        <w:rPr>
          <w:rFonts w:hint="eastAsia"/>
          <w:lang w:eastAsia="zh-CN"/>
        </w:rPr>
        <w:t>通过资格审查且通过商务技术文件符合性审查</w:t>
      </w:r>
      <w:r>
        <w:rPr>
          <w:rFonts w:hint="eastAsia"/>
        </w:rPr>
        <w:t>的投标</w:t>
      </w:r>
      <w:r>
        <w:rPr>
          <w:rFonts w:hint="eastAsia"/>
          <w:lang w:eastAsia="zh-CN"/>
        </w:rPr>
        <w:t>人</w:t>
      </w:r>
      <w:r>
        <w:rPr>
          <w:rFonts w:hint="eastAsia"/>
        </w:rPr>
        <w:t>的</w:t>
      </w:r>
      <w:r>
        <w:rPr>
          <w:rFonts w:hint="eastAsia"/>
          <w:lang w:eastAsia="zh-CN"/>
        </w:rPr>
        <w:t>商务技术</w:t>
      </w:r>
      <w:r>
        <w:rPr>
          <w:rFonts w:hint="eastAsia"/>
        </w:rPr>
        <w:t>文件</w:t>
      </w:r>
      <w:r>
        <w:rPr>
          <w:rFonts w:hint="eastAsia"/>
          <w:lang w:val="en-US" w:eastAsia="zh-CN"/>
        </w:rPr>
        <w:t>依照“评分标准”</w:t>
      </w:r>
      <w:r>
        <w:rPr>
          <w:rFonts w:hint="eastAsia"/>
        </w:rPr>
        <w:t>进行</w:t>
      </w:r>
      <w:r>
        <w:rPr>
          <w:rFonts w:hint="eastAsia"/>
          <w:lang w:eastAsia="zh-CN"/>
        </w:rPr>
        <w:t>详细</w:t>
      </w:r>
      <w:r>
        <w:rPr>
          <w:rFonts w:hint="eastAsia"/>
          <w:lang w:val="en-US" w:eastAsia="zh-CN"/>
        </w:rPr>
        <w:t>评价。</w:t>
      </w:r>
    </w:p>
    <w:p w14:paraId="39D48229">
      <w:pPr>
        <w:pStyle w:val="37"/>
        <w:numPr>
          <w:ilvl w:val="2"/>
          <w:numId w:val="108"/>
        </w:numPr>
        <w:rPr>
          <w:rFonts w:ascii="华文中宋" w:hAnsi="华文中宋" w:eastAsia="华文中宋" w:cs="Times New Roman"/>
          <w:b/>
          <w:color w:val="000000"/>
          <w:kern w:val="0"/>
          <w:sz w:val="30"/>
          <w:szCs w:val="30"/>
        </w:rPr>
      </w:pPr>
      <w:r>
        <w:rPr>
          <w:rFonts w:hint="eastAsia"/>
          <w:lang w:eastAsia="zh-CN"/>
        </w:rPr>
        <w:t>报价文件</w:t>
      </w:r>
      <w:r>
        <w:rPr>
          <w:rFonts w:hint="eastAsia"/>
        </w:rPr>
        <w:t>符合性审查</w:t>
      </w:r>
    </w:p>
    <w:p w14:paraId="42A20EE6">
      <w:pPr>
        <w:pStyle w:val="44"/>
        <w:numPr>
          <w:ilvl w:val="0"/>
          <w:numId w:val="121"/>
        </w:numPr>
        <w:bidi w:val="0"/>
      </w:pPr>
      <w:r>
        <w:t>评审委员会对通过资格审查且通过商务技术符合性审查的投标人的报价文件进行符合性审查，以确定其是否满足招标文件的实质性要求。</w:t>
      </w:r>
    </w:p>
    <w:p w14:paraId="4D2067E7">
      <w:pPr>
        <w:pStyle w:val="44"/>
        <w:numPr>
          <w:ilvl w:val="0"/>
          <w:numId w:val="121"/>
        </w:numPr>
        <w:bidi w:val="0"/>
        <w:rPr>
          <w:rFonts w:cs="Arial"/>
          <w:kern w:val="0"/>
        </w:rPr>
      </w:pPr>
      <w:r>
        <w:t>报价文件存在下列情形之一的，经评审委员会认定后作无效标处理：</w:t>
      </w:r>
    </w:p>
    <w:p w14:paraId="2B08F5AE">
      <w:pPr>
        <w:pStyle w:val="45"/>
        <w:numPr>
          <w:ilvl w:val="0"/>
          <w:numId w:val="122"/>
        </w:numPr>
        <w:bidi w:val="0"/>
        <w:rPr>
          <w:u w:val="single"/>
        </w:rPr>
      </w:pPr>
      <w:r>
        <w:rPr>
          <w:rFonts w:hint="eastAsia"/>
          <w:u w:val="single"/>
        </w:rPr>
        <w:t>投标文件没有对本采购文件作出实质性响应的，或不满足（不响应）本采购文件中标注“▲”的实质性要求条款的；</w:t>
      </w:r>
    </w:p>
    <w:p w14:paraId="31AFD67E">
      <w:pPr>
        <w:pStyle w:val="45"/>
        <w:numPr>
          <w:ilvl w:val="0"/>
          <w:numId w:val="122"/>
        </w:numPr>
        <w:bidi w:val="0"/>
        <w:rPr>
          <w:u w:val="single"/>
        </w:rPr>
      </w:pPr>
      <w:r>
        <w:rPr>
          <w:rFonts w:hint="eastAsia"/>
          <w:u w:val="single"/>
        </w:rPr>
        <w:t>投标文件存在一个或一个以上备选（替代）</w:t>
      </w:r>
      <w:r>
        <w:rPr>
          <w:rFonts w:hint="eastAsia"/>
          <w:u w:val="single"/>
          <w:lang w:eastAsia="zh-CN"/>
        </w:rPr>
        <w:t>方</w:t>
      </w:r>
      <w:r>
        <w:rPr>
          <w:rFonts w:hint="eastAsia"/>
          <w:u w:val="single"/>
        </w:rPr>
        <w:t>案的；</w:t>
      </w:r>
    </w:p>
    <w:p w14:paraId="32AC20D6">
      <w:pPr>
        <w:pStyle w:val="45"/>
        <w:numPr>
          <w:ilvl w:val="0"/>
          <w:numId w:val="122"/>
        </w:numPr>
        <w:bidi w:val="0"/>
        <w:rPr>
          <w:u w:val="single"/>
        </w:rPr>
      </w:pPr>
      <w:r>
        <w:rPr>
          <w:rFonts w:hint="eastAsia"/>
          <w:u w:val="single"/>
        </w:rPr>
        <w:t>未按照采购文件标明的币种报价的，或者投标报价涵盖的内容不符合</w:t>
      </w:r>
      <w:r>
        <w:rPr>
          <w:rFonts w:hint="eastAsia"/>
          <w:u w:val="single"/>
          <w:lang w:eastAsia="zh-CN"/>
        </w:rPr>
        <w:t>招标</w:t>
      </w:r>
      <w:r>
        <w:rPr>
          <w:rFonts w:hint="eastAsia"/>
          <w:u w:val="single"/>
        </w:rPr>
        <w:t>文件要求的；</w:t>
      </w:r>
    </w:p>
    <w:p w14:paraId="5EDD9143">
      <w:pPr>
        <w:pStyle w:val="45"/>
        <w:numPr>
          <w:ilvl w:val="0"/>
          <w:numId w:val="122"/>
        </w:numPr>
        <w:bidi w:val="0"/>
        <w:rPr>
          <w:u w:val="single"/>
        </w:rPr>
      </w:pPr>
      <w:r>
        <w:rPr>
          <w:rFonts w:hint="eastAsia"/>
          <w:u w:val="single"/>
        </w:rPr>
        <w:t>报价出现前后不一致时拒绝按照</w:t>
      </w:r>
      <w:r>
        <w:rPr>
          <w:rFonts w:hint="eastAsia"/>
          <w:u w:val="single"/>
          <w:lang w:eastAsia="zh-CN"/>
        </w:rPr>
        <w:t>招标</w:t>
      </w:r>
      <w:r>
        <w:rPr>
          <w:rFonts w:hint="eastAsia"/>
          <w:u w:val="single"/>
        </w:rPr>
        <w:t>文件规定的错误修正原则进行修正的；</w:t>
      </w:r>
    </w:p>
    <w:p w14:paraId="632941FB">
      <w:pPr>
        <w:pStyle w:val="45"/>
        <w:numPr>
          <w:ilvl w:val="0"/>
          <w:numId w:val="122"/>
        </w:numPr>
        <w:bidi w:val="0"/>
        <w:rPr>
          <w:u w:val="single"/>
        </w:rPr>
      </w:pPr>
      <w:r>
        <w:rPr>
          <w:rFonts w:hint="eastAsia"/>
          <w:u w:val="single"/>
        </w:rPr>
        <w:t>投标报价具有选择性，开标记录载明的报价与投标文件承诺价格不一致且拒绝按照采购文件规定的原则进行修订的；</w:t>
      </w:r>
    </w:p>
    <w:p w14:paraId="0E80E051">
      <w:pPr>
        <w:pStyle w:val="45"/>
        <w:numPr>
          <w:ilvl w:val="0"/>
          <w:numId w:val="122"/>
        </w:numPr>
        <w:bidi w:val="0"/>
        <w:rPr>
          <w:u w:val="single"/>
        </w:rPr>
      </w:pPr>
      <w:r>
        <w:rPr>
          <w:rFonts w:hint="eastAsia"/>
          <w:u w:val="single"/>
        </w:rPr>
        <w:t>报价超过采购文件中规定的预算金额或者最高限价的；</w:t>
      </w:r>
    </w:p>
    <w:p w14:paraId="31198AEC">
      <w:pPr>
        <w:pStyle w:val="45"/>
        <w:numPr>
          <w:ilvl w:val="0"/>
          <w:numId w:val="122"/>
        </w:numPr>
        <w:bidi w:val="0"/>
        <w:rPr>
          <w:u w:val="single"/>
        </w:rPr>
      </w:pPr>
      <w:r>
        <w:rPr>
          <w:rFonts w:hint="eastAsia"/>
          <w:u w:val="single"/>
        </w:rPr>
        <w:t>投标文件未按本</w:t>
      </w:r>
      <w:r>
        <w:rPr>
          <w:rFonts w:hint="eastAsia"/>
          <w:u w:val="single"/>
          <w:lang w:eastAsia="zh-CN"/>
        </w:rPr>
        <w:t>招标文件格式文本要求</w:t>
      </w:r>
      <w:r>
        <w:rPr>
          <w:rFonts w:hint="eastAsia"/>
          <w:u w:val="single"/>
        </w:rPr>
        <w:t>要求进行盖章或签署的；</w:t>
      </w:r>
    </w:p>
    <w:p w14:paraId="26BFBB11">
      <w:pPr>
        <w:pStyle w:val="45"/>
        <w:numPr>
          <w:ilvl w:val="0"/>
          <w:numId w:val="122"/>
        </w:numPr>
        <w:bidi w:val="0"/>
        <w:rPr>
          <w:u w:val="single"/>
        </w:rPr>
      </w:pPr>
      <w:r>
        <w:rPr>
          <w:rFonts w:hint="eastAsia"/>
          <w:u w:val="single"/>
        </w:rPr>
        <w:t>投标文件组成内容不齐全，本</w:t>
      </w:r>
      <w:r>
        <w:rPr>
          <w:rFonts w:hint="eastAsia"/>
          <w:u w:val="single"/>
          <w:lang w:eastAsia="zh-CN"/>
        </w:rPr>
        <w:t>招标</w:t>
      </w:r>
      <w:r>
        <w:rPr>
          <w:rFonts w:hint="eastAsia"/>
          <w:u w:val="single"/>
        </w:rPr>
        <w:t>文件规定必须提供而未提供的；</w:t>
      </w:r>
    </w:p>
    <w:p w14:paraId="59EB5631">
      <w:pPr>
        <w:pStyle w:val="45"/>
        <w:numPr>
          <w:ilvl w:val="0"/>
          <w:numId w:val="122"/>
        </w:numPr>
        <w:bidi w:val="0"/>
        <w:rPr>
          <w:u w:val="single"/>
        </w:rPr>
      </w:pPr>
      <w:r>
        <w:rPr>
          <w:rFonts w:hint="eastAsia"/>
          <w:u w:val="single"/>
        </w:rPr>
        <w:t>评审委员会认为投标</w:t>
      </w:r>
      <w:r>
        <w:rPr>
          <w:rFonts w:hint="eastAsia"/>
          <w:u w:val="single"/>
          <w:lang w:eastAsia="zh-CN"/>
        </w:rPr>
        <w:t>人</w:t>
      </w:r>
      <w:r>
        <w:rPr>
          <w:rFonts w:hint="eastAsia"/>
          <w:u w:val="single"/>
        </w:rPr>
        <w:t>的报价明显低于其他通过符合性审查的投标人的报价有可能影响产品质量或者不能诚信履约时，投标人不能在规定的时间证明其报价合理性的；</w:t>
      </w:r>
    </w:p>
    <w:p w14:paraId="6119F32A">
      <w:pPr>
        <w:pStyle w:val="45"/>
        <w:numPr>
          <w:ilvl w:val="0"/>
          <w:numId w:val="122"/>
        </w:numPr>
        <w:bidi w:val="0"/>
        <w:rPr>
          <w:u w:val="single"/>
        </w:rPr>
      </w:pPr>
      <w:r>
        <w:rPr>
          <w:rFonts w:hint="eastAsia"/>
          <w:u w:val="single"/>
        </w:rPr>
        <w:t>不响应或擅自改变本采购文件要求或投标文件含有</w:t>
      </w:r>
      <w:r>
        <w:rPr>
          <w:rFonts w:hint="eastAsia"/>
          <w:u w:val="single"/>
          <w:lang w:eastAsia="zh-CN"/>
        </w:rPr>
        <w:t>招标</w:t>
      </w:r>
      <w:r>
        <w:rPr>
          <w:rFonts w:hint="eastAsia"/>
          <w:u w:val="single"/>
        </w:rPr>
        <w:t>人不能接受的附加条件的；</w:t>
      </w:r>
    </w:p>
    <w:p w14:paraId="2B251CF5">
      <w:pPr>
        <w:pStyle w:val="45"/>
        <w:numPr>
          <w:ilvl w:val="0"/>
          <w:numId w:val="122"/>
        </w:numPr>
        <w:bidi w:val="0"/>
      </w:pPr>
      <w:r>
        <w:rPr>
          <w:rFonts w:hint="eastAsia"/>
          <w:u w:val="single"/>
        </w:rPr>
        <w:t>存在法律、法规和采购文件规定的其他无效情形的。</w:t>
      </w:r>
    </w:p>
    <w:p w14:paraId="3945F0D2">
      <w:pPr>
        <w:pStyle w:val="44"/>
        <w:bidi w:val="0"/>
        <w:rPr>
          <w:rFonts w:hint="default"/>
          <w:color w:val="auto"/>
          <w:lang w:val="en-US" w:eastAsia="zh-CN"/>
        </w:rPr>
      </w:pPr>
      <w:r>
        <w:rPr>
          <w:rFonts w:hint="eastAsia"/>
          <w:color w:val="auto"/>
          <w:lang w:val="en-US" w:eastAsia="zh-CN"/>
        </w:rPr>
        <w:t>电子交易活动中，出现以下情形之一的，相关方均作无效投标处理：</w:t>
      </w:r>
    </w:p>
    <w:p w14:paraId="707F439D">
      <w:pPr>
        <w:pStyle w:val="45"/>
        <w:numPr>
          <w:ilvl w:val="0"/>
          <w:numId w:val="123"/>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6A864909">
      <w:pPr>
        <w:pStyle w:val="45"/>
        <w:numPr>
          <w:ilvl w:val="0"/>
          <w:numId w:val="123"/>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115C4A38">
      <w:pPr>
        <w:pStyle w:val="45"/>
        <w:numPr>
          <w:ilvl w:val="0"/>
          <w:numId w:val="123"/>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21AB5576">
      <w:pPr>
        <w:pStyle w:val="45"/>
        <w:numPr>
          <w:ilvl w:val="0"/>
          <w:numId w:val="123"/>
        </w:numPr>
        <w:bidi w:val="0"/>
        <w:rPr>
          <w:color w:val="auto"/>
        </w:rPr>
      </w:pPr>
      <w:r>
        <w:rPr>
          <w:rFonts w:hint="eastAsia"/>
          <w:color w:val="auto"/>
          <w:u w:val="single"/>
          <w:lang w:val="en-US" w:eastAsia="zh-CN"/>
        </w:rPr>
        <w:t>电子交易平台提示不同投标人其他设备或电子文档属性信息重复的。</w:t>
      </w:r>
    </w:p>
    <w:p w14:paraId="194199BE">
      <w:pPr>
        <w:pStyle w:val="37"/>
        <w:numPr>
          <w:ilvl w:val="2"/>
          <w:numId w:val="108"/>
        </w:numPr>
      </w:pPr>
      <w:r>
        <w:rPr>
          <w:rFonts w:hint="eastAsia"/>
          <w:lang w:eastAsia="zh-CN"/>
        </w:rPr>
        <w:t>报价</w:t>
      </w:r>
      <w:r>
        <w:rPr>
          <w:rFonts w:hint="eastAsia"/>
        </w:rPr>
        <w:t>文件评分</w:t>
      </w:r>
    </w:p>
    <w:p w14:paraId="15FA48C4">
      <w:pPr>
        <w:pStyle w:val="34"/>
        <w:ind w:firstLine="480"/>
        <w:rPr>
          <w:rFonts w:cs="Arial"/>
          <w:kern w:val="0"/>
        </w:rPr>
      </w:pPr>
      <w:r>
        <w:rPr>
          <w:rFonts w:hint="eastAsia"/>
        </w:rPr>
        <w:t>评审委员会首先对</w:t>
      </w:r>
      <w:r>
        <w:rPr>
          <w:rFonts w:hint="eastAsia"/>
          <w:lang w:eastAsia="zh-CN"/>
        </w:rPr>
        <w:t>通过资格审查且通过符合性审查</w:t>
      </w:r>
      <w:r>
        <w:rPr>
          <w:rFonts w:hint="eastAsia"/>
        </w:rPr>
        <w:t>的投标</w:t>
      </w:r>
      <w:r>
        <w:rPr>
          <w:rFonts w:hint="eastAsia"/>
          <w:lang w:eastAsia="zh-CN"/>
        </w:rPr>
        <w:t>人</w:t>
      </w:r>
      <w:r>
        <w:rPr>
          <w:rFonts w:hint="eastAsia"/>
        </w:rPr>
        <w:t>的</w:t>
      </w:r>
      <w:r>
        <w:rPr>
          <w:rFonts w:hint="eastAsia"/>
          <w:lang w:eastAsia="zh-CN"/>
        </w:rPr>
        <w:t>报价</w:t>
      </w:r>
      <w:r>
        <w:rPr>
          <w:rFonts w:hint="eastAsia"/>
        </w:rPr>
        <w:t>文件</w:t>
      </w:r>
      <w:r>
        <w:rPr>
          <w:rFonts w:hint="eastAsia"/>
          <w:lang w:val="en-US" w:eastAsia="zh-CN"/>
        </w:rPr>
        <w:t>依照“评分标准”</w:t>
      </w:r>
      <w:r>
        <w:rPr>
          <w:rFonts w:hint="eastAsia"/>
        </w:rPr>
        <w:t>进行</w:t>
      </w:r>
      <w:r>
        <w:rPr>
          <w:rFonts w:hint="eastAsia"/>
          <w:lang w:eastAsia="zh-CN"/>
        </w:rPr>
        <w:t>详细</w:t>
      </w:r>
      <w:r>
        <w:rPr>
          <w:rFonts w:hint="eastAsia"/>
          <w:lang w:val="en-US" w:eastAsia="zh-CN"/>
        </w:rPr>
        <w:t>评价。</w:t>
      </w:r>
    </w:p>
    <w:p w14:paraId="0F37389F">
      <w:pPr>
        <w:pStyle w:val="33"/>
        <w:numPr>
          <w:ilvl w:val="3"/>
          <w:numId w:val="108"/>
        </w:numPr>
        <w:ind w:firstLine="482"/>
      </w:pPr>
      <w:r>
        <w:t>投标价格的合理性审查</w:t>
      </w:r>
    </w:p>
    <w:p w14:paraId="383F4B38">
      <w:pPr>
        <w:pStyle w:val="44"/>
        <w:numPr>
          <w:ilvl w:val="0"/>
          <w:numId w:val="124"/>
        </w:numPr>
        <w:bidi w:val="0"/>
      </w:pPr>
      <w:r>
        <w:t>分析投标价格是否合理，投标价格范围是否完整，有否重大错漏项；</w:t>
      </w:r>
    </w:p>
    <w:p w14:paraId="3048892E">
      <w:pPr>
        <w:pStyle w:val="44"/>
        <w:numPr>
          <w:ilvl w:val="0"/>
          <w:numId w:val="124"/>
        </w:numPr>
        <w:bidi w:val="0"/>
      </w:pPr>
      <w:r>
        <w:t>为防止恶意竞标的行为，评审委员会认为投标人的报价明显低于其他通过符合性审查的投标人的报价，有可能影响产品质量或者不能诚信履约的，将要求投标人在评审现场30分钟内提供书面说明，</w:t>
      </w:r>
      <w:r>
        <w:rPr>
          <w:rFonts w:hint="eastAsia"/>
          <w:color w:val="auto"/>
          <w:lang w:val="en-US" w:eastAsia="zh-CN"/>
        </w:rPr>
        <w:t>内容应当按照国家财务会计制度的规定要求，逐项就供应商提供的货物、工程和服务的主营业务成本（应根据供应商企业类型予以区别）、税金及附加、销售费用、管理费用、财务费用等成本构成事项详细陈述，</w:t>
      </w:r>
      <w:r>
        <w:rPr>
          <w:color w:val="auto"/>
        </w:rPr>
        <w:t>必要时提交相关证明材料；投标人不能证明其报价合理性的，评审委员会将对其作为无效投标处理。</w:t>
      </w:r>
    </w:p>
    <w:p w14:paraId="4D1F2630">
      <w:pPr>
        <w:pStyle w:val="33"/>
        <w:numPr>
          <w:ilvl w:val="3"/>
          <w:numId w:val="108"/>
        </w:numPr>
        <w:ind w:firstLine="482"/>
      </w:pPr>
      <w:r>
        <w:t>报价分计算方法</w:t>
      </w:r>
    </w:p>
    <w:p w14:paraId="6970AED3">
      <w:pPr>
        <w:pStyle w:val="44"/>
        <w:numPr>
          <w:ilvl w:val="0"/>
          <w:numId w:val="125"/>
        </w:numPr>
        <w:bidi w:val="0"/>
        <w:rPr>
          <w:rFonts w:hint="eastAsia"/>
          <w:lang w:eastAsia="zh-Hans"/>
        </w:rPr>
      </w:pPr>
      <w:r>
        <w:t>满足采购文件要求的最低评标价为评标基准价，价格权值</w:t>
      </w:r>
      <w:r>
        <w:rPr>
          <w:rFonts w:hint="eastAsia"/>
          <w:lang w:val="en-US" w:eastAsia="zh-CN"/>
        </w:rPr>
        <w:t>见“评分标准”</w:t>
      </w:r>
      <w:r>
        <w:rPr>
          <w:rFonts w:hint="eastAsia"/>
          <w:lang w:eastAsia="zh-Hans"/>
        </w:rPr>
        <w:t>；</w:t>
      </w:r>
    </w:p>
    <w:p w14:paraId="56B5FF04">
      <w:pPr>
        <w:pStyle w:val="44"/>
        <w:numPr>
          <w:ilvl w:val="0"/>
          <w:numId w:val="125"/>
        </w:numPr>
        <w:bidi w:val="0"/>
        <w:rPr>
          <w:rFonts w:hint="eastAsia"/>
          <w:lang w:eastAsia="zh-Hans"/>
        </w:rPr>
      </w:pPr>
      <w:r>
        <w:t>投标人的报价分</w:t>
      </w:r>
      <w:r>
        <w:rPr>
          <w:rFonts w:hint="eastAsia"/>
          <w:lang w:val="en-US" w:eastAsia="zh-CN"/>
        </w:rPr>
        <w:t>计分方式见“评分标准”</w:t>
      </w:r>
      <w:r>
        <w:rPr>
          <w:rFonts w:hint="eastAsia"/>
          <w:lang w:eastAsia="zh-Hans"/>
        </w:rPr>
        <w:t>；</w:t>
      </w:r>
    </w:p>
    <w:p w14:paraId="02F7BD2C">
      <w:pPr>
        <w:pStyle w:val="44"/>
        <w:numPr>
          <w:ilvl w:val="0"/>
          <w:numId w:val="4"/>
        </w:numPr>
        <w:bidi w:val="0"/>
      </w:pPr>
      <w:r>
        <w:t>小微企业价格扣除政策</w:t>
      </w:r>
    </w:p>
    <w:p w14:paraId="55C58088">
      <w:pPr>
        <w:pStyle w:val="45"/>
        <w:numPr>
          <w:ilvl w:val="0"/>
          <w:numId w:val="126"/>
        </w:numPr>
        <w:bidi w:val="0"/>
      </w:pPr>
      <w:r>
        <w:t>预留份额专门面向中小企业的项目不再执行小微企业价格扣除政策；</w:t>
      </w:r>
    </w:p>
    <w:p w14:paraId="5DA0C0FA">
      <w:pPr>
        <w:pStyle w:val="45"/>
        <w:numPr>
          <w:ilvl w:val="0"/>
          <w:numId w:val="126"/>
        </w:numPr>
        <w:bidi w:val="0"/>
      </w:pPr>
      <w:r>
        <w:t>对于未预留份额专门面向中小企业的政府采购货物或服务项目，以及预留份额政府采购货物或服务项目中的非预留部分标项，对小型和微型企业的投标报价给予【</w:t>
      </w:r>
      <w:r>
        <w:rPr>
          <w:rFonts w:hint="eastAsia"/>
          <w:lang w:val="en-US" w:eastAsia="zh-CN"/>
        </w:rPr>
        <w:t>10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lang w:val="en-US" w:eastAsia="zh-CN"/>
        </w:rPr>
        <w:t>4</w:t>
      </w:r>
      <w:r>
        <w:t>%】的扣除，用扣除后的价格参加评审。组成联合体或者接受分包的小微企业与联合体内其他企业、分包企业之间存在直接控股、管理关系的，不享受价格扣除优惠政策。</w:t>
      </w:r>
    </w:p>
    <w:p w14:paraId="558193A9">
      <w:pPr>
        <w:pStyle w:val="33"/>
        <w:numPr>
          <w:ilvl w:val="3"/>
          <w:numId w:val="108"/>
        </w:numPr>
        <w:ind w:firstLine="482"/>
      </w:pPr>
      <w:r>
        <w:rPr>
          <w:rFonts w:hint="eastAsia"/>
        </w:rPr>
        <w:t>报价文件的错误修正</w:t>
      </w:r>
    </w:p>
    <w:p w14:paraId="55C37B0B">
      <w:pPr>
        <w:pStyle w:val="34"/>
        <w:ind w:firstLine="480"/>
        <w:rPr>
          <w:rFonts w:cs="Arial"/>
          <w:kern w:val="0"/>
          <w:u w:val="single"/>
        </w:rPr>
      </w:pPr>
      <w:r>
        <w:rPr>
          <w:rFonts w:hint="eastAsia" w:cs="Arial"/>
          <w:kern w:val="0"/>
          <w:u w:val="single"/>
        </w:rPr>
        <w:t>投标文件报价出现前后不一致的，按照下列规定修正</w:t>
      </w:r>
      <w:r>
        <w:rPr>
          <w:rFonts w:hint="eastAsia" w:cs="Arial"/>
          <w:kern w:val="0"/>
        </w:rPr>
        <w:t>：</w:t>
      </w:r>
    </w:p>
    <w:p w14:paraId="437A7F5F">
      <w:pPr>
        <w:pStyle w:val="44"/>
        <w:numPr>
          <w:ilvl w:val="0"/>
          <w:numId w:val="127"/>
        </w:numPr>
        <w:bidi w:val="0"/>
      </w:pPr>
      <w:r>
        <w:rPr>
          <w:rFonts w:hint="eastAsia"/>
        </w:rPr>
        <w:t>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14:paraId="708D6CE3">
      <w:pPr>
        <w:pStyle w:val="44"/>
        <w:numPr>
          <w:ilvl w:val="0"/>
          <w:numId w:val="127"/>
        </w:numPr>
        <w:bidi w:val="0"/>
      </w:pPr>
      <w:r>
        <w:rPr>
          <w:rFonts w:hint="eastAsia"/>
        </w:rPr>
        <w:t>大写金额和小写金额不一致的，以大写金额为准；</w:t>
      </w:r>
    </w:p>
    <w:p w14:paraId="78009072">
      <w:pPr>
        <w:pStyle w:val="44"/>
        <w:numPr>
          <w:ilvl w:val="0"/>
          <w:numId w:val="127"/>
        </w:numPr>
        <w:bidi w:val="0"/>
      </w:pPr>
      <w:r>
        <w:rPr>
          <w:rFonts w:hint="eastAsia"/>
        </w:rPr>
        <w:t>单价金额小数点或者百分比有明显错位的，应以开标一览表（报价表）的总价为准，并修改单价；</w:t>
      </w:r>
    </w:p>
    <w:p w14:paraId="7427CF8C">
      <w:pPr>
        <w:pStyle w:val="44"/>
        <w:numPr>
          <w:ilvl w:val="0"/>
          <w:numId w:val="127"/>
        </w:numPr>
        <w:bidi w:val="0"/>
      </w:pPr>
      <w:r>
        <w:rPr>
          <w:rFonts w:hint="eastAsia"/>
        </w:rPr>
        <w:t>总价金额与按单价汇总金额不一致的，以单价金额计算结果为准。</w:t>
      </w:r>
    </w:p>
    <w:p w14:paraId="146C0386">
      <w:pPr>
        <w:pStyle w:val="44"/>
        <w:numPr>
          <w:ilvl w:val="0"/>
          <w:numId w:val="127"/>
        </w:numPr>
        <w:bidi w:val="0"/>
        <w:rPr>
          <w:rFonts w:cs="Arial"/>
          <w:kern w:val="0"/>
          <w:lang w:eastAsia="zh-CN"/>
        </w:rPr>
      </w:pPr>
      <w:r>
        <w:rPr>
          <w:rFonts w:hint="eastAsia"/>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lang w:eastAsia="zh-CN"/>
        </w:rPr>
        <w:t>。</w:t>
      </w:r>
    </w:p>
    <w:p w14:paraId="4B1395FC">
      <w:pPr>
        <w:pStyle w:val="34"/>
        <w:ind w:firstLine="480"/>
        <w:rPr>
          <w:rFonts w:cs="Arial"/>
          <w:kern w:val="0"/>
        </w:rPr>
      </w:pPr>
      <w:r>
        <w:rPr>
          <w:rFonts w:hint="eastAsia" w:cs="Arial"/>
          <w:b/>
          <w:bCs/>
          <w:kern w:val="0"/>
        </w:rPr>
        <w:t>同时出现两种以上不一致的，按照前款规定的顺序修正。修正后的报价经投标人确认后产生约束力，投标人不确认的，其投标无效。</w:t>
      </w:r>
    </w:p>
    <w:p w14:paraId="26FE4769">
      <w:pPr>
        <w:pStyle w:val="37"/>
        <w:numPr>
          <w:ilvl w:val="2"/>
          <w:numId w:val="108"/>
        </w:numPr>
      </w:pPr>
      <w:r>
        <w:rPr>
          <w:rFonts w:hint="eastAsia"/>
        </w:rPr>
        <w:t>推荐中标候选供应商</w:t>
      </w:r>
    </w:p>
    <w:p w14:paraId="17C37FF9">
      <w:pPr>
        <w:pStyle w:val="34"/>
        <w:ind w:firstLine="480"/>
      </w:pPr>
      <w:r>
        <w:rPr>
          <w:rFonts w:hint="eastAsia"/>
        </w:rPr>
        <w:t>评标委员会各成员独立对每个投标供应商的投标文件进行评价，并汇总每个投标供应商的得分</w:t>
      </w:r>
      <w:r>
        <w:rPr>
          <w:rFonts w:hint="eastAsia"/>
          <w:lang w:eastAsia="zh-CN"/>
        </w:rPr>
        <w:t>，最后</w:t>
      </w:r>
      <w:r>
        <w:rPr>
          <w:rFonts w:hint="eastAsia"/>
        </w:rPr>
        <w:t>对</w:t>
      </w:r>
      <w:r>
        <w:rPr>
          <w:rFonts w:hint="eastAsia"/>
          <w:lang w:eastAsia="zh-CN"/>
        </w:rPr>
        <w:t>招标</w:t>
      </w:r>
      <w:r>
        <w:rPr>
          <w:rFonts w:hint="eastAsia"/>
        </w:rPr>
        <w:t>组织机构工作人员汇总的评审结果进行确认。</w:t>
      </w:r>
    </w:p>
    <w:p w14:paraId="786619A9">
      <w:pPr>
        <w:pStyle w:val="34"/>
        <w:ind w:firstLine="480"/>
      </w:pPr>
      <w:r>
        <w:rPr>
          <w:rFonts w:hint="eastAsia"/>
        </w:rPr>
        <w:t>如发现分值汇总计算错误、分项评分超出评分标准范围、客观评分不一致以及存在畸高、畸低</w:t>
      </w:r>
      <w:r>
        <w:rPr>
          <w:rFonts w:hint="eastAsia"/>
          <w:color w:val="auto"/>
        </w:rPr>
        <w:t>（</w:t>
      </w:r>
      <w:r>
        <w:rPr>
          <w:rFonts w:hint="eastAsia"/>
          <w:color w:val="auto"/>
          <w:lang w:val="en-US" w:eastAsia="zh-CN"/>
        </w:rPr>
        <w:t>评标委员会</w:t>
      </w:r>
      <w:r>
        <w:rPr>
          <w:rFonts w:hint="eastAsia"/>
          <w:color w:val="auto"/>
        </w:rPr>
        <w:t>成员个人主观打分偏离所有</w:t>
      </w:r>
      <w:r>
        <w:rPr>
          <w:rFonts w:hint="eastAsia"/>
          <w:color w:val="auto"/>
          <w:lang w:val="en-US" w:eastAsia="zh-CN"/>
        </w:rPr>
        <w:t>评标委员会</w:t>
      </w:r>
      <w:r>
        <w:rPr>
          <w:rFonts w:hint="eastAsia"/>
          <w:color w:val="auto"/>
        </w:rPr>
        <w:t>成员主观打分平均值30%以上的）</w:t>
      </w:r>
      <w:r>
        <w:rPr>
          <w:rFonts w:hint="eastAsia"/>
        </w:rPr>
        <w:t>情形的，</w:t>
      </w:r>
      <w:r>
        <w:rPr>
          <w:rFonts w:hint="eastAsia"/>
          <w:lang w:val="en-US" w:eastAsia="zh-CN"/>
        </w:rPr>
        <w:t>评标委员会</w:t>
      </w:r>
      <w:r>
        <w:rPr>
          <w:rFonts w:hint="eastAsia"/>
        </w:rPr>
        <w:t>组长应提醒相关评审人员当场改正或书面说明理由，拒不改正又不作书面说明的，由现场监督员如实记载后存入项目档案资料。</w:t>
      </w:r>
    </w:p>
    <w:p w14:paraId="03AA53A7">
      <w:pPr>
        <w:pStyle w:val="34"/>
        <w:ind w:firstLine="480"/>
      </w:pPr>
      <w:r>
        <w:rPr>
          <w:rFonts w:hint="eastAsia" w:cs="Arial"/>
        </w:rPr>
        <w:t>评标结果汇总完毕后，</w:t>
      </w:r>
      <w:r>
        <w:t>评</w:t>
      </w:r>
      <w:r>
        <w:rPr>
          <w:rFonts w:hint="eastAsia"/>
          <w:lang w:eastAsia="zh-CN"/>
        </w:rPr>
        <w:t>审</w:t>
      </w:r>
      <w:r>
        <w:t>委员会将</w:t>
      </w:r>
      <w:r>
        <w:rPr>
          <w:rFonts w:hint="eastAsia"/>
          <w:lang w:eastAsia="zh-CN"/>
        </w:rPr>
        <w:t>按</w:t>
      </w:r>
      <w:r>
        <w:t>投标文件满足</w:t>
      </w:r>
      <w:r>
        <w:rPr>
          <w:rFonts w:hint="eastAsia"/>
          <w:lang w:eastAsia="zh-CN"/>
        </w:rPr>
        <w:t>招标</w:t>
      </w:r>
      <w:r>
        <w:t>文件全部实质性要求且按照评审因素的量化指标评审得分</w:t>
      </w:r>
      <w:r>
        <w:rPr>
          <w:rFonts w:hint="eastAsia"/>
          <w:lang w:eastAsia="zh-CN"/>
        </w:rPr>
        <w:t>从高到低</w:t>
      </w:r>
      <w:r>
        <w:t>的</w:t>
      </w:r>
      <w:r>
        <w:rPr>
          <w:rFonts w:hint="eastAsia"/>
          <w:lang w:eastAsia="zh-CN"/>
        </w:rPr>
        <w:t>顺序向招标人推荐投标人为</w:t>
      </w:r>
      <w:r>
        <w:t>中标候选</w:t>
      </w:r>
      <w:r>
        <w:rPr>
          <w:rFonts w:hint="eastAsia"/>
          <w:lang w:eastAsia="zh-CN"/>
        </w:rPr>
        <w:t>人</w:t>
      </w:r>
      <w:r>
        <w:t>。</w:t>
      </w:r>
    </w:p>
    <w:p w14:paraId="44AE958C">
      <w:pPr>
        <w:pStyle w:val="34"/>
        <w:ind w:firstLine="480"/>
        <w:rPr>
          <w:rFonts w:hint="eastAsia"/>
          <w:b/>
          <w:bCs/>
          <w:color w:val="auto"/>
          <w:u w:val="single"/>
          <w:lang w:val="en-US" w:eastAsia="zh-Hans"/>
        </w:rPr>
      </w:pPr>
      <w:r>
        <w:rPr>
          <w:rFonts w:hint="eastAsia"/>
          <w:b/>
          <w:bCs/>
          <w:color w:val="auto"/>
          <w:u w:val="single"/>
          <w:lang w:val="en-US" w:eastAsia="zh-Hans"/>
        </w:rPr>
        <w:t>本项目如存在多个标项且招标文件“第二章</w:t>
      </w:r>
      <w:r>
        <w:rPr>
          <w:rFonts w:hint="default"/>
          <w:b/>
          <w:bCs/>
          <w:color w:val="auto"/>
          <w:u w:val="single"/>
          <w:lang w:eastAsia="zh-Hans"/>
        </w:rPr>
        <w:t xml:space="preserve"> </w:t>
      </w:r>
      <w:r>
        <w:rPr>
          <w:rFonts w:hint="eastAsia"/>
          <w:b/>
          <w:bCs/>
          <w:color w:val="auto"/>
          <w:u w:val="single"/>
          <w:lang w:val="en-US" w:eastAsia="zh-Hans"/>
        </w:rPr>
        <w:t>投标人须知</w:t>
      </w:r>
      <w:r>
        <w:rPr>
          <w:rFonts w:hint="default"/>
          <w:b/>
          <w:bCs/>
          <w:color w:val="auto"/>
          <w:u w:val="single"/>
          <w:lang w:eastAsia="zh-Hans"/>
        </w:rPr>
        <w:t xml:space="preserve"> </w:t>
      </w:r>
      <w:r>
        <w:rPr>
          <w:rFonts w:hint="eastAsia"/>
          <w:b/>
          <w:bCs/>
          <w:color w:val="auto"/>
          <w:u w:val="single"/>
          <w:lang w:val="en-US" w:eastAsia="zh-Hans"/>
        </w:rPr>
        <w:t>前附表”规定“兼投不兼中”的，表明本项目因实施时间较长，实施团队人员配置要求较高，服务内容较多且程序复杂等原因，单个供应商无法按时保质保量完成本项目的服务工作，故投标人可以选择一个或者多个标项投报，但仅能获得一个标项的中标候选人资格，评审顺序按标项序号顺序进行，即标项一排名第一的中标候选人，将不再作为后续标项的中标候选人，后续标项同此操作。</w:t>
      </w:r>
    </w:p>
    <w:p w14:paraId="18310910">
      <w:pPr>
        <w:pStyle w:val="37"/>
        <w:numPr>
          <w:ilvl w:val="2"/>
          <w:numId w:val="108"/>
        </w:numPr>
      </w:pPr>
      <w:r>
        <w:rPr>
          <w:rFonts w:hint="eastAsia"/>
        </w:rPr>
        <w:t>评标结果修改</w:t>
      </w:r>
    </w:p>
    <w:p w14:paraId="5271C4D0">
      <w:pPr>
        <w:pStyle w:val="34"/>
        <w:ind w:firstLine="480"/>
      </w:pPr>
      <w:r>
        <w:rPr>
          <w:rFonts w:hint="eastAsia"/>
        </w:rPr>
        <w:t>评标报告签署前，评标结果经复核发现存在以下情形之一的，评审委员会将当场修改评标结果，并在评标报告中记载：</w:t>
      </w:r>
    </w:p>
    <w:p w14:paraId="6D7D649F">
      <w:pPr>
        <w:pStyle w:val="44"/>
        <w:numPr>
          <w:ilvl w:val="0"/>
          <w:numId w:val="128"/>
        </w:numPr>
        <w:bidi w:val="0"/>
      </w:pPr>
      <w:r>
        <w:rPr>
          <w:rFonts w:hint="eastAsia"/>
        </w:rPr>
        <w:t>分值汇总计算错误的；</w:t>
      </w:r>
    </w:p>
    <w:p w14:paraId="106936F5">
      <w:pPr>
        <w:pStyle w:val="44"/>
        <w:numPr>
          <w:ilvl w:val="0"/>
          <w:numId w:val="128"/>
        </w:numPr>
        <w:bidi w:val="0"/>
      </w:pPr>
      <w:r>
        <w:rPr>
          <w:rFonts w:hint="eastAsia"/>
        </w:rPr>
        <w:t>分项评分超出评分标准范围的；</w:t>
      </w:r>
    </w:p>
    <w:p w14:paraId="6D324009">
      <w:pPr>
        <w:pStyle w:val="44"/>
        <w:numPr>
          <w:ilvl w:val="0"/>
          <w:numId w:val="128"/>
        </w:numPr>
        <w:bidi w:val="0"/>
      </w:pPr>
      <w:r>
        <w:rPr>
          <w:rFonts w:hint="eastAsia"/>
        </w:rPr>
        <w:t>评审委员会成员对客观评审因素评分不一致的；</w:t>
      </w:r>
    </w:p>
    <w:p w14:paraId="7EF859C7">
      <w:pPr>
        <w:pStyle w:val="44"/>
        <w:numPr>
          <w:ilvl w:val="0"/>
          <w:numId w:val="128"/>
        </w:numPr>
        <w:bidi w:val="0"/>
      </w:pPr>
      <w:r>
        <w:rPr>
          <w:rFonts w:hint="eastAsia"/>
        </w:rPr>
        <w:t>经评审委员会认定评分畸高、畸低的。</w:t>
      </w:r>
    </w:p>
    <w:p w14:paraId="73DF51BA">
      <w:pPr>
        <w:pStyle w:val="34"/>
        <w:ind w:firstLine="480"/>
      </w:pPr>
      <w:r>
        <w:rPr>
          <w:rFonts w:hint="eastAsia"/>
        </w:rPr>
        <w:t>除上述情形外，任何人不得修改评标结果。</w:t>
      </w:r>
    </w:p>
    <w:p w14:paraId="4D944CEF">
      <w:pPr>
        <w:pStyle w:val="37"/>
        <w:numPr>
          <w:ilvl w:val="2"/>
          <w:numId w:val="108"/>
        </w:numPr>
      </w:pPr>
      <w:r>
        <w:rPr>
          <w:rFonts w:hint="eastAsia"/>
        </w:rPr>
        <w:t>起草、签署评标报告</w:t>
      </w:r>
    </w:p>
    <w:p w14:paraId="31DE470D">
      <w:pPr>
        <w:pStyle w:val="34"/>
        <w:ind w:firstLine="480"/>
      </w:pPr>
      <w:r>
        <w:rPr>
          <w:rFonts w:hint="eastAsia" w:cs="Arial"/>
        </w:rPr>
        <w:t>评审结束后，评审委员会将通过“政府采购云平台”起草评标报告，</w:t>
      </w:r>
      <w:r>
        <w:rPr>
          <w:rFonts w:hint="eastAsia"/>
        </w:rPr>
        <w:t>评审委员会成员应当在评标报告上签字（或加注电子签章），对自己的评审意见承担法律责任。对评标报告有异议的，应当在评标报告上签署不同意见，并说明理由，否则视为同意评标报告。</w:t>
      </w:r>
    </w:p>
    <w:p w14:paraId="5FC94BFC">
      <w:pPr>
        <w:pStyle w:val="34"/>
        <w:ind w:firstLine="0" w:firstLineChars="0"/>
      </w:pPr>
    </w:p>
    <w:p w14:paraId="699E9038">
      <w:pPr>
        <w:pStyle w:val="36"/>
        <w:numPr>
          <w:ilvl w:val="1"/>
          <w:numId w:val="109"/>
        </w:numPr>
        <w:rPr>
          <w:rFonts w:ascii="华文中宋" w:hAnsi="华文中宋" w:eastAsia="华文中宋"/>
          <w:kern w:val="0"/>
          <w:sz w:val="30"/>
          <w:szCs w:val="30"/>
        </w:rPr>
      </w:pPr>
      <w:bookmarkStart w:id="341" w:name="_Toc3704"/>
      <w:bookmarkStart w:id="342" w:name="_Toc26936"/>
      <w:bookmarkStart w:id="343" w:name="_Toc24490"/>
      <w:bookmarkStart w:id="344" w:name="_Toc25237"/>
      <w:bookmarkStart w:id="345" w:name="_Toc12151"/>
      <w:r>
        <w:rPr>
          <w:rFonts w:hint="eastAsia"/>
        </w:rPr>
        <w:t>投标文件的澄清、说明</w:t>
      </w:r>
      <w:bookmarkEnd w:id="341"/>
      <w:bookmarkEnd w:id="342"/>
      <w:bookmarkEnd w:id="343"/>
      <w:bookmarkEnd w:id="344"/>
      <w:bookmarkEnd w:id="345"/>
    </w:p>
    <w:p w14:paraId="1E336511">
      <w:pPr>
        <w:pStyle w:val="44"/>
        <w:numPr>
          <w:ilvl w:val="0"/>
          <w:numId w:val="129"/>
        </w:numPr>
        <w:bidi w:val="0"/>
      </w:pPr>
      <w:r>
        <w:rPr>
          <w:rFonts w:hint="eastAsia"/>
        </w:rPr>
        <w:t>对于投标文件中含义不明确、同类问题表述不一致或者有明显文字和计算错误的内容，评审委员会将通过“政府采购云平台”在线询标的方式要求投标人在规定的时间内作出必要的澄清、说明，投标人澄清、说明时间</w:t>
      </w:r>
      <w:r>
        <w:rPr>
          <w:rFonts w:hint="eastAsia"/>
          <w:lang w:eastAsia="zh-CN"/>
        </w:rPr>
        <w:t>不超过</w:t>
      </w:r>
      <w:r>
        <w:rPr>
          <w:rFonts w:hint="eastAsia"/>
        </w:rPr>
        <w:t>30分钟。</w:t>
      </w:r>
    </w:p>
    <w:p w14:paraId="00BEE474">
      <w:pPr>
        <w:pStyle w:val="44"/>
        <w:numPr>
          <w:ilvl w:val="0"/>
          <w:numId w:val="129"/>
        </w:numPr>
        <w:bidi w:val="0"/>
      </w:pPr>
      <w:r>
        <w:rPr>
          <w:rFonts w:hint="eastAsia"/>
        </w:rPr>
        <w:t>投标人的澄清、说明应当通过“政府采购云平台”在线答复的方式提交，并加盖公章</w:t>
      </w:r>
      <w:r>
        <w:rPr>
          <w:rFonts w:hint="eastAsia"/>
          <w:lang w:eastAsia="zh-Hans"/>
        </w:rPr>
        <w:t>（</w:t>
      </w:r>
      <w:r>
        <w:rPr>
          <w:rFonts w:hint="eastAsia"/>
          <w:lang w:val="en-US" w:eastAsia="zh-Hans"/>
        </w:rPr>
        <w:t>或电子签章</w:t>
      </w:r>
      <w:r>
        <w:rPr>
          <w:rFonts w:hint="eastAsia"/>
          <w:lang w:eastAsia="zh-Hans"/>
        </w:rPr>
        <w:t>）</w:t>
      </w:r>
      <w:r>
        <w:rPr>
          <w:rFonts w:hint="eastAsia"/>
        </w:rPr>
        <w:t>，或者由法定代表人或其授权的代表签字。投标人的澄清、说明不得超出投标文件的范围或者改变投标文件的实质性内容。</w:t>
      </w:r>
    </w:p>
    <w:p w14:paraId="1FE858B8">
      <w:pPr>
        <w:pStyle w:val="44"/>
        <w:numPr>
          <w:ilvl w:val="0"/>
          <w:numId w:val="129"/>
        </w:numPr>
        <w:bidi w:val="0"/>
      </w:pPr>
      <w:r>
        <w:t>对不同文字文本投标文件的解释发生异议的，以中文文本为准。</w:t>
      </w:r>
    </w:p>
    <w:p w14:paraId="6A57FEC1">
      <w:pPr>
        <w:pStyle w:val="44"/>
        <w:numPr>
          <w:ilvl w:val="0"/>
          <w:numId w:val="129"/>
        </w:numPr>
        <w:bidi w:val="0"/>
      </w:pPr>
      <w:r>
        <w:t>投标文件要求提供正、副本时，正、副本内容不一致的，以正本为准。</w:t>
      </w:r>
    </w:p>
    <w:p w14:paraId="7158C5A8">
      <w:pPr>
        <w:pStyle w:val="44"/>
        <w:numPr>
          <w:ilvl w:val="0"/>
          <w:numId w:val="129"/>
        </w:numPr>
        <w:bidi w:val="0"/>
        <w:rPr>
          <w:rFonts w:cs="Arial"/>
          <w:kern w:val="0"/>
        </w:rPr>
      </w:pPr>
      <w:r>
        <w:rPr>
          <w:rFonts w:hint="eastAsia"/>
        </w:rPr>
        <w:t>上述询标、澄清、说明工作如因客观原因无法通过“政府采购云平台”在线进行的，将采用书面（含邮件）形式进行。</w:t>
      </w:r>
    </w:p>
    <w:p w14:paraId="24CB7939">
      <w:pPr>
        <w:pStyle w:val="34"/>
        <w:ind w:firstLine="480"/>
      </w:pPr>
    </w:p>
    <w:p w14:paraId="7CF38C08">
      <w:pPr>
        <w:pStyle w:val="36"/>
        <w:numPr>
          <w:ilvl w:val="1"/>
          <w:numId w:val="109"/>
        </w:numPr>
      </w:pPr>
      <w:bookmarkStart w:id="346" w:name="_Toc13128"/>
      <w:bookmarkStart w:id="347" w:name="_Toc19885"/>
      <w:bookmarkStart w:id="348" w:name="_Toc17062"/>
      <w:bookmarkStart w:id="349" w:name="_Toc5271"/>
      <w:bookmarkStart w:id="350" w:name="_Toc25773"/>
      <w:r>
        <w:rPr>
          <w:rFonts w:hint="eastAsia"/>
        </w:rPr>
        <w:t>重新评审</w:t>
      </w:r>
      <w:bookmarkEnd w:id="346"/>
      <w:bookmarkEnd w:id="347"/>
      <w:bookmarkEnd w:id="348"/>
      <w:bookmarkEnd w:id="349"/>
      <w:bookmarkEnd w:id="350"/>
    </w:p>
    <w:p w14:paraId="42F8DA9E">
      <w:pPr>
        <w:pStyle w:val="34"/>
        <w:ind w:firstLine="480"/>
      </w:pPr>
      <w:r>
        <w:rPr>
          <w:rFonts w:hint="eastAsia"/>
        </w:rPr>
        <w:t>评标报告签署后，</w:t>
      </w:r>
      <w:r>
        <w:rPr>
          <w:rFonts w:hint="eastAsia"/>
          <w:lang w:eastAsia="zh-CN"/>
        </w:rPr>
        <w:t>招标</w:t>
      </w:r>
      <w:r>
        <w:rPr>
          <w:rFonts w:hint="eastAsia"/>
        </w:rPr>
        <w:t>人或者</w:t>
      </w:r>
      <w:r>
        <w:rPr>
          <w:rFonts w:hint="eastAsia"/>
          <w:lang w:eastAsia="zh-CN"/>
        </w:rPr>
        <w:t>招标</w:t>
      </w:r>
      <w:r>
        <w:rPr>
          <w:rFonts w:hint="eastAsia"/>
        </w:rPr>
        <w:t>代理机构发现存在下列情形之一的，将组织原评审委员会进行重新评审，重新评审改变评标结果的，将书面报告同级财政监督管理部门：</w:t>
      </w:r>
    </w:p>
    <w:p w14:paraId="3D2AD970">
      <w:pPr>
        <w:pStyle w:val="44"/>
        <w:numPr>
          <w:ilvl w:val="0"/>
          <w:numId w:val="130"/>
        </w:numPr>
        <w:bidi w:val="0"/>
      </w:pPr>
      <w:r>
        <w:rPr>
          <w:rFonts w:hint="eastAsia"/>
        </w:rPr>
        <w:t>分值汇总计算错误的；</w:t>
      </w:r>
    </w:p>
    <w:p w14:paraId="12B25B27">
      <w:pPr>
        <w:pStyle w:val="44"/>
        <w:numPr>
          <w:ilvl w:val="0"/>
          <w:numId w:val="130"/>
        </w:numPr>
        <w:bidi w:val="0"/>
      </w:pPr>
      <w:r>
        <w:rPr>
          <w:rFonts w:hint="eastAsia"/>
        </w:rPr>
        <w:t>分项评分超出评分标准范围的；</w:t>
      </w:r>
    </w:p>
    <w:p w14:paraId="6DF5A066">
      <w:pPr>
        <w:pStyle w:val="44"/>
        <w:numPr>
          <w:ilvl w:val="0"/>
          <w:numId w:val="130"/>
        </w:numPr>
        <w:bidi w:val="0"/>
      </w:pPr>
      <w:r>
        <w:rPr>
          <w:rFonts w:hint="eastAsia"/>
        </w:rPr>
        <w:t>评审委员会成员对客观评审因素评分不一致的；</w:t>
      </w:r>
    </w:p>
    <w:p w14:paraId="30F58391">
      <w:pPr>
        <w:pStyle w:val="44"/>
        <w:numPr>
          <w:ilvl w:val="0"/>
          <w:numId w:val="130"/>
        </w:numPr>
        <w:bidi w:val="0"/>
      </w:pPr>
      <w:r>
        <w:rPr>
          <w:rFonts w:hint="eastAsia"/>
        </w:rPr>
        <w:t>经评审委员会认定评分畸高、畸低的。</w:t>
      </w:r>
    </w:p>
    <w:p w14:paraId="6084CFD3">
      <w:pPr>
        <w:pStyle w:val="34"/>
        <w:ind w:firstLine="480"/>
      </w:pPr>
    </w:p>
    <w:p w14:paraId="605CB1A3">
      <w:pPr>
        <w:pStyle w:val="36"/>
        <w:numPr>
          <w:ilvl w:val="1"/>
          <w:numId w:val="109"/>
        </w:numPr>
      </w:pPr>
      <w:bookmarkStart w:id="351" w:name="_Toc9490"/>
      <w:bookmarkStart w:id="352" w:name="_Toc7402"/>
      <w:bookmarkStart w:id="353" w:name="_Toc4367"/>
      <w:bookmarkStart w:id="354" w:name="_Toc1256"/>
      <w:bookmarkStart w:id="355" w:name="_Toc19741"/>
      <w:r>
        <w:rPr>
          <w:rFonts w:hint="eastAsia"/>
        </w:rPr>
        <w:t>评审</w:t>
      </w:r>
      <w:r>
        <w:rPr>
          <w:rFonts w:hint="eastAsia"/>
          <w:lang w:val="en-US" w:eastAsia="zh-Hans"/>
        </w:rPr>
        <w:t>过程中的特别</w:t>
      </w:r>
      <w:r>
        <w:rPr>
          <w:rFonts w:hint="eastAsia"/>
        </w:rPr>
        <w:t>规定</w:t>
      </w:r>
      <w:bookmarkEnd w:id="351"/>
      <w:bookmarkEnd w:id="352"/>
      <w:bookmarkEnd w:id="353"/>
      <w:bookmarkEnd w:id="354"/>
      <w:bookmarkEnd w:id="355"/>
    </w:p>
    <w:p w14:paraId="2E57AFDC">
      <w:pPr>
        <w:pStyle w:val="37"/>
        <w:keepNext w:val="0"/>
        <w:keepLines w:val="0"/>
        <w:pageBreakBefore w:val="0"/>
        <w:widowControl w:val="0"/>
        <w:numPr>
          <w:ilvl w:val="2"/>
          <w:numId w:val="131"/>
        </w:numPr>
        <w:kinsoku/>
        <w:wordWrap/>
        <w:overflowPunct/>
        <w:topLinePunct w:val="0"/>
        <w:autoSpaceDE/>
        <w:autoSpaceDN/>
        <w:bidi w:val="0"/>
        <w:adjustRightInd w:val="0"/>
        <w:snapToGrid/>
        <w:ind w:left="0"/>
        <w:textAlignment w:val="auto"/>
      </w:pPr>
      <w:r>
        <w:rPr>
          <w:rFonts w:hint="eastAsia"/>
        </w:rPr>
        <w:t>串通投标的认定</w:t>
      </w:r>
    </w:p>
    <w:p w14:paraId="1E0C52F3">
      <w:pPr>
        <w:pStyle w:val="34"/>
        <w:ind w:firstLine="480"/>
      </w:pPr>
      <w:r>
        <w:rPr>
          <w:rFonts w:hint="eastAsia"/>
        </w:rPr>
        <w:t>在评审过程中发现以下情形，被视为串通投标的：</w:t>
      </w:r>
    </w:p>
    <w:p w14:paraId="691511DD">
      <w:pPr>
        <w:pStyle w:val="44"/>
        <w:numPr>
          <w:ilvl w:val="0"/>
          <w:numId w:val="132"/>
        </w:numPr>
        <w:bidi w:val="0"/>
      </w:pPr>
      <w:r>
        <w:rPr>
          <w:rFonts w:hint="eastAsia"/>
        </w:rPr>
        <w:t>不同投标人的投标文件由同一单位或个人编制；</w:t>
      </w:r>
    </w:p>
    <w:p w14:paraId="2E05BAF3">
      <w:pPr>
        <w:pStyle w:val="44"/>
        <w:numPr>
          <w:ilvl w:val="0"/>
          <w:numId w:val="132"/>
        </w:numPr>
        <w:bidi w:val="0"/>
      </w:pPr>
      <w:r>
        <w:rPr>
          <w:rFonts w:hint="eastAsia"/>
        </w:rPr>
        <w:t>不同投标人委托同一单位或个人办理投标事宜；</w:t>
      </w:r>
    </w:p>
    <w:p w14:paraId="08A07E50">
      <w:pPr>
        <w:pStyle w:val="44"/>
        <w:numPr>
          <w:ilvl w:val="0"/>
          <w:numId w:val="132"/>
        </w:numPr>
        <w:bidi w:val="0"/>
      </w:pPr>
      <w:r>
        <w:rPr>
          <w:rFonts w:hint="eastAsia"/>
        </w:rPr>
        <w:t>不同投标人的投标文件载明的项目管理成员或联系人员为同一人；</w:t>
      </w:r>
    </w:p>
    <w:p w14:paraId="5A5F4CAE">
      <w:pPr>
        <w:pStyle w:val="44"/>
        <w:numPr>
          <w:ilvl w:val="0"/>
          <w:numId w:val="132"/>
        </w:numPr>
        <w:bidi w:val="0"/>
      </w:pPr>
      <w:r>
        <w:rPr>
          <w:rFonts w:hint="eastAsia"/>
        </w:rPr>
        <w:t>不同投标人的投标文件异常一致或者投标报价呈规律性差异；</w:t>
      </w:r>
    </w:p>
    <w:p w14:paraId="0DFB0B9A">
      <w:pPr>
        <w:pStyle w:val="44"/>
        <w:numPr>
          <w:ilvl w:val="0"/>
          <w:numId w:val="132"/>
        </w:numPr>
        <w:bidi w:val="0"/>
      </w:pPr>
      <w:r>
        <w:rPr>
          <w:rFonts w:hint="eastAsia"/>
        </w:rPr>
        <w:t>不同投标人的投标文件互相混装。</w:t>
      </w:r>
    </w:p>
    <w:p w14:paraId="67F53AB9">
      <w:pPr>
        <w:pStyle w:val="34"/>
        <w:ind w:firstLine="480"/>
      </w:pPr>
      <w:r>
        <w:rPr>
          <w:rFonts w:hint="eastAsia"/>
        </w:rPr>
        <w:t>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2950DC56">
      <w:pPr>
        <w:pStyle w:val="37"/>
        <w:keepNext w:val="0"/>
        <w:keepLines w:val="0"/>
        <w:pageBreakBefore w:val="0"/>
        <w:widowControl w:val="0"/>
        <w:numPr>
          <w:ilvl w:val="2"/>
          <w:numId w:val="108"/>
        </w:numPr>
        <w:kinsoku/>
        <w:wordWrap/>
        <w:overflowPunct/>
        <w:topLinePunct w:val="0"/>
        <w:autoSpaceDE/>
        <w:autoSpaceDN/>
        <w:bidi w:val="0"/>
        <w:adjustRightInd w:val="0"/>
        <w:snapToGrid/>
        <w:ind w:left="0"/>
        <w:textAlignment w:val="auto"/>
      </w:pPr>
      <w:r>
        <w:rPr>
          <w:rFonts w:hint="eastAsia"/>
        </w:rPr>
        <w:t>投标人违法等重大事项的处理</w:t>
      </w:r>
    </w:p>
    <w:p w14:paraId="3905CC7A">
      <w:pPr>
        <w:pStyle w:val="34"/>
        <w:ind w:firstLine="480"/>
      </w:pPr>
      <w:r>
        <w:rPr>
          <w:rFonts w:hint="eastAsia"/>
        </w:rPr>
        <w:t>投标人有下列情形之一的，投标无效且将投标文件、询标记录等报同级政府采购监管部门或有关职能部门查处：</w:t>
      </w:r>
    </w:p>
    <w:p w14:paraId="3B045411">
      <w:pPr>
        <w:pStyle w:val="44"/>
        <w:numPr>
          <w:ilvl w:val="0"/>
          <w:numId w:val="133"/>
        </w:numPr>
        <w:bidi w:val="0"/>
      </w:pPr>
      <w:r>
        <w:rPr>
          <w:rFonts w:hint="eastAsia"/>
        </w:rPr>
        <w:t>未如实提供债权债务、重大违法记录、利害关系等信息，影响或者可能影响中标结果的；</w:t>
      </w:r>
    </w:p>
    <w:p w14:paraId="557D03E9">
      <w:pPr>
        <w:pStyle w:val="44"/>
        <w:numPr>
          <w:ilvl w:val="0"/>
          <w:numId w:val="133"/>
        </w:numPr>
        <w:bidi w:val="0"/>
      </w:pPr>
      <w:r>
        <w:rPr>
          <w:rFonts w:hint="eastAsia"/>
        </w:rPr>
        <w:t>不遵循公平竞争原则、恶意串通、妨碍其他投标人的竞争、损害采购人或其他投标人合法权益的；</w:t>
      </w:r>
    </w:p>
    <w:p w14:paraId="7D1B2718">
      <w:pPr>
        <w:pStyle w:val="44"/>
        <w:numPr>
          <w:ilvl w:val="0"/>
          <w:numId w:val="133"/>
        </w:numPr>
        <w:bidi w:val="0"/>
      </w:pPr>
      <w:r>
        <w:rPr>
          <w:rFonts w:hint="eastAsia"/>
        </w:rPr>
        <w:t>政府采购活动中存在违法行为的；</w:t>
      </w:r>
    </w:p>
    <w:p w14:paraId="6BF47FE9">
      <w:pPr>
        <w:pStyle w:val="44"/>
        <w:numPr>
          <w:ilvl w:val="0"/>
          <w:numId w:val="133"/>
        </w:numPr>
        <w:bidi w:val="0"/>
      </w:pPr>
      <w:r>
        <w:rPr>
          <w:rFonts w:hint="eastAsia"/>
        </w:rPr>
        <w:t>其他严重干扰招投标秩序的行为的。</w:t>
      </w:r>
    </w:p>
    <w:p w14:paraId="15A846AD">
      <w:pPr>
        <w:pStyle w:val="37"/>
        <w:keepNext w:val="0"/>
        <w:keepLines w:val="0"/>
        <w:pageBreakBefore w:val="0"/>
        <w:widowControl w:val="0"/>
        <w:numPr>
          <w:ilvl w:val="2"/>
          <w:numId w:val="108"/>
        </w:numPr>
        <w:kinsoku/>
        <w:wordWrap/>
        <w:overflowPunct/>
        <w:topLinePunct w:val="0"/>
        <w:autoSpaceDE/>
        <w:autoSpaceDN/>
        <w:bidi w:val="0"/>
        <w:adjustRightInd w:val="0"/>
        <w:snapToGrid/>
        <w:ind w:left="0"/>
        <w:textAlignment w:val="auto"/>
        <w:rPr>
          <w:rFonts w:ascii="华文中宋" w:hAnsi="华文中宋" w:eastAsia="华文中宋"/>
          <w:color w:val="000000"/>
          <w:kern w:val="0"/>
          <w:sz w:val="30"/>
          <w:szCs w:val="30"/>
        </w:rPr>
      </w:pPr>
      <w:r>
        <w:rPr>
          <w:rFonts w:hint="eastAsia"/>
        </w:rPr>
        <w:t>评审中合格投标人不足法定数量的处理</w:t>
      </w:r>
    </w:p>
    <w:p w14:paraId="3DCBFEA2">
      <w:pPr>
        <w:pStyle w:val="34"/>
        <w:ind w:firstLine="480"/>
      </w:pPr>
      <w:r>
        <w:rPr>
          <w:rFonts w:hint="eastAsia"/>
        </w:rPr>
        <w:t>若在评审过程中出现有效投标人不足三家的情况，除采购任务取消情形外，招标人有权选择以下方式之一处理：</w:t>
      </w:r>
    </w:p>
    <w:p w14:paraId="5297EBF7">
      <w:pPr>
        <w:pStyle w:val="44"/>
        <w:numPr>
          <w:ilvl w:val="0"/>
          <w:numId w:val="134"/>
        </w:numPr>
        <w:bidi w:val="0"/>
      </w:pPr>
      <w:r>
        <w:rPr>
          <w:rFonts w:hint="eastAsia"/>
        </w:rPr>
        <w:t>将本标项作废标处理，重新组织采购；</w:t>
      </w:r>
    </w:p>
    <w:p w14:paraId="4DCBDF01">
      <w:pPr>
        <w:pStyle w:val="44"/>
        <w:numPr>
          <w:ilvl w:val="0"/>
          <w:numId w:val="134"/>
        </w:numPr>
        <w:bidi w:val="0"/>
      </w:pPr>
      <w:r>
        <w:rPr>
          <w:rFonts w:hint="eastAsia"/>
        </w:rPr>
        <w:t>按同级政府采购监督管理部门的审批意见采用其他采购方式组织采购。</w:t>
      </w:r>
    </w:p>
    <w:p w14:paraId="214C4CBA">
      <w:pPr>
        <w:pStyle w:val="37"/>
        <w:keepNext w:val="0"/>
        <w:keepLines w:val="0"/>
        <w:pageBreakBefore w:val="0"/>
        <w:widowControl w:val="0"/>
        <w:numPr>
          <w:ilvl w:val="2"/>
          <w:numId w:val="108"/>
        </w:numPr>
        <w:kinsoku/>
        <w:wordWrap/>
        <w:overflowPunct/>
        <w:topLinePunct w:val="0"/>
        <w:autoSpaceDE/>
        <w:autoSpaceDN/>
        <w:bidi w:val="0"/>
        <w:adjustRightInd w:val="0"/>
        <w:snapToGrid/>
        <w:ind w:left="0"/>
        <w:textAlignment w:val="auto"/>
        <w:rPr>
          <w:rFonts w:ascii="华文中宋" w:hAnsi="华文中宋" w:eastAsia="华文中宋"/>
          <w:color w:val="000000"/>
          <w:sz w:val="30"/>
          <w:szCs w:val="30"/>
        </w:rPr>
      </w:pPr>
      <w:r>
        <w:rPr>
          <w:rFonts w:hint="eastAsia"/>
        </w:rPr>
        <w:t>废标适用情形</w:t>
      </w:r>
    </w:p>
    <w:p w14:paraId="000479A6">
      <w:pPr>
        <w:pStyle w:val="34"/>
        <w:ind w:firstLine="480"/>
      </w:pPr>
      <w:r>
        <w:rPr>
          <w:rFonts w:hint="eastAsia"/>
        </w:rPr>
        <w:t>在招标采购中，出现下列情形之一的，项目将予以废标：</w:t>
      </w:r>
    </w:p>
    <w:p w14:paraId="1DEE0392">
      <w:pPr>
        <w:pStyle w:val="34"/>
        <w:ind w:firstLine="480"/>
        <w:rPr>
          <w:kern w:val="0"/>
        </w:rPr>
      </w:pPr>
      <w:r>
        <w:rPr>
          <w:rFonts w:hint="eastAsia"/>
          <w:kern w:val="0"/>
        </w:rPr>
        <w:t>（1）符合专业条件的供应商或者对招标文件作实质响应的供应商不足三家的；</w:t>
      </w:r>
    </w:p>
    <w:p w14:paraId="2FB90F9D">
      <w:pPr>
        <w:pStyle w:val="34"/>
        <w:ind w:firstLine="480"/>
        <w:rPr>
          <w:kern w:val="0"/>
        </w:rPr>
      </w:pPr>
      <w:r>
        <w:rPr>
          <w:rFonts w:hint="eastAsia"/>
          <w:kern w:val="0"/>
        </w:rPr>
        <w:t>（2）出现影响采购公正的违法、违规行为的；</w:t>
      </w:r>
    </w:p>
    <w:p w14:paraId="1E43F2B4">
      <w:pPr>
        <w:pStyle w:val="34"/>
        <w:ind w:firstLine="480"/>
        <w:rPr>
          <w:kern w:val="0"/>
        </w:rPr>
      </w:pPr>
      <w:r>
        <w:rPr>
          <w:rFonts w:hint="eastAsia"/>
          <w:kern w:val="0"/>
        </w:rPr>
        <w:t>（3）投标人的报价均超过了采购预算，采购人不能支付的；</w:t>
      </w:r>
    </w:p>
    <w:p w14:paraId="18EDE3FF">
      <w:pPr>
        <w:pStyle w:val="34"/>
        <w:ind w:firstLine="480"/>
        <w:rPr>
          <w:kern w:val="0"/>
          <w:sz w:val="28"/>
          <w:szCs w:val="28"/>
        </w:rPr>
      </w:pPr>
      <w:r>
        <w:rPr>
          <w:rFonts w:hint="eastAsia"/>
          <w:kern w:val="0"/>
        </w:rPr>
        <w:t>（4）因重大变故，采购任务取消的。</w:t>
      </w:r>
    </w:p>
    <w:p w14:paraId="45051978">
      <w:pPr>
        <w:pStyle w:val="37"/>
        <w:keepNext w:val="0"/>
        <w:keepLines w:val="0"/>
        <w:pageBreakBefore w:val="0"/>
        <w:widowControl w:val="0"/>
        <w:numPr>
          <w:ilvl w:val="2"/>
          <w:numId w:val="108"/>
        </w:numPr>
        <w:kinsoku/>
        <w:wordWrap/>
        <w:overflowPunct/>
        <w:topLinePunct w:val="0"/>
        <w:autoSpaceDE/>
        <w:autoSpaceDN/>
        <w:bidi w:val="0"/>
        <w:adjustRightInd w:val="0"/>
        <w:snapToGrid/>
        <w:ind w:left="0"/>
        <w:textAlignment w:val="auto"/>
      </w:pPr>
      <w:r>
        <w:rPr>
          <w:rFonts w:hint="eastAsia"/>
        </w:rPr>
        <w:t>可中止电子交易活动的情形</w:t>
      </w:r>
    </w:p>
    <w:p w14:paraId="58657C79">
      <w:pPr>
        <w:pStyle w:val="34"/>
        <w:ind w:firstLine="480"/>
      </w:pPr>
      <w:r>
        <w:rPr>
          <w:rFonts w:hint="eastAsia"/>
        </w:rPr>
        <w:t>采购过程中出现以下情形，导致电子交易平台无法正常运行，或者无法保证电子交易的公平、公正和安全时，采购组织机构可中止电子交易活动：</w:t>
      </w:r>
    </w:p>
    <w:p w14:paraId="461F99E5">
      <w:pPr>
        <w:pStyle w:val="44"/>
        <w:numPr>
          <w:ilvl w:val="0"/>
          <w:numId w:val="135"/>
        </w:numPr>
        <w:bidi w:val="0"/>
      </w:pPr>
      <w:r>
        <w:rPr>
          <w:rFonts w:hint="eastAsia"/>
        </w:rPr>
        <w:t>电子交易平台发生故障而无法登录访问的；</w:t>
      </w:r>
    </w:p>
    <w:p w14:paraId="45919C3C">
      <w:pPr>
        <w:pStyle w:val="44"/>
        <w:numPr>
          <w:ilvl w:val="0"/>
          <w:numId w:val="135"/>
        </w:numPr>
        <w:bidi w:val="0"/>
      </w:pPr>
      <w:r>
        <w:rPr>
          <w:rFonts w:hint="eastAsia"/>
        </w:rPr>
        <w:t>电子交易平台应用或数据库出现错误，不能进行正常操作的；</w:t>
      </w:r>
    </w:p>
    <w:p w14:paraId="35B49F39">
      <w:pPr>
        <w:pStyle w:val="44"/>
        <w:numPr>
          <w:ilvl w:val="0"/>
          <w:numId w:val="135"/>
        </w:numPr>
        <w:bidi w:val="0"/>
      </w:pPr>
      <w:r>
        <w:rPr>
          <w:rFonts w:hint="eastAsia"/>
        </w:rPr>
        <w:t>电子交易平台发现严重安全漏洞，有潜在泄密危险的；</w:t>
      </w:r>
    </w:p>
    <w:p w14:paraId="4F3A7101">
      <w:pPr>
        <w:pStyle w:val="44"/>
        <w:numPr>
          <w:ilvl w:val="0"/>
          <w:numId w:val="135"/>
        </w:numPr>
        <w:bidi w:val="0"/>
      </w:pPr>
      <w:r>
        <w:rPr>
          <w:rFonts w:hint="eastAsia"/>
        </w:rPr>
        <w:t>病毒发作导致不能进行正常操作的；</w:t>
      </w:r>
    </w:p>
    <w:p w14:paraId="266C05E1">
      <w:pPr>
        <w:pStyle w:val="44"/>
        <w:numPr>
          <w:ilvl w:val="0"/>
          <w:numId w:val="135"/>
        </w:numPr>
        <w:bidi w:val="0"/>
      </w:pPr>
      <w:r>
        <w:rPr>
          <w:rFonts w:hint="eastAsia"/>
        </w:rPr>
        <w:t>其他无法保证电子交易的公平、公正和安全的情况。</w:t>
      </w:r>
    </w:p>
    <w:p w14:paraId="77E63BF8">
      <w:pPr>
        <w:pStyle w:val="34"/>
        <w:bidi w:val="0"/>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45016ED9">
      <w:pPr>
        <w:widowControl/>
        <w:adjustRightInd/>
        <w:jc w:val="left"/>
        <w:rPr>
          <w:rFonts w:ascii="黑体" w:hAnsi="黑体" w:eastAsia="黑体" w:cs="黑体"/>
          <w:bCs/>
          <w:sz w:val="36"/>
          <w:szCs w:val="44"/>
          <w:lang w:eastAsia="zh-Hans"/>
        </w:rPr>
      </w:pPr>
      <w:r>
        <w:br w:type="page"/>
      </w:r>
    </w:p>
    <w:p w14:paraId="2CA0CE1F">
      <w:pPr>
        <w:pStyle w:val="35"/>
      </w:pPr>
      <w:bookmarkStart w:id="356" w:name="_Toc3399"/>
      <w:bookmarkStart w:id="357" w:name="_Toc119296595"/>
      <w:bookmarkStart w:id="358" w:name="_Toc2713"/>
      <w:bookmarkStart w:id="359" w:name="_Toc30041"/>
      <w:bookmarkStart w:id="360" w:name="_Toc2836"/>
      <w:bookmarkStart w:id="361" w:name="_Toc20619"/>
      <w:r>
        <w:rPr>
          <w:rFonts w:hint="eastAsia"/>
          <w:lang w:eastAsia="zh-CN"/>
        </w:rPr>
        <w:t>投标文件部分格式文本</w:t>
      </w:r>
      <w:bookmarkEnd w:id="356"/>
      <w:bookmarkEnd w:id="357"/>
      <w:bookmarkEnd w:id="358"/>
      <w:bookmarkEnd w:id="359"/>
      <w:bookmarkEnd w:id="360"/>
      <w:bookmarkEnd w:id="361"/>
    </w:p>
    <w:p w14:paraId="3B9CD4DB">
      <w:pPr>
        <w:pStyle w:val="36"/>
        <w:numPr>
          <w:ilvl w:val="1"/>
          <w:numId w:val="136"/>
        </w:numPr>
        <w:adjustRightInd/>
      </w:pPr>
      <w:bookmarkStart w:id="362" w:name="_Toc14760"/>
      <w:bookmarkStart w:id="363" w:name="_Toc17568"/>
      <w:bookmarkStart w:id="364" w:name="_Toc22161"/>
      <w:bookmarkStart w:id="365" w:name="_Toc21960"/>
      <w:bookmarkStart w:id="366" w:name="_Toc20789"/>
      <w:r>
        <w:rPr>
          <w:rFonts w:hint="eastAsia"/>
        </w:rPr>
        <w:t>格式文本使用说明</w:t>
      </w:r>
      <w:bookmarkEnd w:id="362"/>
      <w:bookmarkEnd w:id="363"/>
      <w:bookmarkEnd w:id="364"/>
      <w:bookmarkEnd w:id="365"/>
      <w:bookmarkEnd w:id="366"/>
    </w:p>
    <w:p w14:paraId="654E72C8">
      <w:pPr>
        <w:pStyle w:val="44"/>
        <w:numPr>
          <w:ilvl w:val="0"/>
          <w:numId w:val="137"/>
        </w:numPr>
        <w:bidi w:val="0"/>
        <w:rPr>
          <w:lang w:eastAsia="zh-CN"/>
        </w:rPr>
      </w:pPr>
      <w:r>
        <w:rPr>
          <w:rFonts w:hint="eastAsia"/>
          <w:lang w:eastAsia="zh-CN"/>
        </w:rPr>
        <w:t>投标人应当认真阅读格式文本的所有内容，因误读、漏读等投标人原因导致填写错误影响资格或符合性审查结果的，视为投标人弄虚作假谋取中标；</w:t>
      </w:r>
    </w:p>
    <w:p w14:paraId="48E72C0D">
      <w:pPr>
        <w:pStyle w:val="44"/>
        <w:numPr>
          <w:ilvl w:val="0"/>
          <w:numId w:val="137"/>
        </w:numPr>
        <w:bidi w:val="0"/>
      </w:pPr>
      <w:r>
        <w:rPr>
          <w:rFonts w:hint="eastAsia"/>
        </w:rPr>
        <w:t>本章有提供格式文本的，投标人编制投标文件应按格式编制和签署，除另有说明外不得改变格式文本内容，否则该项文件视为无效文件；</w:t>
      </w:r>
    </w:p>
    <w:p w14:paraId="1A7315A9">
      <w:pPr>
        <w:pStyle w:val="44"/>
        <w:numPr>
          <w:ilvl w:val="0"/>
          <w:numId w:val="137"/>
        </w:numPr>
        <w:bidi w:val="0"/>
      </w:pPr>
      <w:r>
        <w:rPr>
          <w:rFonts w:hint="eastAsia"/>
        </w:rPr>
        <w:t>本章未提供格式文本的，投标人可自行拟定格式，并参照格式文本签署；</w:t>
      </w:r>
    </w:p>
    <w:p w14:paraId="5EC1B717">
      <w:pPr>
        <w:pStyle w:val="44"/>
        <w:numPr>
          <w:ilvl w:val="0"/>
          <w:numId w:val="137"/>
        </w:numPr>
        <w:bidi w:val="0"/>
      </w:pPr>
      <w:r>
        <w:rPr>
          <w:rFonts w:hint="eastAsia"/>
        </w:rPr>
        <w:t>格式文本要求提供材料证明的，投标人应当随文本附上响应证明材料并加盖公章或者电子签章</w:t>
      </w:r>
      <w:r>
        <w:rPr>
          <w:rFonts w:hint="eastAsia"/>
          <w:lang w:eastAsia="zh-Hans"/>
        </w:rPr>
        <w:t>；</w:t>
      </w:r>
    </w:p>
    <w:p w14:paraId="0118FBE5">
      <w:pPr>
        <w:pStyle w:val="44"/>
        <w:numPr>
          <w:ilvl w:val="0"/>
          <w:numId w:val="137"/>
        </w:numPr>
        <w:bidi w:val="0"/>
      </w:pPr>
      <w:r>
        <w:rPr>
          <w:rFonts w:hint="eastAsia"/>
          <w:lang w:eastAsia="zh-CN"/>
        </w:rPr>
        <w:t>本章格式文本标题前的序号仅代表其在本章</w:t>
      </w:r>
      <w:r>
        <w:rPr>
          <w:rFonts w:hint="eastAsia"/>
          <w:lang w:val="en-US" w:eastAsia="zh-CN"/>
        </w:rPr>
        <w:t>节</w:t>
      </w:r>
      <w:r>
        <w:rPr>
          <w:rFonts w:hint="eastAsia"/>
          <w:lang w:eastAsia="zh-CN"/>
        </w:rPr>
        <w:t>的序号，投标人编制时应替换为投标文件中的序号</w:t>
      </w:r>
      <w:r>
        <w:rPr>
          <w:rFonts w:hint="eastAsia"/>
          <w:lang w:eastAsia="zh-Hans"/>
        </w:rPr>
        <w:t>；</w:t>
      </w:r>
    </w:p>
    <w:p w14:paraId="3A2422E4">
      <w:pPr>
        <w:pStyle w:val="44"/>
        <w:numPr>
          <w:ilvl w:val="0"/>
          <w:numId w:val="137"/>
        </w:numPr>
        <w:bidi w:val="0"/>
      </w:pP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r>
        <w:rPr>
          <w:rFonts w:hint="eastAsia"/>
          <w:lang w:eastAsia="zh-Hans"/>
        </w:rPr>
        <w:t>；</w:t>
      </w:r>
    </w:p>
    <w:p w14:paraId="67970767">
      <w:pPr>
        <w:pStyle w:val="44"/>
        <w:numPr>
          <w:ilvl w:val="0"/>
          <w:numId w:val="137"/>
        </w:numPr>
        <w:bidi w:val="0"/>
        <w:rPr>
          <w:rFonts w:hint="eastAsia" w:eastAsia="宋体"/>
          <w:lang w:val="en-US" w:eastAsia="zh-Hans"/>
        </w:rPr>
      </w:pPr>
      <w:r>
        <w:rPr>
          <w:rFonts w:hint="eastAsia"/>
        </w:rPr>
        <w:t>斜体字部分属于提醒或示例内容，编制时应当删除，</w:t>
      </w:r>
      <w:r>
        <w:rPr>
          <w:rFonts w:hint="eastAsia"/>
          <w:lang w:eastAsia="zh-CN"/>
        </w:rPr>
        <w:t>斜体字外如有“（）”应当一并删除，</w:t>
      </w:r>
      <w:r>
        <w:rPr>
          <w:rFonts w:hint="eastAsia"/>
        </w:rPr>
        <w:t>投标人填写应当使用正体填写实际内容</w:t>
      </w:r>
      <w:r>
        <w:rPr>
          <w:rFonts w:hint="eastAsia"/>
          <w:lang w:eastAsia="zh-Hans"/>
        </w:rPr>
        <w:t>；</w:t>
      </w:r>
    </w:p>
    <w:p w14:paraId="32807FC1">
      <w:pPr>
        <w:pStyle w:val="44"/>
        <w:numPr>
          <w:ilvl w:val="0"/>
          <w:numId w:val="137"/>
        </w:numPr>
        <w:bidi w:val="0"/>
        <w:rPr>
          <w:rFonts w:hint="eastAsia" w:eastAsia="宋体"/>
          <w:lang w:val="en-US" w:eastAsia="zh-Hans"/>
        </w:rPr>
      </w:pPr>
      <w:r>
        <w:rPr>
          <w:rFonts w:hint="eastAsia"/>
          <w:lang w:val="en-US" w:eastAsia="zh-Hans"/>
        </w:rPr>
        <w:t>项目若有多个标项的，投标人应当在项目名称后标注具体标项序号及标项名称。单一标项项目“标项序号：”及“标项名称：”可删除。</w:t>
      </w:r>
    </w:p>
    <w:p w14:paraId="3040A546">
      <w:pPr>
        <w:pStyle w:val="34"/>
        <w:ind w:firstLine="480"/>
        <w:rPr>
          <w:rFonts w:hint="eastAsia"/>
        </w:rPr>
      </w:pPr>
    </w:p>
    <w:p w14:paraId="21EF3AB3">
      <w:pPr>
        <w:widowControl/>
        <w:jc w:val="left"/>
        <w:rPr>
          <w:rFonts w:ascii="黑体" w:hAnsi="黑体" w:eastAsia="黑体" w:cs="黑体"/>
          <w:bCs/>
          <w:sz w:val="36"/>
          <w:szCs w:val="44"/>
          <w:lang w:eastAsia="zh-Hans"/>
        </w:rPr>
      </w:pPr>
      <w:r>
        <w:br w:type="page"/>
      </w:r>
    </w:p>
    <w:p w14:paraId="67E12C83">
      <w:pPr>
        <w:pStyle w:val="36"/>
        <w:numPr>
          <w:ilvl w:val="1"/>
          <w:numId w:val="136"/>
        </w:numPr>
        <w:adjustRightInd/>
      </w:pPr>
      <w:bookmarkStart w:id="367" w:name="_Toc1234"/>
      <w:bookmarkStart w:id="368" w:name="_Toc21557"/>
      <w:bookmarkStart w:id="369" w:name="_Toc27736"/>
      <w:bookmarkStart w:id="370" w:name="_Toc32102"/>
      <w:bookmarkStart w:id="371" w:name="_Toc10954"/>
      <w:bookmarkStart w:id="372" w:name="_Toc119296596"/>
      <w:r>
        <w:rPr>
          <w:rFonts w:hint="eastAsia"/>
        </w:rPr>
        <w:t>符合参加政府采购活动应当具备的一般条件的承诺函</w:t>
      </w:r>
      <w:bookmarkEnd w:id="367"/>
      <w:bookmarkEnd w:id="368"/>
      <w:bookmarkEnd w:id="369"/>
      <w:bookmarkEnd w:id="370"/>
      <w:bookmarkEnd w:id="371"/>
    </w:p>
    <w:p w14:paraId="664908A2">
      <w:pPr>
        <w:pStyle w:val="34"/>
        <w:ind w:firstLine="0" w:firstLineChars="0"/>
      </w:pPr>
      <w:r>
        <w:rPr>
          <w:rFonts w:hint="eastAsia"/>
          <w:color w:val="auto"/>
          <w:lang w:eastAsia="zh-CN"/>
        </w:rPr>
        <w:t>浙江省应急管理厅</w:t>
      </w:r>
      <w:r>
        <w:rPr>
          <w:rFonts w:hint="eastAsia"/>
        </w:rPr>
        <w:t>、浙江中勤招标代理有限公司：</w:t>
      </w:r>
    </w:p>
    <w:p w14:paraId="48B354DB">
      <w:pPr>
        <w:pStyle w:val="34"/>
        <w:ind w:firstLine="480"/>
      </w:pPr>
      <w:r>
        <w:rPr>
          <w:rFonts w:hint="eastAsia"/>
        </w:rPr>
        <w:t>我方参与</w:t>
      </w:r>
      <w:r>
        <w:rPr>
          <w:rFonts w:hint="eastAsia"/>
          <w:color w:val="auto"/>
          <w:u w:val="single"/>
          <w:lang w:eastAsia="zh-CN"/>
        </w:rPr>
        <w:t>浙江省应急管理厅安全生产和指挥调度类数字化系统保障服务</w:t>
      </w:r>
      <w:r>
        <w:rPr>
          <w:rFonts w:hint="eastAsia"/>
          <w:u w:val="single"/>
        </w:rPr>
        <w:t>项目（项目编号：</w:t>
      </w:r>
      <w:r>
        <w:rPr>
          <w:rFonts w:hint="eastAsia"/>
          <w:color w:val="auto"/>
          <w:u w:val="single"/>
          <w:lang w:eastAsia="zh-CN"/>
        </w:rPr>
        <w:t>ZQ250702ZG</w:t>
      </w:r>
      <w:r>
        <w:rPr>
          <w:rFonts w:hint="eastAsia"/>
          <w:u w:val="single"/>
        </w:rPr>
        <w:t>）</w:t>
      </w:r>
      <w:r>
        <w:rPr>
          <w:rFonts w:hint="eastAsia"/>
          <w:i/>
          <w:iCs/>
          <w:u w:val="single"/>
          <w:lang w:val="en-US" w:eastAsia="zh-Hans"/>
        </w:rPr>
        <w:t>标项序号：…标项名称：…</w:t>
      </w:r>
      <w:r>
        <w:rPr>
          <w:rFonts w:hint="eastAsia"/>
        </w:rPr>
        <w:t>政府采购活动，郑重承诺：</w:t>
      </w:r>
    </w:p>
    <w:p w14:paraId="319E071A">
      <w:pPr>
        <w:pStyle w:val="34"/>
        <w:ind w:firstLine="480"/>
      </w:pPr>
      <w:r>
        <w:rPr>
          <w:rFonts w:hint="eastAsia"/>
        </w:rPr>
        <w:t>（一）具备《中华人民共和国政府采购法》第二十二条第一款规定的条件：</w:t>
      </w:r>
    </w:p>
    <w:p w14:paraId="29524CDC">
      <w:pPr>
        <w:pStyle w:val="34"/>
        <w:ind w:firstLine="480"/>
      </w:pPr>
      <w:r>
        <w:rPr>
          <w:rFonts w:hint="eastAsia"/>
        </w:rPr>
        <w:t>1、具有独立承担民事责任的能力；</w:t>
      </w:r>
    </w:p>
    <w:p w14:paraId="2F0A95F4">
      <w:pPr>
        <w:pStyle w:val="34"/>
        <w:ind w:firstLine="480"/>
      </w:pPr>
      <w:r>
        <w:rPr>
          <w:rFonts w:hint="eastAsia"/>
        </w:rPr>
        <w:t xml:space="preserve">2、具有良好的商业信誉和健全的财务会计制度； </w:t>
      </w:r>
    </w:p>
    <w:p w14:paraId="61BAA0C0">
      <w:pPr>
        <w:pStyle w:val="34"/>
        <w:ind w:firstLine="480"/>
      </w:pPr>
      <w:r>
        <w:rPr>
          <w:rFonts w:hint="eastAsia"/>
        </w:rPr>
        <w:t>3、具有履行合同所必需的设备和专业技术能力；</w:t>
      </w:r>
    </w:p>
    <w:p w14:paraId="62D9C067">
      <w:pPr>
        <w:pStyle w:val="34"/>
        <w:ind w:firstLine="480"/>
      </w:pPr>
      <w:r>
        <w:rPr>
          <w:rFonts w:hint="eastAsia"/>
        </w:rPr>
        <w:t>4、有依法缴纳税收和社会保障资金的良好记录；</w:t>
      </w:r>
    </w:p>
    <w:p w14:paraId="18816AEE">
      <w:pPr>
        <w:pStyle w:val="34"/>
        <w:ind w:firstLine="480"/>
      </w:pPr>
      <w:r>
        <w:rPr>
          <w:rFonts w:hint="eastAsia"/>
        </w:rPr>
        <w:t>5、参加政府采购活动前三年内，在经营活动中没有重大违法记录；</w:t>
      </w:r>
    </w:p>
    <w:p w14:paraId="1CFBD2CF">
      <w:pPr>
        <w:pStyle w:val="34"/>
        <w:ind w:firstLine="480"/>
      </w:pPr>
      <w:r>
        <w:rPr>
          <w:rFonts w:hint="eastAsia"/>
        </w:rPr>
        <w:t>6、具有法律、行政法规规定的其他条件。</w:t>
      </w:r>
    </w:p>
    <w:p w14:paraId="15013C83">
      <w:pPr>
        <w:pStyle w:val="34"/>
        <w:ind w:firstLine="480"/>
      </w:pPr>
      <w:r>
        <w:rPr>
          <w:rFonts w:hint="eastAsia"/>
        </w:rPr>
        <w:t>（二）未被信用中国（www.creditchina.gov.cn)、中国政府采购网（www.ccgp.gov.cn）列入失信被执行人、重大税收违法案件当事人名单、政府采购严重违法失信行为记录名单。</w:t>
      </w:r>
    </w:p>
    <w:p w14:paraId="53140A8B">
      <w:pPr>
        <w:pStyle w:val="34"/>
        <w:ind w:firstLine="480"/>
        <w:rPr>
          <w:color w:val="FF0000"/>
        </w:rPr>
      </w:pPr>
    </w:p>
    <w:p w14:paraId="67C76A8D">
      <w:pPr>
        <w:pStyle w:val="34"/>
        <w:ind w:firstLine="480"/>
        <w:rPr>
          <w:color w:val="FF0000"/>
        </w:rPr>
      </w:pPr>
    </w:p>
    <w:p w14:paraId="79848DAF">
      <w:pPr>
        <w:pStyle w:val="34"/>
        <w:ind w:firstLine="480"/>
        <w:rPr>
          <w:kern w:val="0"/>
        </w:rPr>
      </w:pPr>
      <w:r>
        <w:rPr>
          <w:rFonts w:hint="eastAsia"/>
          <w:kern w:val="0"/>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78748601">
      <w:pPr>
        <w:pStyle w:val="34"/>
        <w:ind w:firstLine="480"/>
        <w:rPr>
          <w:kern w:val="0"/>
        </w:rPr>
      </w:pPr>
      <w:r>
        <w:rPr>
          <w:rFonts w:hint="eastAsia"/>
          <w:kern w:val="0"/>
        </w:rPr>
        <w:t>日期：  年  月   日</w:t>
      </w:r>
    </w:p>
    <w:p w14:paraId="302118ED">
      <w:pPr>
        <w:pStyle w:val="34"/>
        <w:ind w:firstLine="480"/>
        <w:rPr>
          <w:kern w:val="0"/>
        </w:rPr>
      </w:pPr>
    </w:p>
    <w:p w14:paraId="57078A0B">
      <w:pPr>
        <w:pStyle w:val="34"/>
        <w:ind w:firstLine="0" w:firstLineChars="0"/>
        <w:rPr>
          <w:kern w:val="0"/>
          <w:lang w:eastAsia="zh-CN"/>
        </w:rPr>
      </w:pPr>
      <w:r>
        <w:rPr>
          <w:rFonts w:hint="eastAsia"/>
          <w:kern w:val="0"/>
          <w:lang w:eastAsia="zh-CN"/>
        </w:rPr>
        <w:t>【说明：如为联合体投标，联合体双方均应具备参加政府采购活动的一般资格条件，文首“我方”应改为“我方与（供应商全称）”】</w:t>
      </w:r>
    </w:p>
    <w:p w14:paraId="72A12F45">
      <w:pPr>
        <w:widowControl/>
        <w:jc w:val="left"/>
      </w:pPr>
      <w:r>
        <w:br w:type="page"/>
      </w:r>
    </w:p>
    <w:p w14:paraId="09C5CC83">
      <w:pPr>
        <w:pStyle w:val="36"/>
        <w:numPr>
          <w:ilvl w:val="1"/>
          <w:numId w:val="136"/>
        </w:numPr>
        <w:adjustRightInd/>
        <w:rPr>
          <w:rFonts w:eastAsia="宋体"/>
        </w:rPr>
      </w:pPr>
      <w:bookmarkStart w:id="373" w:name="_Toc20795"/>
      <w:bookmarkStart w:id="374" w:name="_Toc7171"/>
      <w:bookmarkStart w:id="375" w:name="_Toc21233"/>
      <w:bookmarkStart w:id="376" w:name="_Toc28948"/>
      <w:bookmarkStart w:id="377" w:name="_Toc22019"/>
      <w:r>
        <w:rPr>
          <w:rFonts w:hint="eastAsia"/>
        </w:rPr>
        <w:t>投标函</w:t>
      </w:r>
      <w:bookmarkEnd w:id="373"/>
      <w:bookmarkEnd w:id="374"/>
      <w:bookmarkEnd w:id="375"/>
      <w:bookmarkEnd w:id="376"/>
      <w:bookmarkEnd w:id="377"/>
    </w:p>
    <w:p w14:paraId="50F36993">
      <w:pPr>
        <w:pStyle w:val="34"/>
        <w:ind w:firstLine="0" w:firstLineChars="0"/>
      </w:pPr>
      <w:r>
        <w:rPr>
          <w:rFonts w:hint="eastAsia"/>
          <w:color w:val="auto"/>
          <w:lang w:eastAsia="zh-CN"/>
        </w:rPr>
        <w:t>浙江省应急管理厅</w:t>
      </w:r>
      <w:r>
        <w:rPr>
          <w:rFonts w:hint="eastAsia"/>
        </w:rPr>
        <w:t>、浙江中勤招标代理有限公司：</w:t>
      </w:r>
    </w:p>
    <w:p w14:paraId="735EC6EB">
      <w:pPr>
        <w:pStyle w:val="34"/>
        <w:ind w:firstLine="480"/>
      </w:pPr>
      <w:r>
        <w:rPr>
          <w:rFonts w:hint="eastAsia"/>
        </w:rPr>
        <w:t>我方参与</w:t>
      </w:r>
      <w:r>
        <w:rPr>
          <w:rFonts w:hint="eastAsia"/>
          <w:color w:val="auto"/>
          <w:u w:val="single"/>
          <w:lang w:eastAsia="zh-CN"/>
        </w:rPr>
        <w:t>浙江省应急管理厅安全生产和指挥调度类数字化系统保障服务</w:t>
      </w:r>
      <w:r>
        <w:rPr>
          <w:rFonts w:hint="eastAsia"/>
          <w:u w:val="single"/>
        </w:rPr>
        <w:t>项目（项目编号：</w:t>
      </w:r>
      <w:r>
        <w:rPr>
          <w:rFonts w:hint="eastAsia"/>
          <w:color w:val="auto"/>
          <w:u w:val="single"/>
          <w:lang w:eastAsia="zh-CN"/>
        </w:rPr>
        <w:t>ZQ250702ZG</w:t>
      </w:r>
      <w:r>
        <w:rPr>
          <w:rFonts w:hint="eastAsia"/>
          <w:u w:val="single"/>
        </w:rPr>
        <w:t>）</w:t>
      </w:r>
      <w:r>
        <w:rPr>
          <w:rFonts w:hint="eastAsia"/>
          <w:i/>
          <w:iCs/>
          <w:u w:val="single"/>
          <w:lang w:val="en-US" w:eastAsia="zh-Hans"/>
        </w:rPr>
        <w:t>标项序号：…标项名称：…</w:t>
      </w:r>
      <w:r>
        <w:rPr>
          <w:rFonts w:hint="eastAsia"/>
        </w:rPr>
        <w:t>政府采购活动，为此：</w:t>
      </w:r>
    </w:p>
    <w:p w14:paraId="60A83CA0">
      <w:pPr>
        <w:pStyle w:val="34"/>
        <w:ind w:firstLine="480"/>
      </w:pPr>
      <w:r>
        <w:t>1.</w:t>
      </w:r>
      <w:r>
        <w:rPr>
          <w:rFonts w:hint="eastAsia"/>
        </w:rPr>
        <w:t>我方承诺投标有效期从提交投标文件的截止之日起</w:t>
      </w:r>
      <w:r>
        <w:rPr>
          <w:rFonts w:hint="eastAsia"/>
          <w:u w:val="single"/>
        </w:rPr>
        <w:t xml:space="preserve"> </w:t>
      </w:r>
      <w:r>
        <w:rPr>
          <w:rFonts w:hint="eastAsia"/>
          <w:i/>
          <w:iCs/>
          <w:u w:val="single"/>
        </w:rPr>
        <w:t>不少于9</w:t>
      </w:r>
      <w:r>
        <w:rPr>
          <w:i/>
          <w:iCs/>
          <w:u w:val="single"/>
        </w:rPr>
        <w:t>0</w:t>
      </w:r>
      <w:r>
        <w:rPr>
          <w:rFonts w:hint="eastAsia"/>
          <w:i/>
          <w:iCs/>
          <w:u w:val="single"/>
        </w:rPr>
        <w:t>，填确切数字</w:t>
      </w:r>
      <w:r>
        <w:rPr>
          <w:rFonts w:hint="eastAsia"/>
          <w:u w:val="single"/>
        </w:rPr>
        <w:t xml:space="preserve"> </w:t>
      </w:r>
      <w:r>
        <w:rPr>
          <w:rFonts w:hint="eastAsia"/>
        </w:rPr>
        <w:t>天，本投标文件在投标有效期满之前均具有约束力。</w:t>
      </w:r>
    </w:p>
    <w:p w14:paraId="6B3D8365">
      <w:pPr>
        <w:pStyle w:val="34"/>
        <w:ind w:firstLine="480"/>
      </w:pPr>
      <w:r>
        <w:t>2.</w:t>
      </w:r>
      <w:r>
        <w:rPr>
          <w:rFonts w:hint="eastAsia"/>
        </w:rPr>
        <w:t>我方的投标文件包括以下内容：</w:t>
      </w:r>
    </w:p>
    <w:p w14:paraId="25ED62E6">
      <w:pPr>
        <w:pStyle w:val="34"/>
        <w:ind w:firstLine="480"/>
      </w:pPr>
      <w:r>
        <w:rPr>
          <w:rFonts w:hint="eastAsia"/>
        </w:rPr>
        <w:t>2.1资格文件：</w:t>
      </w:r>
    </w:p>
    <w:p w14:paraId="5600CE48">
      <w:pPr>
        <w:pStyle w:val="34"/>
        <w:ind w:firstLine="480"/>
        <w:rPr>
          <w:i/>
          <w:iCs/>
          <w:lang w:eastAsia="zh-CN"/>
        </w:rPr>
      </w:pPr>
    </w:p>
    <w:p w14:paraId="2700414E">
      <w:pPr>
        <w:pStyle w:val="34"/>
        <w:ind w:firstLine="480"/>
        <w:rPr>
          <w:i/>
          <w:iCs/>
          <w:u w:val="single"/>
        </w:rPr>
      </w:pPr>
      <w:r>
        <w:rPr>
          <w:rFonts w:hint="eastAsia"/>
          <w:i/>
          <w:iCs/>
          <w:u w:val="single"/>
          <w:lang w:eastAsia="zh-CN"/>
        </w:rPr>
        <w:t>根据资格文件目录内容如实填写</w:t>
      </w:r>
    </w:p>
    <w:p w14:paraId="1926534F">
      <w:pPr>
        <w:pStyle w:val="34"/>
        <w:ind w:firstLine="480"/>
      </w:pPr>
    </w:p>
    <w:p w14:paraId="60B47EEA">
      <w:pPr>
        <w:pStyle w:val="34"/>
        <w:ind w:firstLine="480"/>
      </w:pPr>
      <w:r>
        <w:rPr>
          <w:rFonts w:hint="eastAsia"/>
        </w:rPr>
        <w:t>2.2 商务技术文件：</w:t>
      </w:r>
    </w:p>
    <w:p w14:paraId="31E30CE2">
      <w:pPr>
        <w:pStyle w:val="34"/>
        <w:ind w:firstLine="480"/>
        <w:rPr>
          <w:i/>
          <w:iCs/>
          <w:lang w:eastAsia="zh-CN"/>
        </w:rPr>
      </w:pPr>
    </w:p>
    <w:p w14:paraId="7A34DA89">
      <w:pPr>
        <w:pStyle w:val="34"/>
        <w:ind w:firstLine="480"/>
        <w:rPr>
          <w:i/>
          <w:iCs/>
          <w:u w:val="single"/>
        </w:rPr>
      </w:pPr>
      <w:r>
        <w:rPr>
          <w:rFonts w:hint="eastAsia"/>
          <w:i/>
          <w:iCs/>
          <w:u w:val="single"/>
          <w:lang w:eastAsia="zh-CN"/>
        </w:rPr>
        <w:t>根据商务技术文件目录内容如实填写</w:t>
      </w:r>
    </w:p>
    <w:p w14:paraId="3B83C92A">
      <w:pPr>
        <w:pStyle w:val="34"/>
        <w:ind w:firstLine="480"/>
      </w:pPr>
    </w:p>
    <w:p w14:paraId="348127D4">
      <w:pPr>
        <w:pStyle w:val="34"/>
        <w:ind w:firstLine="480"/>
      </w:pPr>
      <w:r>
        <w:rPr>
          <w:rFonts w:hint="eastAsia"/>
        </w:rPr>
        <w:t>2.3报价文件</w:t>
      </w:r>
    </w:p>
    <w:p w14:paraId="6275A20F">
      <w:pPr>
        <w:pStyle w:val="34"/>
        <w:ind w:firstLine="480"/>
        <w:rPr>
          <w:i/>
          <w:iCs/>
          <w:lang w:eastAsia="zh-CN"/>
        </w:rPr>
      </w:pPr>
    </w:p>
    <w:p w14:paraId="0AD03030">
      <w:pPr>
        <w:pStyle w:val="34"/>
        <w:ind w:firstLine="480"/>
        <w:rPr>
          <w:i/>
          <w:iCs/>
          <w:u w:val="single"/>
        </w:rPr>
      </w:pPr>
      <w:r>
        <w:rPr>
          <w:rFonts w:hint="eastAsia"/>
          <w:i/>
          <w:iCs/>
          <w:u w:val="single"/>
          <w:lang w:eastAsia="zh-CN"/>
        </w:rPr>
        <w:t>根据报价文件目录内容如实填写</w:t>
      </w:r>
    </w:p>
    <w:p w14:paraId="34BA8058">
      <w:pPr>
        <w:pStyle w:val="34"/>
        <w:numPr>
          <w:ilvl w:val="0"/>
          <w:numId w:val="0"/>
        </w:numPr>
        <w:bidi w:val="0"/>
        <w:rPr>
          <w:rFonts w:hint="eastAsia"/>
          <w:lang w:val="en-US" w:eastAsia="zh-CN"/>
        </w:rPr>
      </w:pPr>
    </w:p>
    <w:p w14:paraId="20E29663">
      <w:pPr>
        <w:pStyle w:val="34"/>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textAlignment w:val="auto"/>
        <w:rPr>
          <w:rFonts w:hint="eastAsia"/>
          <w:lang w:eastAsia="zh-Hans"/>
        </w:rPr>
      </w:pPr>
      <w:r>
        <w:rPr>
          <w:rFonts w:hint="eastAsia"/>
          <w:lang w:val="en-US" w:eastAsia="zh-CN"/>
        </w:rPr>
        <w:t>3.</w:t>
      </w:r>
      <w:r>
        <w:rPr>
          <w:rFonts w:hint="eastAsia"/>
        </w:rPr>
        <w:t>我方承诺除商务技术偏离表列出的偏离外，我方响应招标文件的全部要求</w:t>
      </w:r>
      <w:r>
        <w:rPr>
          <w:rFonts w:hint="eastAsia"/>
          <w:lang w:eastAsia="zh-Hans"/>
        </w:rPr>
        <w:t>；</w:t>
      </w:r>
    </w:p>
    <w:p w14:paraId="74823996">
      <w:pPr>
        <w:pStyle w:val="34"/>
        <w:ind w:firstLine="480"/>
      </w:pPr>
      <w:r>
        <w:rPr>
          <w:rFonts w:hint="eastAsia"/>
          <w:lang w:val="en-US" w:eastAsia="zh-CN"/>
        </w:rPr>
        <w:t>4</w:t>
      </w:r>
      <w:r>
        <w:t>.</w:t>
      </w:r>
      <w:r>
        <w:rPr>
          <w:rFonts w:hint="eastAsia"/>
        </w:rPr>
        <w:t>如我方中标，我方承诺：</w:t>
      </w:r>
    </w:p>
    <w:p w14:paraId="6D0C0FF3">
      <w:pPr>
        <w:pStyle w:val="34"/>
        <w:ind w:firstLine="480"/>
      </w:pPr>
      <w:r>
        <w:rPr>
          <w:rFonts w:hint="eastAsia"/>
          <w:lang w:val="en-US" w:eastAsia="zh-CN"/>
        </w:rPr>
        <w:t>4</w:t>
      </w:r>
      <w:r>
        <w:rPr>
          <w:rFonts w:hint="eastAsia"/>
        </w:rPr>
        <w:t>.1在收到中标通知书后，</w:t>
      </w:r>
      <w:r>
        <w:rPr>
          <w:rFonts w:hint="eastAsia"/>
          <w:lang w:eastAsia="zh-CN"/>
        </w:rPr>
        <w:t>及时与招标代理机构办理采购代理服务费结算手续，并</w:t>
      </w:r>
      <w:r>
        <w:rPr>
          <w:rFonts w:hint="eastAsia"/>
        </w:rPr>
        <w:t>在中标通知书规定的期限内与</w:t>
      </w:r>
      <w:r>
        <w:rPr>
          <w:rFonts w:hint="eastAsia"/>
          <w:lang w:eastAsia="zh-CN"/>
        </w:rPr>
        <w:t>招标人</w:t>
      </w:r>
      <w:r>
        <w:rPr>
          <w:rFonts w:hint="eastAsia"/>
        </w:rPr>
        <w:t xml:space="preserve">签订合同； </w:t>
      </w:r>
    </w:p>
    <w:p w14:paraId="64FED3FB">
      <w:pPr>
        <w:pStyle w:val="34"/>
        <w:ind w:firstLine="480"/>
      </w:pPr>
      <w:r>
        <w:rPr>
          <w:rFonts w:hint="eastAsia"/>
          <w:lang w:val="en-US" w:eastAsia="zh-CN"/>
        </w:rPr>
        <w:t>4</w:t>
      </w:r>
      <w:r>
        <w:rPr>
          <w:rFonts w:hint="eastAsia"/>
        </w:rPr>
        <w:t>.2在签订合同时不向</w:t>
      </w:r>
      <w:r>
        <w:rPr>
          <w:rFonts w:hint="eastAsia"/>
          <w:lang w:eastAsia="zh-CN"/>
        </w:rPr>
        <w:t>招标人</w:t>
      </w:r>
      <w:r>
        <w:rPr>
          <w:rFonts w:hint="eastAsia"/>
        </w:rPr>
        <w:t xml:space="preserve">提出附加条件； </w:t>
      </w:r>
    </w:p>
    <w:p w14:paraId="46F9A839">
      <w:pPr>
        <w:pStyle w:val="34"/>
        <w:ind w:firstLine="480"/>
      </w:pPr>
      <w:r>
        <w:rPr>
          <w:rFonts w:hint="eastAsia"/>
          <w:lang w:val="en-US" w:eastAsia="zh-CN"/>
        </w:rPr>
        <w:t>4</w:t>
      </w:r>
      <w:r>
        <w:rPr>
          <w:rFonts w:hint="eastAsia"/>
        </w:rPr>
        <w:t xml:space="preserve">.3按照招标文件要求提交履约保证金； </w:t>
      </w:r>
    </w:p>
    <w:p w14:paraId="09A9C7FC">
      <w:pPr>
        <w:pStyle w:val="34"/>
        <w:ind w:firstLine="480"/>
      </w:pPr>
      <w:r>
        <w:rPr>
          <w:rFonts w:hint="eastAsia"/>
          <w:lang w:val="en-US" w:eastAsia="zh-CN"/>
        </w:rPr>
        <w:t>4</w:t>
      </w:r>
      <w:r>
        <w:rPr>
          <w:rFonts w:hint="eastAsia"/>
        </w:rPr>
        <w:t xml:space="preserve">.4在合同约定的期限内完成合同规定的全部义务。 </w:t>
      </w:r>
    </w:p>
    <w:p w14:paraId="3F9615CF">
      <w:pPr>
        <w:pStyle w:val="34"/>
        <w:ind w:firstLine="480"/>
        <w:rPr>
          <w:rFonts w:hint="eastAsia"/>
        </w:rPr>
      </w:pPr>
      <w:r>
        <w:rPr>
          <w:rFonts w:hint="eastAsia"/>
          <w:lang w:val="en-US" w:eastAsia="zh-CN"/>
        </w:rPr>
        <w:t>5</w:t>
      </w:r>
      <w:r>
        <w:rPr>
          <w:lang w:eastAsia="zh-CN"/>
        </w:rPr>
        <w:t>.</w:t>
      </w:r>
      <w:r>
        <w:rPr>
          <w:rFonts w:hint="eastAsia"/>
          <w:lang w:val="en-US" w:eastAsia="zh-Hans"/>
        </w:rPr>
        <w:t>与</w:t>
      </w:r>
      <w:r>
        <w:rPr>
          <w:rFonts w:hint="eastAsia"/>
          <w:lang w:eastAsia="zh-CN"/>
        </w:rPr>
        <w:t>我方存在</w:t>
      </w:r>
      <w:r>
        <w:rPr>
          <w:rFonts w:hint="eastAsia"/>
        </w:rPr>
        <w:t>单位负责人为同一人或者存在直接控股、管理关系的</w:t>
      </w:r>
      <w:r>
        <w:rPr>
          <w:rFonts w:hint="eastAsia"/>
          <w:lang w:eastAsia="zh-CN"/>
        </w:rPr>
        <w:t>其他</w:t>
      </w:r>
      <w:r>
        <w:rPr>
          <w:rFonts w:hint="eastAsia"/>
          <w:lang w:val="en-US" w:eastAsia="zh-Hans"/>
        </w:rPr>
        <w:t>企业有：</w:t>
      </w:r>
      <w:r>
        <w:rPr>
          <w:rFonts w:hint="eastAsia"/>
          <w:i/>
          <w:iCs/>
          <w:u w:val="single"/>
          <w:lang w:val="en-US" w:eastAsia="zh-Hans"/>
        </w:rPr>
        <w:t>如存在上述关联关系的企业在此处逐一罗列填写（不论是否知晓其参与本项目），否则填“无”</w:t>
      </w:r>
      <w:r>
        <w:rPr>
          <w:rFonts w:hint="default"/>
          <w:i/>
          <w:iCs/>
          <w:u w:val="single"/>
          <w:lang w:eastAsia="zh-Hans"/>
        </w:rPr>
        <w:t xml:space="preserve">                                                   </w:t>
      </w:r>
      <w:r>
        <w:rPr>
          <w:rFonts w:hint="eastAsia"/>
        </w:rPr>
        <w:t>；</w:t>
      </w:r>
    </w:p>
    <w:p w14:paraId="1543CB98">
      <w:pPr>
        <w:pStyle w:val="34"/>
        <w:ind w:firstLine="480"/>
        <w:rPr>
          <w:lang w:eastAsia="zh-CN"/>
        </w:rPr>
      </w:pPr>
      <w:r>
        <w:rPr>
          <w:rFonts w:hint="eastAsia"/>
          <w:lang w:val="en-US" w:eastAsia="zh-CN"/>
        </w:rPr>
        <w:t>6</w:t>
      </w:r>
      <w:r>
        <w:t>.</w:t>
      </w:r>
      <w:r>
        <w:rPr>
          <w:rFonts w:hint="eastAsia"/>
          <w:lang w:eastAsia="zh-CN"/>
        </w:rPr>
        <w:t>我方不存在</w:t>
      </w:r>
      <w:r>
        <w:rPr>
          <w:rFonts w:hint="eastAsia"/>
        </w:rPr>
        <w:t>为本项目提供整体设计、规范编制或者项目管理、监理、检测等服务后再参加该项目的其他类型采购活动的</w:t>
      </w:r>
      <w:r>
        <w:rPr>
          <w:rFonts w:hint="eastAsia"/>
          <w:lang w:eastAsia="zh-CN"/>
        </w:rPr>
        <w:t>情形；</w:t>
      </w:r>
    </w:p>
    <w:p w14:paraId="7B0630ED">
      <w:pPr>
        <w:pStyle w:val="34"/>
        <w:ind w:firstLine="480"/>
        <w:rPr>
          <w:lang w:eastAsia="zh-CN"/>
        </w:rPr>
      </w:pPr>
      <w:r>
        <w:rPr>
          <w:rFonts w:hint="eastAsia"/>
          <w:lang w:val="en-US" w:eastAsia="zh-CN"/>
        </w:rPr>
        <w:t>7</w:t>
      </w:r>
      <w:r>
        <w:rPr>
          <w:lang w:eastAsia="zh-CN"/>
        </w:rPr>
        <w:t>.</w:t>
      </w:r>
      <w:r>
        <w:rPr>
          <w:rFonts w:hint="eastAsia"/>
          <w:i/>
          <w:iCs/>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u w:val="single"/>
        </w:rPr>
        <w:t>；</w:t>
      </w:r>
    </w:p>
    <w:p w14:paraId="0F0D60AD">
      <w:pPr>
        <w:pStyle w:val="34"/>
        <w:ind w:firstLine="480"/>
      </w:pPr>
      <w:r>
        <w:rPr>
          <w:rFonts w:hint="eastAsia"/>
          <w:lang w:val="en-US" w:eastAsia="zh-CN"/>
        </w:rPr>
        <w:t>8</w:t>
      </w:r>
      <w:r>
        <w:rPr>
          <w:lang w:eastAsia="zh-CN"/>
        </w:rPr>
        <w:t>.</w:t>
      </w:r>
      <w:r>
        <w:rPr>
          <w:rFonts w:hint="eastAsia"/>
          <w:lang w:eastAsia="zh-CN"/>
        </w:rPr>
        <w:t>我方非</w:t>
      </w:r>
      <w:r>
        <w:rPr>
          <w:rFonts w:hint="eastAsia"/>
        </w:rPr>
        <w:t>公益一类事业单位、使用事业编制且由财政拨款保障的群团组织【</w:t>
      </w:r>
      <w:r>
        <w:rPr>
          <w:rFonts w:hint="eastAsia"/>
          <w:lang w:eastAsia="zh-CN"/>
        </w:rPr>
        <w:t>“</w:t>
      </w:r>
      <w:r>
        <w:rPr>
          <w:rFonts w:hint="eastAsia"/>
          <w:lang w:val="en-US" w:eastAsia="zh-CN"/>
        </w:rPr>
        <w:t>前附表</w:t>
      </w:r>
      <w:r>
        <w:rPr>
          <w:rFonts w:hint="eastAsia"/>
          <w:lang w:eastAsia="zh-CN"/>
        </w:rPr>
        <w:t>”</w:t>
      </w:r>
      <w:r>
        <w:rPr>
          <w:rFonts w:hint="eastAsia"/>
          <w:lang w:val="en-US" w:eastAsia="zh-CN"/>
        </w:rPr>
        <w:t>明确本项目为“政府购买服务项目”的保留，</w:t>
      </w:r>
      <w:r>
        <w:rPr>
          <w:rFonts w:hint="eastAsia"/>
        </w:rPr>
        <w:t>否则删除</w:t>
      </w:r>
      <w:r>
        <w:rPr>
          <w:rFonts w:hint="eastAsia"/>
          <w:lang w:val="en-US" w:eastAsia="zh-CN"/>
        </w:rPr>
        <w:t>本条</w:t>
      </w:r>
      <w:r>
        <w:rPr>
          <w:rFonts w:hint="eastAsia"/>
        </w:rPr>
        <w:t>】</w:t>
      </w:r>
      <w:r>
        <w:rPr>
          <w:rFonts w:hint="eastAsia"/>
          <w:lang w:eastAsia="zh-CN"/>
        </w:rPr>
        <w:t>；</w:t>
      </w:r>
    </w:p>
    <w:p w14:paraId="77335FD5">
      <w:pPr>
        <w:pStyle w:val="34"/>
        <w:ind w:firstLine="480"/>
        <w:jc w:val="left"/>
      </w:pPr>
      <w:r>
        <w:t>9.</w:t>
      </w:r>
      <w:r>
        <w:rPr>
          <w:rFonts w:hint="eastAsia"/>
        </w:rPr>
        <w:t>其他补充说明:</w:t>
      </w:r>
      <w:r>
        <w:rPr>
          <w:rFonts w:hint="default"/>
          <w:i/>
          <w:iCs/>
          <w:u w:val="single"/>
          <w:lang w:eastAsia="zh-Hans"/>
        </w:rPr>
        <w:t xml:space="preserve">                            </w:t>
      </w:r>
      <w:r>
        <w:rPr>
          <w:rFonts w:hint="eastAsia"/>
          <w:i w:val="0"/>
          <w:iCs w:val="0"/>
          <w:u w:val="none"/>
          <w:lang w:eastAsia="zh-CN"/>
        </w:rPr>
        <w:t>【如有其他可能影响合同履行的情形在此处填写，否则</w:t>
      </w:r>
      <w:r>
        <w:rPr>
          <w:rFonts w:hint="eastAsia"/>
          <w:i w:val="0"/>
          <w:iCs w:val="0"/>
          <w:u w:val="none"/>
          <w:lang w:val="en-US" w:eastAsia="zh-CN"/>
        </w:rPr>
        <w:t>删除本条</w:t>
      </w:r>
      <w:r>
        <w:rPr>
          <w:rFonts w:hint="eastAsia"/>
          <w:i w:val="0"/>
          <w:iCs w:val="0"/>
          <w:u w:val="none"/>
          <w:lang w:eastAsia="zh-CN"/>
        </w:rPr>
        <w:t>】</w:t>
      </w:r>
      <w:r>
        <w:rPr>
          <w:rFonts w:hint="eastAsia"/>
        </w:rPr>
        <w:t>。</w:t>
      </w:r>
    </w:p>
    <w:p w14:paraId="6261A911">
      <w:pPr>
        <w:pStyle w:val="34"/>
        <w:ind w:firstLine="480"/>
      </w:pPr>
    </w:p>
    <w:p w14:paraId="26B436C5">
      <w:pPr>
        <w:pStyle w:val="34"/>
        <w:ind w:firstLine="480"/>
      </w:pPr>
    </w:p>
    <w:p w14:paraId="5A13FBD0">
      <w:pPr>
        <w:pStyle w:val="34"/>
        <w:ind w:firstLine="480"/>
        <w:rPr>
          <w:lang w:eastAsia="zh-CN"/>
        </w:rPr>
      </w:pPr>
      <w:r>
        <w:rPr>
          <w:rFonts w:hint="eastAsia"/>
          <w:lang w:eastAsia="zh-CN"/>
        </w:rPr>
        <w:t>我方联系方式：</w:t>
      </w:r>
    </w:p>
    <w:p w14:paraId="17349254">
      <w:pPr>
        <w:pStyle w:val="34"/>
        <w:ind w:firstLine="480"/>
        <w:rPr>
          <w:lang w:eastAsia="zh-CN"/>
        </w:rPr>
      </w:pPr>
      <w:r>
        <w:rPr>
          <w:rFonts w:hint="eastAsia"/>
          <w:lang w:eastAsia="zh-CN"/>
        </w:rPr>
        <w:t>项目联系人：</w:t>
      </w:r>
      <w:r>
        <w:rPr>
          <w:u w:val="single"/>
          <w:lang w:eastAsia="zh-CN"/>
        </w:rPr>
        <w:t xml:space="preserve">                          </w:t>
      </w:r>
    </w:p>
    <w:p w14:paraId="429184F4">
      <w:pPr>
        <w:pStyle w:val="34"/>
        <w:ind w:firstLine="480"/>
        <w:rPr>
          <w:lang w:eastAsia="zh-CN"/>
        </w:rPr>
      </w:pPr>
      <w:r>
        <w:rPr>
          <w:rFonts w:hint="eastAsia"/>
          <w:lang w:eastAsia="zh-CN"/>
        </w:rPr>
        <w:t>联系电话（手机）：</w:t>
      </w:r>
      <w:r>
        <w:rPr>
          <w:u w:val="single"/>
          <w:lang w:eastAsia="zh-CN"/>
        </w:rPr>
        <w:t xml:space="preserve">                    </w:t>
      </w:r>
    </w:p>
    <w:p w14:paraId="2C98A504">
      <w:pPr>
        <w:pStyle w:val="34"/>
        <w:ind w:firstLine="480"/>
        <w:rPr>
          <w:lang w:eastAsia="zh-CN"/>
        </w:rPr>
      </w:pPr>
      <w:r>
        <w:rPr>
          <w:rFonts w:hint="eastAsia"/>
          <w:lang w:eastAsia="zh-CN"/>
        </w:rPr>
        <w:t>联系邮箱：</w:t>
      </w:r>
      <w:r>
        <w:rPr>
          <w:u w:val="single"/>
          <w:lang w:eastAsia="zh-CN"/>
        </w:rPr>
        <w:t xml:space="preserve">                            </w:t>
      </w:r>
    </w:p>
    <w:p w14:paraId="0C0346BC">
      <w:pPr>
        <w:pStyle w:val="34"/>
        <w:ind w:firstLine="480"/>
        <w:rPr>
          <w:lang w:eastAsia="zh-CN"/>
        </w:rPr>
      </w:pPr>
      <w:r>
        <w:rPr>
          <w:rFonts w:hint="eastAsia"/>
          <w:lang w:eastAsia="zh-CN"/>
        </w:rPr>
        <w:t>联系地址：</w:t>
      </w:r>
      <w:r>
        <w:rPr>
          <w:u w:val="single"/>
          <w:lang w:eastAsia="zh-CN"/>
        </w:rPr>
        <w:t xml:space="preserve">                            </w:t>
      </w:r>
    </w:p>
    <w:p w14:paraId="70D53AD4">
      <w:pPr>
        <w:pStyle w:val="34"/>
        <w:ind w:firstLine="480"/>
      </w:pPr>
    </w:p>
    <w:p w14:paraId="18AA50BA">
      <w:pPr>
        <w:pStyle w:val="34"/>
        <w:ind w:firstLine="480"/>
        <w:rPr>
          <w:kern w:val="0"/>
        </w:rPr>
      </w:pPr>
      <w:r>
        <w:rPr>
          <w:rFonts w:hint="eastAsia"/>
          <w:kern w:val="0"/>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0544471F">
      <w:pPr>
        <w:pStyle w:val="34"/>
        <w:ind w:firstLine="480"/>
        <w:rPr>
          <w:kern w:val="0"/>
        </w:rPr>
      </w:pPr>
      <w:r>
        <w:rPr>
          <w:rFonts w:hint="eastAsia"/>
          <w:kern w:val="0"/>
          <w:lang w:eastAsia="zh-CN"/>
        </w:rPr>
        <w:t>法定代表人或授权代表人（</w:t>
      </w:r>
      <w:r>
        <w:rPr>
          <w:rFonts w:hint="eastAsia"/>
        </w:rPr>
        <w:t>电子签名</w:t>
      </w:r>
      <w:r>
        <w:rPr>
          <w:rFonts w:hint="default"/>
        </w:rPr>
        <w:t>/</w:t>
      </w:r>
      <w:r>
        <w:rPr>
          <w:rFonts w:hint="eastAsia"/>
          <w:kern w:val="0"/>
          <w:lang w:eastAsia="zh-CN"/>
        </w:rPr>
        <w:t>签字）</w:t>
      </w:r>
    </w:p>
    <w:p w14:paraId="42BA49D2">
      <w:pPr>
        <w:pStyle w:val="34"/>
        <w:ind w:firstLine="480"/>
        <w:rPr>
          <w:kern w:val="0"/>
        </w:rPr>
      </w:pPr>
      <w:r>
        <w:rPr>
          <w:rFonts w:hint="eastAsia"/>
          <w:kern w:val="0"/>
        </w:rPr>
        <w:t>日期：  年  月   日</w:t>
      </w:r>
    </w:p>
    <w:p w14:paraId="5657ADD6">
      <w:pPr>
        <w:widowControl/>
        <w:jc w:val="left"/>
      </w:pPr>
      <w:r>
        <w:t xml:space="preserve"> </w:t>
      </w:r>
    </w:p>
    <w:p w14:paraId="6BCE6EB9">
      <w:r>
        <w:br w:type="page"/>
      </w:r>
    </w:p>
    <w:p w14:paraId="6F89ACF1">
      <w:pPr>
        <w:pStyle w:val="36"/>
        <w:numPr>
          <w:ilvl w:val="1"/>
          <w:numId w:val="136"/>
        </w:numPr>
        <w:adjustRightInd/>
        <w:rPr>
          <w:rFonts w:eastAsia="宋体"/>
        </w:rPr>
      </w:pPr>
      <w:bookmarkStart w:id="378" w:name="_Toc31971"/>
      <w:bookmarkStart w:id="379" w:name="_Toc10308"/>
      <w:bookmarkStart w:id="380" w:name="_Toc17758"/>
      <w:bookmarkStart w:id="381" w:name="_Toc27073"/>
      <w:bookmarkStart w:id="382" w:name="_Toc3170"/>
      <w:r>
        <w:rPr>
          <w:rFonts w:hint="eastAsia"/>
        </w:rPr>
        <w:t>政府采购供应商廉洁自律承诺书</w:t>
      </w:r>
      <w:bookmarkEnd w:id="378"/>
      <w:bookmarkEnd w:id="379"/>
      <w:bookmarkEnd w:id="380"/>
      <w:bookmarkEnd w:id="381"/>
      <w:bookmarkEnd w:id="382"/>
    </w:p>
    <w:p w14:paraId="5EFC237F">
      <w:pPr>
        <w:pStyle w:val="34"/>
        <w:ind w:firstLine="0" w:firstLineChars="0"/>
      </w:pPr>
      <w:r>
        <w:rPr>
          <w:rFonts w:hint="eastAsia"/>
          <w:color w:val="auto"/>
          <w:lang w:eastAsia="zh-CN"/>
        </w:rPr>
        <w:t>浙江省应急管理厅</w:t>
      </w:r>
      <w:r>
        <w:rPr>
          <w:rFonts w:hint="eastAsia"/>
        </w:rPr>
        <w:t>、浙江中勤招标代理有限公司：</w:t>
      </w:r>
    </w:p>
    <w:p w14:paraId="59EAF9D3">
      <w:pPr>
        <w:pStyle w:val="34"/>
        <w:ind w:firstLine="480"/>
      </w:pPr>
      <w:r>
        <w:rPr>
          <w:rFonts w:hint="eastAsia"/>
        </w:rPr>
        <w:t>我单位响应你单位项目招标要求参加投标。在这次投标过程中和中标后，我们将严格遵守国家法律法规要求，并郑重承诺：</w:t>
      </w:r>
    </w:p>
    <w:p w14:paraId="2DFC1A2F">
      <w:pPr>
        <w:pStyle w:val="34"/>
        <w:ind w:firstLine="480"/>
      </w:pPr>
      <w:r>
        <w:rPr>
          <w:rFonts w:hint="eastAsia"/>
        </w:rPr>
        <w:t xml:space="preserve">一、不向项目有关人员及部门赠送礼金礼物、有价证券、回扣以及中介费、介绍费、咨询费等好处费； </w:t>
      </w:r>
    </w:p>
    <w:p w14:paraId="3D027D74">
      <w:pPr>
        <w:pStyle w:val="34"/>
        <w:ind w:firstLine="480"/>
      </w:pPr>
      <w:r>
        <w:rPr>
          <w:rFonts w:hint="eastAsia"/>
        </w:rPr>
        <w:t xml:space="preserve">二、不为项目有关人员及部门报销应由你方单位或个人支付的费用； </w:t>
      </w:r>
    </w:p>
    <w:p w14:paraId="4FABA9D7">
      <w:pPr>
        <w:pStyle w:val="34"/>
        <w:ind w:firstLine="480"/>
      </w:pPr>
      <w:r>
        <w:rPr>
          <w:rFonts w:hint="eastAsia"/>
        </w:rPr>
        <w:t>三</w:t>
      </w:r>
      <w:r>
        <w:rPr>
          <w:rFonts w:hint="eastAsia"/>
          <w:lang w:eastAsia="zh-CN"/>
        </w:rPr>
        <w:t>、</w:t>
      </w:r>
      <w:r>
        <w:rPr>
          <w:rFonts w:hint="eastAsia"/>
        </w:rPr>
        <w:t xml:space="preserve">不向项目有关人员及部门提供有可能影响公正的宴请和健身娱乐等活动； </w:t>
      </w:r>
    </w:p>
    <w:p w14:paraId="26C1A16A">
      <w:pPr>
        <w:pStyle w:val="34"/>
        <w:ind w:firstLine="480"/>
      </w:pPr>
      <w:r>
        <w:rPr>
          <w:rFonts w:hint="eastAsia"/>
        </w:rPr>
        <w:t>四、不为项目有关人员及部门出国（境）、旅游等提供方便；</w:t>
      </w:r>
    </w:p>
    <w:p w14:paraId="0CF89A7A">
      <w:pPr>
        <w:pStyle w:val="34"/>
        <w:ind w:firstLine="480"/>
      </w:pPr>
      <w:r>
        <w:rPr>
          <w:rFonts w:hint="eastAsia"/>
        </w:rPr>
        <w:t>五、不为项目有关人员个人装修住房、婚丧嫁娶、配偶子女工作安排等提供</w:t>
      </w:r>
    </w:p>
    <w:p w14:paraId="27B3156B">
      <w:pPr>
        <w:pStyle w:val="34"/>
        <w:ind w:firstLine="480"/>
      </w:pPr>
      <w:r>
        <w:rPr>
          <w:rFonts w:hint="eastAsia"/>
        </w:rPr>
        <w:t>好处；</w:t>
      </w:r>
    </w:p>
    <w:p w14:paraId="13CEC48D">
      <w:pPr>
        <w:pStyle w:val="34"/>
        <w:ind w:firstLine="480"/>
      </w:pPr>
      <w:r>
        <w:rPr>
          <w:rFonts w:hint="eastAsia"/>
        </w:rPr>
        <w:t xml:space="preserve">六、严格遵守《中华人民共和国政府采购法》《中华人民共和国招标投标法》《中华人民共和国民法典》等法律法规，诚实守信，合法经营，坚决抵制各种违法违纪行为。 </w:t>
      </w:r>
    </w:p>
    <w:p w14:paraId="13C39886">
      <w:pPr>
        <w:pStyle w:val="34"/>
        <w:ind w:firstLine="480"/>
      </w:pPr>
      <w:r>
        <w:rPr>
          <w:rFonts w:hint="eastAsia"/>
        </w:rPr>
        <w:t>如违反上述承诺，你单位有权立即取消我单位投标、中标或在建项目的建设资格，有权拒绝我单位在一定时期内进入你单位进行项目建设或其他经营活动，并通报</w:t>
      </w:r>
      <w:r>
        <w:rPr>
          <w:rFonts w:hint="eastAsia"/>
          <w:lang w:val="en-US" w:eastAsia="zh-Hans"/>
        </w:rPr>
        <w:t>参政监管部门</w:t>
      </w:r>
      <w:r>
        <w:rPr>
          <w:rFonts w:hint="eastAsia"/>
        </w:rPr>
        <w:t>。由此引起的相应损失均由我单位承担。</w:t>
      </w:r>
    </w:p>
    <w:p w14:paraId="646E451C">
      <w:pPr>
        <w:pStyle w:val="34"/>
        <w:ind w:firstLine="480"/>
      </w:pPr>
      <w:r>
        <w:rPr>
          <w:rFonts w:hint="eastAsia"/>
        </w:rPr>
        <w:t xml:space="preserve"> </w:t>
      </w:r>
    </w:p>
    <w:p w14:paraId="7484B3E9">
      <w:pPr>
        <w:pStyle w:val="34"/>
        <w:ind w:firstLine="480"/>
      </w:pPr>
      <w:r>
        <w:rPr>
          <w:rFonts w:hint="eastAsia"/>
        </w:rPr>
        <w:t xml:space="preserve"> </w:t>
      </w:r>
    </w:p>
    <w:p w14:paraId="4D0E4723">
      <w:pPr>
        <w:pStyle w:val="34"/>
        <w:ind w:firstLine="480"/>
      </w:pPr>
      <w:r>
        <w:rPr>
          <w:rFonts w:hint="eastAsia"/>
        </w:rPr>
        <w:t xml:space="preserve"> </w:t>
      </w:r>
    </w:p>
    <w:p w14:paraId="5A9FDB57">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2C68EE3C">
      <w:pPr>
        <w:pStyle w:val="34"/>
        <w:ind w:firstLine="480"/>
      </w:pPr>
      <w:r>
        <w:rPr>
          <w:rFonts w:hint="eastAsia"/>
        </w:rPr>
        <w:t>日期：   年   月   日</w:t>
      </w:r>
    </w:p>
    <w:p w14:paraId="175AF427">
      <w:pPr>
        <w:widowControl/>
        <w:jc w:val="left"/>
        <w:rPr>
          <w:rFonts w:ascii="黑体" w:hAnsi="黑体" w:eastAsia="黑体" w:cs="黑体"/>
          <w:bCs/>
          <w:sz w:val="36"/>
          <w:szCs w:val="44"/>
        </w:rPr>
      </w:pPr>
      <w:r>
        <w:br w:type="page"/>
      </w:r>
    </w:p>
    <w:p w14:paraId="013B4613">
      <w:pPr>
        <w:pStyle w:val="36"/>
        <w:numPr>
          <w:ilvl w:val="1"/>
          <w:numId w:val="136"/>
        </w:numPr>
        <w:adjustRightInd/>
        <w:rPr>
          <w:sz w:val="30"/>
          <w:szCs w:val="30"/>
        </w:rPr>
      </w:pPr>
      <w:bookmarkStart w:id="383" w:name="_Toc27397"/>
      <w:bookmarkStart w:id="384" w:name="_Toc6762"/>
      <w:bookmarkStart w:id="385" w:name="_Toc8140"/>
      <w:bookmarkStart w:id="386" w:name="_Toc16588"/>
      <w:bookmarkStart w:id="387" w:name="_Toc24917"/>
      <w:r>
        <w:rPr>
          <w:rFonts w:hint="eastAsia"/>
        </w:rPr>
        <w:t>法定代表人</w:t>
      </w:r>
      <w:r>
        <w:rPr>
          <w:rFonts w:hint="eastAsia"/>
          <w:sz w:val="30"/>
          <w:szCs w:val="30"/>
        </w:rPr>
        <w:t>身份证明</w:t>
      </w:r>
      <w:bookmarkEnd w:id="383"/>
      <w:bookmarkEnd w:id="384"/>
      <w:bookmarkEnd w:id="385"/>
      <w:bookmarkEnd w:id="386"/>
      <w:bookmarkEnd w:id="387"/>
    </w:p>
    <w:p w14:paraId="556C5226">
      <w:pPr>
        <w:pStyle w:val="34"/>
        <w:ind w:firstLine="0" w:firstLineChars="0"/>
      </w:pPr>
      <w:r>
        <w:rPr>
          <w:rFonts w:hint="eastAsia"/>
          <w:color w:val="auto"/>
          <w:lang w:eastAsia="zh-CN"/>
        </w:rPr>
        <w:t>浙江省应急管理厅</w:t>
      </w:r>
      <w:r>
        <w:rPr>
          <w:rFonts w:hint="eastAsia"/>
        </w:rPr>
        <w:t>、浙江中勤招标代理有限公司：</w:t>
      </w:r>
    </w:p>
    <w:p w14:paraId="5B2CEA52">
      <w:pPr>
        <w:pStyle w:val="34"/>
        <w:ind w:firstLine="480"/>
      </w:pPr>
      <w:r>
        <w:rPr>
          <w:rFonts w:hint="eastAsia"/>
          <w:i/>
          <w:iCs/>
          <w:u w:val="single"/>
        </w:rPr>
        <w:t>（姓名）</w:t>
      </w:r>
      <w:r>
        <w:rPr>
          <w:rFonts w:hint="eastAsia"/>
        </w:rPr>
        <w:t>为我方</w:t>
      </w:r>
      <w:r>
        <w:rPr>
          <w:rFonts w:hint="eastAsia"/>
          <w:lang w:eastAsia="zh-CN"/>
        </w:rPr>
        <w:t>法定代表人</w:t>
      </w:r>
      <w:r>
        <w:rPr>
          <w:rFonts w:hint="eastAsia"/>
        </w:rPr>
        <w:t>（身份证号码：</w:t>
      </w:r>
      <w:r>
        <w:rPr>
          <w:rFonts w:hint="eastAsia"/>
          <w:u w:val="single"/>
        </w:rPr>
        <w:t xml:space="preserve">         </w:t>
      </w:r>
      <w:r>
        <w:rPr>
          <w:rFonts w:hint="eastAsia"/>
        </w:rPr>
        <w:t xml:space="preserve"> ，手机：</w:t>
      </w:r>
      <w:r>
        <w:rPr>
          <w:rFonts w:hint="eastAsia"/>
          <w:u w:val="single"/>
        </w:rPr>
        <w:t xml:space="preserve">          </w:t>
      </w:r>
      <w:r>
        <w:rPr>
          <w:rFonts w:hint="eastAsia"/>
        </w:rPr>
        <w:t>）。</w:t>
      </w:r>
    </w:p>
    <w:p w14:paraId="7B9E0D65">
      <w:pPr>
        <w:pStyle w:val="34"/>
        <w:ind w:firstLine="480"/>
      </w:pPr>
      <w:r>
        <w:rPr>
          <w:rFonts w:hint="eastAsia"/>
        </w:rPr>
        <w:t>特此</w:t>
      </w:r>
      <w:r>
        <w:rPr>
          <w:rFonts w:hint="eastAsia"/>
          <w:lang w:eastAsia="zh-CN"/>
        </w:rPr>
        <w:t>证明</w:t>
      </w:r>
      <w:r>
        <w:rPr>
          <w:rFonts w:hint="eastAsia"/>
        </w:rPr>
        <w:t>。</w:t>
      </w:r>
    </w:p>
    <w:p w14:paraId="664C4FF5">
      <w:pPr>
        <w:pStyle w:val="34"/>
        <w:ind w:firstLine="480"/>
      </w:pPr>
    </w:p>
    <w:p w14:paraId="4F8EF80C">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33BF16B1">
      <w:pPr>
        <w:pStyle w:val="34"/>
        <w:ind w:firstLine="480"/>
      </w:pPr>
      <w:r>
        <w:rPr>
          <w:rFonts w:hint="eastAsia"/>
        </w:rPr>
        <w:t>日期：  年   月   日</w:t>
      </w:r>
    </w:p>
    <w:p w14:paraId="72E681AE">
      <w:pPr>
        <w:pStyle w:val="34"/>
        <w:ind w:firstLine="480"/>
      </w:pPr>
    </w:p>
    <w:p w14:paraId="7F37D74E">
      <w:pPr>
        <w:pStyle w:val="34"/>
        <w:ind w:firstLine="480"/>
      </w:pPr>
    </w:p>
    <w:p w14:paraId="3E022FE8">
      <w:pPr>
        <w:pStyle w:val="34"/>
        <w:ind w:firstLine="480"/>
        <w:rPr>
          <w:lang w:eastAsia="zh-CN"/>
        </w:rPr>
      </w:pPr>
      <w:r>
        <w:rPr>
          <w:rFonts w:hint="eastAsia"/>
          <w:lang w:eastAsia="zh-CN"/>
        </w:rPr>
        <w:t>附：</w:t>
      </w:r>
    </w:p>
    <w:p w14:paraId="05222F08">
      <w:pPr>
        <w:pStyle w:val="34"/>
        <w:ind w:firstLine="480"/>
        <w:rPr>
          <w:lang w:eastAsia="zh-CN"/>
        </w:rPr>
      </w:pPr>
      <w:r>
        <w:rPr>
          <w:lang w:eastAsia="zh-CN"/>
        </w:rPr>
        <w:t>1.</w:t>
      </w:r>
      <w:r>
        <w:rPr>
          <w:rFonts w:hint="eastAsia"/>
          <w:lang w:eastAsia="zh-CN"/>
        </w:rPr>
        <w:t>法定代表人身份证（正反面）；</w:t>
      </w:r>
    </w:p>
    <w:p w14:paraId="2159287D">
      <w:pPr>
        <w:pStyle w:val="34"/>
        <w:ind w:firstLine="480"/>
      </w:pPr>
    </w:p>
    <w:p w14:paraId="0C7E640D">
      <w:pPr>
        <w:pStyle w:val="34"/>
        <w:ind w:firstLine="480"/>
      </w:pPr>
    </w:p>
    <w:p w14:paraId="54703050">
      <w:pPr>
        <w:pStyle w:val="34"/>
        <w:ind w:firstLine="480"/>
      </w:pPr>
    </w:p>
    <w:p w14:paraId="2EAE1B61">
      <w:pPr>
        <w:pStyle w:val="34"/>
        <w:ind w:firstLine="480"/>
      </w:pPr>
    </w:p>
    <w:p w14:paraId="0B74ACBA">
      <w:pPr>
        <w:pStyle w:val="34"/>
        <w:ind w:firstLine="0" w:firstLineChars="0"/>
      </w:pPr>
      <w:r>
        <w:rPr>
          <w:rFonts w:hint="eastAsia"/>
        </w:rPr>
        <w:t>【</w:t>
      </w:r>
      <w:r>
        <w:rPr>
          <w:rFonts w:hint="eastAsia"/>
          <w:lang w:eastAsia="zh-CN"/>
        </w:rPr>
        <w:t>本格式文本</w:t>
      </w:r>
      <w:r>
        <w:rPr>
          <w:rFonts w:hint="eastAsia"/>
        </w:rPr>
        <w:t>适用于法定代表人、单位负责人或者自然人本人代表投标人参加投标】</w:t>
      </w:r>
      <w:r>
        <w:br w:type="page"/>
      </w:r>
    </w:p>
    <w:p w14:paraId="68A5EAC6">
      <w:pPr>
        <w:pStyle w:val="36"/>
        <w:numPr>
          <w:ilvl w:val="1"/>
          <w:numId w:val="136"/>
        </w:numPr>
        <w:adjustRightInd/>
        <w:rPr>
          <w:sz w:val="21"/>
          <w:szCs w:val="21"/>
        </w:rPr>
      </w:pPr>
      <w:bookmarkStart w:id="388" w:name="_Toc29634"/>
      <w:bookmarkStart w:id="389" w:name="_Toc1325"/>
      <w:bookmarkStart w:id="390" w:name="_Toc16650"/>
      <w:bookmarkStart w:id="391" w:name="_Toc13227"/>
      <w:bookmarkStart w:id="392" w:name="_Toc22968"/>
      <w:r>
        <w:rPr>
          <w:rFonts w:hint="eastAsia"/>
        </w:rPr>
        <w:t>授权委托书</w:t>
      </w:r>
      <w:bookmarkEnd w:id="388"/>
      <w:bookmarkEnd w:id="389"/>
      <w:bookmarkEnd w:id="390"/>
      <w:bookmarkEnd w:id="391"/>
      <w:bookmarkEnd w:id="392"/>
      <w:r>
        <w:rPr>
          <w:rFonts w:hint="eastAsia"/>
        </w:rPr>
        <w:t xml:space="preserve"> </w:t>
      </w:r>
    </w:p>
    <w:p w14:paraId="68FFB61D">
      <w:pPr>
        <w:pStyle w:val="34"/>
        <w:ind w:firstLine="0" w:firstLineChars="0"/>
      </w:pPr>
      <w:r>
        <w:rPr>
          <w:rFonts w:hint="eastAsia"/>
          <w:color w:val="auto"/>
          <w:lang w:eastAsia="zh-CN"/>
        </w:rPr>
        <w:t>浙江省应急管理厅</w:t>
      </w:r>
      <w:r>
        <w:rPr>
          <w:rFonts w:hint="eastAsia"/>
        </w:rPr>
        <w:t>、浙江中勤招标代理有限公司：</w:t>
      </w:r>
    </w:p>
    <w:p w14:paraId="01A518A9">
      <w:pPr>
        <w:pStyle w:val="34"/>
        <w:ind w:firstLine="480"/>
      </w:pPr>
      <w:r>
        <w:rPr>
          <w:rFonts w:hint="eastAsia"/>
        </w:rPr>
        <w:t>现委托</w:t>
      </w:r>
      <w:r>
        <w:rPr>
          <w:rFonts w:hint="eastAsia"/>
          <w:i/>
          <w:iCs/>
          <w:u w:val="single"/>
        </w:rPr>
        <w:t>（姓名）</w:t>
      </w:r>
      <w:r>
        <w:rPr>
          <w:rFonts w:hint="eastAsia"/>
        </w:rPr>
        <w:t>为我方代理人（身份证号码：</w:t>
      </w:r>
      <w:r>
        <w:rPr>
          <w:rFonts w:hint="eastAsia"/>
          <w:u w:val="single"/>
        </w:rPr>
        <w:t xml:space="preserve">         </w:t>
      </w:r>
      <w:r>
        <w:rPr>
          <w:rFonts w:hint="eastAsia"/>
        </w:rPr>
        <w:t xml:space="preserve"> ，手机：</w:t>
      </w:r>
      <w:r>
        <w:rPr>
          <w:rFonts w:hint="eastAsia"/>
          <w:u w:val="single"/>
        </w:rPr>
        <w:t xml:space="preserve">          </w:t>
      </w:r>
      <w:r>
        <w:rPr>
          <w:rFonts w:hint="eastAsia"/>
        </w:rPr>
        <w:t>），以我方名义处理</w:t>
      </w:r>
      <w:r>
        <w:rPr>
          <w:rFonts w:hint="eastAsia"/>
          <w:color w:val="auto"/>
          <w:u w:val="single"/>
          <w:lang w:eastAsia="zh-CN"/>
        </w:rPr>
        <w:t>浙江省应急管理厅安全生产和指挥调度类数字化系统保障服务</w:t>
      </w:r>
      <w:r>
        <w:rPr>
          <w:rFonts w:hint="eastAsia"/>
          <w:u w:val="single"/>
        </w:rPr>
        <w:t>项目（项目编号：</w:t>
      </w:r>
      <w:r>
        <w:rPr>
          <w:rFonts w:hint="eastAsia"/>
          <w:color w:val="auto"/>
          <w:u w:val="single"/>
          <w:lang w:eastAsia="zh-CN"/>
        </w:rPr>
        <w:t>ZQ250702ZG</w:t>
      </w:r>
      <w:r>
        <w:rPr>
          <w:rFonts w:hint="eastAsia"/>
          <w:u w:val="single"/>
        </w:rPr>
        <w:t>）</w:t>
      </w:r>
      <w:r>
        <w:rPr>
          <w:rFonts w:hint="eastAsia"/>
          <w:i/>
          <w:iCs/>
          <w:u w:val="single"/>
          <w:lang w:val="en-US" w:eastAsia="zh-Hans"/>
        </w:rPr>
        <w:t>标项序号：…标项名称：…</w:t>
      </w:r>
      <w:r>
        <w:rPr>
          <w:rFonts w:hint="eastAsia"/>
        </w:rPr>
        <w:t>政府采购投标的一切事项，其法律后果由我方承担。</w:t>
      </w:r>
    </w:p>
    <w:p w14:paraId="56507ADA">
      <w:pPr>
        <w:pStyle w:val="34"/>
        <w:ind w:firstLine="480"/>
      </w:pPr>
      <w:r>
        <w:rPr>
          <w:rFonts w:hint="eastAsia"/>
        </w:rPr>
        <w:t>委托期限：自   年 月  日起至  年  月  日止。</w:t>
      </w:r>
    </w:p>
    <w:p w14:paraId="57544F8A">
      <w:pPr>
        <w:pStyle w:val="34"/>
        <w:ind w:firstLine="480"/>
      </w:pPr>
      <w:r>
        <w:rPr>
          <w:rFonts w:hint="eastAsia"/>
        </w:rPr>
        <w:t>特此告知。</w:t>
      </w:r>
    </w:p>
    <w:p w14:paraId="328F3772">
      <w:pPr>
        <w:pStyle w:val="34"/>
        <w:ind w:firstLine="480"/>
      </w:pPr>
    </w:p>
    <w:p w14:paraId="1EC7D403">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39DFAD7E">
      <w:pPr>
        <w:pStyle w:val="34"/>
        <w:ind w:firstLine="480"/>
      </w:pP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013809EB">
      <w:pPr>
        <w:pStyle w:val="34"/>
        <w:ind w:firstLine="480"/>
      </w:pPr>
      <w:r>
        <w:rPr>
          <w:rFonts w:hint="eastAsia"/>
        </w:rPr>
        <w:t xml:space="preserve">                          </w:t>
      </w:r>
    </w:p>
    <w:p w14:paraId="7AD6B546">
      <w:pPr>
        <w:pStyle w:val="34"/>
        <w:ind w:firstLine="480"/>
      </w:pPr>
      <w:r>
        <w:rPr>
          <w:rFonts w:hint="eastAsia"/>
        </w:rPr>
        <w:t>日期：  年   月   日</w:t>
      </w:r>
    </w:p>
    <w:p w14:paraId="7B509BCC">
      <w:pPr>
        <w:pStyle w:val="34"/>
        <w:ind w:firstLine="480"/>
      </w:pPr>
    </w:p>
    <w:p w14:paraId="721847B0">
      <w:pPr>
        <w:pStyle w:val="34"/>
        <w:ind w:firstLine="480"/>
        <w:rPr>
          <w:lang w:eastAsia="zh-CN"/>
        </w:rPr>
      </w:pPr>
      <w:r>
        <w:rPr>
          <w:rFonts w:hint="eastAsia"/>
          <w:lang w:eastAsia="zh-CN"/>
        </w:rPr>
        <w:t>附：</w:t>
      </w:r>
    </w:p>
    <w:p w14:paraId="19408278">
      <w:pPr>
        <w:pStyle w:val="34"/>
        <w:ind w:firstLine="480"/>
        <w:rPr>
          <w:lang w:eastAsia="zh-CN"/>
        </w:rPr>
      </w:pPr>
      <w:r>
        <w:rPr>
          <w:lang w:eastAsia="zh-CN"/>
        </w:rPr>
        <w:t>1.</w:t>
      </w:r>
      <w:r>
        <w:rPr>
          <w:rFonts w:hint="eastAsia"/>
          <w:lang w:eastAsia="zh-CN"/>
        </w:rPr>
        <w:t>法定代表人身份证（正反面）；</w:t>
      </w:r>
    </w:p>
    <w:p w14:paraId="7679AE47">
      <w:pPr>
        <w:pStyle w:val="34"/>
        <w:ind w:firstLine="480"/>
        <w:rPr>
          <w:lang w:eastAsia="zh-CN"/>
        </w:rPr>
      </w:pPr>
      <w:r>
        <w:rPr>
          <w:lang w:eastAsia="zh-CN"/>
        </w:rPr>
        <w:t>2.</w:t>
      </w:r>
      <w:r>
        <w:rPr>
          <w:rFonts w:hint="eastAsia"/>
          <w:lang w:eastAsia="zh-CN"/>
        </w:rPr>
        <w:t>授权代表身份证（正反面）。</w:t>
      </w:r>
    </w:p>
    <w:p w14:paraId="04144FFC">
      <w:pPr>
        <w:pStyle w:val="34"/>
        <w:ind w:firstLine="480"/>
      </w:pPr>
    </w:p>
    <w:p w14:paraId="68BAD937">
      <w:pPr>
        <w:pStyle w:val="34"/>
        <w:ind w:firstLine="480"/>
      </w:pPr>
      <w:r>
        <w:rPr>
          <w:rFonts w:hint="eastAsia"/>
        </w:rPr>
        <w:t>【联合体</w:t>
      </w:r>
      <w:r>
        <w:rPr>
          <w:rFonts w:hint="eastAsia"/>
          <w:lang w:eastAsia="zh-CN"/>
        </w:rPr>
        <w:t>投标使用以下落款，并附联合体成员各方法定代表人身份证明（身份证正反面），否则删除下例落款】</w:t>
      </w:r>
    </w:p>
    <w:p w14:paraId="087DA541">
      <w:pPr>
        <w:pStyle w:val="34"/>
        <w:ind w:firstLine="480"/>
      </w:pPr>
      <w:r>
        <w:rPr>
          <w:rFonts w:hint="eastAsia"/>
        </w:rPr>
        <w:t>联合体成员</w:t>
      </w:r>
      <w:r>
        <w:rPr>
          <w:rFonts w:hint="eastAsia"/>
          <w:lang w:eastAsia="zh-CN"/>
        </w:rPr>
        <w:t>1</w:t>
      </w:r>
      <w:r>
        <w:rPr>
          <w:rFonts w:hint="eastAsia"/>
        </w:rPr>
        <w:t>名称(电子签</w:t>
      </w:r>
      <w:r>
        <w:rPr>
          <w:rFonts w:hint="eastAsia"/>
          <w:lang w:eastAsia="zh-CN"/>
        </w:rPr>
        <w:t>章</w:t>
      </w:r>
      <w:r>
        <w:rPr>
          <w:rFonts w:hint="eastAsia"/>
        </w:rPr>
        <w:t>/公章)：</w:t>
      </w:r>
    </w:p>
    <w:p w14:paraId="09D7C65D">
      <w:pPr>
        <w:pStyle w:val="34"/>
        <w:ind w:firstLine="480"/>
      </w:pPr>
      <w:r>
        <w:rPr>
          <w:rFonts w:hint="eastAsia"/>
          <w:lang w:eastAsia="zh-CN"/>
        </w:rPr>
        <w:t>联合体成员1法定代表人（</w:t>
      </w:r>
      <w:r>
        <w:rPr>
          <w:rFonts w:hint="eastAsia"/>
        </w:rPr>
        <w:t>电子签</w:t>
      </w:r>
      <w:r>
        <w:rPr>
          <w:rFonts w:hint="eastAsia"/>
          <w:lang w:val="en-US" w:eastAsia="zh-Hans"/>
        </w:rPr>
        <w:t>名</w:t>
      </w:r>
      <w:r>
        <w:rPr>
          <w:rFonts w:hint="eastAsia"/>
        </w:rPr>
        <w:t>/</w:t>
      </w:r>
      <w:r>
        <w:rPr>
          <w:rFonts w:hint="eastAsia"/>
          <w:lang w:eastAsia="zh-CN"/>
        </w:rPr>
        <w:t>签名）：</w:t>
      </w:r>
    </w:p>
    <w:p w14:paraId="0E0A32E6">
      <w:pPr>
        <w:pStyle w:val="34"/>
        <w:ind w:firstLine="480"/>
      </w:pPr>
      <w:r>
        <w:rPr>
          <w:rFonts w:hint="eastAsia"/>
        </w:rPr>
        <w:t>联合体成员</w:t>
      </w:r>
      <w:r>
        <w:rPr>
          <w:rFonts w:hint="eastAsia"/>
          <w:lang w:eastAsia="zh-CN"/>
        </w:rPr>
        <w:t>2</w:t>
      </w:r>
      <w:r>
        <w:rPr>
          <w:rFonts w:hint="eastAsia"/>
        </w:rPr>
        <w:t>名称(电子签</w:t>
      </w:r>
      <w:r>
        <w:rPr>
          <w:rFonts w:hint="eastAsia"/>
          <w:lang w:eastAsia="zh-CN"/>
        </w:rPr>
        <w:t>章</w:t>
      </w:r>
      <w:r>
        <w:rPr>
          <w:rFonts w:hint="eastAsia"/>
        </w:rPr>
        <w:t>/公章)：</w:t>
      </w:r>
    </w:p>
    <w:p w14:paraId="2377E9AD">
      <w:pPr>
        <w:pStyle w:val="34"/>
        <w:ind w:firstLine="480"/>
        <w:rPr>
          <w:lang w:eastAsia="zh-CN"/>
        </w:rPr>
      </w:pPr>
      <w:r>
        <w:rPr>
          <w:rFonts w:hint="eastAsia"/>
          <w:lang w:eastAsia="zh-CN"/>
        </w:rPr>
        <w:t>联合体成员</w:t>
      </w:r>
      <w:r>
        <w:rPr>
          <w:lang w:eastAsia="zh-CN"/>
        </w:rPr>
        <w:t>2</w:t>
      </w: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20A95FC9">
      <w:pPr>
        <w:pStyle w:val="34"/>
        <w:ind w:firstLine="480"/>
      </w:pPr>
      <w:r>
        <w:rPr>
          <w:rFonts w:hint="eastAsia"/>
          <w:lang w:eastAsia="zh-CN"/>
        </w:rPr>
        <w:t>……</w:t>
      </w:r>
    </w:p>
    <w:p w14:paraId="159A022E">
      <w:pPr>
        <w:pStyle w:val="34"/>
        <w:ind w:firstLine="480"/>
      </w:pPr>
      <w:r>
        <w:rPr>
          <w:rFonts w:hint="eastAsia"/>
        </w:rPr>
        <w:t>日期：  年  月   日</w:t>
      </w:r>
    </w:p>
    <w:p w14:paraId="79CD513A">
      <w:pPr>
        <w:pStyle w:val="34"/>
        <w:ind w:firstLine="0" w:firstLineChars="0"/>
      </w:pPr>
    </w:p>
    <w:p w14:paraId="75839784">
      <w:pPr>
        <w:pStyle w:val="34"/>
        <w:ind w:firstLine="0" w:firstLineChars="0"/>
      </w:pPr>
      <w:r>
        <w:rPr>
          <w:rFonts w:hint="eastAsia"/>
          <w:lang w:eastAsia="zh-CN"/>
        </w:rPr>
        <w:t>【本格式文本适用于由授权代表代表投标人投标，法定代表人、单位负责人或者自然人本人代表投标人参加投标的无需提供】</w:t>
      </w:r>
      <w:r>
        <w:br w:type="page"/>
      </w:r>
    </w:p>
    <w:p w14:paraId="269FA999">
      <w:pPr>
        <w:pStyle w:val="36"/>
        <w:numPr>
          <w:ilvl w:val="1"/>
          <w:numId w:val="136"/>
        </w:numPr>
        <w:adjustRightInd/>
        <w:rPr>
          <w:rFonts w:eastAsia="宋体"/>
        </w:rPr>
      </w:pPr>
      <w:bookmarkStart w:id="393" w:name="_Toc21370"/>
      <w:bookmarkStart w:id="394" w:name="_Toc12147"/>
      <w:bookmarkStart w:id="395" w:name="_Toc17017"/>
      <w:bookmarkStart w:id="396" w:name="_Toc21250"/>
      <w:bookmarkStart w:id="397" w:name="_Toc11402"/>
      <w:r>
        <w:rPr>
          <w:rFonts w:hint="eastAsia"/>
        </w:rPr>
        <w:t>联合协议</w:t>
      </w:r>
      <w:bookmarkEnd w:id="393"/>
      <w:bookmarkEnd w:id="394"/>
      <w:bookmarkEnd w:id="395"/>
      <w:bookmarkEnd w:id="396"/>
      <w:bookmarkEnd w:id="397"/>
    </w:p>
    <w:p w14:paraId="05FBF5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（联合体所有成员名称）</w:t>
      </w:r>
      <w:r>
        <w:rPr>
          <w:rFonts w:hint="eastAsia" w:ascii="宋体" w:hAnsi="宋体"/>
          <w:kern w:val="0"/>
          <w:sz w:val="24"/>
          <w:szCs w:val="24"/>
        </w:rPr>
        <w:t>自愿组成一个联合体，以一个投标人的身份参加</w:t>
      </w:r>
      <w:r>
        <w:rPr>
          <w:rFonts w:hint="eastAsia" w:ascii="宋体" w:hAnsi="宋体"/>
          <w:color w:val="auto"/>
          <w:sz w:val="24"/>
          <w:szCs w:val="24"/>
          <w:u w:val="single"/>
          <w:lang w:eastAsia="zh-CN"/>
        </w:rPr>
        <w:t>浙江省应急管理厅安全生产和指挥调度类数字化系统保障服务</w:t>
      </w:r>
      <w:r>
        <w:rPr>
          <w:rFonts w:hint="eastAsia" w:ascii="宋体" w:hAnsi="宋体"/>
          <w:sz w:val="24"/>
          <w:szCs w:val="24"/>
          <w:u w:val="single"/>
        </w:rPr>
        <w:t>项目（项目编号：</w:t>
      </w:r>
      <w:r>
        <w:rPr>
          <w:rFonts w:hint="eastAsia" w:ascii="宋体" w:hAnsi="宋体"/>
          <w:color w:val="auto"/>
          <w:sz w:val="24"/>
          <w:szCs w:val="24"/>
          <w:u w:val="single"/>
          <w:lang w:eastAsia="zh-CN"/>
        </w:rPr>
        <w:t>ZQ250702ZG</w:t>
      </w:r>
      <w:r>
        <w:rPr>
          <w:rFonts w:hint="eastAsia" w:ascii="宋体" w:hAnsi="宋体"/>
          <w:sz w:val="24"/>
          <w:szCs w:val="24"/>
          <w:u w:val="single"/>
        </w:rPr>
        <w:t>）</w:t>
      </w:r>
      <w:r>
        <w:rPr>
          <w:rFonts w:hint="eastAsia"/>
          <w:i/>
          <w:iCs/>
          <w:sz w:val="24"/>
          <w:szCs w:val="24"/>
          <w:u w:val="single"/>
          <w:lang w:val="en-US" w:eastAsia="zh-Hans"/>
        </w:rPr>
        <w:t>标项序号：…标项名称：…</w:t>
      </w:r>
      <w:r>
        <w:rPr>
          <w:rFonts w:hint="eastAsia" w:ascii="宋体" w:hAnsi="宋体"/>
          <w:kern w:val="0"/>
          <w:sz w:val="24"/>
          <w:szCs w:val="24"/>
        </w:rPr>
        <w:t>投标</w:t>
      </w:r>
      <w:r>
        <w:rPr>
          <w:rFonts w:hint="eastAsia" w:ascii="宋体" w:hAnsi="宋体"/>
          <w:kern w:val="0"/>
          <w:sz w:val="24"/>
          <w:szCs w:val="24"/>
          <w:lang w:eastAsia="zh-Hans"/>
        </w:rPr>
        <w:t>：</w:t>
      </w:r>
      <w:r>
        <w:rPr>
          <w:rFonts w:hint="eastAsia" w:ascii="宋体" w:hAnsi="宋体"/>
          <w:kern w:val="0"/>
          <w:sz w:val="24"/>
          <w:szCs w:val="24"/>
        </w:rPr>
        <w:t xml:space="preserve"> </w:t>
      </w:r>
    </w:p>
    <w:p w14:paraId="652EE3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一、各方一致决定，</w:t>
      </w:r>
      <w:r>
        <w:rPr>
          <w:rFonts w:hint="eastAsia" w:ascii="宋体" w:hAnsi="宋体"/>
          <w:i/>
          <w:iCs/>
          <w:kern w:val="0"/>
          <w:sz w:val="24"/>
          <w:szCs w:val="24"/>
          <w:u w:val="single"/>
        </w:rPr>
        <w:t>（某联合体成员名称）</w:t>
      </w:r>
      <w:r>
        <w:rPr>
          <w:rFonts w:hint="eastAsia" w:ascii="宋体" w:hAnsi="宋体"/>
          <w:kern w:val="0"/>
          <w:sz w:val="24"/>
          <w:szCs w:val="24"/>
        </w:rPr>
        <w:t>为联合体牵头人</w:t>
      </w:r>
      <w:r>
        <w:rPr>
          <w:rFonts w:hint="eastAsia" w:ascii="宋体" w:hAnsi="宋体"/>
          <w:sz w:val="24"/>
          <w:szCs w:val="24"/>
        </w:rPr>
        <w:t>，代表所有联合体成员负责投标和合同实施阶段的主办、协调工作</w:t>
      </w:r>
      <w:r>
        <w:rPr>
          <w:rFonts w:hint="eastAsia" w:ascii="宋体" w:hAnsi="宋体"/>
          <w:kern w:val="0"/>
          <w:sz w:val="24"/>
          <w:szCs w:val="24"/>
        </w:rPr>
        <w:t>。</w:t>
      </w:r>
    </w:p>
    <w:p w14:paraId="3F1E93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二、</w:t>
      </w:r>
      <w:r>
        <w:rPr>
          <w:rFonts w:hint="eastAsia" w:ascii="宋体" w:hAnsi="宋体"/>
          <w:sz w:val="24"/>
          <w:szCs w:val="24"/>
        </w:rPr>
        <w:t>所有联合体成员各方签署授权书，授权书载明的</w:t>
      </w:r>
      <w:r>
        <w:rPr>
          <w:rFonts w:hint="eastAsia" w:ascii="宋体" w:hAnsi="宋体"/>
          <w:kern w:val="0"/>
          <w:sz w:val="24"/>
          <w:szCs w:val="24"/>
        </w:rPr>
        <w:t>授权代表根据招标文件规定及投标内容而对采购人、采购机构所作的任何合法承诺，包括书面澄清及相应等均对联合投标各方产生约束力。</w:t>
      </w:r>
    </w:p>
    <w:p w14:paraId="4C38F9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三、本次联合投标中，分工如下：</w:t>
      </w:r>
    </w:p>
    <w:p w14:paraId="1BE7D92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（联合体成员1）</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28E420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（联合体成员2）</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1FB546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w:t>
      </w:r>
    </w:p>
    <w:p w14:paraId="029F41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highlight w:val="none"/>
        </w:rPr>
      </w:pPr>
      <w:r>
        <w:rPr>
          <w:rFonts w:hint="eastAsia" w:ascii="宋体" w:hAnsi="宋体"/>
          <w:kern w:val="0"/>
          <w:sz w:val="24"/>
          <w:szCs w:val="24"/>
        </w:rPr>
        <w:t>四、联合体成员中小企业合同份额。</w:t>
      </w:r>
    </w:p>
    <w:p w14:paraId="2C500EC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kern w:val="0"/>
          <w:sz w:val="24"/>
          <w:szCs w:val="24"/>
        </w:rPr>
      </w:pPr>
      <w:r>
        <w:rPr>
          <w:rFonts w:hint="eastAsia" w:ascii="宋体" w:hAnsi="宋体"/>
          <w:kern w:val="0"/>
          <w:sz w:val="24"/>
          <w:szCs w:val="24"/>
          <w:highlight w:val="none"/>
        </w:rPr>
        <w:t>1、</w:t>
      </w:r>
      <w:r>
        <w:rPr>
          <w:rFonts w:hint="eastAsia" w:ascii="宋体" w:hAnsi="宋体"/>
          <w:i/>
          <w:iCs/>
          <w:kern w:val="0"/>
          <w:sz w:val="24"/>
          <w:szCs w:val="24"/>
          <w:highlight w:val="none"/>
          <w:u w:val="single"/>
        </w:rPr>
        <w:t>（联合体成员</w:t>
      </w:r>
      <w:r>
        <w:rPr>
          <w:rFonts w:hint="default" w:ascii="宋体" w:hAnsi="宋体"/>
          <w:i/>
          <w:iCs/>
          <w:kern w:val="0"/>
          <w:sz w:val="24"/>
          <w:szCs w:val="24"/>
          <w:highlight w:val="none"/>
          <w:u w:val="single"/>
        </w:rPr>
        <w:t>1</w:t>
      </w:r>
      <w:r>
        <w:rPr>
          <w:rFonts w:hint="eastAsia" w:ascii="宋体" w:hAnsi="宋体"/>
          <w:i/>
          <w:iCs/>
          <w:kern w:val="0"/>
          <w:sz w:val="24"/>
          <w:szCs w:val="24"/>
          <w:highlight w:val="none"/>
          <w:u w:val="single"/>
        </w:rPr>
        <w:t>,……）</w:t>
      </w:r>
      <w:r>
        <w:rPr>
          <w:rFonts w:hint="eastAsia" w:ascii="宋体" w:hAnsi="宋体"/>
          <w:kern w:val="0"/>
          <w:sz w:val="24"/>
          <w:szCs w:val="24"/>
          <w:highlight w:val="none"/>
        </w:rPr>
        <w:t>提供的全部货物由小微企业制造，其</w:t>
      </w:r>
      <w:r>
        <w:rPr>
          <w:rFonts w:hint="eastAsia" w:ascii="宋体" w:hAnsi="宋体"/>
          <w:kern w:val="0"/>
          <w:sz w:val="24"/>
          <w:szCs w:val="24"/>
        </w:rPr>
        <w:t>合同份额占到合同总金额</w:t>
      </w:r>
      <w:r>
        <w:rPr>
          <w:rFonts w:hint="eastAsia" w:ascii="宋体" w:hAnsi="宋体"/>
          <w:kern w:val="0"/>
          <w:sz w:val="24"/>
          <w:szCs w:val="24"/>
          <w:u w:val="single"/>
        </w:rPr>
        <w:t xml:space="preserve">     </w:t>
      </w:r>
      <w:r>
        <w:rPr>
          <w:rFonts w:hint="eastAsia" w:ascii="宋体" w:hAnsi="宋体"/>
          <w:kern w:val="0"/>
          <w:sz w:val="24"/>
          <w:szCs w:val="24"/>
        </w:rPr>
        <w:t>%；……。</w:t>
      </w:r>
    </w:p>
    <w:p w14:paraId="1BAC4D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kern w:val="0"/>
          <w:sz w:val="24"/>
          <w:szCs w:val="24"/>
        </w:rPr>
      </w:pPr>
      <w:r>
        <w:rPr>
          <w:rFonts w:hint="eastAsia" w:ascii="宋体" w:hAnsi="宋体"/>
          <w:sz w:val="24"/>
          <w:szCs w:val="24"/>
        </w:rPr>
        <w:t>2、中小企业合同金额达到</w:t>
      </w:r>
      <w:r>
        <w:rPr>
          <w:rFonts w:hint="eastAsia" w:ascii="宋体" w:hAnsi="宋体"/>
          <w:sz w:val="24"/>
          <w:szCs w:val="24"/>
          <w:u w:val="single"/>
        </w:rPr>
        <w:t xml:space="preserve">  </w:t>
      </w:r>
      <w:r>
        <w:rPr>
          <w:rFonts w:hint="eastAsia" w:ascii="宋体" w:hAnsi="宋体"/>
          <w:sz w:val="24"/>
          <w:szCs w:val="24"/>
        </w:rPr>
        <w:t>%，小微企业合同金额达到</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kern w:val="0"/>
          <w:sz w:val="24"/>
          <w:szCs w:val="24"/>
        </w:rPr>
        <w:t>。</w:t>
      </w:r>
    </w:p>
    <w:p w14:paraId="7E3CF5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五、如果中标，</w:t>
      </w:r>
      <w:r>
        <w:rPr>
          <w:rFonts w:hint="eastAsia" w:ascii="宋体" w:hAnsi="宋体"/>
          <w:sz w:val="24"/>
          <w:szCs w:val="24"/>
        </w:rPr>
        <w:t>联合体各成员方共同与采购人签订合同，并就采购合同约定的事项对采购人承担连带责任。</w:t>
      </w:r>
    </w:p>
    <w:p w14:paraId="0CE49B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六、有关本次联合投标的其他事宜：</w:t>
      </w:r>
    </w:p>
    <w:p w14:paraId="5DA4E0A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1、联合体各方不再单独参加或者与其他供应商另外组成联合体参加同一合同项下的政府采购活动。</w:t>
      </w:r>
    </w:p>
    <w:p w14:paraId="41A761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2、联合体中有同类资质的各方按照联合体分工承担相同工作的，按照资质等级较低的供应商确定资质等级。</w:t>
      </w:r>
    </w:p>
    <w:p w14:paraId="2CD141B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3、本协议提交采购人、采购机构后，联合体各方不得以任何形式对上述内容进行修改或撤销。</w:t>
      </w:r>
    </w:p>
    <w:p w14:paraId="32218E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p>
    <w:p w14:paraId="45E03231">
      <w:pPr>
        <w:pStyle w:val="34"/>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1</w:t>
      </w:r>
      <w:r>
        <w:rPr>
          <w:rFonts w:hint="eastAsia"/>
          <w:sz w:val="24"/>
          <w:szCs w:val="24"/>
        </w:rPr>
        <w:t>名称(电子签</w:t>
      </w:r>
      <w:r>
        <w:rPr>
          <w:rFonts w:hint="eastAsia"/>
          <w:sz w:val="24"/>
          <w:szCs w:val="24"/>
          <w:lang w:eastAsia="zh-CN"/>
        </w:rPr>
        <w:t>章</w:t>
      </w:r>
      <w:r>
        <w:rPr>
          <w:rFonts w:hint="eastAsia"/>
          <w:sz w:val="24"/>
          <w:szCs w:val="24"/>
        </w:rPr>
        <w:t>/公章)：</w:t>
      </w:r>
    </w:p>
    <w:p w14:paraId="5D1D32C9">
      <w:pPr>
        <w:pStyle w:val="34"/>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2</w:t>
      </w:r>
      <w:r>
        <w:rPr>
          <w:rFonts w:hint="eastAsia"/>
          <w:sz w:val="24"/>
          <w:szCs w:val="24"/>
        </w:rPr>
        <w:t>名称(电子签</w:t>
      </w:r>
      <w:r>
        <w:rPr>
          <w:rFonts w:hint="eastAsia"/>
          <w:sz w:val="24"/>
          <w:szCs w:val="24"/>
          <w:lang w:eastAsia="zh-CN"/>
        </w:rPr>
        <w:t>章</w:t>
      </w:r>
      <w:r>
        <w:rPr>
          <w:rFonts w:hint="eastAsia"/>
          <w:sz w:val="24"/>
          <w:szCs w:val="24"/>
        </w:rPr>
        <w:t>/公章)：</w:t>
      </w:r>
    </w:p>
    <w:p w14:paraId="237BF11E">
      <w:pPr>
        <w:pStyle w:val="34"/>
        <w:ind w:firstLine="480"/>
      </w:pPr>
      <w:r>
        <w:rPr>
          <w:rFonts w:hint="eastAsia"/>
          <w:lang w:eastAsia="zh-CN"/>
        </w:rPr>
        <w:t>……</w:t>
      </w:r>
    </w:p>
    <w:p w14:paraId="6ED9F542">
      <w:pPr>
        <w:pStyle w:val="34"/>
        <w:ind w:firstLine="480"/>
      </w:pPr>
      <w:r>
        <w:rPr>
          <w:rFonts w:hint="eastAsia"/>
        </w:rPr>
        <w:t>日期：  年  月   日</w:t>
      </w:r>
    </w:p>
    <w:p w14:paraId="66B20059">
      <w:pPr>
        <w:widowControl/>
        <w:jc w:val="left"/>
        <w:rPr>
          <w:rFonts w:ascii="宋体" w:hAnsi="宋体"/>
          <w:b/>
        </w:rPr>
      </w:pPr>
    </w:p>
    <w:p w14:paraId="6872849B">
      <w:pPr>
        <w:widowControl/>
        <w:spacing w:line="360" w:lineRule="auto"/>
        <w:jc w:val="left"/>
        <w:rPr>
          <w:rFonts w:ascii="宋体" w:hAnsi="宋体"/>
          <w:b/>
          <w:sz w:val="24"/>
          <w:szCs w:val="24"/>
        </w:rPr>
      </w:pPr>
      <w:r>
        <w:rPr>
          <w:rFonts w:hint="eastAsia" w:ascii="宋体" w:hAnsi="宋体"/>
          <w:b/>
          <w:sz w:val="24"/>
          <w:szCs w:val="24"/>
        </w:rPr>
        <w:t>【</w:t>
      </w:r>
      <w:r>
        <w:rPr>
          <w:rFonts w:hint="eastAsia" w:ascii="宋体" w:hAnsi="宋体"/>
          <w:b w:val="0"/>
          <w:bCs/>
          <w:sz w:val="24"/>
          <w:szCs w:val="24"/>
        </w:rPr>
        <w:t>以联合体形式投标的，提供联合协议；本项目不接受联合体投标或者投标人不以联合体形式投标的，则不需要提供</w:t>
      </w:r>
      <w:r>
        <w:rPr>
          <w:rFonts w:hint="eastAsia" w:ascii="宋体" w:hAnsi="宋体"/>
          <w:b/>
          <w:sz w:val="24"/>
          <w:szCs w:val="24"/>
        </w:rPr>
        <w:t>】</w:t>
      </w:r>
    </w:p>
    <w:p w14:paraId="07833D8B">
      <w:pPr>
        <w:widowControl/>
        <w:ind w:firstLine="664"/>
        <w:jc w:val="left"/>
        <w:rPr>
          <w:rFonts w:ascii="宋体" w:hAnsi="宋体"/>
          <w:b/>
          <w:spacing w:val="6"/>
          <w:sz w:val="32"/>
          <w:szCs w:val="32"/>
        </w:rPr>
      </w:pPr>
      <w:r>
        <w:rPr>
          <w:rFonts w:ascii="宋体" w:hAnsi="宋体"/>
          <w:b/>
          <w:spacing w:val="6"/>
          <w:sz w:val="32"/>
          <w:szCs w:val="32"/>
        </w:rPr>
        <w:br w:type="page"/>
      </w:r>
    </w:p>
    <w:p w14:paraId="7A7CAF2D">
      <w:pPr>
        <w:pStyle w:val="36"/>
        <w:numPr>
          <w:ilvl w:val="1"/>
          <w:numId w:val="136"/>
        </w:numPr>
        <w:adjustRightInd/>
        <w:rPr>
          <w:kern w:val="0"/>
        </w:rPr>
      </w:pPr>
      <w:bookmarkStart w:id="398" w:name="_Toc9828"/>
      <w:bookmarkStart w:id="399" w:name="_Toc12364"/>
      <w:bookmarkStart w:id="400" w:name="_Toc10611"/>
      <w:bookmarkStart w:id="401" w:name="_Toc27235"/>
      <w:bookmarkStart w:id="402" w:name="_Toc23316"/>
      <w:r>
        <w:rPr>
          <w:rFonts w:hint="eastAsia"/>
          <w:kern w:val="0"/>
        </w:rPr>
        <w:t>分包意向协议</w:t>
      </w:r>
      <w:bookmarkEnd w:id="398"/>
      <w:bookmarkEnd w:id="399"/>
      <w:bookmarkEnd w:id="400"/>
      <w:bookmarkEnd w:id="401"/>
      <w:bookmarkEnd w:id="402"/>
    </w:p>
    <w:p w14:paraId="32133CC2">
      <w:pPr>
        <w:pStyle w:val="34"/>
        <w:ind w:firstLine="480"/>
      </w:pPr>
      <w:r>
        <w:rPr>
          <w:rFonts w:hint="eastAsia"/>
          <w:i/>
          <w:iCs/>
          <w:u w:val="single"/>
        </w:rPr>
        <w:t>（投标人名称）</w:t>
      </w:r>
      <w:r>
        <w:rPr>
          <w:rFonts w:hint="eastAsia"/>
        </w:rPr>
        <w:t>若成为</w:t>
      </w:r>
      <w:r>
        <w:rPr>
          <w:rFonts w:hint="eastAsia"/>
          <w:color w:val="auto"/>
          <w:u w:val="single"/>
          <w:lang w:eastAsia="zh-CN"/>
        </w:rPr>
        <w:t>浙江省应急管理厅安全生产和指挥调度类数字化系统保障服务</w:t>
      </w:r>
      <w:r>
        <w:rPr>
          <w:rFonts w:hint="eastAsia"/>
          <w:u w:val="single"/>
        </w:rPr>
        <w:t>项目（项目编号：</w:t>
      </w:r>
      <w:r>
        <w:rPr>
          <w:rFonts w:hint="eastAsia"/>
          <w:color w:val="auto"/>
          <w:u w:val="single"/>
          <w:lang w:eastAsia="zh-CN"/>
        </w:rPr>
        <w:t>ZQ250702ZG</w:t>
      </w:r>
      <w:r>
        <w:rPr>
          <w:rFonts w:hint="eastAsia"/>
          <w:u w:val="single"/>
        </w:rPr>
        <w:t>）</w:t>
      </w:r>
      <w:r>
        <w:rPr>
          <w:rFonts w:hint="eastAsia"/>
          <w:i/>
          <w:iCs/>
          <w:u w:val="single"/>
          <w:lang w:val="en-US" w:eastAsia="zh-Hans"/>
        </w:rPr>
        <w:t>标项序号：…标项名称：…</w:t>
      </w:r>
      <w:r>
        <w:rPr>
          <w:rFonts w:hint="eastAsia"/>
        </w:rPr>
        <w:t>的中标供应商，将依法采取分包方式履行合同。</w:t>
      </w:r>
      <w:r>
        <w:rPr>
          <w:rFonts w:hint="eastAsia"/>
          <w:i/>
          <w:iCs/>
          <w:u w:val="single"/>
        </w:rPr>
        <w:t>（投标人名称）</w:t>
      </w:r>
      <w:r>
        <w:rPr>
          <w:rFonts w:hint="eastAsia"/>
        </w:rPr>
        <w:t>与</w:t>
      </w:r>
      <w:r>
        <w:rPr>
          <w:rFonts w:hint="eastAsia"/>
          <w:i/>
          <w:iCs/>
          <w:u w:val="single"/>
        </w:rPr>
        <w:t>（所有分包供应商名称）</w:t>
      </w:r>
      <w:r>
        <w:rPr>
          <w:rFonts w:hint="eastAsia"/>
        </w:rPr>
        <w:t xml:space="preserve">达成分包意向协议。 </w:t>
      </w:r>
    </w:p>
    <w:p w14:paraId="0DC0A53B">
      <w:pPr>
        <w:pStyle w:val="34"/>
        <w:ind w:firstLine="480"/>
      </w:pPr>
      <w:r>
        <w:rPr>
          <w:rFonts w:hint="eastAsia"/>
        </w:rPr>
        <w:t>一、分包标的及数量</w:t>
      </w:r>
    </w:p>
    <w:p w14:paraId="5BFF9F7D">
      <w:pPr>
        <w:pStyle w:val="34"/>
        <w:ind w:firstLine="480"/>
      </w:pPr>
      <w:r>
        <w:rPr>
          <w:rFonts w:hint="eastAsia"/>
          <w:i/>
          <w:iCs/>
          <w:u w:val="single"/>
        </w:rPr>
        <w:t>（投标人名称）</w:t>
      </w:r>
      <w:r>
        <w:rPr>
          <w:rFonts w:hint="eastAsia"/>
        </w:rPr>
        <w:t>将</w:t>
      </w:r>
      <w:r>
        <w:rPr>
          <w:rFonts w:hint="eastAsia"/>
          <w:i/>
          <w:iCs/>
          <w:u w:val="single"/>
        </w:rPr>
        <w:t xml:space="preserve">   工作内容   </w:t>
      </w:r>
      <w:r>
        <w:rPr>
          <w:rFonts w:hint="eastAsia"/>
        </w:rPr>
        <w:t>分包给</w:t>
      </w:r>
      <w:r>
        <w:rPr>
          <w:rFonts w:hint="eastAsia"/>
          <w:i/>
          <w:iCs/>
          <w:u w:val="single"/>
        </w:rPr>
        <w:t>（分包供应商1名称）</w:t>
      </w:r>
      <w:r>
        <w:rPr>
          <w:rFonts w:hint="eastAsia"/>
        </w:rPr>
        <w:t>，</w:t>
      </w:r>
      <w:r>
        <w:rPr>
          <w:rFonts w:hint="eastAsia"/>
          <w:i/>
          <w:iCs/>
          <w:u w:val="single"/>
        </w:rPr>
        <w:t>（分包供应商1名称）</w:t>
      </w:r>
      <w:r>
        <w:rPr>
          <w:rFonts w:hint="eastAsia"/>
        </w:rPr>
        <w:t>，</w:t>
      </w:r>
      <w:r>
        <w:rPr>
          <w:rFonts w:hint="eastAsia"/>
          <w:lang w:val="en-US" w:eastAsia="zh-Hans"/>
        </w:rPr>
        <w:t>该供应商</w:t>
      </w:r>
      <w:r>
        <w:rPr>
          <w:rFonts w:hint="eastAsia"/>
        </w:rPr>
        <w:t>具备承担XX工作内容相应资质条件且</w:t>
      </w:r>
      <w:r>
        <w:rPr>
          <w:rFonts w:hint="eastAsia"/>
          <w:lang w:eastAsia="zh-CN"/>
        </w:rPr>
        <w:t>承诺</w:t>
      </w:r>
      <w:r>
        <w:rPr>
          <w:rFonts w:hint="eastAsia"/>
          <w:lang w:val="en-US" w:eastAsia="zh-Hans"/>
        </w:rPr>
        <w:t>不</w:t>
      </w:r>
      <w:r>
        <w:rPr>
          <w:rFonts w:hint="eastAsia"/>
        </w:rPr>
        <w:t>再次分包；</w:t>
      </w:r>
    </w:p>
    <w:p w14:paraId="383BAEEB">
      <w:pPr>
        <w:pStyle w:val="34"/>
        <w:ind w:firstLine="480"/>
      </w:pPr>
      <w:r>
        <w:rPr>
          <w:rFonts w:hint="eastAsia"/>
        </w:rPr>
        <w:t>……</w:t>
      </w:r>
    </w:p>
    <w:p w14:paraId="3CF418B7">
      <w:pPr>
        <w:pStyle w:val="34"/>
        <w:ind w:firstLine="480"/>
        <w:rPr>
          <w:highlight w:val="none"/>
        </w:rPr>
      </w:pPr>
      <w:r>
        <w:rPr>
          <w:rFonts w:hint="eastAsia"/>
        </w:rPr>
        <w:t>二、分包供应商中小</w:t>
      </w:r>
      <w:r>
        <w:rPr>
          <w:rFonts w:hint="eastAsia"/>
          <w:highlight w:val="none"/>
        </w:rPr>
        <w:t>企业合同份额</w:t>
      </w:r>
    </w:p>
    <w:p w14:paraId="6730C0C0">
      <w:pPr>
        <w:pStyle w:val="34"/>
        <w:ind w:firstLine="480"/>
        <w:rPr>
          <w:highlight w:val="none"/>
        </w:rPr>
      </w:pPr>
      <w:r>
        <w:rPr>
          <w:rFonts w:hint="eastAsia"/>
          <w:highlight w:val="none"/>
        </w:rPr>
        <w:t>1、</w:t>
      </w:r>
      <w:r>
        <w:rPr>
          <w:rFonts w:hint="eastAsia"/>
          <w:i/>
          <w:iCs/>
          <w:highlight w:val="none"/>
          <w:u w:val="single"/>
        </w:rPr>
        <w:t>（分包供应商</w:t>
      </w:r>
      <w:r>
        <w:rPr>
          <w:rFonts w:hint="default"/>
          <w:i/>
          <w:iCs/>
          <w:highlight w:val="none"/>
          <w:u w:val="single"/>
        </w:rPr>
        <w:t>1</w:t>
      </w:r>
      <w:r>
        <w:rPr>
          <w:rFonts w:hint="eastAsia"/>
          <w:i/>
          <w:iCs/>
          <w:highlight w:val="none"/>
          <w:u w:val="single"/>
        </w:rPr>
        <w:t>,……）</w:t>
      </w:r>
      <w:r>
        <w:rPr>
          <w:rFonts w:hint="eastAsia"/>
          <w:highlight w:val="none"/>
        </w:rPr>
        <w:t>提供的货物全部由小微企业制造，其合同份额占到合同总金额     %。</w:t>
      </w:r>
    </w:p>
    <w:p w14:paraId="58ACB0D1">
      <w:pPr>
        <w:pStyle w:val="34"/>
        <w:ind w:firstLine="480"/>
        <w:rPr>
          <w:rFonts w:hint="eastAsia"/>
        </w:rPr>
      </w:pPr>
      <w:r>
        <w:rPr>
          <w:rFonts w:hint="eastAsia"/>
        </w:rPr>
        <w:t>2、中小企业合同金额达到  %，小微企业合同金额达到 %。</w:t>
      </w:r>
    </w:p>
    <w:p w14:paraId="10F67CF0">
      <w:pPr>
        <w:pStyle w:val="34"/>
        <w:ind w:firstLine="480"/>
      </w:pPr>
      <w:r>
        <w:rPr>
          <w:rFonts w:hint="eastAsia"/>
        </w:rPr>
        <w:t>三、分包工作履行期限、地点、方式</w:t>
      </w:r>
    </w:p>
    <w:p w14:paraId="337CDEAC">
      <w:pPr>
        <w:pStyle w:val="34"/>
        <w:ind w:firstLine="480"/>
        <w:rPr>
          <w:rFonts w:hint="eastAsia" w:eastAsia="宋体"/>
          <w:lang w:eastAsia="zh-Hans"/>
        </w:rPr>
      </w:pPr>
      <w:r>
        <w:rPr>
          <w:rFonts w:hint="eastAsia"/>
          <w:lang w:eastAsia="zh-Hans"/>
        </w:rPr>
        <w:t>……</w:t>
      </w:r>
    </w:p>
    <w:p w14:paraId="5E721CF6">
      <w:pPr>
        <w:pStyle w:val="34"/>
        <w:ind w:firstLine="480"/>
      </w:pPr>
      <w:r>
        <w:rPr>
          <w:rFonts w:hint="eastAsia"/>
        </w:rPr>
        <w:t>四、质量</w:t>
      </w:r>
    </w:p>
    <w:p w14:paraId="6EA1A3C1">
      <w:pPr>
        <w:pStyle w:val="34"/>
        <w:ind w:firstLine="480"/>
      </w:pPr>
      <w:r>
        <w:rPr>
          <w:rFonts w:hint="eastAsia"/>
          <w:lang w:eastAsia="zh-Hans"/>
        </w:rPr>
        <w:t>……</w:t>
      </w:r>
    </w:p>
    <w:p w14:paraId="57880766">
      <w:pPr>
        <w:pStyle w:val="34"/>
        <w:ind w:firstLine="480"/>
      </w:pPr>
      <w:r>
        <w:rPr>
          <w:rFonts w:hint="eastAsia"/>
        </w:rPr>
        <w:t>五、价款或者报酬</w:t>
      </w:r>
    </w:p>
    <w:p w14:paraId="56CBFA31">
      <w:pPr>
        <w:pStyle w:val="34"/>
        <w:ind w:firstLine="480"/>
        <w:rPr>
          <w:rFonts w:hint="eastAsia" w:eastAsia="宋体"/>
          <w:lang w:eastAsia="zh-Hans"/>
        </w:rPr>
      </w:pPr>
      <w:r>
        <w:rPr>
          <w:rFonts w:hint="eastAsia"/>
          <w:lang w:eastAsia="zh-Hans"/>
        </w:rPr>
        <w:t>……</w:t>
      </w:r>
    </w:p>
    <w:p w14:paraId="45DA2C1F">
      <w:pPr>
        <w:pStyle w:val="34"/>
        <w:ind w:firstLine="480"/>
      </w:pPr>
      <w:r>
        <w:rPr>
          <w:rFonts w:hint="eastAsia"/>
        </w:rPr>
        <w:t>六、违约责任</w:t>
      </w:r>
    </w:p>
    <w:p w14:paraId="41BE2954">
      <w:pPr>
        <w:pStyle w:val="34"/>
        <w:ind w:firstLine="480"/>
        <w:rPr>
          <w:rFonts w:hint="eastAsia"/>
          <w:lang w:eastAsia="zh-Hans"/>
        </w:rPr>
      </w:pPr>
      <w:r>
        <w:rPr>
          <w:rFonts w:hint="eastAsia"/>
          <w:lang w:eastAsia="zh-Hans"/>
        </w:rPr>
        <w:t>……</w:t>
      </w:r>
    </w:p>
    <w:p w14:paraId="5A7C2E84">
      <w:pPr>
        <w:pStyle w:val="34"/>
        <w:ind w:firstLine="480"/>
      </w:pPr>
      <w:r>
        <w:rPr>
          <w:rFonts w:hint="eastAsia"/>
        </w:rPr>
        <w:t>七、争议解决的办法</w:t>
      </w:r>
    </w:p>
    <w:p w14:paraId="1E8DDBD7">
      <w:pPr>
        <w:pStyle w:val="34"/>
        <w:ind w:firstLine="480"/>
        <w:rPr>
          <w:rFonts w:hint="eastAsia"/>
          <w:lang w:eastAsia="zh-Hans"/>
        </w:rPr>
      </w:pPr>
      <w:r>
        <w:rPr>
          <w:rFonts w:hint="eastAsia"/>
          <w:lang w:eastAsia="zh-Hans"/>
        </w:rPr>
        <w:t>……</w:t>
      </w:r>
    </w:p>
    <w:p w14:paraId="7B7B9D17">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6BD83B08">
      <w:pPr>
        <w:pStyle w:val="34"/>
        <w:ind w:firstLine="480"/>
      </w:pPr>
      <w:r>
        <w:rPr>
          <w:rFonts w:hint="eastAsia"/>
        </w:rPr>
        <w:t>分包供应商名称（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0E5D9CEC">
      <w:pPr>
        <w:pStyle w:val="34"/>
        <w:ind w:firstLine="480"/>
      </w:pPr>
      <w:r>
        <w:rPr>
          <w:rFonts w:hint="eastAsia"/>
        </w:rPr>
        <w:t>……</w:t>
      </w:r>
    </w:p>
    <w:p w14:paraId="3D4F5AEE">
      <w:pPr>
        <w:pStyle w:val="34"/>
        <w:ind w:firstLine="480"/>
      </w:pPr>
      <w:r>
        <w:rPr>
          <w:rFonts w:hint="eastAsia"/>
        </w:rPr>
        <w:t>日期：  年  月   日</w:t>
      </w:r>
    </w:p>
    <w:p w14:paraId="5A285B7F">
      <w:pPr>
        <w:pStyle w:val="34"/>
        <w:ind w:firstLine="0" w:firstLineChars="0"/>
      </w:pPr>
    </w:p>
    <w:p w14:paraId="3B63E7F0">
      <w:pPr>
        <w:pStyle w:val="34"/>
        <w:ind w:firstLine="0" w:firstLineChars="0"/>
      </w:pPr>
    </w:p>
    <w:p w14:paraId="32F9EDA5">
      <w:pPr>
        <w:pStyle w:val="34"/>
        <w:ind w:firstLine="0" w:firstLineChars="0"/>
      </w:pPr>
      <w:r>
        <w:rPr>
          <w:rFonts w:hint="eastAsia"/>
          <w:lang w:eastAsia="zh-CN"/>
        </w:rPr>
        <w:t>【</w:t>
      </w:r>
      <w:r>
        <w:rPr>
          <w:rFonts w:hint="eastAsia"/>
        </w:rPr>
        <w:t>中标后以分包方式履行合同的，提供分包意向协议；</w:t>
      </w:r>
      <w:r>
        <w:rPr>
          <w:rFonts w:hint="eastAsia"/>
          <w:lang w:val="en-US" w:eastAsia="zh-Hans"/>
        </w:rPr>
        <w:t>招标</w:t>
      </w:r>
      <w:r>
        <w:rPr>
          <w:rFonts w:hint="eastAsia"/>
        </w:rPr>
        <w:t>人不同意分包或者投标人中标后不以分包方式履行合同的，则不需要提供。</w:t>
      </w:r>
      <w:r>
        <w:rPr>
          <w:rFonts w:hint="eastAsia"/>
          <w:lang w:eastAsia="zh-CN"/>
        </w:rPr>
        <w:t>】</w:t>
      </w:r>
    </w:p>
    <w:p w14:paraId="4E270FCA">
      <w:pPr>
        <w:widowControl/>
        <w:jc w:val="left"/>
      </w:pPr>
    </w:p>
    <w:p w14:paraId="55EE282F">
      <w:pPr>
        <w:widowControl/>
        <w:jc w:val="left"/>
        <w:rPr>
          <w:rFonts w:ascii="黑体" w:hAnsi="黑体" w:eastAsia="黑体" w:cs="黑体"/>
          <w:bCs/>
          <w:sz w:val="32"/>
          <w:szCs w:val="32"/>
          <w:lang w:eastAsia="zh-Hans"/>
        </w:rPr>
      </w:pPr>
      <w:r>
        <w:br w:type="page"/>
      </w:r>
    </w:p>
    <w:p w14:paraId="50DC105D">
      <w:pPr>
        <w:pStyle w:val="36"/>
        <w:numPr>
          <w:ilvl w:val="1"/>
          <w:numId w:val="136"/>
        </w:numPr>
        <w:adjustRightInd/>
      </w:pPr>
      <w:bookmarkStart w:id="403" w:name="_Toc28743"/>
      <w:bookmarkStart w:id="404" w:name="_Toc32757"/>
      <w:bookmarkStart w:id="405" w:name="_Toc2546"/>
      <w:bookmarkStart w:id="406" w:name="_Toc15617"/>
      <w:bookmarkStart w:id="407" w:name="_Toc2466"/>
      <w:r>
        <w:rPr>
          <w:rFonts w:hint="eastAsia"/>
        </w:rPr>
        <w:t>开标一览表（报价表）</w:t>
      </w:r>
      <w:bookmarkEnd w:id="403"/>
      <w:bookmarkEnd w:id="404"/>
      <w:bookmarkEnd w:id="405"/>
      <w:bookmarkEnd w:id="406"/>
      <w:bookmarkEnd w:id="407"/>
    </w:p>
    <w:p w14:paraId="6C25C9F6">
      <w:pPr>
        <w:pStyle w:val="34"/>
        <w:ind w:firstLine="0" w:firstLineChars="0"/>
      </w:pPr>
      <w:r>
        <w:rPr>
          <w:rFonts w:hint="eastAsia"/>
          <w:color w:val="auto"/>
          <w:lang w:eastAsia="zh-CN"/>
        </w:rPr>
        <w:t>浙江省应急管理厅</w:t>
      </w:r>
      <w:r>
        <w:rPr>
          <w:rFonts w:hint="eastAsia"/>
        </w:rPr>
        <w:t>、浙江中勤招标代理有限公司：</w:t>
      </w:r>
    </w:p>
    <w:p w14:paraId="1A67B62C">
      <w:pPr>
        <w:pStyle w:val="34"/>
        <w:ind w:firstLine="480"/>
      </w:pPr>
      <w:r>
        <w:rPr>
          <w:rFonts w:hint="eastAsia"/>
        </w:rPr>
        <w:t>按你方招标文件要求，我们，本投标文件签字方，谨此向你方发出要约如下：如你方接受本投标，我方承诺按照如下开标一览表（报价表）的价格完成</w:t>
      </w:r>
      <w:r>
        <w:rPr>
          <w:rFonts w:hint="eastAsia"/>
          <w:color w:val="auto"/>
          <w:u w:val="single"/>
          <w:lang w:eastAsia="zh-CN"/>
        </w:rPr>
        <w:t>浙江省应急管理厅安全生产和指挥调度类数字化系统保障服务</w:t>
      </w:r>
      <w:r>
        <w:rPr>
          <w:rFonts w:hint="eastAsia"/>
          <w:u w:val="single"/>
        </w:rPr>
        <w:t>项目（项目编号：</w:t>
      </w:r>
      <w:r>
        <w:rPr>
          <w:rFonts w:hint="eastAsia"/>
          <w:color w:val="auto"/>
          <w:u w:val="single"/>
          <w:lang w:eastAsia="zh-CN"/>
        </w:rPr>
        <w:t>ZQ250702ZG</w:t>
      </w:r>
      <w:r>
        <w:rPr>
          <w:rFonts w:hint="eastAsia"/>
          <w:u w:val="single"/>
        </w:rPr>
        <w:t>）</w:t>
      </w:r>
      <w:r>
        <w:rPr>
          <w:rFonts w:hint="eastAsia"/>
          <w:i/>
          <w:iCs/>
          <w:u w:val="single"/>
          <w:lang w:val="en-US" w:eastAsia="zh-Hans"/>
        </w:rPr>
        <w:t>标项序号：…标项名称：…</w:t>
      </w:r>
      <w:r>
        <w:rPr>
          <w:rFonts w:hint="eastAsia"/>
        </w:rPr>
        <w:t>的实施。</w:t>
      </w:r>
    </w:p>
    <w:p w14:paraId="016EF625">
      <w:pPr>
        <w:jc w:val="center"/>
        <w:rPr>
          <w:rFonts w:ascii="宋体" w:hAnsi="宋体"/>
          <w:b/>
          <w:kern w:val="0"/>
          <w:sz w:val="24"/>
          <w:szCs w:val="24"/>
        </w:rPr>
      </w:pPr>
      <w:r>
        <w:rPr>
          <w:rFonts w:hint="eastAsia" w:ascii="宋体" w:hAnsi="宋体"/>
          <w:b/>
          <w:kern w:val="0"/>
          <w:sz w:val="24"/>
          <w:szCs w:val="24"/>
        </w:rPr>
        <w:t>开标一览表（报价表）(单位均为人民币元)</w:t>
      </w:r>
    </w:p>
    <w:tbl>
      <w:tblPr>
        <w:tblStyle w:val="25"/>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3659DEE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2D983F38">
            <w:pPr>
              <w:pStyle w:val="34"/>
              <w:ind w:firstLine="0" w:firstLineChars="0"/>
            </w:pPr>
            <w:r>
              <w:rPr>
                <w:rFonts w:hint="eastAsia"/>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017ED4CD">
            <w:pPr>
              <w:pStyle w:val="34"/>
              <w:ind w:firstLine="0" w:firstLineChars="0"/>
            </w:pPr>
            <w:r>
              <w:rPr>
                <w:rFonts w:hint="eastAsia"/>
                <w:color w:val="auto"/>
                <w:lang w:eastAsia="zh-CN"/>
              </w:rPr>
              <w:t>浙江省应急管理厅安全生产和指挥调度类数字化系统保障服务</w:t>
            </w:r>
            <w:r>
              <w:rPr>
                <w:rFonts w:hint="eastAsia"/>
              </w:rPr>
              <w:t>项目</w:t>
            </w:r>
          </w:p>
        </w:tc>
      </w:tr>
      <w:tr w14:paraId="1174B14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1C7F9638">
            <w:pPr>
              <w:pStyle w:val="34"/>
              <w:ind w:firstLine="0" w:firstLineChars="0"/>
            </w:pPr>
            <w:r>
              <w:rPr>
                <w:rFonts w:hint="eastAsia"/>
              </w:rPr>
              <w:t>投标报价</w:t>
            </w:r>
          </w:p>
          <w:p w14:paraId="56B03F63">
            <w:pPr>
              <w:pStyle w:val="34"/>
              <w:ind w:firstLine="0" w:firstLineChars="0"/>
            </w:pPr>
            <w:r>
              <w:rPr>
                <w:rFonts w:hint="eastAsia"/>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10BBA36C">
            <w:pPr>
              <w:pStyle w:val="34"/>
              <w:ind w:firstLine="0" w:firstLineChars="0"/>
            </w:pPr>
            <w:r>
              <w:rPr>
                <w:rFonts w:hint="eastAsia"/>
              </w:rPr>
              <w:t>（人民币，小写）：</w:t>
            </w:r>
          </w:p>
        </w:tc>
      </w:tr>
      <w:tr w14:paraId="6CA8EA4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6103A2FB">
            <w:pPr>
              <w:pStyle w:val="34"/>
              <w:ind w:firstLine="0" w:firstLineChars="0"/>
            </w:pPr>
          </w:p>
        </w:tc>
        <w:tc>
          <w:tcPr>
            <w:tcW w:w="3923" w:type="pct"/>
            <w:tcBorders>
              <w:top w:val="single" w:color="000000" w:sz="6" w:space="0"/>
              <w:left w:val="single" w:color="000000" w:sz="6" w:space="0"/>
              <w:bottom w:val="single" w:color="000000" w:sz="6" w:space="0"/>
              <w:right w:val="single" w:color="000000" w:sz="8" w:space="0"/>
            </w:tcBorders>
            <w:vAlign w:val="center"/>
          </w:tcPr>
          <w:p w14:paraId="1414D8F5">
            <w:pPr>
              <w:pStyle w:val="34"/>
              <w:ind w:firstLine="0" w:firstLineChars="0"/>
            </w:pPr>
            <w:r>
              <w:rPr>
                <w:rFonts w:hint="eastAsia"/>
              </w:rPr>
              <w:t>（人民币，大写）：</w:t>
            </w:r>
          </w:p>
        </w:tc>
      </w:tr>
      <w:tr w14:paraId="59D7780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47273B13">
            <w:pPr>
              <w:pStyle w:val="34"/>
              <w:ind w:firstLine="0" w:firstLineChars="0"/>
            </w:pPr>
            <w:r>
              <w:rPr>
                <w:rFonts w:hint="eastAsia"/>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52B495A2">
            <w:pPr>
              <w:pStyle w:val="34"/>
              <w:ind w:firstLine="0" w:firstLineChars="0"/>
              <w:rPr>
                <w:i/>
                <w:u w:val="single"/>
              </w:rPr>
            </w:pPr>
            <w:r>
              <w:rPr>
                <w:rFonts w:hint="eastAsia"/>
                <w:i/>
                <w:u w:val="single"/>
              </w:rPr>
              <w:t>没有可不填</w:t>
            </w:r>
          </w:p>
        </w:tc>
      </w:tr>
    </w:tbl>
    <w:p w14:paraId="3F1874F6">
      <w:pPr>
        <w:pStyle w:val="34"/>
        <w:ind w:firstLine="480"/>
      </w:pPr>
    </w:p>
    <w:p w14:paraId="4B3BB378">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1FC20133">
      <w:pPr>
        <w:pStyle w:val="34"/>
        <w:ind w:firstLine="480"/>
      </w:pPr>
      <w:r>
        <w:rPr>
          <w:rFonts w:hint="eastAsia"/>
        </w:rPr>
        <w:t>日期：  年   月   日</w:t>
      </w:r>
    </w:p>
    <w:p w14:paraId="1A131273">
      <w:pPr>
        <w:pStyle w:val="34"/>
        <w:ind w:firstLine="480"/>
      </w:pPr>
    </w:p>
    <w:p w14:paraId="374369FD">
      <w:pPr>
        <w:pStyle w:val="34"/>
        <w:ind w:left="0" w:leftChars="0" w:firstLine="0" w:firstLineChars="0"/>
        <w:rPr>
          <w:lang w:eastAsia="zh-CN"/>
        </w:rPr>
      </w:pPr>
      <w:r>
        <w:rPr>
          <w:rFonts w:hint="eastAsia"/>
          <w:lang w:eastAsia="zh-Hans"/>
        </w:rPr>
        <w:t>【</w:t>
      </w:r>
      <w:r>
        <w:rPr>
          <w:rFonts w:hint="eastAsia"/>
        </w:rPr>
        <w:t>注：</w:t>
      </w:r>
    </w:p>
    <w:p w14:paraId="06B7EF21">
      <w:pPr>
        <w:pStyle w:val="34"/>
        <w:numPr>
          <w:ilvl w:val="0"/>
          <w:numId w:val="138"/>
        </w:numPr>
        <w:ind w:firstLine="480"/>
        <w:rPr>
          <w:rFonts w:hint="eastAsia"/>
        </w:rPr>
      </w:pPr>
      <w:r>
        <w:rPr>
          <w:rFonts w:hint="eastAsia"/>
        </w:rPr>
        <w:t>投标人需按本表格式填写，否则视为投标文件含有采购人不能接受的附加条件，投标无效。</w:t>
      </w:r>
    </w:p>
    <w:p w14:paraId="3388AE97">
      <w:pPr>
        <w:pStyle w:val="34"/>
        <w:numPr>
          <w:ilvl w:val="0"/>
          <w:numId w:val="138"/>
        </w:numPr>
        <w:ind w:firstLine="480"/>
        <w:rPr>
          <w:rFonts w:hint="eastAsia"/>
        </w:rPr>
      </w:pPr>
      <w:r>
        <w:rPr>
          <w:rFonts w:hint="eastAsia"/>
          <w:lang w:val="en-US" w:eastAsia="zh-Hans"/>
        </w:rPr>
        <w:t>投报多个标项的应当按对应标项分别编制本表。</w:t>
      </w:r>
    </w:p>
    <w:p w14:paraId="7AAA900B">
      <w:pPr>
        <w:pStyle w:val="34"/>
        <w:ind w:firstLine="480"/>
      </w:pPr>
      <w:r>
        <w:rPr>
          <w:rFonts w:hint="default"/>
        </w:rP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72569584">
      <w:pPr>
        <w:pStyle w:val="34"/>
        <w:ind w:firstLine="480"/>
        <w:rPr>
          <w:rFonts w:ascii="黑体" w:hAnsi="黑体" w:eastAsia="黑体" w:cs="黑体"/>
          <w:bCs/>
          <w:sz w:val="32"/>
          <w:szCs w:val="32"/>
        </w:rPr>
      </w:pPr>
      <w:r>
        <w:rPr>
          <w:rFonts w:hint="default"/>
        </w:rPr>
        <w:t>4</w:t>
      </w:r>
      <w:r>
        <w:rPr>
          <w:rFonts w:hint="eastAsia"/>
        </w:rPr>
        <w:t>、特别提示：采购机构将对项目名称和项目编号，中标供应商名称、地址和中标金额，主要中标标的名称、品牌（如果有）、规格型号、数量、单价等予以公示。</w:t>
      </w:r>
      <w:r>
        <w:rPr>
          <w:rFonts w:hint="eastAsia"/>
          <w:lang w:eastAsia="zh-Hans"/>
        </w:rPr>
        <w:t>】</w:t>
      </w:r>
      <w:r>
        <w:br w:type="page"/>
      </w:r>
    </w:p>
    <w:p w14:paraId="6DA29C8B">
      <w:pPr>
        <w:pStyle w:val="36"/>
        <w:numPr>
          <w:ilvl w:val="1"/>
          <w:numId w:val="136"/>
        </w:numPr>
        <w:adjustRightInd/>
        <w:rPr>
          <w:highlight w:val="none"/>
        </w:rPr>
      </w:pPr>
      <w:bookmarkStart w:id="408" w:name="_Toc20877"/>
      <w:bookmarkStart w:id="409" w:name="_Toc18109"/>
      <w:bookmarkStart w:id="410" w:name="_Toc6408"/>
      <w:bookmarkStart w:id="411" w:name="_Toc10263"/>
      <w:bookmarkStart w:id="412" w:name="_Toc491"/>
      <w:r>
        <w:rPr>
          <w:rFonts w:hint="eastAsia"/>
          <w:highlight w:val="none"/>
        </w:rPr>
        <w:t>投标报价明细表</w:t>
      </w:r>
      <w:bookmarkEnd w:id="408"/>
      <w:bookmarkEnd w:id="409"/>
      <w:bookmarkEnd w:id="410"/>
      <w:bookmarkEnd w:id="411"/>
      <w:bookmarkEnd w:id="412"/>
    </w:p>
    <w:p w14:paraId="17D4E701">
      <w:pPr>
        <w:pStyle w:val="34"/>
        <w:ind w:firstLine="0" w:firstLineChars="0"/>
      </w:pPr>
      <w:r>
        <w:rPr>
          <w:rFonts w:hint="eastAsia"/>
        </w:rPr>
        <w:t>项目名称：</w:t>
      </w:r>
      <w:r>
        <w:rPr>
          <w:rFonts w:hint="eastAsia"/>
          <w:color w:val="auto"/>
          <w:lang w:eastAsia="zh-CN"/>
        </w:rPr>
        <w:t>浙江省应急管理厅安全生产和指挥调度类数字化系统保障服务</w:t>
      </w:r>
      <w:r>
        <w:rPr>
          <w:rFonts w:hint="eastAsia"/>
        </w:rPr>
        <w:t>项目</w:t>
      </w:r>
    </w:p>
    <w:p w14:paraId="31174636">
      <w:pPr>
        <w:pStyle w:val="34"/>
        <w:ind w:firstLine="0" w:firstLineChars="0"/>
        <w:rPr>
          <w:rFonts w:hint="eastAsia" w:eastAsia="宋体"/>
          <w:color w:val="00B050"/>
          <w:lang w:eastAsia="zh-CN"/>
        </w:rPr>
      </w:pPr>
      <w:r>
        <w:rPr>
          <w:rFonts w:hint="eastAsia"/>
        </w:rPr>
        <w:t>项目编号：</w:t>
      </w:r>
      <w:r>
        <w:rPr>
          <w:rFonts w:hint="eastAsia"/>
          <w:color w:val="auto"/>
          <w:lang w:eastAsia="zh-CN"/>
        </w:rPr>
        <w:t>ZQ250702ZG</w:t>
      </w:r>
    </w:p>
    <w:p w14:paraId="6B2AF55B">
      <w:pPr>
        <w:pStyle w:val="34"/>
        <w:ind w:firstLine="0" w:firstLineChars="0"/>
        <w:rPr>
          <w:rFonts w:hint="eastAsia"/>
          <w:i/>
          <w:iCs/>
          <w:u w:val="single"/>
          <w:lang w:val="en-US" w:eastAsia="zh-Hans"/>
        </w:rPr>
      </w:pPr>
      <w:r>
        <w:rPr>
          <w:rFonts w:hint="eastAsia"/>
          <w:i/>
          <w:iCs/>
          <w:u w:val="single"/>
          <w:lang w:val="en-US" w:eastAsia="zh-Hans"/>
        </w:rPr>
        <w:t>标项序号：…标项名称：…</w:t>
      </w:r>
    </w:p>
    <w:p w14:paraId="7D093576">
      <w:pPr>
        <w:pStyle w:val="34"/>
        <w:ind w:firstLine="0" w:firstLineChars="0"/>
        <w:jc w:val="right"/>
        <w:rPr>
          <w:rFonts w:hint="default" w:eastAsia="宋体"/>
          <w:i w:val="0"/>
          <w:iCs w:val="0"/>
          <w:u w:val="none"/>
          <w:lang w:val="en-US" w:eastAsia="zh-CN"/>
        </w:rPr>
      </w:pPr>
      <w:r>
        <w:rPr>
          <w:rFonts w:hint="eastAsia"/>
          <w:i w:val="0"/>
          <w:iCs w:val="0"/>
          <w:u w:val="none"/>
          <w:lang w:val="en-US" w:eastAsia="zh-CN"/>
        </w:rPr>
        <w:t>报价单位：元</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407"/>
        <w:gridCol w:w="2520"/>
        <w:gridCol w:w="720"/>
        <w:gridCol w:w="776"/>
        <w:gridCol w:w="1642"/>
      </w:tblGrid>
      <w:tr w14:paraId="4FFC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CFCECE" w:themeFill="background2" w:themeFillShade="E5"/>
            <w:vAlign w:val="center"/>
          </w:tcPr>
          <w:p w14:paraId="451D90D2">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序号</w:t>
            </w:r>
          </w:p>
        </w:tc>
        <w:tc>
          <w:tcPr>
            <w:tcW w:w="2407" w:type="dxa"/>
            <w:shd w:val="clear" w:color="auto" w:fill="CFCECE" w:themeFill="background2" w:themeFillShade="E5"/>
            <w:vAlign w:val="center"/>
          </w:tcPr>
          <w:p w14:paraId="6C47EAF2">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采购内容</w:t>
            </w:r>
          </w:p>
        </w:tc>
        <w:tc>
          <w:tcPr>
            <w:tcW w:w="2520" w:type="dxa"/>
            <w:shd w:val="clear" w:color="auto" w:fill="CFCECE" w:themeFill="background2" w:themeFillShade="E5"/>
            <w:vAlign w:val="center"/>
          </w:tcPr>
          <w:p w14:paraId="21C3681D">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子采购内容</w:t>
            </w:r>
          </w:p>
        </w:tc>
        <w:tc>
          <w:tcPr>
            <w:tcW w:w="720" w:type="dxa"/>
            <w:shd w:val="clear" w:color="auto" w:fill="CFCECE" w:themeFill="background2" w:themeFillShade="E5"/>
            <w:vAlign w:val="center"/>
          </w:tcPr>
          <w:p w14:paraId="02062366">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数量</w:t>
            </w:r>
          </w:p>
        </w:tc>
        <w:tc>
          <w:tcPr>
            <w:tcW w:w="776" w:type="dxa"/>
            <w:shd w:val="clear" w:color="auto" w:fill="CFCECE" w:themeFill="background2" w:themeFillShade="E5"/>
            <w:vAlign w:val="center"/>
          </w:tcPr>
          <w:p w14:paraId="2204EB3D">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单位</w:t>
            </w:r>
          </w:p>
        </w:tc>
        <w:tc>
          <w:tcPr>
            <w:tcW w:w="1642" w:type="dxa"/>
            <w:shd w:val="clear" w:color="auto" w:fill="CFCECE" w:themeFill="background2" w:themeFillShade="E5"/>
            <w:vAlign w:val="center"/>
          </w:tcPr>
          <w:p w14:paraId="5860A859">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单价</w:t>
            </w:r>
          </w:p>
        </w:tc>
      </w:tr>
      <w:tr w14:paraId="30C0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38BF6DE6">
            <w:pPr>
              <w:pStyle w:val="34"/>
              <w:numPr>
                <w:ilvl w:val="0"/>
                <w:numId w:val="139"/>
              </w:numPr>
              <w:spacing w:line="360" w:lineRule="auto"/>
              <w:ind w:left="425" w:leftChars="0" w:hanging="425" w:firstLineChars="0"/>
              <w:jc w:val="center"/>
              <w:rPr>
                <w:rFonts w:hint="eastAsia"/>
                <w:vertAlign w:val="baseline"/>
                <w:lang w:val="en-US" w:eastAsia="zh-CN"/>
              </w:rPr>
            </w:pPr>
          </w:p>
        </w:tc>
        <w:tc>
          <w:tcPr>
            <w:tcW w:w="2407" w:type="dxa"/>
            <w:vAlign w:val="center"/>
          </w:tcPr>
          <w:p w14:paraId="114C5FB9">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防汛防台视频可视化支撑系统维保服务项目</w:t>
            </w:r>
          </w:p>
        </w:tc>
        <w:tc>
          <w:tcPr>
            <w:tcW w:w="2520" w:type="dxa"/>
            <w:vAlign w:val="center"/>
          </w:tcPr>
          <w:p w14:paraId="3B1C61F2">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防汛防台视频可视化支撑系统维保服务项目</w:t>
            </w:r>
          </w:p>
        </w:tc>
        <w:tc>
          <w:tcPr>
            <w:tcW w:w="720" w:type="dxa"/>
            <w:vAlign w:val="center"/>
          </w:tcPr>
          <w:p w14:paraId="013BE878">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776" w:type="dxa"/>
            <w:vAlign w:val="center"/>
          </w:tcPr>
          <w:p w14:paraId="00FCB88C">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04F7DF6F">
            <w:pPr>
              <w:pStyle w:val="34"/>
              <w:spacing w:line="360" w:lineRule="auto"/>
              <w:ind w:firstLine="0" w:firstLineChars="0"/>
              <w:jc w:val="center"/>
              <w:rPr>
                <w:rFonts w:hint="eastAsia" w:ascii="宋体" w:hAnsi="宋体" w:eastAsia="宋体" w:cs="Times New Roman"/>
                <w:vertAlign w:val="baseline"/>
                <w:lang w:val="en-US" w:eastAsia="zh-CN"/>
              </w:rPr>
            </w:pPr>
          </w:p>
        </w:tc>
      </w:tr>
      <w:tr w14:paraId="69C9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7192867D">
            <w:pPr>
              <w:pStyle w:val="34"/>
              <w:numPr>
                <w:ilvl w:val="0"/>
                <w:numId w:val="139"/>
              </w:numPr>
              <w:spacing w:line="360" w:lineRule="auto"/>
              <w:ind w:left="425" w:leftChars="0" w:hanging="425" w:firstLineChars="0"/>
              <w:jc w:val="center"/>
              <w:rPr>
                <w:rFonts w:hint="eastAsia"/>
                <w:vertAlign w:val="baseline"/>
                <w:lang w:val="en-US" w:eastAsia="zh-CN"/>
              </w:rPr>
            </w:pPr>
          </w:p>
        </w:tc>
        <w:tc>
          <w:tcPr>
            <w:tcW w:w="2407" w:type="dxa"/>
            <w:vAlign w:val="center"/>
          </w:tcPr>
          <w:p w14:paraId="336DE0F5">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应急指挥车维护服务</w:t>
            </w:r>
          </w:p>
        </w:tc>
        <w:tc>
          <w:tcPr>
            <w:tcW w:w="2520" w:type="dxa"/>
            <w:vAlign w:val="center"/>
          </w:tcPr>
          <w:p w14:paraId="604CDDE0">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应急指挥车维护服务</w:t>
            </w:r>
          </w:p>
        </w:tc>
        <w:tc>
          <w:tcPr>
            <w:tcW w:w="720" w:type="dxa"/>
            <w:vAlign w:val="center"/>
          </w:tcPr>
          <w:p w14:paraId="4B5DF141">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776" w:type="dxa"/>
            <w:vAlign w:val="center"/>
          </w:tcPr>
          <w:p w14:paraId="1EFC023E">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05E6FD54">
            <w:pPr>
              <w:pStyle w:val="34"/>
              <w:spacing w:line="360" w:lineRule="auto"/>
              <w:ind w:firstLine="0" w:firstLineChars="0"/>
              <w:jc w:val="center"/>
              <w:rPr>
                <w:rFonts w:hint="eastAsia" w:ascii="宋体" w:hAnsi="宋体" w:eastAsia="宋体" w:cs="Times New Roman"/>
                <w:vertAlign w:val="baseline"/>
                <w:lang w:val="en-US" w:eastAsia="zh-CN"/>
              </w:rPr>
            </w:pPr>
          </w:p>
        </w:tc>
      </w:tr>
      <w:tr w14:paraId="231D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672A71CA">
            <w:pPr>
              <w:pStyle w:val="34"/>
              <w:numPr>
                <w:ilvl w:val="0"/>
                <w:numId w:val="139"/>
              </w:numPr>
              <w:spacing w:line="360" w:lineRule="auto"/>
              <w:ind w:left="425" w:leftChars="0" w:hanging="425" w:firstLineChars="0"/>
              <w:jc w:val="center"/>
              <w:rPr>
                <w:rFonts w:hint="eastAsia"/>
                <w:vertAlign w:val="baseline"/>
                <w:lang w:val="en-US" w:eastAsia="zh-CN"/>
              </w:rPr>
            </w:pPr>
          </w:p>
        </w:tc>
        <w:tc>
          <w:tcPr>
            <w:tcW w:w="2407" w:type="dxa"/>
            <w:vAlign w:val="center"/>
          </w:tcPr>
          <w:p w14:paraId="0B2F8B22">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浙里焊数字化拓展推广应用项目运维</w:t>
            </w:r>
          </w:p>
        </w:tc>
        <w:tc>
          <w:tcPr>
            <w:tcW w:w="2520" w:type="dxa"/>
            <w:vAlign w:val="center"/>
          </w:tcPr>
          <w:p w14:paraId="67F1D6FC">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浙里焊数字化拓展推广应用项目运维</w:t>
            </w:r>
          </w:p>
        </w:tc>
        <w:tc>
          <w:tcPr>
            <w:tcW w:w="720" w:type="dxa"/>
            <w:vAlign w:val="center"/>
          </w:tcPr>
          <w:p w14:paraId="45F391A7">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776" w:type="dxa"/>
            <w:vAlign w:val="center"/>
          </w:tcPr>
          <w:p w14:paraId="316654DD">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5E8FE79E">
            <w:pPr>
              <w:pStyle w:val="34"/>
              <w:spacing w:line="360" w:lineRule="auto"/>
              <w:ind w:firstLine="0" w:firstLineChars="0"/>
              <w:jc w:val="center"/>
              <w:rPr>
                <w:rFonts w:hint="eastAsia" w:ascii="宋体" w:hAnsi="宋体" w:eastAsia="宋体" w:cs="Times New Roman"/>
                <w:vertAlign w:val="baseline"/>
                <w:lang w:val="en-US" w:eastAsia="zh-CN"/>
              </w:rPr>
            </w:pPr>
          </w:p>
        </w:tc>
      </w:tr>
      <w:tr w14:paraId="0B74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09D10479">
            <w:pPr>
              <w:pStyle w:val="34"/>
              <w:numPr>
                <w:ilvl w:val="0"/>
                <w:numId w:val="139"/>
              </w:numPr>
              <w:spacing w:line="360" w:lineRule="auto"/>
              <w:ind w:left="425" w:leftChars="0" w:hanging="425" w:firstLineChars="0"/>
              <w:jc w:val="center"/>
              <w:rPr>
                <w:rFonts w:hint="eastAsia"/>
                <w:vertAlign w:val="baseline"/>
                <w:lang w:val="en-US" w:eastAsia="zh-CN"/>
              </w:rPr>
            </w:pPr>
          </w:p>
        </w:tc>
        <w:tc>
          <w:tcPr>
            <w:tcW w:w="2407" w:type="dxa"/>
            <w:vAlign w:val="center"/>
          </w:tcPr>
          <w:p w14:paraId="1D23DD12">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2025年浙江省应急管理厅危化品安全风险监测预警系统维护服务</w:t>
            </w:r>
          </w:p>
        </w:tc>
        <w:tc>
          <w:tcPr>
            <w:tcW w:w="2520" w:type="dxa"/>
            <w:vAlign w:val="center"/>
          </w:tcPr>
          <w:p w14:paraId="3882F29E">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2025年浙江省应急管理厅危化品安全风险监测预警系统维护服务</w:t>
            </w:r>
          </w:p>
        </w:tc>
        <w:tc>
          <w:tcPr>
            <w:tcW w:w="720" w:type="dxa"/>
            <w:vAlign w:val="center"/>
          </w:tcPr>
          <w:p w14:paraId="053BB0D9">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776" w:type="dxa"/>
            <w:vAlign w:val="center"/>
          </w:tcPr>
          <w:p w14:paraId="41913FAF">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1DFA342D">
            <w:pPr>
              <w:pStyle w:val="34"/>
              <w:spacing w:line="360" w:lineRule="auto"/>
              <w:ind w:firstLine="0" w:firstLineChars="0"/>
              <w:jc w:val="center"/>
              <w:rPr>
                <w:rFonts w:hint="eastAsia" w:ascii="宋体" w:hAnsi="宋体" w:eastAsia="宋体" w:cs="Times New Roman"/>
                <w:vertAlign w:val="baseline"/>
                <w:lang w:val="en-US" w:eastAsia="zh-CN"/>
              </w:rPr>
            </w:pPr>
          </w:p>
        </w:tc>
      </w:tr>
      <w:tr w14:paraId="7082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37DD34FB">
            <w:pPr>
              <w:pStyle w:val="34"/>
              <w:numPr>
                <w:ilvl w:val="0"/>
                <w:numId w:val="139"/>
              </w:numPr>
              <w:spacing w:line="360" w:lineRule="auto"/>
              <w:ind w:left="425" w:leftChars="0" w:hanging="425" w:firstLineChars="0"/>
              <w:jc w:val="center"/>
              <w:rPr>
                <w:rFonts w:hint="eastAsia"/>
                <w:vertAlign w:val="baseline"/>
                <w:lang w:val="en-US" w:eastAsia="zh-CN"/>
              </w:rPr>
            </w:pPr>
          </w:p>
        </w:tc>
        <w:tc>
          <w:tcPr>
            <w:tcW w:w="2407" w:type="dxa"/>
            <w:vAlign w:val="center"/>
          </w:tcPr>
          <w:p w14:paraId="0BBDCBC4">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2025年浙江省应急管理厅危化品风险防控大数据平台维护服务</w:t>
            </w:r>
          </w:p>
        </w:tc>
        <w:tc>
          <w:tcPr>
            <w:tcW w:w="2520" w:type="dxa"/>
            <w:vAlign w:val="center"/>
          </w:tcPr>
          <w:p w14:paraId="141D831B">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2025年浙江省应急管理厅危化品风险防控大数据平台维护服务</w:t>
            </w:r>
          </w:p>
        </w:tc>
        <w:tc>
          <w:tcPr>
            <w:tcW w:w="720" w:type="dxa"/>
            <w:vAlign w:val="center"/>
          </w:tcPr>
          <w:p w14:paraId="284DCA8E">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776" w:type="dxa"/>
            <w:vAlign w:val="center"/>
          </w:tcPr>
          <w:p w14:paraId="4AA1F95A">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79B72C4A">
            <w:pPr>
              <w:pStyle w:val="34"/>
              <w:spacing w:line="360" w:lineRule="auto"/>
              <w:ind w:firstLine="0" w:firstLineChars="0"/>
              <w:jc w:val="center"/>
              <w:rPr>
                <w:rFonts w:hint="eastAsia" w:ascii="宋体" w:hAnsi="宋体" w:eastAsia="宋体" w:cs="Times New Roman"/>
                <w:vertAlign w:val="baseline"/>
                <w:lang w:val="en-US" w:eastAsia="zh-CN"/>
              </w:rPr>
            </w:pPr>
          </w:p>
        </w:tc>
      </w:tr>
      <w:tr w14:paraId="4D2B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262B5F87">
            <w:pPr>
              <w:pStyle w:val="34"/>
              <w:numPr>
                <w:ilvl w:val="0"/>
                <w:numId w:val="139"/>
              </w:numPr>
              <w:spacing w:line="360" w:lineRule="auto"/>
              <w:ind w:left="425" w:leftChars="0" w:hanging="425" w:firstLineChars="0"/>
              <w:jc w:val="center"/>
              <w:rPr>
                <w:rFonts w:hint="eastAsia"/>
                <w:vertAlign w:val="baseline"/>
                <w:lang w:val="en-US" w:eastAsia="zh-CN"/>
              </w:rPr>
            </w:pPr>
          </w:p>
        </w:tc>
        <w:tc>
          <w:tcPr>
            <w:tcW w:w="2407" w:type="dxa"/>
            <w:vAlign w:val="center"/>
          </w:tcPr>
          <w:p w14:paraId="0E2E186F">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服务总线系统运维服务</w:t>
            </w:r>
          </w:p>
        </w:tc>
        <w:tc>
          <w:tcPr>
            <w:tcW w:w="2520" w:type="dxa"/>
            <w:vAlign w:val="center"/>
          </w:tcPr>
          <w:p w14:paraId="58A15E06">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服务总线系统运维服务</w:t>
            </w:r>
          </w:p>
        </w:tc>
        <w:tc>
          <w:tcPr>
            <w:tcW w:w="720" w:type="dxa"/>
            <w:vAlign w:val="center"/>
          </w:tcPr>
          <w:p w14:paraId="1C4EABA8">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776" w:type="dxa"/>
            <w:vAlign w:val="center"/>
          </w:tcPr>
          <w:p w14:paraId="62D6DE1D">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41334B3A">
            <w:pPr>
              <w:pStyle w:val="34"/>
              <w:spacing w:line="360" w:lineRule="auto"/>
              <w:ind w:firstLine="0" w:firstLineChars="0"/>
              <w:jc w:val="center"/>
              <w:rPr>
                <w:rFonts w:hint="eastAsia" w:ascii="宋体" w:hAnsi="宋体" w:eastAsia="宋体" w:cs="Times New Roman"/>
                <w:vertAlign w:val="baseline"/>
                <w:lang w:val="en-US" w:eastAsia="zh-CN"/>
              </w:rPr>
            </w:pPr>
          </w:p>
        </w:tc>
      </w:tr>
      <w:tr w14:paraId="73FD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63853113">
            <w:pPr>
              <w:pStyle w:val="34"/>
              <w:numPr>
                <w:ilvl w:val="0"/>
                <w:numId w:val="139"/>
              </w:numPr>
              <w:spacing w:line="360" w:lineRule="auto"/>
              <w:ind w:left="425" w:leftChars="0" w:hanging="425" w:firstLineChars="0"/>
              <w:jc w:val="center"/>
              <w:rPr>
                <w:rFonts w:hint="eastAsia"/>
                <w:vertAlign w:val="baseline"/>
                <w:lang w:val="en-US" w:eastAsia="zh-CN"/>
              </w:rPr>
            </w:pPr>
          </w:p>
        </w:tc>
        <w:tc>
          <w:tcPr>
            <w:tcW w:w="2407" w:type="dxa"/>
            <w:vAlign w:val="center"/>
          </w:tcPr>
          <w:p w14:paraId="282BA747">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移动视频终端及公网链路</w:t>
            </w:r>
          </w:p>
        </w:tc>
        <w:tc>
          <w:tcPr>
            <w:tcW w:w="2520" w:type="dxa"/>
            <w:vAlign w:val="center"/>
          </w:tcPr>
          <w:p w14:paraId="57EF2A24">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移动视频终端及公网链路</w:t>
            </w:r>
          </w:p>
        </w:tc>
        <w:tc>
          <w:tcPr>
            <w:tcW w:w="720" w:type="dxa"/>
            <w:vAlign w:val="center"/>
          </w:tcPr>
          <w:p w14:paraId="10B66877">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776" w:type="dxa"/>
            <w:vAlign w:val="center"/>
          </w:tcPr>
          <w:p w14:paraId="09C504E6">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3B15C8A7">
            <w:pPr>
              <w:pStyle w:val="34"/>
              <w:spacing w:line="360" w:lineRule="auto"/>
              <w:ind w:firstLine="0" w:firstLineChars="0"/>
              <w:jc w:val="center"/>
              <w:rPr>
                <w:rFonts w:hint="eastAsia" w:ascii="宋体" w:hAnsi="宋体" w:eastAsia="宋体" w:cs="Times New Roman"/>
                <w:vertAlign w:val="baseline"/>
                <w:lang w:val="en-US" w:eastAsia="zh-CN"/>
              </w:rPr>
            </w:pPr>
          </w:p>
        </w:tc>
      </w:tr>
      <w:tr w14:paraId="1A10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71D6823F">
            <w:pPr>
              <w:pStyle w:val="34"/>
              <w:numPr>
                <w:ilvl w:val="0"/>
                <w:numId w:val="139"/>
              </w:numPr>
              <w:spacing w:line="360" w:lineRule="auto"/>
              <w:ind w:left="425" w:leftChars="0" w:hanging="425" w:firstLineChars="0"/>
              <w:jc w:val="center"/>
              <w:rPr>
                <w:rFonts w:hint="eastAsia"/>
                <w:vertAlign w:val="baseline"/>
                <w:lang w:val="en-US" w:eastAsia="zh-CN"/>
              </w:rPr>
            </w:pPr>
          </w:p>
        </w:tc>
        <w:tc>
          <w:tcPr>
            <w:tcW w:w="2407" w:type="dxa"/>
            <w:vAlign w:val="center"/>
          </w:tcPr>
          <w:p w14:paraId="412AB516">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移动视频会议终端购置</w:t>
            </w:r>
          </w:p>
        </w:tc>
        <w:tc>
          <w:tcPr>
            <w:tcW w:w="2520" w:type="dxa"/>
            <w:vAlign w:val="center"/>
          </w:tcPr>
          <w:p w14:paraId="39E165E5">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移动视频会议终端购置</w:t>
            </w:r>
          </w:p>
        </w:tc>
        <w:tc>
          <w:tcPr>
            <w:tcW w:w="720" w:type="dxa"/>
            <w:vAlign w:val="center"/>
          </w:tcPr>
          <w:p w14:paraId="0C8AF375">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776" w:type="dxa"/>
            <w:vAlign w:val="center"/>
          </w:tcPr>
          <w:p w14:paraId="44D887A3">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7B8C305A">
            <w:pPr>
              <w:pStyle w:val="34"/>
              <w:spacing w:line="360" w:lineRule="auto"/>
              <w:ind w:firstLine="0" w:firstLineChars="0"/>
              <w:jc w:val="center"/>
              <w:rPr>
                <w:rFonts w:hint="eastAsia" w:ascii="宋体" w:hAnsi="宋体" w:eastAsia="宋体" w:cs="Times New Roman"/>
                <w:vertAlign w:val="baseline"/>
                <w:lang w:val="en-US" w:eastAsia="zh-CN"/>
              </w:rPr>
            </w:pPr>
          </w:p>
        </w:tc>
      </w:tr>
      <w:tr w14:paraId="2A1E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5B8059AD">
            <w:pPr>
              <w:pStyle w:val="34"/>
              <w:numPr>
                <w:ilvl w:val="0"/>
                <w:numId w:val="139"/>
              </w:numPr>
              <w:spacing w:line="360" w:lineRule="auto"/>
              <w:ind w:left="425" w:leftChars="0" w:hanging="425" w:firstLineChars="0"/>
              <w:jc w:val="center"/>
              <w:rPr>
                <w:rFonts w:hint="eastAsia"/>
                <w:vertAlign w:val="baseline"/>
                <w:lang w:val="en-US" w:eastAsia="zh-CN"/>
              </w:rPr>
            </w:pPr>
          </w:p>
        </w:tc>
        <w:tc>
          <w:tcPr>
            <w:tcW w:w="2407" w:type="dxa"/>
            <w:vAlign w:val="center"/>
          </w:tcPr>
          <w:p w14:paraId="302DCA35">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视频资源接入服务链路</w:t>
            </w:r>
          </w:p>
        </w:tc>
        <w:tc>
          <w:tcPr>
            <w:tcW w:w="2520" w:type="dxa"/>
            <w:vAlign w:val="center"/>
          </w:tcPr>
          <w:p w14:paraId="2624F3A1">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视频资源接入服务链路</w:t>
            </w:r>
          </w:p>
        </w:tc>
        <w:tc>
          <w:tcPr>
            <w:tcW w:w="720" w:type="dxa"/>
            <w:vAlign w:val="center"/>
          </w:tcPr>
          <w:p w14:paraId="1943711E">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776" w:type="dxa"/>
            <w:vAlign w:val="center"/>
          </w:tcPr>
          <w:p w14:paraId="1082C6BC">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0EF52A01">
            <w:pPr>
              <w:pStyle w:val="34"/>
              <w:spacing w:line="360" w:lineRule="auto"/>
              <w:ind w:firstLine="0" w:firstLineChars="0"/>
              <w:jc w:val="center"/>
              <w:rPr>
                <w:rFonts w:hint="eastAsia" w:ascii="宋体" w:hAnsi="宋体" w:eastAsia="宋体" w:cs="Times New Roman"/>
                <w:vertAlign w:val="baseline"/>
                <w:lang w:val="en-US" w:eastAsia="zh-CN"/>
              </w:rPr>
            </w:pPr>
          </w:p>
        </w:tc>
      </w:tr>
      <w:tr w14:paraId="0D85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75F70011">
            <w:pPr>
              <w:pStyle w:val="34"/>
              <w:numPr>
                <w:ilvl w:val="0"/>
                <w:numId w:val="139"/>
              </w:numPr>
              <w:spacing w:line="360" w:lineRule="auto"/>
              <w:ind w:left="425" w:leftChars="0" w:hanging="425" w:firstLineChars="0"/>
              <w:jc w:val="center"/>
              <w:rPr>
                <w:rFonts w:hint="eastAsia"/>
                <w:vertAlign w:val="baseline"/>
                <w:lang w:val="en-US" w:eastAsia="zh-CN"/>
              </w:rPr>
            </w:pPr>
          </w:p>
        </w:tc>
        <w:tc>
          <w:tcPr>
            <w:tcW w:w="2407" w:type="dxa"/>
            <w:vAlign w:val="center"/>
          </w:tcPr>
          <w:p w14:paraId="1A8FA418">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西溪河下88号应急管理宣传教育中心考试监控专线</w:t>
            </w:r>
          </w:p>
        </w:tc>
        <w:tc>
          <w:tcPr>
            <w:tcW w:w="2520" w:type="dxa"/>
            <w:vAlign w:val="center"/>
          </w:tcPr>
          <w:p w14:paraId="667DA2A2">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西溪河下88号应急管理宣传教育中心考试监控专线</w:t>
            </w:r>
          </w:p>
        </w:tc>
        <w:tc>
          <w:tcPr>
            <w:tcW w:w="720" w:type="dxa"/>
            <w:vAlign w:val="center"/>
          </w:tcPr>
          <w:p w14:paraId="1BC398AA">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776" w:type="dxa"/>
            <w:vAlign w:val="center"/>
          </w:tcPr>
          <w:p w14:paraId="4E404642">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1271B673">
            <w:pPr>
              <w:pStyle w:val="34"/>
              <w:spacing w:line="360" w:lineRule="auto"/>
              <w:ind w:firstLine="0" w:firstLineChars="0"/>
              <w:jc w:val="center"/>
              <w:rPr>
                <w:rFonts w:hint="eastAsia" w:ascii="宋体" w:hAnsi="宋体" w:eastAsia="宋体" w:cs="Times New Roman"/>
                <w:vertAlign w:val="baseline"/>
                <w:lang w:val="en-US" w:eastAsia="zh-CN"/>
              </w:rPr>
            </w:pPr>
          </w:p>
        </w:tc>
      </w:tr>
      <w:tr w14:paraId="5C3A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5BFCC802">
            <w:pPr>
              <w:pStyle w:val="34"/>
              <w:numPr>
                <w:ilvl w:val="0"/>
                <w:numId w:val="139"/>
              </w:numPr>
              <w:spacing w:line="360" w:lineRule="auto"/>
              <w:ind w:left="425" w:leftChars="0" w:hanging="425" w:firstLineChars="0"/>
              <w:jc w:val="center"/>
              <w:rPr>
                <w:rFonts w:hint="eastAsia"/>
                <w:vertAlign w:val="baseline"/>
                <w:lang w:val="en-US" w:eastAsia="zh-CN"/>
              </w:rPr>
            </w:pPr>
          </w:p>
        </w:tc>
        <w:tc>
          <w:tcPr>
            <w:tcW w:w="2407" w:type="dxa"/>
            <w:vAlign w:val="center"/>
          </w:tcPr>
          <w:p w14:paraId="359B6AC1">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全省重大危险源和可视化平台专线</w:t>
            </w:r>
          </w:p>
        </w:tc>
        <w:tc>
          <w:tcPr>
            <w:tcW w:w="2520" w:type="dxa"/>
            <w:vAlign w:val="center"/>
          </w:tcPr>
          <w:p w14:paraId="6525895D">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全省重大危险源和可视化平台专线</w:t>
            </w:r>
          </w:p>
        </w:tc>
        <w:tc>
          <w:tcPr>
            <w:tcW w:w="720" w:type="dxa"/>
            <w:vAlign w:val="center"/>
          </w:tcPr>
          <w:p w14:paraId="0CA83F02">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776" w:type="dxa"/>
            <w:vAlign w:val="center"/>
          </w:tcPr>
          <w:p w14:paraId="43E67C8F">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1D714F50">
            <w:pPr>
              <w:pStyle w:val="34"/>
              <w:spacing w:line="360" w:lineRule="auto"/>
              <w:ind w:firstLine="0" w:firstLineChars="0"/>
              <w:jc w:val="center"/>
              <w:rPr>
                <w:rFonts w:hint="eastAsia" w:ascii="宋体" w:hAnsi="宋体" w:eastAsia="宋体" w:cs="Times New Roman"/>
                <w:vertAlign w:val="baseline"/>
                <w:lang w:val="en-US" w:eastAsia="zh-CN"/>
              </w:rPr>
            </w:pPr>
          </w:p>
        </w:tc>
      </w:tr>
      <w:tr w14:paraId="4776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0" w:type="dxa"/>
            <w:gridSpan w:val="5"/>
            <w:vAlign w:val="center"/>
          </w:tcPr>
          <w:p w14:paraId="2CFEEE86">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总计</w:t>
            </w:r>
          </w:p>
        </w:tc>
        <w:tc>
          <w:tcPr>
            <w:tcW w:w="1642" w:type="dxa"/>
            <w:vAlign w:val="center"/>
          </w:tcPr>
          <w:p w14:paraId="7E3FC90E">
            <w:pPr>
              <w:pStyle w:val="34"/>
              <w:spacing w:line="360" w:lineRule="auto"/>
              <w:ind w:firstLine="0" w:firstLineChars="0"/>
              <w:jc w:val="center"/>
              <w:rPr>
                <w:rFonts w:hint="eastAsia" w:ascii="宋体" w:hAnsi="宋体" w:eastAsia="宋体" w:cs="Times New Roman"/>
                <w:vertAlign w:val="baseline"/>
                <w:lang w:val="en-US" w:eastAsia="zh-CN"/>
              </w:rPr>
            </w:pPr>
          </w:p>
        </w:tc>
      </w:tr>
    </w:tbl>
    <w:p w14:paraId="707D9B12">
      <w:pPr>
        <w:pStyle w:val="34"/>
        <w:ind w:left="0" w:leftChars="0" w:firstLine="480" w:firstLineChars="20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1E8B7313">
      <w:pPr>
        <w:pStyle w:val="34"/>
        <w:ind w:firstLine="480"/>
      </w:pPr>
      <w:r>
        <w:rPr>
          <w:rFonts w:hint="eastAsia"/>
        </w:rPr>
        <w:t>日期：  年   月   日</w:t>
      </w:r>
    </w:p>
    <w:p w14:paraId="4E11994E">
      <w:pPr>
        <w:pStyle w:val="34"/>
        <w:ind w:firstLine="480"/>
        <w:rPr>
          <w:rFonts w:cs="Arial"/>
          <w:lang w:eastAsia="zh-CN"/>
        </w:rPr>
      </w:pPr>
    </w:p>
    <w:p w14:paraId="2EF2976A">
      <w:pPr>
        <w:pStyle w:val="34"/>
        <w:ind w:left="0" w:leftChars="0" w:firstLine="0" w:firstLineChars="0"/>
        <w:rPr>
          <w:lang w:eastAsia="zh-CN"/>
        </w:rPr>
      </w:pPr>
      <w:r>
        <w:rPr>
          <w:rFonts w:hint="eastAsia"/>
          <w:lang w:eastAsia="zh-Hans"/>
        </w:rPr>
        <w:t>【</w:t>
      </w:r>
      <w:r>
        <w:rPr>
          <w:rFonts w:hint="eastAsia"/>
        </w:rPr>
        <w:t>注：</w:t>
      </w:r>
    </w:p>
    <w:p w14:paraId="784E4DF6">
      <w:pPr>
        <w:pStyle w:val="34"/>
        <w:numPr>
          <w:ilvl w:val="0"/>
          <w:numId w:val="140"/>
        </w:numPr>
        <w:ind w:firstLine="480"/>
        <w:rPr>
          <w:rFonts w:hint="eastAsia" w:cs="Arial"/>
          <w:iCs/>
        </w:rPr>
      </w:pPr>
      <w:r>
        <w:rPr>
          <w:rFonts w:hint="eastAsia" w:cs="Arial"/>
        </w:rPr>
        <w:t>表格可自行延展，但内容不可缺失</w:t>
      </w:r>
      <w:r>
        <w:rPr>
          <w:rFonts w:hint="eastAsia" w:cs="Arial"/>
          <w:lang w:eastAsia="zh-Hans"/>
        </w:rPr>
        <w:t>。</w:t>
      </w:r>
    </w:p>
    <w:p w14:paraId="6EC6AB59">
      <w:pPr>
        <w:pStyle w:val="34"/>
        <w:numPr>
          <w:ilvl w:val="0"/>
          <w:numId w:val="140"/>
        </w:numPr>
        <w:ind w:firstLine="480"/>
        <w:rPr>
          <w:rFonts w:hint="eastAsia" w:cs="Arial"/>
          <w:iCs/>
        </w:rPr>
      </w:pPr>
      <w:r>
        <w:rPr>
          <w:rFonts w:hint="eastAsia"/>
          <w:lang w:val="en-US" w:eastAsia="zh-Hans"/>
        </w:rPr>
        <w:t>投报多个标项的应当按对应标项分别编制本表。</w:t>
      </w:r>
    </w:p>
    <w:p w14:paraId="1E90D319">
      <w:pPr>
        <w:pStyle w:val="34"/>
        <w:ind w:firstLine="480"/>
        <w:rPr>
          <w:rFonts w:hint="eastAsia" w:eastAsia="宋体"/>
          <w:lang w:eastAsia="zh-Hans"/>
        </w:rPr>
      </w:pPr>
      <w:r>
        <w:rPr>
          <w:rFonts w:hint="default"/>
        </w:rP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r>
        <w:rPr>
          <w:rFonts w:hint="eastAsia"/>
          <w:lang w:eastAsia="zh-Hans"/>
        </w:rPr>
        <w:t>。</w:t>
      </w:r>
    </w:p>
    <w:p w14:paraId="213B1D8E">
      <w:pPr>
        <w:pStyle w:val="34"/>
        <w:ind w:firstLine="480"/>
        <w:rPr>
          <w:rFonts w:hint="eastAsia" w:eastAsia="宋体"/>
          <w:u w:val="single"/>
          <w:lang w:eastAsia="zh-Hans"/>
        </w:rPr>
      </w:pPr>
      <w:r>
        <w:rPr>
          <w:rFonts w:hint="default"/>
        </w:rPr>
        <w:t>4</w:t>
      </w:r>
      <w:r>
        <w:rPr>
          <w:rFonts w:hint="eastAsia"/>
        </w:rPr>
        <w:t>、特别提示：采购机构将对项目名称和项目编号，中标供应商名称、地址和中标金额，主要中标标的名称、品牌（如果有）、规格型号、数量、单价等予以公示。</w:t>
      </w:r>
      <w:r>
        <w:rPr>
          <w:rFonts w:hint="eastAsia"/>
          <w:lang w:eastAsia="zh-Hans"/>
        </w:rPr>
        <w:t>】</w:t>
      </w:r>
    </w:p>
    <w:p w14:paraId="0A773711">
      <w:pPr>
        <w:widowControl/>
        <w:jc w:val="left"/>
        <w:rPr>
          <w:rFonts w:ascii="黑体" w:hAnsi="黑体" w:eastAsia="黑体" w:cs="黑体"/>
          <w:bCs/>
          <w:sz w:val="32"/>
          <w:szCs w:val="32"/>
          <w:lang w:eastAsia="zh-Hans"/>
        </w:rPr>
      </w:pPr>
      <w:r>
        <w:br w:type="page"/>
      </w:r>
    </w:p>
    <w:p w14:paraId="13FCACE3">
      <w:pPr>
        <w:pStyle w:val="36"/>
        <w:numPr>
          <w:ilvl w:val="1"/>
          <w:numId w:val="136"/>
        </w:numPr>
        <w:adjustRightInd/>
      </w:pPr>
      <w:bookmarkStart w:id="413" w:name="_Toc31149"/>
      <w:bookmarkStart w:id="414" w:name="_Toc854"/>
      <w:bookmarkStart w:id="415" w:name="_Toc29432"/>
      <w:bookmarkStart w:id="416" w:name="_Toc30306"/>
      <w:bookmarkStart w:id="417" w:name="_Toc13799"/>
      <w:r>
        <w:rPr>
          <w:rFonts w:hint="eastAsia"/>
        </w:rPr>
        <w:t>中小企业声明函（</w:t>
      </w:r>
      <w:r>
        <w:rPr>
          <w:rFonts w:hint="eastAsia"/>
          <w:lang w:val="en-US" w:eastAsia="zh-Hans"/>
        </w:rPr>
        <w:t>服务</w:t>
      </w:r>
      <w:r>
        <w:rPr>
          <w:rFonts w:hint="eastAsia"/>
        </w:rPr>
        <w:t>）</w:t>
      </w:r>
      <w:bookmarkEnd w:id="413"/>
      <w:bookmarkEnd w:id="414"/>
      <w:bookmarkEnd w:id="415"/>
      <w:bookmarkEnd w:id="416"/>
      <w:bookmarkEnd w:id="417"/>
    </w:p>
    <w:p w14:paraId="158F2059">
      <w:pPr>
        <w:pStyle w:val="34"/>
        <w:ind w:firstLine="480"/>
      </w:pPr>
      <w:r>
        <w:rPr>
          <w:rFonts w:hint="eastAsia"/>
        </w:rPr>
        <w:t>本公司（联合体）郑重声明，根据《政府采购促进中小企业发展管理办法》（财库﹝2020﹞46 号）的规定，本公司（联合体）参加</w:t>
      </w:r>
      <w:r>
        <w:rPr>
          <w:rFonts w:hint="eastAsia"/>
          <w:b w:val="0"/>
          <w:bCs w:val="0"/>
        </w:rPr>
        <w:t xml:space="preserve"> </w:t>
      </w:r>
      <w:r>
        <w:rPr>
          <w:rFonts w:hint="eastAsia"/>
          <w:b w:val="0"/>
          <w:bCs w:val="0"/>
          <w:color w:val="auto"/>
          <w:u w:val="single"/>
          <w:lang w:eastAsia="zh-CN"/>
        </w:rPr>
        <w:t>浙江省应急管理厅安全生产和指挥调度类数字化系统保障服务</w:t>
      </w:r>
      <w:r>
        <w:rPr>
          <w:rFonts w:hint="eastAsia"/>
          <w:b w:val="0"/>
          <w:bCs w:val="0"/>
          <w:u w:val="single"/>
        </w:rPr>
        <w:t>项目（项目编号：</w:t>
      </w:r>
      <w:r>
        <w:rPr>
          <w:rFonts w:hint="eastAsia"/>
          <w:b w:val="0"/>
          <w:bCs w:val="0"/>
          <w:color w:val="auto"/>
          <w:u w:val="single"/>
          <w:lang w:eastAsia="zh-CN"/>
        </w:rPr>
        <w:t>ZQ250702ZG</w:t>
      </w:r>
      <w:r>
        <w:rPr>
          <w:rFonts w:hint="eastAsia"/>
          <w:b w:val="0"/>
          <w:bCs w:val="0"/>
          <w:u w:val="single"/>
        </w:rPr>
        <w:t>）</w:t>
      </w:r>
      <w:r>
        <w:rPr>
          <w:rFonts w:hint="eastAsia"/>
          <w:i/>
          <w:iCs/>
          <w:u w:val="single"/>
          <w:lang w:val="en-US" w:eastAsia="zh-Hans"/>
        </w:rPr>
        <w:t>标项序号：…标项名称：…</w:t>
      </w:r>
      <w:r>
        <w:rPr>
          <w:rFonts w:hint="eastAsia"/>
        </w:rPr>
        <w:t>采购活动，</w:t>
      </w:r>
      <w:r>
        <w:rPr>
          <w:rFonts w:hint="eastAsia" w:ascii="宋体" w:hAnsi="宋体" w:eastAsia="宋体" w:cs="仿宋"/>
        </w:rPr>
        <w:t>服务全部由符合政策要求的中小企业承接</w:t>
      </w:r>
      <w:r>
        <w:rPr>
          <w:rFonts w:hint="eastAsia"/>
        </w:rPr>
        <w:t>。相关企业（含联合体中的中小企业、签订分包意向协议的中小企业）的具体情况如下：</w:t>
      </w:r>
    </w:p>
    <w:p w14:paraId="483B08F1">
      <w:pPr>
        <w:pStyle w:val="34"/>
        <w:ind w:firstLine="480"/>
      </w:pPr>
      <w:r>
        <w:rPr>
          <w:rFonts w:hint="eastAsia"/>
        </w:rPr>
        <w:t xml:space="preserve">1. </w:t>
      </w:r>
      <w:r>
        <w:rPr>
          <w:rFonts w:hint="eastAsia"/>
          <w:b w:val="0"/>
          <w:bCs w:val="0"/>
          <w:color w:val="auto"/>
          <w:u w:val="single"/>
          <w:lang w:eastAsia="zh-CN"/>
        </w:rPr>
        <w:t>安全生产和指挥调度类数字化系统保障服务</w:t>
      </w:r>
      <w:r>
        <w:rPr>
          <w:rFonts w:hint="eastAsia"/>
        </w:rPr>
        <w:t xml:space="preserve"> ，属</w:t>
      </w:r>
      <w:r>
        <w:rPr>
          <w:rFonts w:hint="eastAsia"/>
          <w:color w:val="auto"/>
        </w:rPr>
        <w:t>于</w:t>
      </w:r>
      <w:r>
        <w:rPr>
          <w:rFonts w:hint="eastAsia"/>
          <w:b w:val="0"/>
          <w:bCs w:val="0"/>
          <w:color w:val="auto"/>
          <w:u w:val="single"/>
        </w:rPr>
        <w:t xml:space="preserve"> </w:t>
      </w:r>
      <w:r>
        <w:rPr>
          <w:rFonts w:hint="eastAsia"/>
          <w:b w:val="0"/>
          <w:bCs w:val="0"/>
          <w:color w:val="auto"/>
          <w:u w:val="single"/>
          <w:lang w:eastAsia="zh-CN"/>
        </w:rPr>
        <w:t>软件和信息技术服务业</w:t>
      </w:r>
      <w:r>
        <w:rPr>
          <w:rFonts w:hint="eastAsia"/>
          <w:b w:val="0"/>
          <w:bCs w:val="0"/>
          <w:color w:val="auto"/>
          <w:u w:val="single"/>
          <w:lang w:val="en-US" w:eastAsia="zh-CN"/>
        </w:rPr>
        <w:t xml:space="preserve"> </w:t>
      </w:r>
      <w:r>
        <w:rPr>
          <w:rFonts w:hint="eastAsia"/>
          <w:color w:val="auto"/>
        </w:rPr>
        <w:t>行业</w:t>
      </w:r>
      <w:r>
        <w:rPr>
          <w:rFonts w:hint="eastAsia"/>
        </w:rPr>
        <w:t xml:space="preserve"> ；</w:t>
      </w:r>
      <w:r>
        <w:rPr>
          <w:rFonts w:hint="eastAsia" w:ascii="Arial" w:hAnsi="Arial" w:cs="Arial"/>
        </w:rPr>
        <w:t>承建（承接）企业</w:t>
      </w:r>
      <w:r>
        <w:rPr>
          <w:rFonts w:hint="eastAsia"/>
        </w:rPr>
        <w:t>为</w:t>
      </w:r>
      <w:r>
        <w:rPr>
          <w:rFonts w:hint="eastAsia"/>
          <w:u w:val="single"/>
        </w:rPr>
        <w:t xml:space="preserve"> </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 xml:space="preserve"> （中型企业、小型企业、微型企业）</w:t>
      </w:r>
      <w:r>
        <w:rPr>
          <w:rFonts w:hint="eastAsia"/>
        </w:rPr>
        <w:t xml:space="preserve"> ；</w:t>
      </w:r>
    </w:p>
    <w:p w14:paraId="0AA763DC">
      <w:pPr>
        <w:pStyle w:val="34"/>
        <w:ind w:firstLine="480"/>
        <w:rPr>
          <w:rFonts w:hint="eastAsia"/>
        </w:rPr>
      </w:pPr>
      <w:r>
        <w:rPr>
          <w:rFonts w:hint="eastAsia"/>
        </w:rPr>
        <w:t>……</w:t>
      </w:r>
    </w:p>
    <w:p w14:paraId="32A5D55F">
      <w:pPr>
        <w:pStyle w:val="34"/>
        <w:ind w:firstLine="480"/>
        <w:rPr>
          <w:rFonts w:hint="eastAsia" w:eastAsia="宋体"/>
          <w:i w:val="0"/>
          <w:iCs w:val="0"/>
          <w:lang w:eastAsia="zh-Hans"/>
        </w:rPr>
      </w:pPr>
      <w:r>
        <w:rPr>
          <w:rFonts w:hint="eastAsia"/>
          <w:lang w:eastAsia="zh-Hans"/>
        </w:rPr>
        <w:t>【</w:t>
      </w:r>
      <w:r>
        <w:rPr>
          <w:rFonts w:hint="eastAsia"/>
          <w:i w:val="0"/>
          <w:iCs w:val="0"/>
          <w:lang w:eastAsia="zh-Hans"/>
        </w:rPr>
        <w:t>“</w:t>
      </w:r>
      <w:r>
        <w:rPr>
          <w:rFonts w:hint="eastAsia"/>
          <w:i w:val="0"/>
          <w:iCs w:val="0"/>
          <w:lang w:val="en-US" w:eastAsia="zh-Hans"/>
        </w:rPr>
        <w:t>标的名称</w:t>
      </w:r>
      <w:r>
        <w:rPr>
          <w:rFonts w:hint="eastAsia"/>
          <w:i w:val="0"/>
          <w:iCs w:val="0"/>
          <w:lang w:eastAsia="zh-Hans"/>
        </w:rPr>
        <w:t>”</w:t>
      </w:r>
      <w:r>
        <w:rPr>
          <w:rFonts w:hint="eastAsia"/>
          <w:i w:val="0"/>
          <w:iCs w:val="0"/>
          <w:lang w:val="en-US" w:eastAsia="zh-Hans"/>
        </w:rPr>
        <w:t>是指本项目对应标项的服务内容名称】</w:t>
      </w:r>
    </w:p>
    <w:p w14:paraId="604EC316">
      <w:pPr>
        <w:pStyle w:val="34"/>
        <w:ind w:firstLine="480"/>
        <w:rPr>
          <w:rFonts w:hint="eastAsia"/>
        </w:rPr>
      </w:pPr>
    </w:p>
    <w:p w14:paraId="057F655C">
      <w:pPr>
        <w:pStyle w:val="34"/>
        <w:ind w:firstLine="480"/>
      </w:pPr>
      <w:r>
        <w:rPr>
          <w:rFonts w:hint="eastAsia"/>
        </w:rPr>
        <w:t>以上企业，不属于大企业的分支机构，不存在控股股东为大企业的情形，也不存在与大企业的负责人为同一人的情形。</w:t>
      </w:r>
    </w:p>
    <w:p w14:paraId="6836C2B9">
      <w:pPr>
        <w:pStyle w:val="34"/>
        <w:ind w:firstLine="480"/>
      </w:pPr>
      <w:r>
        <w:rPr>
          <w:rFonts w:hint="eastAsia"/>
        </w:rPr>
        <w:t>本企业对上述声明内容的真实性负责。如有虚假，将依法承担相应责任。</w:t>
      </w:r>
    </w:p>
    <w:p w14:paraId="3DCE0B3B">
      <w:pPr>
        <w:pStyle w:val="34"/>
        <w:ind w:firstLine="480"/>
      </w:pPr>
    </w:p>
    <w:p w14:paraId="0302CB3F">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3C776D89">
      <w:pPr>
        <w:pStyle w:val="34"/>
        <w:ind w:firstLine="480"/>
      </w:pPr>
      <w:r>
        <w:rPr>
          <w:rFonts w:hint="eastAsia"/>
        </w:rPr>
        <w:t>日期：  年   月   日</w:t>
      </w:r>
    </w:p>
    <w:p w14:paraId="2BF02D9F">
      <w:pPr>
        <w:pStyle w:val="34"/>
        <w:ind w:firstLine="0" w:firstLineChars="0"/>
        <w:rPr>
          <w:rFonts w:hint="eastAsia" w:cs="宋体"/>
          <w:b/>
          <w:lang w:eastAsia="zh-CN"/>
        </w:rPr>
      </w:pPr>
    </w:p>
    <w:p w14:paraId="10979673">
      <w:pPr>
        <w:pStyle w:val="34"/>
        <w:ind w:firstLine="0" w:firstLineChars="0"/>
        <w:rPr>
          <w:rFonts w:cs="宋体"/>
          <w:bCs/>
        </w:rPr>
      </w:pPr>
      <w:r>
        <w:rPr>
          <w:rFonts w:hint="eastAsia" w:cs="宋体"/>
          <w:b/>
          <w:lang w:eastAsia="zh-CN"/>
        </w:rPr>
        <w:t>【</w:t>
      </w:r>
      <w:r>
        <w:rPr>
          <w:rFonts w:hint="eastAsia" w:cs="宋体"/>
          <w:bCs/>
        </w:rPr>
        <w:t>提示：</w:t>
      </w:r>
    </w:p>
    <w:p w14:paraId="073D3D4B">
      <w:pPr>
        <w:pStyle w:val="45"/>
        <w:numPr>
          <w:ilvl w:val="0"/>
          <w:numId w:val="141"/>
        </w:numPr>
        <w:ind w:firstLine="480"/>
      </w:pPr>
      <w:r>
        <w:rPr>
          <w:rFonts w:hint="eastAsia"/>
        </w:rPr>
        <w:t>投标供应商应实事求是填写并提供本表，不属于中小企业的可不提供；</w:t>
      </w:r>
    </w:p>
    <w:p w14:paraId="720D1D17">
      <w:pPr>
        <w:pStyle w:val="45"/>
        <w:numPr>
          <w:ilvl w:val="0"/>
          <w:numId w:val="141"/>
        </w:numPr>
        <w:ind w:firstLine="480"/>
      </w:pPr>
      <w:r>
        <w:rPr>
          <w:rFonts w:hint="eastAsia"/>
        </w:rPr>
        <w:t>从业人员、营业收入、资产总额填报上一年度数据，无上一年度数据的新成立企业可不填报；</w:t>
      </w:r>
    </w:p>
    <w:p w14:paraId="08893CA0">
      <w:pPr>
        <w:pStyle w:val="45"/>
        <w:numPr>
          <w:ilvl w:val="0"/>
          <w:numId w:val="141"/>
        </w:numPr>
        <w:ind w:firstLine="480"/>
        <w:rPr>
          <w:rFonts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u w:val="single"/>
        </w:rPr>
        <w:t>不论投标人属于何种行业，均按照招标文件列明的“标的物”的所属行业标准划分。】</w:t>
      </w:r>
      <w:r>
        <w:br w:type="page"/>
      </w:r>
    </w:p>
    <w:p w14:paraId="3B515077">
      <w:pPr>
        <w:pStyle w:val="36"/>
        <w:numPr>
          <w:ilvl w:val="1"/>
          <w:numId w:val="136"/>
        </w:numPr>
        <w:adjustRightInd/>
      </w:pPr>
      <w:bookmarkStart w:id="418" w:name="_Toc3618"/>
      <w:bookmarkStart w:id="419" w:name="_Toc21328"/>
      <w:bookmarkStart w:id="420" w:name="_Toc8674"/>
      <w:bookmarkStart w:id="421" w:name="_Toc15503"/>
      <w:bookmarkStart w:id="422" w:name="_Toc2393"/>
      <w:r>
        <w:rPr>
          <w:rFonts w:hint="eastAsia"/>
        </w:rPr>
        <w:t>残疾人福利性单位声明函</w:t>
      </w:r>
      <w:bookmarkEnd w:id="418"/>
      <w:bookmarkEnd w:id="419"/>
      <w:bookmarkEnd w:id="420"/>
      <w:bookmarkEnd w:id="421"/>
      <w:bookmarkEnd w:id="422"/>
    </w:p>
    <w:p w14:paraId="56A647D0">
      <w:pPr>
        <w:pStyle w:val="34"/>
        <w:ind w:firstLine="48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u w:val="single"/>
          <w:lang w:eastAsia="zh-CN"/>
        </w:rPr>
        <w:t>浙江省应急管理厅</w:t>
      </w:r>
      <w:r>
        <w:rPr>
          <w:rFonts w:hint="eastAsia"/>
        </w:rPr>
        <w:t>单位的</w:t>
      </w:r>
      <w:r>
        <w:rPr>
          <w:rFonts w:hint="eastAsia"/>
          <w:color w:val="auto"/>
          <w:u w:val="single"/>
          <w:lang w:eastAsia="zh-CN"/>
        </w:rPr>
        <w:t>安全生产和指挥调度类数字化系统保障服务</w:t>
      </w:r>
      <w:r>
        <w:rPr>
          <w:rFonts w:hint="eastAsia"/>
        </w:rPr>
        <w:t>项目</w:t>
      </w:r>
      <w:r>
        <w:rPr>
          <w:rFonts w:hint="eastAsia"/>
          <w:i/>
          <w:iCs/>
          <w:u w:val="single"/>
          <w:lang w:val="en-US" w:eastAsia="zh-Hans"/>
        </w:rPr>
        <w:t>标项序号：…标项名称：…</w:t>
      </w:r>
      <w:r>
        <w:rPr>
          <w:rFonts w:hint="eastAsia"/>
        </w:rPr>
        <w:t>采购活动提供本单位</w:t>
      </w:r>
      <w:r>
        <w:t>制造的货物，或者提供其他残疾人福利性单位制造的货物（不包括使用非残疾人福利性单位注册商标的货物）</w:t>
      </w:r>
      <w:r>
        <w:rPr>
          <w:rFonts w:hint="eastAsia"/>
        </w:rPr>
        <w:t>。</w:t>
      </w:r>
    </w:p>
    <w:p w14:paraId="5DE7D527">
      <w:pPr>
        <w:pStyle w:val="34"/>
        <w:ind w:firstLine="480"/>
      </w:pPr>
      <w:r>
        <w:rPr>
          <w:rFonts w:hint="eastAsia"/>
        </w:rPr>
        <w:t>本单位对上述声明的真实性负责。如有虚假，将依法承担相应责任。</w:t>
      </w:r>
    </w:p>
    <w:p w14:paraId="127F6694">
      <w:pPr>
        <w:pStyle w:val="34"/>
        <w:ind w:firstLine="480"/>
      </w:pPr>
      <w:r>
        <w:rPr>
          <w:rFonts w:hint="eastAsia"/>
        </w:rPr>
        <w:t xml:space="preserve"> </w:t>
      </w:r>
    </w:p>
    <w:p w14:paraId="665F60E4">
      <w:pPr>
        <w:pStyle w:val="34"/>
        <w:ind w:firstLine="480"/>
      </w:pPr>
      <w:r>
        <w:rPr>
          <w:rFonts w:hint="eastAsia"/>
        </w:rPr>
        <w:t xml:space="preserve"> </w:t>
      </w:r>
    </w:p>
    <w:p w14:paraId="3FD16A92">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4C9D750C">
      <w:pPr>
        <w:pStyle w:val="34"/>
        <w:ind w:firstLine="480"/>
      </w:pPr>
      <w:r>
        <w:rPr>
          <w:rFonts w:hint="eastAsia"/>
        </w:rPr>
        <w:t>日期：  年   月   日</w:t>
      </w:r>
    </w:p>
    <w:p w14:paraId="0441E02B">
      <w:pPr>
        <w:pStyle w:val="34"/>
        <w:ind w:firstLine="0" w:firstLineChars="0"/>
      </w:pPr>
    </w:p>
    <w:p w14:paraId="6E6C4C37">
      <w:pPr>
        <w:pStyle w:val="34"/>
        <w:ind w:firstLine="0" w:firstLineChars="0"/>
        <w:rPr>
          <w:lang w:eastAsia="zh-CN"/>
        </w:rPr>
      </w:pPr>
      <w:r>
        <w:rPr>
          <w:rFonts w:hint="eastAsia"/>
          <w:lang w:eastAsia="zh-CN"/>
        </w:rPr>
        <w:t>【本格式文本仅限</w:t>
      </w:r>
      <w:r>
        <w:rPr>
          <w:rFonts w:hint="eastAsia"/>
        </w:rPr>
        <w:t>残疾人福利性单位</w:t>
      </w:r>
      <w:r>
        <w:rPr>
          <w:rFonts w:hint="eastAsia"/>
          <w:lang w:eastAsia="zh-CN"/>
        </w:rPr>
        <w:t>填写】</w:t>
      </w:r>
    </w:p>
    <w:p w14:paraId="6F3BB024">
      <w:pPr>
        <w:widowControl/>
        <w:jc w:val="left"/>
        <w:rPr>
          <w:rFonts w:ascii="黑体" w:hAnsi="黑体" w:eastAsia="黑体" w:cs="黑体"/>
          <w:bCs/>
          <w:sz w:val="32"/>
          <w:szCs w:val="32"/>
          <w:lang w:eastAsia="zh-Hans"/>
        </w:rPr>
      </w:pPr>
      <w:r>
        <w:br w:type="page"/>
      </w:r>
    </w:p>
    <w:bookmarkEnd w:id="372"/>
    <w:p w14:paraId="7383B408">
      <w:pPr>
        <w:pStyle w:val="36"/>
        <w:numPr>
          <w:ilvl w:val="1"/>
          <w:numId w:val="136"/>
        </w:numPr>
        <w:rPr>
          <w:sz w:val="36"/>
          <w:szCs w:val="44"/>
        </w:rPr>
      </w:pPr>
      <w:bookmarkStart w:id="423" w:name="_Toc19492"/>
      <w:bookmarkStart w:id="424" w:name="_Toc370"/>
      <w:bookmarkStart w:id="425" w:name="_Toc4352"/>
      <w:bookmarkStart w:id="426" w:name="_Toc16838"/>
      <w:bookmarkStart w:id="427" w:name="_Toc12035"/>
      <w:r>
        <w:t>商务</w:t>
      </w:r>
      <w:r>
        <w:rPr>
          <w:rFonts w:hint="eastAsia"/>
        </w:rPr>
        <w:t>及</w:t>
      </w:r>
      <w:r>
        <w:t>技术偏离表</w:t>
      </w:r>
      <w:bookmarkEnd w:id="423"/>
      <w:bookmarkEnd w:id="424"/>
      <w:bookmarkEnd w:id="425"/>
      <w:bookmarkEnd w:id="426"/>
      <w:bookmarkEnd w:id="427"/>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2"/>
        <w:gridCol w:w="3192"/>
        <w:gridCol w:w="1335"/>
      </w:tblGrid>
      <w:tr w14:paraId="5B83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03EFB919">
            <w:pPr>
              <w:pStyle w:val="34"/>
              <w:ind w:firstLine="0" w:firstLineChars="0"/>
              <w:rPr>
                <w:b/>
                <w:i w:val="0"/>
              </w:rPr>
            </w:pPr>
            <w:r>
              <w:rPr>
                <w:rFonts w:hint="eastAsia"/>
                <w:b/>
                <w:i w:val="0"/>
              </w:rPr>
              <w:t>序号</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2CB635E4">
            <w:pPr>
              <w:pStyle w:val="34"/>
              <w:ind w:firstLine="0" w:firstLineChars="0"/>
              <w:rPr>
                <w:b/>
                <w:i w:val="0"/>
              </w:rPr>
            </w:pPr>
            <w:r>
              <w:rPr>
                <w:rFonts w:hint="eastAsia"/>
                <w:b/>
                <w:i w:val="0"/>
              </w:rPr>
              <w:t>招标文件章节及具体内容</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08FC5591">
            <w:pPr>
              <w:pStyle w:val="34"/>
              <w:ind w:firstLine="0" w:firstLineChars="0"/>
              <w:rPr>
                <w:b/>
                <w:i w:val="0"/>
              </w:rPr>
            </w:pPr>
            <w:r>
              <w:rPr>
                <w:rFonts w:hint="eastAsia"/>
                <w:b/>
                <w:i w:val="0"/>
              </w:rPr>
              <w:t>投标文件章节及具体内容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08C1F4E9">
            <w:pPr>
              <w:pStyle w:val="34"/>
              <w:ind w:firstLine="0" w:firstLineChars="0"/>
              <w:rPr>
                <w:b/>
                <w:i w:val="0"/>
              </w:rPr>
            </w:pPr>
            <w:r>
              <w:rPr>
                <w:rFonts w:hint="eastAsia"/>
                <w:b/>
                <w:i w:val="0"/>
              </w:rPr>
              <w:t>偏离说明</w:t>
            </w:r>
          </w:p>
        </w:tc>
      </w:tr>
      <w:tr w14:paraId="495B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23596B32">
            <w:pPr>
              <w:pStyle w:val="34"/>
              <w:ind w:firstLine="0" w:firstLineChars="0"/>
              <w:rPr>
                <w:kern w:val="0"/>
              </w:rPr>
            </w:pPr>
            <w:r>
              <w:rPr>
                <w:rFonts w:hint="eastAsia"/>
                <w:kern w:val="0"/>
              </w:rPr>
              <w:t>1</w:t>
            </w:r>
          </w:p>
        </w:tc>
        <w:tc>
          <w:tcPr>
            <w:tcW w:w="1873" w:type="pct"/>
            <w:tcBorders>
              <w:top w:val="single" w:color="auto" w:sz="4" w:space="0"/>
              <w:left w:val="single" w:color="auto" w:sz="4" w:space="0"/>
              <w:bottom w:val="single" w:color="auto" w:sz="4" w:space="0"/>
              <w:right w:val="single" w:color="auto" w:sz="4" w:space="0"/>
            </w:tcBorders>
            <w:vAlign w:val="center"/>
          </w:tcPr>
          <w:p w14:paraId="1EE3DEE1">
            <w:pPr>
              <w:pStyle w:val="34"/>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6C7BCAEA">
            <w:pPr>
              <w:pStyle w:val="34"/>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48017D9B">
            <w:pPr>
              <w:pStyle w:val="34"/>
              <w:ind w:firstLine="0" w:firstLineChars="0"/>
              <w:rPr>
                <w:b/>
                <w:kern w:val="0"/>
                <w:sz w:val="32"/>
                <w:szCs w:val="32"/>
              </w:rPr>
            </w:pPr>
          </w:p>
        </w:tc>
      </w:tr>
      <w:tr w14:paraId="1000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0C22EA96">
            <w:pPr>
              <w:pStyle w:val="34"/>
              <w:ind w:firstLine="0" w:firstLineChars="0"/>
              <w:rPr>
                <w:kern w:val="0"/>
              </w:rPr>
            </w:pPr>
            <w:r>
              <w:rPr>
                <w:rFonts w:hint="eastAsia"/>
                <w:kern w:val="0"/>
              </w:rPr>
              <w:t>2</w:t>
            </w:r>
          </w:p>
        </w:tc>
        <w:tc>
          <w:tcPr>
            <w:tcW w:w="1873" w:type="pct"/>
            <w:tcBorders>
              <w:top w:val="single" w:color="auto" w:sz="4" w:space="0"/>
              <w:left w:val="single" w:color="auto" w:sz="4" w:space="0"/>
              <w:bottom w:val="single" w:color="auto" w:sz="4" w:space="0"/>
              <w:right w:val="single" w:color="auto" w:sz="4" w:space="0"/>
            </w:tcBorders>
            <w:vAlign w:val="center"/>
          </w:tcPr>
          <w:p w14:paraId="12E50D0A">
            <w:pPr>
              <w:pStyle w:val="34"/>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0547036A">
            <w:pPr>
              <w:pStyle w:val="34"/>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03B156B7">
            <w:pPr>
              <w:pStyle w:val="34"/>
              <w:ind w:firstLine="0" w:firstLineChars="0"/>
              <w:rPr>
                <w:b/>
                <w:kern w:val="0"/>
                <w:sz w:val="32"/>
                <w:szCs w:val="32"/>
              </w:rPr>
            </w:pPr>
          </w:p>
        </w:tc>
      </w:tr>
      <w:tr w14:paraId="61A6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38A34BAF">
            <w:pPr>
              <w:pStyle w:val="34"/>
              <w:ind w:firstLine="0" w:firstLineChars="0"/>
              <w:rPr>
                <w:kern w:val="0"/>
              </w:rPr>
            </w:pPr>
            <w:r>
              <w:rPr>
                <w:rFonts w:hint="eastAsia"/>
                <w:kern w:val="0"/>
              </w:rPr>
              <w:t>……</w:t>
            </w:r>
          </w:p>
        </w:tc>
        <w:tc>
          <w:tcPr>
            <w:tcW w:w="1873" w:type="pct"/>
            <w:tcBorders>
              <w:top w:val="single" w:color="auto" w:sz="4" w:space="0"/>
              <w:left w:val="single" w:color="auto" w:sz="4" w:space="0"/>
              <w:bottom w:val="single" w:color="auto" w:sz="4" w:space="0"/>
              <w:right w:val="single" w:color="auto" w:sz="4" w:space="0"/>
            </w:tcBorders>
            <w:vAlign w:val="center"/>
          </w:tcPr>
          <w:p w14:paraId="0D405CAA">
            <w:pPr>
              <w:pStyle w:val="34"/>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38884D1F">
            <w:pPr>
              <w:pStyle w:val="34"/>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03591E18">
            <w:pPr>
              <w:pStyle w:val="34"/>
              <w:ind w:firstLine="0" w:firstLineChars="0"/>
              <w:rPr>
                <w:b/>
                <w:kern w:val="0"/>
                <w:sz w:val="32"/>
                <w:szCs w:val="32"/>
              </w:rPr>
            </w:pPr>
          </w:p>
        </w:tc>
      </w:tr>
    </w:tbl>
    <w:p w14:paraId="01EF666B">
      <w:pPr>
        <w:jc w:val="left"/>
        <w:rPr>
          <w:rFonts w:ascii="宋体" w:hAnsi="宋体"/>
          <w:kern w:val="0"/>
          <w:sz w:val="24"/>
          <w:szCs w:val="24"/>
        </w:rPr>
      </w:pPr>
      <w:r>
        <w:rPr>
          <w:rFonts w:hint="eastAsia" w:ascii="宋体" w:hAnsi="宋体"/>
          <w:kern w:val="0"/>
          <w:sz w:val="24"/>
          <w:szCs w:val="24"/>
        </w:rPr>
        <w:t>投标人保证：除商务技术偏离表列出的偏离外，投标人响应招标文件的全部要求</w:t>
      </w:r>
    </w:p>
    <w:p w14:paraId="6FDBE055">
      <w:pPr>
        <w:pStyle w:val="34"/>
        <w:ind w:firstLine="0" w:firstLineChars="0"/>
      </w:pPr>
    </w:p>
    <w:p w14:paraId="11459E77">
      <w:pPr>
        <w:pStyle w:val="34"/>
        <w:ind w:firstLine="0" w:firstLineChars="0"/>
      </w:pPr>
    </w:p>
    <w:p w14:paraId="62F83637">
      <w:pPr>
        <w:pStyle w:val="34"/>
        <w:ind w:firstLine="0" w:firstLineChars="0"/>
        <w:rPr>
          <w:lang w:eastAsia="zh-CN"/>
        </w:rPr>
      </w:pPr>
    </w:p>
    <w:p w14:paraId="64396712">
      <w:pPr>
        <w:pStyle w:val="34"/>
        <w:ind w:firstLine="0" w:firstLineChars="0"/>
      </w:pPr>
    </w:p>
    <w:p w14:paraId="79088E53">
      <w:pPr>
        <w:pStyle w:val="34"/>
        <w:ind w:firstLine="0" w:firstLineChars="0"/>
      </w:pPr>
    </w:p>
    <w:p w14:paraId="5CDA8D22">
      <w:pPr>
        <w:pStyle w:val="34"/>
        <w:ind w:firstLine="0" w:firstLineChars="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22D64770">
      <w:pPr>
        <w:pStyle w:val="34"/>
        <w:ind w:firstLine="0" w:firstLineChars="0"/>
      </w:pPr>
    </w:p>
    <w:p w14:paraId="1CAB525A">
      <w:pPr>
        <w:pStyle w:val="34"/>
        <w:ind w:firstLine="0" w:firstLineChars="0"/>
      </w:pPr>
      <w:r>
        <w:rPr>
          <w:rFonts w:hint="eastAsia"/>
        </w:rPr>
        <w:t>日期：   年   月   日</w:t>
      </w:r>
    </w:p>
    <w:p w14:paraId="394341C1">
      <w:pPr>
        <w:pStyle w:val="34"/>
        <w:ind w:firstLine="0" w:firstLineChars="0"/>
      </w:pP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0000000000000000000"/>
    <w:charset w:val="00"/>
    <w:family w:val="swiss"/>
    <w:pitch w:val="default"/>
    <w:sig w:usb0="00000000" w:usb1="00000000" w:usb2="00000000" w:usb3="00000000" w:csb0="2000019F" w:csb1="4F010000"/>
  </w:font>
  <w:font w:name="SimSong">
    <w:altName w:val="宋体"/>
    <w:panose1 w:val="02020300000000000000"/>
    <w:charset w:val="86"/>
    <w:family w:val="auto"/>
    <w:pitch w:val="default"/>
    <w:sig w:usb0="00000000" w:usb1="00000000" w:usb2="00000016" w:usb3="00000000" w:csb0="0004000D" w:csb1="00000000"/>
  </w:font>
  <w:font w:name="仿宋_GB2312">
    <w:altName w:val="仿宋"/>
    <w:panose1 w:val="020B0604020202020204"/>
    <w:charset w:val="86"/>
    <w:family w:val="modern"/>
    <w:pitch w:val="default"/>
    <w:sig w:usb0="00000000" w:usb1="00000000" w:usb2="00000010" w:usb3="00000000" w:csb0="000401F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A4D1">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0"/>
      </w:rPr>
      <w:id w:val="1946884916"/>
    </w:sdtPr>
    <w:sdtEndPr>
      <w:rPr>
        <w:rStyle w:val="30"/>
      </w:rPr>
    </w:sdtEndPr>
    <w:sdtContent>
      <w:p w14:paraId="16C7309D">
        <w:pPr>
          <w:pStyle w:val="19"/>
          <w:framePr w:wrap="auto" w:vAnchor="text" w:hAnchor="margin" w:xAlign="center" w:y="1"/>
          <w:ind w:firstLine="360"/>
          <w:rPr>
            <w:rStyle w:val="30"/>
          </w:rPr>
        </w:pPr>
        <w:r>
          <w:rPr>
            <w:rStyle w:val="30"/>
          </w:rPr>
          <w:fldChar w:fldCharType="begin"/>
        </w:r>
        <w:r>
          <w:rPr>
            <w:rStyle w:val="30"/>
          </w:rPr>
          <w:instrText xml:space="preserve"> PAGE </w:instrText>
        </w:r>
        <w:r>
          <w:rPr>
            <w:rStyle w:val="30"/>
          </w:rPr>
          <w:fldChar w:fldCharType="end"/>
        </w:r>
      </w:p>
    </w:sdtContent>
  </w:sdt>
  <w:sdt>
    <w:sdtPr>
      <w:rPr>
        <w:rStyle w:val="30"/>
      </w:rPr>
      <w:id w:val="-1"/>
    </w:sdtPr>
    <w:sdtEndPr>
      <w:rPr>
        <w:rStyle w:val="30"/>
      </w:rPr>
    </w:sdtEndPr>
    <w:sdtContent>
      <w:p w14:paraId="34EDFC23">
        <w:pPr>
          <w:pStyle w:val="19"/>
          <w:framePr w:wrap="auto" w:vAnchor="text" w:hAnchor="margin" w:xAlign="center" w:y="1"/>
          <w:ind w:firstLine="360"/>
          <w:rPr>
            <w:rStyle w:val="30"/>
          </w:rPr>
        </w:pPr>
        <w:r>
          <w:rPr>
            <w:rStyle w:val="30"/>
          </w:rPr>
          <w:fldChar w:fldCharType="begin"/>
        </w:r>
        <w:r>
          <w:rPr>
            <w:rStyle w:val="30"/>
          </w:rPr>
          <w:instrText xml:space="preserve"> PAGE </w:instrText>
        </w:r>
        <w:r>
          <w:rPr>
            <w:rStyle w:val="30"/>
          </w:rPr>
          <w:fldChar w:fldCharType="end"/>
        </w:r>
      </w:p>
    </w:sdtContent>
  </w:sdt>
  <w:sdt>
    <w:sdtPr>
      <w:rPr>
        <w:rStyle w:val="30"/>
      </w:rPr>
      <w:id w:val="1796788937"/>
    </w:sdtPr>
    <w:sdtEndPr>
      <w:rPr>
        <w:rStyle w:val="30"/>
      </w:rPr>
    </w:sdtEndPr>
    <w:sdtContent>
      <w:p w14:paraId="6DEDD08E">
        <w:pPr>
          <w:pStyle w:val="19"/>
          <w:framePr w:wrap="auto" w:vAnchor="text" w:hAnchor="margin" w:xAlign="center" w:y="1"/>
          <w:ind w:firstLine="360"/>
          <w:rPr>
            <w:rStyle w:val="30"/>
          </w:rPr>
        </w:pPr>
        <w:r>
          <w:rPr>
            <w:rStyle w:val="30"/>
          </w:rPr>
          <w:fldChar w:fldCharType="begin"/>
        </w:r>
        <w:r>
          <w:rPr>
            <w:rStyle w:val="30"/>
          </w:rPr>
          <w:instrText xml:space="preserve"> PAGE </w:instrText>
        </w:r>
        <w:r>
          <w:rPr>
            <w:rStyle w:val="30"/>
          </w:rPr>
          <w:fldChar w:fldCharType="end"/>
        </w:r>
      </w:p>
    </w:sdtContent>
  </w:sdt>
  <w:p w14:paraId="20621407">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B9CE1">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0"/>
      </w:rPr>
      <w:id w:val="1174761748"/>
    </w:sdtPr>
    <w:sdtEndPr>
      <w:rPr>
        <w:rStyle w:val="30"/>
        <w:sz w:val="24"/>
        <w:szCs w:val="24"/>
      </w:rPr>
    </w:sdtEndPr>
    <w:sdtContent>
      <w:p w14:paraId="309C0B4D">
        <w:pPr>
          <w:pStyle w:val="19"/>
          <w:framePr w:wrap="auto" w:vAnchor="text" w:hAnchor="margin" w:xAlign="center" w:y="1"/>
          <w:ind w:firstLine="360"/>
          <w:rPr>
            <w:rStyle w:val="30"/>
            <w:sz w:val="24"/>
            <w:szCs w:val="24"/>
          </w:rPr>
        </w:pPr>
        <w:r>
          <w:rPr>
            <w:rStyle w:val="30"/>
            <w:sz w:val="24"/>
            <w:szCs w:val="24"/>
          </w:rPr>
          <w:fldChar w:fldCharType="begin"/>
        </w:r>
        <w:r>
          <w:rPr>
            <w:rStyle w:val="30"/>
            <w:sz w:val="24"/>
            <w:szCs w:val="24"/>
          </w:rPr>
          <w:instrText xml:space="preserve"> PAGE </w:instrText>
        </w:r>
        <w:r>
          <w:rPr>
            <w:rStyle w:val="30"/>
            <w:sz w:val="24"/>
            <w:szCs w:val="24"/>
          </w:rPr>
          <w:fldChar w:fldCharType="separate"/>
        </w:r>
        <w:r>
          <w:rPr>
            <w:rStyle w:val="30"/>
            <w:sz w:val="24"/>
            <w:szCs w:val="24"/>
          </w:rPr>
          <w:t>I</w:t>
        </w:r>
        <w:r>
          <w:rPr>
            <w:rStyle w:val="30"/>
            <w:sz w:val="24"/>
            <w:szCs w:val="24"/>
          </w:rPr>
          <w:fldChar w:fldCharType="end"/>
        </w:r>
      </w:p>
    </w:sdtContent>
  </w:sdt>
  <w:p w14:paraId="7905CDA7">
    <w:pPr>
      <w:pStyle w:val="19"/>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0"/>
        <w:sz w:val="24"/>
        <w:szCs w:val="24"/>
      </w:rPr>
      <w:id w:val="73878355"/>
    </w:sdtPr>
    <w:sdtEndPr>
      <w:rPr>
        <w:rStyle w:val="30"/>
        <w:sz w:val="24"/>
        <w:szCs w:val="24"/>
      </w:rPr>
    </w:sdtEndPr>
    <w:sdtContent>
      <w:p w14:paraId="5B8B96B4">
        <w:pPr>
          <w:pStyle w:val="19"/>
          <w:framePr w:wrap="auto" w:vAnchor="text" w:hAnchor="margin" w:xAlign="center" w:y="1"/>
          <w:rPr>
            <w:rStyle w:val="30"/>
            <w:sz w:val="24"/>
            <w:szCs w:val="24"/>
          </w:rPr>
        </w:pPr>
        <w:r>
          <w:rPr>
            <w:rStyle w:val="30"/>
            <w:sz w:val="24"/>
            <w:szCs w:val="24"/>
          </w:rPr>
          <w:fldChar w:fldCharType="begin"/>
        </w:r>
        <w:r>
          <w:rPr>
            <w:rStyle w:val="30"/>
            <w:sz w:val="24"/>
            <w:szCs w:val="24"/>
          </w:rPr>
          <w:instrText xml:space="preserve"> PAGE </w:instrText>
        </w:r>
        <w:r>
          <w:rPr>
            <w:rStyle w:val="30"/>
            <w:sz w:val="24"/>
            <w:szCs w:val="24"/>
          </w:rPr>
          <w:fldChar w:fldCharType="separate"/>
        </w:r>
        <w:r>
          <w:rPr>
            <w:rStyle w:val="30"/>
            <w:sz w:val="24"/>
            <w:szCs w:val="24"/>
          </w:rPr>
          <w:t>1</w:t>
        </w:r>
        <w:r>
          <w:rPr>
            <w:rStyle w:val="30"/>
            <w:sz w:val="24"/>
            <w:szCs w:val="24"/>
          </w:rPr>
          <w:fldChar w:fldCharType="end"/>
        </w:r>
      </w:p>
    </w:sdtContent>
  </w:sdt>
  <w:p w14:paraId="1CB274E6">
    <w:pPr>
      <w:pStyle w:val="19"/>
      <w:rPr>
        <w:sz w:val="24"/>
        <w:szCs w:val="24"/>
      </w:rPr>
    </w:pPr>
  </w:p>
  <w:p w14:paraId="3B5E339A">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D5C5">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1A891">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A321">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D70DF">
    <w:pPr>
      <w:ind w:firstLine="420"/>
      <w:jc w:val="right"/>
    </w:pPr>
    <w:r>
      <w:rPr>
        <w:rFonts w:hint="eastAsia" w:ascii="宋体" w:hAnsi="宋体"/>
        <w:color w:val="auto"/>
        <w:lang w:eastAsia="zh-CN"/>
      </w:rPr>
      <w:t>浙江省应急管理厅安全生产和指挥调度类数字化系统保障服务</w:t>
    </w:r>
    <w:r>
      <w:rPr>
        <w:rFonts w:hint="eastAsia" w:ascii="宋体" w:hAnsi="宋体"/>
      </w:rPr>
      <w:t>项目</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D9BD3"/>
    <w:multiLevelType w:val="singleLevel"/>
    <w:tmpl w:val="812D9BD3"/>
    <w:lvl w:ilvl="0" w:tentative="0">
      <w:start w:val="1"/>
      <w:numFmt w:val="decimal"/>
      <w:suff w:val="nothing"/>
      <w:lvlText w:val="（%1）"/>
      <w:lvlJc w:val="left"/>
    </w:lvl>
  </w:abstractNum>
  <w:abstractNum w:abstractNumId="1">
    <w:nsid w:val="8583E8CA"/>
    <w:multiLevelType w:val="singleLevel"/>
    <w:tmpl w:val="8583E8CA"/>
    <w:lvl w:ilvl="0" w:tentative="0">
      <w:start w:val="1"/>
      <w:numFmt w:val="decimal"/>
      <w:suff w:val="nothing"/>
      <w:lvlText w:val="（%1）"/>
      <w:lvlJc w:val="left"/>
    </w:lvl>
  </w:abstractNum>
  <w:abstractNum w:abstractNumId="2">
    <w:nsid w:val="86C8DB69"/>
    <w:multiLevelType w:val="singleLevel"/>
    <w:tmpl w:val="86C8DB69"/>
    <w:lvl w:ilvl="0" w:tentative="0">
      <w:start w:val="1"/>
      <w:numFmt w:val="decimal"/>
      <w:suff w:val="nothing"/>
      <w:lvlText w:val="（%1）"/>
      <w:lvlJc w:val="left"/>
    </w:lvl>
  </w:abstractNum>
  <w:abstractNum w:abstractNumId="3">
    <w:nsid w:val="8883B993"/>
    <w:multiLevelType w:val="singleLevel"/>
    <w:tmpl w:val="8883B993"/>
    <w:lvl w:ilvl="0" w:tentative="0">
      <w:start w:val="1"/>
      <w:numFmt w:val="decimal"/>
      <w:suff w:val="nothing"/>
      <w:lvlText w:val="（%1）"/>
      <w:lvlJc w:val="left"/>
    </w:lvl>
  </w:abstractNum>
  <w:abstractNum w:abstractNumId="4">
    <w:nsid w:val="8AC1870B"/>
    <w:multiLevelType w:val="singleLevel"/>
    <w:tmpl w:val="8AC1870B"/>
    <w:lvl w:ilvl="0" w:tentative="0">
      <w:start w:val="1"/>
      <w:numFmt w:val="decimal"/>
      <w:suff w:val="nothing"/>
      <w:lvlText w:val="（%1）"/>
      <w:lvlJc w:val="left"/>
    </w:lvl>
  </w:abstractNum>
  <w:abstractNum w:abstractNumId="5">
    <w:nsid w:val="8D66F1D6"/>
    <w:multiLevelType w:val="singleLevel"/>
    <w:tmpl w:val="8D66F1D6"/>
    <w:lvl w:ilvl="0" w:tentative="0">
      <w:start w:val="1"/>
      <w:numFmt w:val="decimal"/>
      <w:suff w:val="nothing"/>
      <w:lvlText w:val="（%1）"/>
      <w:lvlJc w:val="left"/>
    </w:lvl>
  </w:abstractNum>
  <w:abstractNum w:abstractNumId="6">
    <w:nsid w:val="96CEC318"/>
    <w:multiLevelType w:val="singleLevel"/>
    <w:tmpl w:val="96CEC318"/>
    <w:lvl w:ilvl="0" w:tentative="0">
      <w:start w:val="1"/>
      <w:numFmt w:val="decimal"/>
      <w:suff w:val="nothing"/>
      <w:lvlText w:val="（%1）"/>
      <w:lvlJc w:val="left"/>
    </w:lvl>
  </w:abstractNum>
  <w:abstractNum w:abstractNumId="7">
    <w:nsid w:val="9F766825"/>
    <w:multiLevelType w:val="singleLevel"/>
    <w:tmpl w:val="9F766825"/>
    <w:lvl w:ilvl="0" w:tentative="0">
      <w:start w:val="1"/>
      <w:numFmt w:val="decimalEnclosedCircleChinese"/>
      <w:pStyle w:val="45"/>
      <w:suff w:val="nothing"/>
      <w:lvlText w:val="%1　"/>
      <w:lvlJc w:val="left"/>
      <w:pPr>
        <w:ind w:left="0" w:firstLine="0"/>
      </w:pPr>
      <w:rPr>
        <w:rFonts w:hint="eastAsia" w:ascii="宋体" w:hAnsi="宋体"/>
        <w:b w:val="0"/>
        <w:bCs w:val="0"/>
        <w:sz w:val="24"/>
      </w:rPr>
    </w:lvl>
  </w:abstractNum>
  <w:abstractNum w:abstractNumId="8">
    <w:nsid w:val="A0579A40"/>
    <w:multiLevelType w:val="singleLevel"/>
    <w:tmpl w:val="A0579A40"/>
    <w:lvl w:ilvl="0" w:tentative="0">
      <w:start w:val="1"/>
      <w:numFmt w:val="decimal"/>
      <w:suff w:val="nothing"/>
      <w:lvlText w:val="（%1）"/>
      <w:lvlJc w:val="left"/>
    </w:lvl>
  </w:abstractNum>
  <w:abstractNum w:abstractNumId="9">
    <w:nsid w:val="A1845A67"/>
    <w:multiLevelType w:val="singleLevel"/>
    <w:tmpl w:val="A1845A67"/>
    <w:lvl w:ilvl="0" w:tentative="0">
      <w:start w:val="1"/>
      <w:numFmt w:val="decimal"/>
      <w:suff w:val="nothing"/>
      <w:lvlText w:val="（%1）"/>
      <w:lvlJc w:val="left"/>
    </w:lvl>
  </w:abstractNum>
  <w:abstractNum w:abstractNumId="10">
    <w:nsid w:val="A206E741"/>
    <w:multiLevelType w:val="singleLevel"/>
    <w:tmpl w:val="A206E741"/>
    <w:lvl w:ilvl="0" w:tentative="0">
      <w:start w:val="1"/>
      <w:numFmt w:val="decimal"/>
      <w:suff w:val="nothing"/>
      <w:lvlText w:val="（%1）"/>
      <w:lvlJc w:val="left"/>
    </w:lvl>
  </w:abstractNum>
  <w:abstractNum w:abstractNumId="11">
    <w:nsid w:val="B045B586"/>
    <w:multiLevelType w:val="singleLevel"/>
    <w:tmpl w:val="B045B586"/>
    <w:lvl w:ilvl="0" w:tentative="0">
      <w:start w:val="1"/>
      <w:numFmt w:val="decimal"/>
      <w:suff w:val="nothing"/>
      <w:lvlText w:val="（%1）"/>
      <w:lvlJc w:val="left"/>
    </w:lvl>
  </w:abstractNum>
  <w:abstractNum w:abstractNumId="12">
    <w:nsid w:val="B1390E39"/>
    <w:multiLevelType w:val="singleLevel"/>
    <w:tmpl w:val="B1390E39"/>
    <w:lvl w:ilvl="0" w:tentative="0">
      <w:start w:val="1"/>
      <w:numFmt w:val="decimal"/>
      <w:suff w:val="nothing"/>
      <w:lvlText w:val="（%1）"/>
      <w:lvlJc w:val="left"/>
    </w:lvl>
  </w:abstractNum>
  <w:abstractNum w:abstractNumId="13">
    <w:nsid w:val="B49A4C7F"/>
    <w:multiLevelType w:val="singleLevel"/>
    <w:tmpl w:val="B49A4C7F"/>
    <w:lvl w:ilvl="0" w:tentative="0">
      <w:start w:val="1"/>
      <w:numFmt w:val="decimal"/>
      <w:suff w:val="nothing"/>
      <w:lvlText w:val="（%1）"/>
      <w:lvlJc w:val="left"/>
    </w:lvl>
  </w:abstractNum>
  <w:abstractNum w:abstractNumId="14">
    <w:nsid w:val="B74B918E"/>
    <w:multiLevelType w:val="singleLevel"/>
    <w:tmpl w:val="B74B918E"/>
    <w:lvl w:ilvl="0" w:tentative="0">
      <w:start w:val="1"/>
      <w:numFmt w:val="decimal"/>
      <w:suff w:val="nothing"/>
      <w:lvlText w:val="%1、"/>
      <w:lvlJc w:val="left"/>
    </w:lvl>
  </w:abstractNum>
  <w:abstractNum w:abstractNumId="15">
    <w:nsid w:val="C40B999C"/>
    <w:multiLevelType w:val="singleLevel"/>
    <w:tmpl w:val="C40B999C"/>
    <w:lvl w:ilvl="0" w:tentative="0">
      <w:start w:val="1"/>
      <w:numFmt w:val="decimal"/>
      <w:suff w:val="nothing"/>
      <w:lvlText w:val="（%1）"/>
      <w:lvlJc w:val="left"/>
    </w:lvl>
  </w:abstractNum>
  <w:abstractNum w:abstractNumId="16">
    <w:nsid w:val="C7E77097"/>
    <w:multiLevelType w:val="singleLevel"/>
    <w:tmpl w:val="C7E77097"/>
    <w:lvl w:ilvl="0" w:tentative="0">
      <w:start w:val="1"/>
      <w:numFmt w:val="decimal"/>
      <w:suff w:val="nothing"/>
      <w:lvlText w:val="（%1）"/>
      <w:lvlJc w:val="left"/>
    </w:lvl>
  </w:abstractNum>
  <w:abstractNum w:abstractNumId="17">
    <w:nsid w:val="C8DBE13B"/>
    <w:multiLevelType w:val="singleLevel"/>
    <w:tmpl w:val="C8DBE13B"/>
    <w:lvl w:ilvl="0" w:tentative="0">
      <w:start w:val="2"/>
      <w:numFmt w:val="decimal"/>
      <w:suff w:val="nothing"/>
      <w:lvlText w:val="%1、"/>
      <w:lvlJc w:val="left"/>
    </w:lvl>
  </w:abstractNum>
  <w:abstractNum w:abstractNumId="18">
    <w:nsid w:val="CD517DBF"/>
    <w:multiLevelType w:val="singleLevel"/>
    <w:tmpl w:val="CD517DBF"/>
    <w:lvl w:ilvl="0" w:tentative="0">
      <w:start w:val="1"/>
      <w:numFmt w:val="decimal"/>
      <w:suff w:val="nothing"/>
      <w:lvlText w:val="（%1）"/>
      <w:lvlJc w:val="left"/>
    </w:lvl>
  </w:abstractNum>
  <w:abstractNum w:abstractNumId="19">
    <w:nsid w:val="D972E44D"/>
    <w:multiLevelType w:val="multilevel"/>
    <w:tmpl w:val="D972E44D"/>
    <w:lvl w:ilvl="0" w:tentative="0">
      <w:start w:val="1"/>
      <w:numFmt w:val="chineseCountingThousand"/>
      <w:pStyle w:val="35"/>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0"/>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20">
    <w:nsid w:val="E2738AB1"/>
    <w:multiLevelType w:val="singleLevel"/>
    <w:tmpl w:val="E2738AB1"/>
    <w:lvl w:ilvl="0" w:tentative="0">
      <w:start w:val="1"/>
      <w:numFmt w:val="decimal"/>
      <w:suff w:val="nothing"/>
      <w:lvlText w:val="（%1）"/>
      <w:lvlJc w:val="left"/>
    </w:lvl>
  </w:abstractNum>
  <w:abstractNum w:abstractNumId="21">
    <w:nsid w:val="E7010027"/>
    <w:multiLevelType w:val="singleLevel"/>
    <w:tmpl w:val="E7010027"/>
    <w:lvl w:ilvl="0" w:tentative="0">
      <w:start w:val="1"/>
      <w:numFmt w:val="decimal"/>
      <w:suff w:val="nothing"/>
      <w:lvlText w:val="（%1）"/>
      <w:lvlJc w:val="left"/>
    </w:lvl>
  </w:abstractNum>
  <w:abstractNum w:abstractNumId="22">
    <w:nsid w:val="E8FCFB58"/>
    <w:multiLevelType w:val="singleLevel"/>
    <w:tmpl w:val="E8FCFB58"/>
    <w:lvl w:ilvl="0" w:tentative="0">
      <w:start w:val="1"/>
      <w:numFmt w:val="decimal"/>
      <w:suff w:val="nothing"/>
      <w:lvlText w:val="（%1）"/>
      <w:lvlJc w:val="left"/>
    </w:lvl>
  </w:abstractNum>
  <w:abstractNum w:abstractNumId="23">
    <w:nsid w:val="EB21FEA8"/>
    <w:multiLevelType w:val="singleLevel"/>
    <w:tmpl w:val="EB21FEA8"/>
    <w:lvl w:ilvl="0" w:tentative="0">
      <w:start w:val="1"/>
      <w:numFmt w:val="decimal"/>
      <w:suff w:val="nothing"/>
      <w:lvlText w:val="（%1）"/>
      <w:lvlJc w:val="left"/>
    </w:lvl>
  </w:abstractNum>
  <w:abstractNum w:abstractNumId="24">
    <w:nsid w:val="EC62A856"/>
    <w:multiLevelType w:val="singleLevel"/>
    <w:tmpl w:val="EC62A856"/>
    <w:lvl w:ilvl="0" w:tentative="0">
      <w:start w:val="1"/>
      <w:numFmt w:val="decimal"/>
      <w:suff w:val="nothing"/>
      <w:lvlText w:val="（%1）"/>
      <w:lvlJc w:val="left"/>
    </w:lvl>
  </w:abstractNum>
  <w:abstractNum w:abstractNumId="25">
    <w:nsid w:val="F7BC88F7"/>
    <w:multiLevelType w:val="singleLevel"/>
    <w:tmpl w:val="F7BC88F7"/>
    <w:lvl w:ilvl="0" w:tentative="0">
      <w:start w:val="1"/>
      <w:numFmt w:val="decimal"/>
      <w:pStyle w:val="44"/>
      <w:lvlText w:val="（%1）"/>
      <w:lvlJc w:val="left"/>
      <w:pPr>
        <w:ind w:left="0" w:firstLine="0"/>
      </w:pPr>
      <w:rPr>
        <w:rFonts w:hint="eastAsia" w:ascii="宋体" w:hAnsi="宋体" w:eastAsia="宋体"/>
        <w:sz w:val="24"/>
      </w:rPr>
    </w:lvl>
  </w:abstractNum>
  <w:abstractNum w:abstractNumId="26">
    <w:nsid w:val="F87AC52D"/>
    <w:multiLevelType w:val="singleLevel"/>
    <w:tmpl w:val="F87AC52D"/>
    <w:lvl w:ilvl="0" w:tentative="0">
      <w:start w:val="1"/>
      <w:numFmt w:val="decimal"/>
      <w:suff w:val="nothing"/>
      <w:lvlText w:val="（%1）"/>
      <w:lvlJc w:val="left"/>
    </w:lvl>
  </w:abstractNum>
  <w:abstractNum w:abstractNumId="27">
    <w:nsid w:val="FB7A1B30"/>
    <w:multiLevelType w:val="singleLevel"/>
    <w:tmpl w:val="FB7A1B30"/>
    <w:lvl w:ilvl="0" w:tentative="0">
      <w:start w:val="1"/>
      <w:numFmt w:val="decimal"/>
      <w:suff w:val="nothing"/>
      <w:lvlText w:val="%1、"/>
      <w:lvlJc w:val="left"/>
    </w:lvl>
  </w:abstractNum>
  <w:abstractNum w:abstractNumId="28">
    <w:nsid w:val="02D7655D"/>
    <w:multiLevelType w:val="singleLevel"/>
    <w:tmpl w:val="02D7655D"/>
    <w:lvl w:ilvl="0" w:tentative="0">
      <w:start w:val="1"/>
      <w:numFmt w:val="decimal"/>
      <w:suff w:val="nothing"/>
      <w:lvlText w:val="（%1）"/>
      <w:lvlJc w:val="left"/>
    </w:lvl>
  </w:abstractNum>
  <w:abstractNum w:abstractNumId="29">
    <w:nsid w:val="047213A4"/>
    <w:multiLevelType w:val="singleLevel"/>
    <w:tmpl w:val="047213A4"/>
    <w:lvl w:ilvl="0" w:tentative="0">
      <w:start w:val="1"/>
      <w:numFmt w:val="decimal"/>
      <w:suff w:val="nothing"/>
      <w:lvlText w:val="（%1）"/>
      <w:lvlJc w:val="left"/>
    </w:lvl>
  </w:abstractNum>
  <w:abstractNum w:abstractNumId="30">
    <w:nsid w:val="07BF61C1"/>
    <w:multiLevelType w:val="singleLevel"/>
    <w:tmpl w:val="07BF61C1"/>
    <w:lvl w:ilvl="0" w:tentative="0">
      <w:start w:val="1"/>
      <w:numFmt w:val="decimal"/>
      <w:suff w:val="nothing"/>
      <w:lvlText w:val="（%1）"/>
      <w:lvlJc w:val="left"/>
    </w:lvl>
  </w:abstractNum>
  <w:abstractNum w:abstractNumId="31">
    <w:nsid w:val="08991369"/>
    <w:multiLevelType w:val="singleLevel"/>
    <w:tmpl w:val="08991369"/>
    <w:lvl w:ilvl="0" w:tentative="0">
      <w:start w:val="1"/>
      <w:numFmt w:val="decimal"/>
      <w:suff w:val="nothing"/>
      <w:lvlText w:val="（%1）"/>
      <w:lvlJc w:val="left"/>
    </w:lvl>
  </w:abstractNum>
  <w:abstractNum w:abstractNumId="32">
    <w:nsid w:val="09716039"/>
    <w:multiLevelType w:val="singleLevel"/>
    <w:tmpl w:val="09716039"/>
    <w:lvl w:ilvl="0" w:tentative="0">
      <w:start w:val="1"/>
      <w:numFmt w:val="decimal"/>
      <w:suff w:val="nothing"/>
      <w:lvlText w:val="（%1）"/>
      <w:lvlJc w:val="left"/>
    </w:lvl>
  </w:abstractNum>
  <w:abstractNum w:abstractNumId="33">
    <w:nsid w:val="0A923EAD"/>
    <w:multiLevelType w:val="singleLevel"/>
    <w:tmpl w:val="0A923EAD"/>
    <w:lvl w:ilvl="0" w:tentative="0">
      <w:start w:val="1"/>
      <w:numFmt w:val="decimal"/>
      <w:suff w:val="nothing"/>
      <w:lvlText w:val="（%1）"/>
      <w:lvlJc w:val="left"/>
    </w:lvl>
  </w:abstractNum>
  <w:abstractNum w:abstractNumId="34">
    <w:nsid w:val="0CA72976"/>
    <w:multiLevelType w:val="singleLevel"/>
    <w:tmpl w:val="0CA72976"/>
    <w:lvl w:ilvl="0" w:tentative="0">
      <w:start w:val="1"/>
      <w:numFmt w:val="decimal"/>
      <w:suff w:val="nothing"/>
      <w:lvlText w:val="（%1）"/>
      <w:lvlJc w:val="left"/>
    </w:lvl>
  </w:abstractNum>
  <w:abstractNum w:abstractNumId="35">
    <w:nsid w:val="0D531FDA"/>
    <w:multiLevelType w:val="singleLevel"/>
    <w:tmpl w:val="0D531FDA"/>
    <w:lvl w:ilvl="0" w:tentative="0">
      <w:start w:val="1"/>
      <w:numFmt w:val="decimal"/>
      <w:suff w:val="nothing"/>
      <w:lvlText w:val="（%1）"/>
      <w:lvlJc w:val="left"/>
      <w:rPr>
        <w:rFonts w:hint="default"/>
        <w:color w:val="auto"/>
      </w:rPr>
    </w:lvl>
  </w:abstractNum>
  <w:abstractNum w:abstractNumId="36">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37">
    <w:nsid w:val="10E1A825"/>
    <w:multiLevelType w:val="singleLevel"/>
    <w:tmpl w:val="10E1A825"/>
    <w:lvl w:ilvl="0" w:tentative="0">
      <w:start w:val="1"/>
      <w:numFmt w:val="decimal"/>
      <w:suff w:val="nothing"/>
      <w:lvlText w:val="（%1）"/>
      <w:lvlJc w:val="left"/>
    </w:lvl>
  </w:abstractNum>
  <w:abstractNum w:abstractNumId="38">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39">
    <w:nsid w:val="19504831"/>
    <w:multiLevelType w:val="singleLevel"/>
    <w:tmpl w:val="19504831"/>
    <w:lvl w:ilvl="0" w:tentative="0">
      <w:start w:val="1"/>
      <w:numFmt w:val="decimal"/>
      <w:suff w:val="nothing"/>
      <w:lvlText w:val="（%1）"/>
      <w:lvlJc w:val="left"/>
    </w:lvl>
  </w:abstractNum>
  <w:abstractNum w:abstractNumId="40">
    <w:nsid w:val="1ADA6C1D"/>
    <w:multiLevelType w:val="singleLevel"/>
    <w:tmpl w:val="1ADA6C1D"/>
    <w:lvl w:ilvl="0" w:tentative="0">
      <w:start w:val="1"/>
      <w:numFmt w:val="decimal"/>
      <w:suff w:val="nothing"/>
      <w:lvlText w:val="（%1）"/>
      <w:lvlJc w:val="left"/>
    </w:lvl>
  </w:abstractNum>
  <w:abstractNum w:abstractNumId="41">
    <w:nsid w:val="1FFDECC1"/>
    <w:multiLevelType w:val="singleLevel"/>
    <w:tmpl w:val="1FFDECC1"/>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42">
    <w:nsid w:val="26F27D5E"/>
    <w:multiLevelType w:val="singleLevel"/>
    <w:tmpl w:val="26F27D5E"/>
    <w:lvl w:ilvl="0" w:tentative="0">
      <w:start w:val="1"/>
      <w:numFmt w:val="chineseCounting"/>
      <w:suff w:val="nothing"/>
      <w:lvlText w:val="（%1）"/>
      <w:lvlJc w:val="left"/>
      <w:rPr>
        <w:rFonts w:hint="eastAsia"/>
      </w:rPr>
    </w:lvl>
  </w:abstractNum>
  <w:abstractNum w:abstractNumId="43">
    <w:nsid w:val="2DB8C9F3"/>
    <w:multiLevelType w:val="singleLevel"/>
    <w:tmpl w:val="2DB8C9F3"/>
    <w:lvl w:ilvl="0" w:tentative="0">
      <w:start w:val="1"/>
      <w:numFmt w:val="decimal"/>
      <w:suff w:val="nothing"/>
      <w:lvlText w:val="（%1）"/>
      <w:lvlJc w:val="left"/>
    </w:lvl>
  </w:abstractNum>
  <w:abstractNum w:abstractNumId="44">
    <w:nsid w:val="30D3DBA2"/>
    <w:multiLevelType w:val="singleLevel"/>
    <w:tmpl w:val="30D3DBA2"/>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45">
    <w:nsid w:val="328CD084"/>
    <w:multiLevelType w:val="singleLevel"/>
    <w:tmpl w:val="328CD084"/>
    <w:lvl w:ilvl="0" w:tentative="0">
      <w:start w:val="1"/>
      <w:numFmt w:val="decimal"/>
      <w:suff w:val="nothing"/>
      <w:lvlText w:val="（%1）"/>
      <w:lvlJc w:val="left"/>
    </w:lvl>
  </w:abstractNum>
  <w:abstractNum w:abstractNumId="46">
    <w:nsid w:val="34137078"/>
    <w:multiLevelType w:val="singleLevel"/>
    <w:tmpl w:val="34137078"/>
    <w:lvl w:ilvl="0" w:tentative="0">
      <w:start w:val="1"/>
      <w:numFmt w:val="decimal"/>
      <w:suff w:val="nothing"/>
      <w:lvlText w:val="（%1）"/>
      <w:lvlJc w:val="left"/>
    </w:lvl>
  </w:abstractNum>
  <w:abstractNum w:abstractNumId="47">
    <w:nsid w:val="372AB492"/>
    <w:multiLevelType w:val="singleLevel"/>
    <w:tmpl w:val="372AB492"/>
    <w:lvl w:ilvl="0" w:tentative="0">
      <w:start w:val="1"/>
      <w:numFmt w:val="decimal"/>
      <w:suff w:val="nothing"/>
      <w:lvlText w:val="（%1）"/>
      <w:lvlJc w:val="left"/>
    </w:lvl>
  </w:abstractNum>
  <w:abstractNum w:abstractNumId="48">
    <w:nsid w:val="3A5173ED"/>
    <w:multiLevelType w:val="singleLevel"/>
    <w:tmpl w:val="3A5173ED"/>
    <w:lvl w:ilvl="0" w:tentative="0">
      <w:start w:val="1"/>
      <w:numFmt w:val="decimal"/>
      <w:suff w:val="nothing"/>
      <w:lvlText w:val="（%1）"/>
      <w:lvlJc w:val="left"/>
    </w:lvl>
  </w:abstractNum>
  <w:abstractNum w:abstractNumId="49">
    <w:nsid w:val="3CC7AB02"/>
    <w:multiLevelType w:val="singleLevel"/>
    <w:tmpl w:val="3CC7AB02"/>
    <w:lvl w:ilvl="0" w:tentative="0">
      <w:start w:val="1"/>
      <w:numFmt w:val="decimal"/>
      <w:suff w:val="nothing"/>
      <w:lvlText w:val="（%1）"/>
      <w:lvlJc w:val="left"/>
    </w:lvl>
  </w:abstractNum>
  <w:abstractNum w:abstractNumId="50">
    <w:nsid w:val="3D2A69BD"/>
    <w:multiLevelType w:val="singleLevel"/>
    <w:tmpl w:val="3D2A69BD"/>
    <w:lvl w:ilvl="0" w:tentative="0">
      <w:start w:val="1"/>
      <w:numFmt w:val="decimal"/>
      <w:suff w:val="nothing"/>
      <w:lvlText w:val="（%1）"/>
      <w:lvlJc w:val="left"/>
    </w:lvl>
  </w:abstractNum>
  <w:abstractNum w:abstractNumId="51">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52">
    <w:nsid w:val="41070297"/>
    <w:multiLevelType w:val="singleLevel"/>
    <w:tmpl w:val="41070297"/>
    <w:lvl w:ilvl="0" w:tentative="0">
      <w:start w:val="1"/>
      <w:numFmt w:val="decimal"/>
      <w:suff w:val="nothing"/>
      <w:lvlText w:val="（%1）"/>
      <w:lvlJc w:val="left"/>
    </w:lvl>
  </w:abstractNum>
  <w:abstractNum w:abstractNumId="53">
    <w:nsid w:val="4183ACB5"/>
    <w:multiLevelType w:val="singleLevel"/>
    <w:tmpl w:val="4183ACB5"/>
    <w:lvl w:ilvl="0" w:tentative="0">
      <w:start w:val="1"/>
      <w:numFmt w:val="decimal"/>
      <w:suff w:val="nothing"/>
      <w:lvlText w:val="（%1）"/>
      <w:lvlJc w:val="left"/>
    </w:lvl>
  </w:abstractNum>
  <w:abstractNum w:abstractNumId="54">
    <w:nsid w:val="43F6F92C"/>
    <w:multiLevelType w:val="singleLevel"/>
    <w:tmpl w:val="43F6F92C"/>
    <w:lvl w:ilvl="0" w:tentative="0">
      <w:start w:val="1"/>
      <w:numFmt w:val="decimal"/>
      <w:suff w:val="nothing"/>
      <w:lvlText w:val="（%1）"/>
      <w:lvlJc w:val="left"/>
    </w:lvl>
  </w:abstractNum>
  <w:abstractNum w:abstractNumId="55">
    <w:nsid w:val="451A78A2"/>
    <w:multiLevelType w:val="singleLevel"/>
    <w:tmpl w:val="451A78A2"/>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56">
    <w:nsid w:val="525F960D"/>
    <w:multiLevelType w:val="singleLevel"/>
    <w:tmpl w:val="525F960D"/>
    <w:lvl w:ilvl="0" w:tentative="0">
      <w:start w:val="1"/>
      <w:numFmt w:val="decimal"/>
      <w:suff w:val="nothing"/>
      <w:lvlText w:val="（%1）"/>
      <w:lvlJc w:val="left"/>
    </w:lvl>
  </w:abstractNum>
  <w:abstractNum w:abstractNumId="57">
    <w:nsid w:val="54721CAA"/>
    <w:multiLevelType w:val="singleLevel"/>
    <w:tmpl w:val="54721CAA"/>
    <w:lvl w:ilvl="0" w:tentative="0">
      <w:start w:val="1"/>
      <w:numFmt w:val="decimal"/>
      <w:suff w:val="nothing"/>
      <w:lvlText w:val="（%1）"/>
      <w:lvlJc w:val="left"/>
    </w:lvl>
  </w:abstractNum>
  <w:abstractNum w:abstractNumId="58">
    <w:nsid w:val="592411F5"/>
    <w:multiLevelType w:val="singleLevel"/>
    <w:tmpl w:val="592411F5"/>
    <w:lvl w:ilvl="0" w:tentative="0">
      <w:start w:val="1"/>
      <w:numFmt w:val="decimal"/>
      <w:suff w:val="nothing"/>
      <w:lvlText w:val="（%1）"/>
      <w:lvlJc w:val="left"/>
    </w:lvl>
  </w:abstractNum>
  <w:abstractNum w:abstractNumId="59">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6"/>
      <w:suff w:val="nothing"/>
      <w:lvlText w:val="%2、"/>
      <w:lvlJc w:val="left"/>
      <w:pPr>
        <w:ind w:left="200" w:firstLine="0"/>
      </w:pPr>
      <w:rPr>
        <w:rFonts w:hint="eastAsia" w:ascii="黑体" w:hAnsi="黑体" w:eastAsia="黑体" w:cs="宋体"/>
        <w:b w:val="0"/>
        <w:i w:val="0"/>
        <w:sz w:val="32"/>
      </w:rPr>
    </w:lvl>
    <w:lvl w:ilvl="2" w:tentative="0">
      <w:start w:val="1"/>
      <w:numFmt w:val="decimal"/>
      <w:pStyle w:val="37"/>
      <w:suff w:val="nothing"/>
      <w:lvlText w:val="%3."/>
      <w:lvlJc w:val="left"/>
      <w:pPr>
        <w:ind w:left="200" w:firstLine="0"/>
      </w:pPr>
      <w:rPr>
        <w:rFonts w:hint="eastAsia" w:ascii="黑体" w:hAnsi="黑体" w:eastAsia="黑体" w:cs="宋体"/>
        <w:b w:val="0"/>
        <w:i w:val="0"/>
        <w:sz w:val="28"/>
      </w:rPr>
    </w:lvl>
    <w:lvl w:ilvl="3" w:tentative="0">
      <w:start w:val="1"/>
      <w:numFmt w:val="decimal"/>
      <w:pStyle w:val="33"/>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38"/>
      <w:suff w:val="nothing"/>
      <w:lvlText w:val="%3.%4.%5 "/>
      <w:lvlJc w:val="left"/>
      <w:pPr>
        <w:tabs>
          <w:tab w:val="left" w:pos="0"/>
        </w:tabs>
        <w:ind w:left="0" w:leftChars="0" w:firstLine="0" w:firstLineChars="0"/>
      </w:pPr>
      <w:rPr>
        <w:rFonts w:hint="eastAsia" w:ascii="宋体" w:hAnsi="宋体" w:eastAsia="宋体" w:cs="宋体"/>
        <w:b/>
      </w:rPr>
    </w:lvl>
    <w:lvl w:ilvl="5" w:tentative="0">
      <w:start w:val="1"/>
      <w:numFmt w:val="decimal"/>
      <w:pStyle w:val="39"/>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60">
    <w:nsid w:val="6DD40FF7"/>
    <w:multiLevelType w:val="singleLevel"/>
    <w:tmpl w:val="6DD40FF7"/>
    <w:lvl w:ilvl="0" w:tentative="0">
      <w:start w:val="1"/>
      <w:numFmt w:val="decimal"/>
      <w:suff w:val="nothing"/>
      <w:lvlText w:val="（%1）"/>
      <w:lvlJc w:val="left"/>
    </w:lvl>
  </w:abstractNum>
  <w:abstractNum w:abstractNumId="61">
    <w:nsid w:val="6F55E3DB"/>
    <w:multiLevelType w:val="singleLevel"/>
    <w:tmpl w:val="6F55E3DB"/>
    <w:lvl w:ilvl="0" w:tentative="0">
      <w:start w:val="1"/>
      <w:numFmt w:val="decimal"/>
      <w:suff w:val="nothing"/>
      <w:lvlText w:val="（%1）"/>
      <w:lvlJc w:val="left"/>
    </w:lvl>
  </w:abstractNum>
  <w:abstractNum w:abstractNumId="62">
    <w:nsid w:val="70135676"/>
    <w:multiLevelType w:val="multilevel"/>
    <w:tmpl w:val="70135676"/>
    <w:lvl w:ilvl="0" w:tentative="0">
      <w:start w:val="1"/>
      <w:numFmt w:val="bullet"/>
      <w:pStyle w:val="46"/>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3">
    <w:nsid w:val="74F3CC49"/>
    <w:multiLevelType w:val="singleLevel"/>
    <w:tmpl w:val="74F3CC49"/>
    <w:lvl w:ilvl="0" w:tentative="0">
      <w:start w:val="1"/>
      <w:numFmt w:val="decimal"/>
      <w:suff w:val="nothing"/>
      <w:lvlText w:val="（%1）"/>
      <w:lvlJc w:val="left"/>
    </w:lvl>
  </w:abstractNum>
  <w:abstractNum w:abstractNumId="64">
    <w:nsid w:val="794AF17E"/>
    <w:multiLevelType w:val="singleLevel"/>
    <w:tmpl w:val="794AF17E"/>
    <w:lvl w:ilvl="0" w:tentative="0">
      <w:start w:val="1"/>
      <w:numFmt w:val="decimal"/>
      <w:suff w:val="nothing"/>
      <w:lvlText w:val="（%1）"/>
      <w:lvlJc w:val="left"/>
    </w:lvl>
  </w:abstractNum>
  <w:num w:numId="1">
    <w:abstractNumId w:val="38"/>
  </w:num>
  <w:num w:numId="2">
    <w:abstractNumId w:val="59"/>
  </w:num>
  <w:num w:numId="3">
    <w:abstractNumId w:val="19"/>
  </w:num>
  <w:num w:numId="4">
    <w:abstractNumId w:val="25"/>
  </w:num>
  <w:num w:numId="5">
    <w:abstractNumId w:val="7"/>
  </w:num>
  <w:num w:numId="6">
    <w:abstractNumId w:val="62"/>
  </w:num>
  <w:num w:numId="7">
    <w:abstractNumId w:val="25"/>
    <w:lvlOverride w:ilvl="0">
      <w:startOverride w:val="1"/>
    </w:lvlOverride>
  </w:num>
  <w:num w:numId="8">
    <w:abstractNumId w:val="25"/>
    <w:lvlOverride w:ilvl="0">
      <w:startOverride w:val="1"/>
    </w:lvlOverride>
  </w:num>
  <w:num w:numId="9">
    <w:abstractNumId w:val="25"/>
    <w:lvlOverride w:ilvl="0">
      <w:startOverride w:val="1"/>
    </w:lvlOverride>
  </w:num>
  <w:num w:numId="10">
    <w:abstractNumId w:val="25"/>
    <w:lvlOverride w:ilvl="0">
      <w:startOverride w:val="1"/>
    </w:lvlOverride>
  </w:num>
  <w:num w:numId="11">
    <w:abstractNumId w:val="25"/>
    <w:lvlOverride w:ilvl="0">
      <w:startOverride w:val="1"/>
    </w:lvlOverride>
  </w:num>
  <w:num w:numId="12">
    <w:abstractNumId w:val="7"/>
    <w:lvlOverride w:ilvl="0">
      <w:startOverride w:val="1"/>
    </w:lvlOverride>
  </w:num>
  <w:num w:numId="13">
    <w:abstractNumId w:val="25"/>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7"/>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5"/>
    <w:lvlOverride w:ilvl="0">
      <w:startOverride w:val="1"/>
    </w:lvlOverride>
  </w:num>
  <w:num w:numId="24">
    <w:abstractNumId w:val="25"/>
    <w:lvlOverride w:ilvl="0">
      <w:startOverride w:val="1"/>
    </w:lvlOverride>
  </w:num>
  <w:num w:numId="25">
    <w:abstractNumId w:val="25"/>
    <w:lvlOverride w:ilvl="0">
      <w:startOverride w:val="1"/>
    </w:lvlOverride>
  </w:num>
  <w:num w:numId="26">
    <w:abstractNumId w:val="25"/>
    <w:lvlOverride w:ilvl="0">
      <w:startOverride w:val="1"/>
    </w:lvlOverride>
  </w:num>
  <w:num w:numId="27">
    <w:abstractNumId w:val="25"/>
    <w:lvlOverride w:ilvl="0">
      <w:startOverride w:val="1"/>
    </w:lvlOverride>
  </w:num>
  <w:num w:numId="28">
    <w:abstractNumId w:val="25"/>
    <w:lvlOverride w:ilvl="0">
      <w:startOverride w:val="1"/>
    </w:lvlOverride>
  </w:num>
  <w:num w:numId="29">
    <w:abstractNumId w:val="25"/>
    <w:lvlOverride w:ilvl="0">
      <w:startOverride w:val="1"/>
    </w:lvlOverride>
  </w:num>
  <w:num w:numId="30">
    <w:abstractNumId w:val="25"/>
    <w:lvlOverride w:ilvl="0">
      <w:startOverride w:val="1"/>
    </w:lvlOverride>
  </w:num>
  <w:num w:numId="31">
    <w:abstractNumId w:val="25"/>
    <w:lvlOverride w:ilvl="0">
      <w:startOverride w:val="1"/>
    </w:lvlOverride>
  </w:num>
  <w:num w:numId="32">
    <w:abstractNumId w:val="25"/>
    <w:lvlOverride w:ilvl="0">
      <w:startOverride w:val="1"/>
    </w:lvlOverride>
  </w:num>
  <w:num w:numId="33">
    <w:abstractNumId w:val="25"/>
    <w:lvlOverride w:ilvl="0">
      <w:startOverride w:val="1"/>
    </w:lvlOverride>
  </w:num>
  <w:num w:numId="34">
    <w:abstractNumId w:val="7"/>
    <w:lvlOverride w:ilvl="0">
      <w:startOverride w:val="1"/>
    </w:lvlOverride>
  </w:num>
  <w:num w:numId="35">
    <w:abstractNumId w:val="25"/>
    <w:lvlOverride w:ilvl="0">
      <w:startOverride w:val="1"/>
    </w:lvlOverride>
  </w:num>
  <w:num w:numId="36">
    <w:abstractNumId w:val="25"/>
    <w:lvlOverride w:ilvl="0">
      <w:startOverride w:val="1"/>
    </w:lvlOverride>
  </w:num>
  <w:num w:numId="37">
    <w:abstractNumId w:val="7"/>
    <w:lvlOverride w:ilvl="0">
      <w:startOverride w:val="1"/>
    </w:lvlOverride>
  </w:num>
  <w:num w:numId="38">
    <w:abstractNumId w:val="25"/>
    <w:lvlOverride w:ilvl="0">
      <w:startOverride w:val="1"/>
    </w:lvlOverride>
  </w:num>
  <w:num w:numId="39">
    <w:abstractNumId w:val="25"/>
    <w:lvlOverride w:ilvl="0">
      <w:startOverride w:val="1"/>
    </w:lvlOverride>
  </w:num>
  <w:num w:numId="40">
    <w:abstractNumId w:val="25"/>
    <w:lvlOverride w:ilvl="0">
      <w:startOverride w:val="1"/>
    </w:lvlOverride>
  </w:num>
  <w:num w:numId="41">
    <w:abstractNumId w:val="25"/>
    <w:lvlOverride w:ilvl="0">
      <w:startOverride w:val="1"/>
    </w:lvlOverride>
  </w:num>
  <w:num w:numId="42">
    <w:abstractNumId w:val="25"/>
    <w:lvlOverride w:ilvl="0">
      <w:startOverride w:val="1"/>
    </w:lvlOverride>
  </w:num>
  <w:num w:numId="43">
    <w:abstractNumId w:val="25"/>
    <w:lvlOverride w:ilvl="0">
      <w:startOverride w:val="1"/>
    </w:lvlOverride>
  </w:num>
  <w:num w:numId="44">
    <w:abstractNumId w:val="25"/>
    <w:lvlOverride w:ilvl="0">
      <w:startOverride w:val="1"/>
    </w:lvlOverride>
  </w:num>
  <w:num w:numId="45">
    <w:abstractNumId w:val="7"/>
    <w:lvlOverride w:ilvl="0">
      <w:startOverride w:val="1"/>
    </w:lvlOverride>
  </w:num>
  <w:num w:numId="46">
    <w:abstractNumId w:val="25"/>
    <w:lvlOverride w:ilvl="0">
      <w:startOverride w:val="1"/>
    </w:lvlOverride>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42"/>
  </w:num>
  <w:num w:numId="50">
    <w:abstractNumId w:val="40"/>
  </w:num>
  <w:num w:numId="51">
    <w:abstractNumId w:val="22"/>
  </w:num>
  <w:num w:numId="52">
    <w:abstractNumId w:val="29"/>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4"/>
  </w:num>
  <w:num w:numId="56">
    <w:abstractNumId w:val="58"/>
  </w:num>
  <w:num w:numId="57">
    <w:abstractNumId w:val="49"/>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num>
  <w:num w:numId="60">
    <w:abstractNumId w:val="48"/>
  </w:num>
  <w:num w:numId="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num>
  <w:num w:numId="64">
    <w:abstractNumId w:val="10"/>
  </w:num>
  <w:num w:numId="65">
    <w:abstractNumId w:val="20"/>
  </w:num>
  <w:num w:numId="66">
    <w:abstractNumId w:val="45"/>
  </w:num>
  <w:num w:numId="67">
    <w:abstractNumId w:val="60"/>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num>
  <w:num w:numId="70">
    <w:abstractNumId w:val="37"/>
  </w:num>
  <w:num w:numId="71">
    <w:abstractNumId w:val="1"/>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num>
  <w:num w:numId="74">
    <w:abstractNumId w:val="2"/>
  </w:num>
  <w:num w:numId="75">
    <w:abstractNumId w:val="39"/>
  </w:num>
  <w:num w:numId="76">
    <w:abstractNumId w:val="43"/>
  </w:num>
  <w:num w:numId="77">
    <w:abstractNumId w:val="31"/>
  </w:num>
  <w:num w:numId="78">
    <w:abstractNumId w:val="63"/>
  </w:num>
  <w:num w:numId="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3"/>
  </w:num>
  <w:num w:numId="81">
    <w:abstractNumId w:val="11"/>
  </w:num>
  <w:num w:numId="82">
    <w:abstractNumId w:val="23"/>
  </w:num>
  <w:num w:numId="83">
    <w:abstractNumId w:val="57"/>
  </w:num>
  <w:num w:numId="8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
  </w:num>
  <w:num w:numId="86">
    <w:abstractNumId w:val="46"/>
  </w:num>
  <w:num w:numId="87">
    <w:abstractNumId w:val="56"/>
  </w:num>
  <w:num w:numId="88">
    <w:abstractNumId w:val="21"/>
  </w:num>
  <w:num w:numId="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
  </w:num>
  <w:num w:numId="91">
    <w:abstractNumId w:val="54"/>
  </w:num>
  <w:num w:numId="92">
    <w:abstractNumId w:val="35"/>
  </w:num>
  <w:num w:numId="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
  </w:num>
  <w:num w:numId="95">
    <w:abstractNumId w:val="28"/>
  </w:num>
  <w:num w:numId="96">
    <w:abstractNumId w:val="8"/>
  </w:num>
  <w:num w:numId="97">
    <w:abstractNumId w:val="52"/>
  </w:num>
  <w:num w:numId="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2"/>
  </w:num>
  <w:num w:numId="100">
    <w:abstractNumId w:val="16"/>
  </w:num>
  <w:num w:numId="101">
    <w:abstractNumId w:val="15"/>
  </w:num>
  <w:num w:numId="102">
    <w:abstractNumId w:val="64"/>
  </w:num>
  <w:num w:numId="1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
  </w:num>
  <w:num w:numId="105">
    <w:abstractNumId w:val="33"/>
  </w:num>
  <w:num w:numId="106">
    <w:abstractNumId w:val="26"/>
  </w:num>
  <w:num w:numId="107">
    <w:abstractNumId w:val="24"/>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6"/>
  </w:num>
  <w:num w:numId="110">
    <w:abstractNumId w:val="55"/>
  </w:num>
  <w:num w:numId="111">
    <w:abstractNumId w:val="61"/>
  </w:num>
  <w:num w:numId="112">
    <w:abstractNumId w:val="18"/>
  </w:num>
  <w:num w:numId="113">
    <w:abstractNumId w:val="50"/>
  </w:num>
  <w:num w:numId="114">
    <w:abstractNumId w:val="34"/>
  </w:num>
  <w:num w:numId="115">
    <w:abstractNumId w:val="17"/>
  </w:num>
  <w:num w:numId="116">
    <w:abstractNumId w:val="25"/>
    <w:lvlOverride w:ilvl="0">
      <w:startOverride w:val="1"/>
    </w:lvlOverride>
  </w:num>
  <w:num w:numId="117">
    <w:abstractNumId w:val="25"/>
    <w:lvlOverride w:ilvl="0">
      <w:startOverride w:val="1"/>
    </w:lvlOverride>
  </w:num>
  <w:num w:numId="118">
    <w:abstractNumId w:val="25"/>
    <w:lvlOverride w:ilvl="0">
      <w:startOverride w:val="1"/>
    </w:lvlOverride>
  </w:num>
  <w:num w:numId="119">
    <w:abstractNumId w:val="7"/>
    <w:lvlOverride w:ilvl="0">
      <w:startOverride w:val="1"/>
    </w:lvlOverride>
  </w:num>
  <w:num w:numId="120">
    <w:abstractNumId w:val="7"/>
    <w:lvlOverride w:ilvl="0">
      <w:startOverride w:val="1"/>
    </w:lvlOverride>
  </w:num>
  <w:num w:numId="121">
    <w:abstractNumId w:val="25"/>
    <w:lvlOverride w:ilvl="0">
      <w:startOverride w:val="1"/>
    </w:lvlOverride>
  </w:num>
  <w:num w:numId="122">
    <w:abstractNumId w:val="7"/>
    <w:lvlOverride w:ilvl="0">
      <w:startOverride w:val="1"/>
    </w:lvlOverride>
  </w:num>
  <w:num w:numId="123">
    <w:abstractNumId w:val="7"/>
    <w:lvlOverride w:ilvl="0">
      <w:startOverride w:val="1"/>
    </w:lvlOverride>
  </w:num>
  <w:num w:numId="124">
    <w:abstractNumId w:val="25"/>
    <w:lvlOverride w:ilvl="0">
      <w:startOverride w:val="1"/>
    </w:lvlOverride>
  </w:num>
  <w:num w:numId="125">
    <w:abstractNumId w:val="25"/>
    <w:lvlOverride w:ilvl="0">
      <w:startOverride w:val="1"/>
    </w:lvlOverride>
  </w:num>
  <w:num w:numId="126">
    <w:abstractNumId w:val="7"/>
    <w:lvlOverride w:ilvl="0">
      <w:startOverride w:val="1"/>
    </w:lvlOverride>
  </w:num>
  <w:num w:numId="127">
    <w:abstractNumId w:val="25"/>
    <w:lvlOverride w:ilvl="0">
      <w:startOverride w:val="1"/>
    </w:lvlOverride>
  </w:num>
  <w:num w:numId="128">
    <w:abstractNumId w:val="25"/>
    <w:lvlOverride w:ilvl="0">
      <w:startOverride w:val="1"/>
    </w:lvlOverride>
  </w:num>
  <w:num w:numId="129">
    <w:abstractNumId w:val="25"/>
    <w:lvlOverride w:ilvl="0">
      <w:startOverride w:val="1"/>
    </w:lvlOverride>
  </w:num>
  <w:num w:numId="130">
    <w:abstractNumId w:val="25"/>
    <w:lvlOverride w:ilvl="0">
      <w:startOverride w:val="1"/>
    </w:lvlOverride>
  </w:num>
  <w:num w:numId="1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5"/>
    <w:lvlOverride w:ilvl="0">
      <w:startOverride w:val="1"/>
    </w:lvlOverride>
  </w:num>
  <w:num w:numId="133">
    <w:abstractNumId w:val="25"/>
    <w:lvlOverride w:ilvl="0">
      <w:startOverride w:val="1"/>
    </w:lvlOverride>
  </w:num>
  <w:num w:numId="134">
    <w:abstractNumId w:val="25"/>
    <w:lvlOverride w:ilvl="0">
      <w:startOverride w:val="1"/>
    </w:lvlOverride>
  </w:num>
  <w:num w:numId="135">
    <w:abstractNumId w:val="25"/>
    <w:lvlOverride w:ilvl="0">
      <w:startOverride w:val="1"/>
    </w:lvlOverride>
  </w:num>
  <w:num w:numId="136">
    <w:abstractNumId w:val="51"/>
  </w:num>
  <w:num w:numId="137">
    <w:abstractNumId w:val="25"/>
    <w:lvlOverride w:ilvl="0">
      <w:startOverride w:val="1"/>
    </w:lvlOverride>
  </w:num>
  <w:num w:numId="138">
    <w:abstractNumId w:val="14"/>
  </w:num>
  <w:num w:numId="139">
    <w:abstractNumId w:val="44"/>
  </w:num>
  <w:num w:numId="140">
    <w:abstractNumId w:val="27"/>
  </w:num>
  <w:num w:numId="14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wbl4++vYiKoJghFTVMRKfOkDIlE=" w:salt="aUOVmMhfOE/E70APXjJaow=="/>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41E5"/>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C4B89"/>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1E71A42"/>
    <w:rsid w:val="027501E1"/>
    <w:rsid w:val="02892211"/>
    <w:rsid w:val="042518DB"/>
    <w:rsid w:val="0438160E"/>
    <w:rsid w:val="050B6CD8"/>
    <w:rsid w:val="072F516A"/>
    <w:rsid w:val="0796D3FB"/>
    <w:rsid w:val="079741FB"/>
    <w:rsid w:val="07FF854F"/>
    <w:rsid w:val="087A4733"/>
    <w:rsid w:val="08D6027D"/>
    <w:rsid w:val="08DB75C2"/>
    <w:rsid w:val="096F1219"/>
    <w:rsid w:val="0BD12152"/>
    <w:rsid w:val="0BEBB73D"/>
    <w:rsid w:val="0D0A6117"/>
    <w:rsid w:val="0D7923B7"/>
    <w:rsid w:val="0DCE6AD0"/>
    <w:rsid w:val="0DD3123D"/>
    <w:rsid w:val="0DFA7935"/>
    <w:rsid w:val="0F057DC6"/>
    <w:rsid w:val="0F7F47F8"/>
    <w:rsid w:val="1027040D"/>
    <w:rsid w:val="11BA2B57"/>
    <w:rsid w:val="121A7C63"/>
    <w:rsid w:val="121B142F"/>
    <w:rsid w:val="13F80CA3"/>
    <w:rsid w:val="14181987"/>
    <w:rsid w:val="14865AF1"/>
    <w:rsid w:val="14E97070"/>
    <w:rsid w:val="156D668C"/>
    <w:rsid w:val="168D7598"/>
    <w:rsid w:val="16FD344A"/>
    <w:rsid w:val="179161B2"/>
    <w:rsid w:val="17BB1B1D"/>
    <w:rsid w:val="187D363C"/>
    <w:rsid w:val="18B057C0"/>
    <w:rsid w:val="18C13DF2"/>
    <w:rsid w:val="19FC4C6F"/>
    <w:rsid w:val="1A465B48"/>
    <w:rsid w:val="1A8B2040"/>
    <w:rsid w:val="1AD65CA8"/>
    <w:rsid w:val="1AE60D31"/>
    <w:rsid w:val="1B4E0F17"/>
    <w:rsid w:val="1B51511C"/>
    <w:rsid w:val="1B6B1E72"/>
    <w:rsid w:val="1BB16480"/>
    <w:rsid w:val="1BB227AD"/>
    <w:rsid w:val="1CDF6BDD"/>
    <w:rsid w:val="1D6BC6DA"/>
    <w:rsid w:val="1D7BF350"/>
    <w:rsid w:val="1D962329"/>
    <w:rsid w:val="1E5D0198"/>
    <w:rsid w:val="1E764C06"/>
    <w:rsid w:val="1EB678A8"/>
    <w:rsid w:val="1EE3B8A4"/>
    <w:rsid w:val="1F5B0159"/>
    <w:rsid w:val="1FDE9620"/>
    <w:rsid w:val="1FE43FA1"/>
    <w:rsid w:val="20586E69"/>
    <w:rsid w:val="20827A42"/>
    <w:rsid w:val="21162880"/>
    <w:rsid w:val="218A6A2A"/>
    <w:rsid w:val="21AF16D4"/>
    <w:rsid w:val="221D3307"/>
    <w:rsid w:val="23953F30"/>
    <w:rsid w:val="23B154B3"/>
    <w:rsid w:val="23C61AC1"/>
    <w:rsid w:val="23FB6C61"/>
    <w:rsid w:val="246075FB"/>
    <w:rsid w:val="25291D6C"/>
    <w:rsid w:val="26260FC9"/>
    <w:rsid w:val="27914A0E"/>
    <w:rsid w:val="27E70DD0"/>
    <w:rsid w:val="27FDD23F"/>
    <w:rsid w:val="27FEC50A"/>
    <w:rsid w:val="28883B68"/>
    <w:rsid w:val="289D3530"/>
    <w:rsid w:val="28D371F8"/>
    <w:rsid w:val="29967FE6"/>
    <w:rsid w:val="2A435A59"/>
    <w:rsid w:val="2AAD6003"/>
    <w:rsid w:val="2AFC533B"/>
    <w:rsid w:val="2B4E5D1F"/>
    <w:rsid w:val="2BD001FB"/>
    <w:rsid w:val="2C6B1836"/>
    <w:rsid w:val="2CDA143B"/>
    <w:rsid w:val="2CFA0557"/>
    <w:rsid w:val="2CFF5B0A"/>
    <w:rsid w:val="2CFF951F"/>
    <w:rsid w:val="2D14016F"/>
    <w:rsid w:val="2D686211"/>
    <w:rsid w:val="2EDE9B0B"/>
    <w:rsid w:val="2F436F36"/>
    <w:rsid w:val="2F8D8B6B"/>
    <w:rsid w:val="2F9A551E"/>
    <w:rsid w:val="30142080"/>
    <w:rsid w:val="301D32E3"/>
    <w:rsid w:val="305331A8"/>
    <w:rsid w:val="312243DD"/>
    <w:rsid w:val="31E06CBE"/>
    <w:rsid w:val="327F21CD"/>
    <w:rsid w:val="33893EA4"/>
    <w:rsid w:val="341E52C9"/>
    <w:rsid w:val="343FBDFC"/>
    <w:rsid w:val="34A71D15"/>
    <w:rsid w:val="353335A8"/>
    <w:rsid w:val="35EE67A8"/>
    <w:rsid w:val="3632603F"/>
    <w:rsid w:val="37F53F17"/>
    <w:rsid w:val="38343716"/>
    <w:rsid w:val="38812C8C"/>
    <w:rsid w:val="38EF44A6"/>
    <w:rsid w:val="39A454A1"/>
    <w:rsid w:val="39C7A863"/>
    <w:rsid w:val="39E734D3"/>
    <w:rsid w:val="3A0B68A2"/>
    <w:rsid w:val="3A406AF3"/>
    <w:rsid w:val="3A77CAB5"/>
    <w:rsid w:val="3B1039FE"/>
    <w:rsid w:val="3B33420F"/>
    <w:rsid w:val="3BB347E9"/>
    <w:rsid w:val="3BDB0304"/>
    <w:rsid w:val="3BFE0614"/>
    <w:rsid w:val="3C1F6635"/>
    <w:rsid w:val="3C2120EF"/>
    <w:rsid w:val="3CB5C02A"/>
    <w:rsid w:val="3CBED392"/>
    <w:rsid w:val="3CDF0994"/>
    <w:rsid w:val="3CE02894"/>
    <w:rsid w:val="3CFF71C5"/>
    <w:rsid w:val="3D3FE990"/>
    <w:rsid w:val="3D7A1A73"/>
    <w:rsid w:val="3DB4589F"/>
    <w:rsid w:val="3DF96DFA"/>
    <w:rsid w:val="3DFFB5C3"/>
    <w:rsid w:val="3E65647A"/>
    <w:rsid w:val="3E7F1016"/>
    <w:rsid w:val="3ECE1E48"/>
    <w:rsid w:val="3F1F38D0"/>
    <w:rsid w:val="3F2F42E2"/>
    <w:rsid w:val="3F3B3D73"/>
    <w:rsid w:val="3F5B7E1E"/>
    <w:rsid w:val="3F674616"/>
    <w:rsid w:val="3F6F537A"/>
    <w:rsid w:val="3F7FFECC"/>
    <w:rsid w:val="3FB5AC1B"/>
    <w:rsid w:val="3FBD7177"/>
    <w:rsid w:val="3FC79D77"/>
    <w:rsid w:val="3FEEC14F"/>
    <w:rsid w:val="3FFBC6F9"/>
    <w:rsid w:val="3FFEB24E"/>
    <w:rsid w:val="3FFF167F"/>
    <w:rsid w:val="3FFF9203"/>
    <w:rsid w:val="405C1C05"/>
    <w:rsid w:val="411424E0"/>
    <w:rsid w:val="42591BC2"/>
    <w:rsid w:val="42D03BCD"/>
    <w:rsid w:val="431004D3"/>
    <w:rsid w:val="43E94C15"/>
    <w:rsid w:val="44211B26"/>
    <w:rsid w:val="44665933"/>
    <w:rsid w:val="44706E4E"/>
    <w:rsid w:val="447B63D2"/>
    <w:rsid w:val="44CE29A6"/>
    <w:rsid w:val="45B24076"/>
    <w:rsid w:val="45D40490"/>
    <w:rsid w:val="466B5DD7"/>
    <w:rsid w:val="4677493E"/>
    <w:rsid w:val="46D02155"/>
    <w:rsid w:val="476F7F38"/>
    <w:rsid w:val="47B74BD0"/>
    <w:rsid w:val="47E77020"/>
    <w:rsid w:val="47EF2FF8"/>
    <w:rsid w:val="47F20A37"/>
    <w:rsid w:val="4815C42B"/>
    <w:rsid w:val="48362FAB"/>
    <w:rsid w:val="4855584B"/>
    <w:rsid w:val="48723EE1"/>
    <w:rsid w:val="48D13DC0"/>
    <w:rsid w:val="49482184"/>
    <w:rsid w:val="49663AF5"/>
    <w:rsid w:val="4AD056CA"/>
    <w:rsid w:val="4AFF5D99"/>
    <w:rsid w:val="4B296B88"/>
    <w:rsid w:val="4B5FBB05"/>
    <w:rsid w:val="4BEA6E37"/>
    <w:rsid w:val="4BEFB432"/>
    <w:rsid w:val="4CE52C5E"/>
    <w:rsid w:val="4D1F0243"/>
    <w:rsid w:val="4D2D6125"/>
    <w:rsid w:val="4D337DBA"/>
    <w:rsid w:val="4D7C503F"/>
    <w:rsid w:val="4DA649B2"/>
    <w:rsid w:val="4DD0778F"/>
    <w:rsid w:val="4DD10580"/>
    <w:rsid w:val="4EBFDDAC"/>
    <w:rsid w:val="4F220A90"/>
    <w:rsid w:val="4FD73BDD"/>
    <w:rsid w:val="4FDF906D"/>
    <w:rsid w:val="4FFB19E6"/>
    <w:rsid w:val="50B74C36"/>
    <w:rsid w:val="50D650BC"/>
    <w:rsid w:val="511D0F3D"/>
    <w:rsid w:val="51BFB8B8"/>
    <w:rsid w:val="51DE7622"/>
    <w:rsid w:val="52310D91"/>
    <w:rsid w:val="537FCE90"/>
    <w:rsid w:val="53FF43C0"/>
    <w:rsid w:val="553AE2E5"/>
    <w:rsid w:val="55AC288F"/>
    <w:rsid w:val="56974B04"/>
    <w:rsid w:val="56CD35B2"/>
    <w:rsid w:val="57703ADC"/>
    <w:rsid w:val="57B36157"/>
    <w:rsid w:val="57BD5274"/>
    <w:rsid w:val="58595213"/>
    <w:rsid w:val="58B442C6"/>
    <w:rsid w:val="59513E7A"/>
    <w:rsid w:val="596060B9"/>
    <w:rsid w:val="59CB6A71"/>
    <w:rsid w:val="59F94692"/>
    <w:rsid w:val="5AA62200"/>
    <w:rsid w:val="5AE4C5ED"/>
    <w:rsid w:val="5AFF017B"/>
    <w:rsid w:val="5B413251"/>
    <w:rsid w:val="5BB7B9E7"/>
    <w:rsid w:val="5BEF6AB8"/>
    <w:rsid w:val="5C361105"/>
    <w:rsid w:val="5CEDC3D3"/>
    <w:rsid w:val="5DAEA7C8"/>
    <w:rsid w:val="5E08087F"/>
    <w:rsid w:val="5E8B1BDC"/>
    <w:rsid w:val="5E8C5954"/>
    <w:rsid w:val="5F13455C"/>
    <w:rsid w:val="5F1DD9AE"/>
    <w:rsid w:val="5F342895"/>
    <w:rsid w:val="5F4E26F5"/>
    <w:rsid w:val="5F5C54EE"/>
    <w:rsid w:val="5F7F97C6"/>
    <w:rsid w:val="5F9C5723"/>
    <w:rsid w:val="5FAD1355"/>
    <w:rsid w:val="5FBC5DC5"/>
    <w:rsid w:val="5FBF9A3E"/>
    <w:rsid w:val="5FDE3172"/>
    <w:rsid w:val="5FDFC41D"/>
    <w:rsid w:val="5FDFFC9F"/>
    <w:rsid w:val="5FE79FDF"/>
    <w:rsid w:val="5FE7AF0C"/>
    <w:rsid w:val="5FEE6F22"/>
    <w:rsid w:val="5FF33F52"/>
    <w:rsid w:val="5FFA5473"/>
    <w:rsid w:val="5FFBA56E"/>
    <w:rsid w:val="5FFF036A"/>
    <w:rsid w:val="5FFFE3C3"/>
    <w:rsid w:val="600C59C5"/>
    <w:rsid w:val="60591866"/>
    <w:rsid w:val="60593DD8"/>
    <w:rsid w:val="61B7013F"/>
    <w:rsid w:val="62BFA792"/>
    <w:rsid w:val="62C35C03"/>
    <w:rsid w:val="62FCAC37"/>
    <w:rsid w:val="63051831"/>
    <w:rsid w:val="63F149E0"/>
    <w:rsid w:val="64D63485"/>
    <w:rsid w:val="65384140"/>
    <w:rsid w:val="65414C65"/>
    <w:rsid w:val="659365A2"/>
    <w:rsid w:val="659F4F21"/>
    <w:rsid w:val="6646463A"/>
    <w:rsid w:val="66E665E2"/>
    <w:rsid w:val="67114C48"/>
    <w:rsid w:val="676267C8"/>
    <w:rsid w:val="67714745"/>
    <w:rsid w:val="67DE2109"/>
    <w:rsid w:val="67EF3138"/>
    <w:rsid w:val="67F109C6"/>
    <w:rsid w:val="68133F3A"/>
    <w:rsid w:val="68E72104"/>
    <w:rsid w:val="697EF400"/>
    <w:rsid w:val="6A774AFD"/>
    <w:rsid w:val="6A971908"/>
    <w:rsid w:val="6B1747F7"/>
    <w:rsid w:val="6B8F4205"/>
    <w:rsid w:val="6B9ABF87"/>
    <w:rsid w:val="6C5C4BB7"/>
    <w:rsid w:val="6CD40BF2"/>
    <w:rsid w:val="6CF87521"/>
    <w:rsid w:val="6D3D887E"/>
    <w:rsid w:val="6D98460A"/>
    <w:rsid w:val="6DF6A74B"/>
    <w:rsid w:val="6DFCB159"/>
    <w:rsid w:val="6E095F38"/>
    <w:rsid w:val="6E5B64D3"/>
    <w:rsid w:val="6E778CB3"/>
    <w:rsid w:val="6EC304C5"/>
    <w:rsid w:val="6EFCAADA"/>
    <w:rsid w:val="6F8D5A98"/>
    <w:rsid w:val="6F8E7013"/>
    <w:rsid w:val="6FAFB84E"/>
    <w:rsid w:val="6FBD116D"/>
    <w:rsid w:val="6FBE3B17"/>
    <w:rsid w:val="6FBFCF91"/>
    <w:rsid w:val="6FCF54C7"/>
    <w:rsid w:val="6FDB13D9"/>
    <w:rsid w:val="6FE5EF43"/>
    <w:rsid w:val="6FFFA2D3"/>
    <w:rsid w:val="6FFFE22A"/>
    <w:rsid w:val="7064228D"/>
    <w:rsid w:val="709F18D4"/>
    <w:rsid w:val="714A76D4"/>
    <w:rsid w:val="7163101D"/>
    <w:rsid w:val="71720362"/>
    <w:rsid w:val="71A212BE"/>
    <w:rsid w:val="71B03CBB"/>
    <w:rsid w:val="71FF0800"/>
    <w:rsid w:val="73384944"/>
    <w:rsid w:val="735BF0D6"/>
    <w:rsid w:val="73795419"/>
    <w:rsid w:val="73912DA8"/>
    <w:rsid w:val="73BAE62B"/>
    <w:rsid w:val="73D980D6"/>
    <w:rsid w:val="73DE35DD"/>
    <w:rsid w:val="73DF2463"/>
    <w:rsid w:val="74220495"/>
    <w:rsid w:val="744A0BDF"/>
    <w:rsid w:val="744D1B66"/>
    <w:rsid w:val="745146CF"/>
    <w:rsid w:val="74B51713"/>
    <w:rsid w:val="74BA7465"/>
    <w:rsid w:val="74C03D7D"/>
    <w:rsid w:val="74D40F33"/>
    <w:rsid w:val="74D534CB"/>
    <w:rsid w:val="75CF7543"/>
    <w:rsid w:val="75D7C189"/>
    <w:rsid w:val="75ED4E7F"/>
    <w:rsid w:val="766FDE46"/>
    <w:rsid w:val="76EFAB40"/>
    <w:rsid w:val="7756DB3F"/>
    <w:rsid w:val="77B42C43"/>
    <w:rsid w:val="77B8F39F"/>
    <w:rsid w:val="77BDF20E"/>
    <w:rsid w:val="77BF40F4"/>
    <w:rsid w:val="77D38E54"/>
    <w:rsid w:val="77DACF8E"/>
    <w:rsid w:val="77DC24E5"/>
    <w:rsid w:val="77DFCE77"/>
    <w:rsid w:val="77E77C3E"/>
    <w:rsid w:val="77ED0B87"/>
    <w:rsid w:val="77EF5A0D"/>
    <w:rsid w:val="77FB8CA4"/>
    <w:rsid w:val="77FE0D68"/>
    <w:rsid w:val="77FF5330"/>
    <w:rsid w:val="77FF967F"/>
    <w:rsid w:val="783B66FD"/>
    <w:rsid w:val="78404608"/>
    <w:rsid w:val="79516EBF"/>
    <w:rsid w:val="79579149"/>
    <w:rsid w:val="79AF9382"/>
    <w:rsid w:val="79D73ACF"/>
    <w:rsid w:val="79EFF248"/>
    <w:rsid w:val="7A3E03B2"/>
    <w:rsid w:val="7AD45EB0"/>
    <w:rsid w:val="7AF1471D"/>
    <w:rsid w:val="7B3F6139"/>
    <w:rsid w:val="7B6EF84B"/>
    <w:rsid w:val="7B6FD08A"/>
    <w:rsid w:val="7B75923D"/>
    <w:rsid w:val="7B9F7BD3"/>
    <w:rsid w:val="7BBFBB09"/>
    <w:rsid w:val="7BED7A96"/>
    <w:rsid w:val="7BEF461D"/>
    <w:rsid w:val="7BEFFFDD"/>
    <w:rsid w:val="7BF7888A"/>
    <w:rsid w:val="7C573517"/>
    <w:rsid w:val="7CBE0B6D"/>
    <w:rsid w:val="7CFA2B51"/>
    <w:rsid w:val="7D2363DD"/>
    <w:rsid w:val="7D7653AD"/>
    <w:rsid w:val="7D7E866D"/>
    <w:rsid w:val="7D7F5B00"/>
    <w:rsid w:val="7DBD9416"/>
    <w:rsid w:val="7DC8317D"/>
    <w:rsid w:val="7DED4D94"/>
    <w:rsid w:val="7DED514F"/>
    <w:rsid w:val="7DEF709D"/>
    <w:rsid w:val="7DFB2E2F"/>
    <w:rsid w:val="7DFEA12B"/>
    <w:rsid w:val="7DFF57E7"/>
    <w:rsid w:val="7E21356B"/>
    <w:rsid w:val="7E3B5F9D"/>
    <w:rsid w:val="7E3D4CF4"/>
    <w:rsid w:val="7E47A669"/>
    <w:rsid w:val="7E4B403F"/>
    <w:rsid w:val="7E713A37"/>
    <w:rsid w:val="7E7DA57B"/>
    <w:rsid w:val="7E7FCB42"/>
    <w:rsid w:val="7E931BEB"/>
    <w:rsid w:val="7EB2FEE9"/>
    <w:rsid w:val="7EB70FD2"/>
    <w:rsid w:val="7ECF43A1"/>
    <w:rsid w:val="7EEFF3D8"/>
    <w:rsid w:val="7EF509DB"/>
    <w:rsid w:val="7EFB7483"/>
    <w:rsid w:val="7EFC4EB4"/>
    <w:rsid w:val="7EFF13A8"/>
    <w:rsid w:val="7EFFBE46"/>
    <w:rsid w:val="7F3578DB"/>
    <w:rsid w:val="7F3EC118"/>
    <w:rsid w:val="7F3FFA65"/>
    <w:rsid w:val="7F577C2B"/>
    <w:rsid w:val="7F70007D"/>
    <w:rsid w:val="7F8B6CC2"/>
    <w:rsid w:val="7F9DEE33"/>
    <w:rsid w:val="7FADCB74"/>
    <w:rsid w:val="7FB5C0A0"/>
    <w:rsid w:val="7FCF8D05"/>
    <w:rsid w:val="7FDDFE87"/>
    <w:rsid w:val="7FDE1BCD"/>
    <w:rsid w:val="7FDFBE82"/>
    <w:rsid w:val="7FE70695"/>
    <w:rsid w:val="7FE90E8C"/>
    <w:rsid w:val="7FE91AAD"/>
    <w:rsid w:val="7FEF6E20"/>
    <w:rsid w:val="7FF3D3A2"/>
    <w:rsid w:val="7FF70807"/>
    <w:rsid w:val="7FFABEA4"/>
    <w:rsid w:val="7FFBEB5A"/>
    <w:rsid w:val="7FFDB050"/>
    <w:rsid w:val="7FFE17A1"/>
    <w:rsid w:val="7FFFC32B"/>
    <w:rsid w:val="8AFFE2D3"/>
    <w:rsid w:val="8B6F2F59"/>
    <w:rsid w:val="8DEB351F"/>
    <w:rsid w:val="8F6F3630"/>
    <w:rsid w:val="97EFC523"/>
    <w:rsid w:val="9B7B6C10"/>
    <w:rsid w:val="9DF72364"/>
    <w:rsid w:val="9EBD9FC2"/>
    <w:rsid w:val="9EDFFCE3"/>
    <w:rsid w:val="9EE7F689"/>
    <w:rsid w:val="9FDFE765"/>
    <w:rsid w:val="A35E25E8"/>
    <w:rsid w:val="A5C5B003"/>
    <w:rsid w:val="A9EFEE5B"/>
    <w:rsid w:val="AB394EED"/>
    <w:rsid w:val="ABDDDFDB"/>
    <w:rsid w:val="AE4731E8"/>
    <w:rsid w:val="AE5BB332"/>
    <w:rsid w:val="AE689322"/>
    <w:rsid w:val="AE9B18E9"/>
    <w:rsid w:val="AEBC8E78"/>
    <w:rsid w:val="AF072E1D"/>
    <w:rsid w:val="AF1F9809"/>
    <w:rsid w:val="B2BF29F9"/>
    <w:rsid w:val="B3FF60FD"/>
    <w:rsid w:val="B5FFDC8D"/>
    <w:rsid w:val="B6BFED37"/>
    <w:rsid w:val="B6F5465D"/>
    <w:rsid w:val="B75B6D63"/>
    <w:rsid w:val="BB3CC977"/>
    <w:rsid w:val="BB77706F"/>
    <w:rsid w:val="BBBD60E6"/>
    <w:rsid w:val="BBFBF7EB"/>
    <w:rsid w:val="BC8F0635"/>
    <w:rsid w:val="BCEB7A00"/>
    <w:rsid w:val="BD7B6342"/>
    <w:rsid w:val="BDE76AD4"/>
    <w:rsid w:val="BDFE3C48"/>
    <w:rsid w:val="BE9F1DC5"/>
    <w:rsid w:val="BEBA5523"/>
    <w:rsid w:val="BEDD19AD"/>
    <w:rsid w:val="BEEFCC92"/>
    <w:rsid w:val="BF06342A"/>
    <w:rsid w:val="BF6DDE3D"/>
    <w:rsid w:val="BF7B0F3A"/>
    <w:rsid w:val="BFBBA44C"/>
    <w:rsid w:val="BFC3C852"/>
    <w:rsid w:val="BFE6F22D"/>
    <w:rsid w:val="BFEFA8BB"/>
    <w:rsid w:val="BFF7D7E0"/>
    <w:rsid w:val="C5B62DEE"/>
    <w:rsid w:val="CDFF3E09"/>
    <w:rsid w:val="CF6F87F0"/>
    <w:rsid w:val="CF7F0451"/>
    <w:rsid w:val="CFEFCD2F"/>
    <w:rsid w:val="CFF52798"/>
    <w:rsid w:val="CFF7E35C"/>
    <w:rsid w:val="CFFF2B7E"/>
    <w:rsid w:val="D17583D7"/>
    <w:rsid w:val="D47F540F"/>
    <w:rsid w:val="D6BB27EF"/>
    <w:rsid w:val="D6DEDCDE"/>
    <w:rsid w:val="D6EF82AE"/>
    <w:rsid w:val="D6FF32F1"/>
    <w:rsid w:val="D72D25C4"/>
    <w:rsid w:val="D77D5A1E"/>
    <w:rsid w:val="D7CB05DB"/>
    <w:rsid w:val="D96379D6"/>
    <w:rsid w:val="D9CF8920"/>
    <w:rsid w:val="D9FDAE32"/>
    <w:rsid w:val="DBDBC196"/>
    <w:rsid w:val="DBFB3D52"/>
    <w:rsid w:val="DCAF77F6"/>
    <w:rsid w:val="DDB6AB8C"/>
    <w:rsid w:val="DDD911CC"/>
    <w:rsid w:val="DDEB0D6E"/>
    <w:rsid w:val="DDFF1FE3"/>
    <w:rsid w:val="DE9F5E86"/>
    <w:rsid w:val="DEEFEC93"/>
    <w:rsid w:val="DF3F4111"/>
    <w:rsid w:val="DF3F546D"/>
    <w:rsid w:val="DF7D0533"/>
    <w:rsid w:val="DF7FDCDF"/>
    <w:rsid w:val="DFDEC520"/>
    <w:rsid w:val="DFDFE5A4"/>
    <w:rsid w:val="DFEDD676"/>
    <w:rsid w:val="DFEEB31E"/>
    <w:rsid w:val="DFEFEC13"/>
    <w:rsid w:val="DFFBF7FC"/>
    <w:rsid w:val="DFFC161D"/>
    <w:rsid w:val="DFFF41DC"/>
    <w:rsid w:val="DFFFC173"/>
    <w:rsid w:val="E5AF69DE"/>
    <w:rsid w:val="E5DB6448"/>
    <w:rsid w:val="E715ED36"/>
    <w:rsid w:val="E736CA49"/>
    <w:rsid w:val="E7A7F51E"/>
    <w:rsid w:val="E7FF28F4"/>
    <w:rsid w:val="E9FF5500"/>
    <w:rsid w:val="EAD57D07"/>
    <w:rsid w:val="EBA60636"/>
    <w:rsid w:val="EBE79659"/>
    <w:rsid w:val="EBFB4D41"/>
    <w:rsid w:val="ED3F9145"/>
    <w:rsid w:val="EDFF6A31"/>
    <w:rsid w:val="EEDAF36E"/>
    <w:rsid w:val="EF4DF637"/>
    <w:rsid w:val="EFAEFCD8"/>
    <w:rsid w:val="EFBF225F"/>
    <w:rsid w:val="EFC37A10"/>
    <w:rsid w:val="EFF451D6"/>
    <w:rsid w:val="EFFB11AA"/>
    <w:rsid w:val="EFFEF376"/>
    <w:rsid w:val="F2E7D4AD"/>
    <w:rsid w:val="F2FF0CCF"/>
    <w:rsid w:val="F35C6053"/>
    <w:rsid w:val="F35FA86E"/>
    <w:rsid w:val="F3BF94C0"/>
    <w:rsid w:val="F3C32B17"/>
    <w:rsid w:val="F3F7A4C9"/>
    <w:rsid w:val="F3FD3FD5"/>
    <w:rsid w:val="F4BDD86D"/>
    <w:rsid w:val="F4EA0763"/>
    <w:rsid w:val="F537DE22"/>
    <w:rsid w:val="F57F3736"/>
    <w:rsid w:val="F57F7F46"/>
    <w:rsid w:val="F5BF3A6C"/>
    <w:rsid w:val="F5EF4ECE"/>
    <w:rsid w:val="F65D6CE4"/>
    <w:rsid w:val="F6BD6ABA"/>
    <w:rsid w:val="F6BF2A9C"/>
    <w:rsid w:val="F709F11C"/>
    <w:rsid w:val="F73E2C78"/>
    <w:rsid w:val="F7BFBB61"/>
    <w:rsid w:val="F7C70680"/>
    <w:rsid w:val="F7ECD733"/>
    <w:rsid w:val="F7EF3E0D"/>
    <w:rsid w:val="F7F0BE48"/>
    <w:rsid w:val="F7F354F0"/>
    <w:rsid w:val="F7F7AC8B"/>
    <w:rsid w:val="F7F7CA23"/>
    <w:rsid w:val="F7F988D2"/>
    <w:rsid w:val="F8370272"/>
    <w:rsid w:val="F9773501"/>
    <w:rsid w:val="F97BBC89"/>
    <w:rsid w:val="F9BD83EF"/>
    <w:rsid w:val="FAFFC8A0"/>
    <w:rsid w:val="FB5FD54A"/>
    <w:rsid w:val="FB6D02C1"/>
    <w:rsid w:val="FB7FBFE2"/>
    <w:rsid w:val="FBBF4767"/>
    <w:rsid w:val="FBC7BE32"/>
    <w:rsid w:val="FBEF3E11"/>
    <w:rsid w:val="FBF020C9"/>
    <w:rsid w:val="FBFB8B8D"/>
    <w:rsid w:val="FC7F5F55"/>
    <w:rsid w:val="FCB64CF3"/>
    <w:rsid w:val="FCBEB9B4"/>
    <w:rsid w:val="FCBF8E7E"/>
    <w:rsid w:val="FD767759"/>
    <w:rsid w:val="FD7FB604"/>
    <w:rsid w:val="FDB1651A"/>
    <w:rsid w:val="FDFD757F"/>
    <w:rsid w:val="FDFFEADF"/>
    <w:rsid w:val="FE7F1FC9"/>
    <w:rsid w:val="FEAF7179"/>
    <w:rsid w:val="FEBD1FA9"/>
    <w:rsid w:val="FEBE0E6C"/>
    <w:rsid w:val="FEF1E25F"/>
    <w:rsid w:val="FEFA53F1"/>
    <w:rsid w:val="FF1FBC84"/>
    <w:rsid w:val="FF3E5C8C"/>
    <w:rsid w:val="FF4ED624"/>
    <w:rsid w:val="FF4FAC77"/>
    <w:rsid w:val="FF65A386"/>
    <w:rsid w:val="FF6C0E6C"/>
    <w:rsid w:val="FF7E56E8"/>
    <w:rsid w:val="FF7F7D11"/>
    <w:rsid w:val="FF7FEBC0"/>
    <w:rsid w:val="FFB6985C"/>
    <w:rsid w:val="FFBCEC29"/>
    <w:rsid w:val="FFC47ED1"/>
    <w:rsid w:val="FFD93DB3"/>
    <w:rsid w:val="FFDF3631"/>
    <w:rsid w:val="FFDF44DF"/>
    <w:rsid w:val="FFDFA609"/>
    <w:rsid w:val="FFE789BD"/>
    <w:rsid w:val="FFE972B9"/>
    <w:rsid w:val="FFEC2FC2"/>
    <w:rsid w:val="FFEE8040"/>
    <w:rsid w:val="FFEF8C8B"/>
    <w:rsid w:val="FFF273A1"/>
    <w:rsid w:val="FFF337E4"/>
    <w:rsid w:val="FFF35C60"/>
    <w:rsid w:val="FFF391FA"/>
    <w:rsid w:val="FFF5C63C"/>
    <w:rsid w:val="FFF667D5"/>
    <w:rsid w:val="FFF78A7B"/>
    <w:rsid w:val="FFFA398F"/>
    <w:rsid w:val="FFFB8A93"/>
    <w:rsid w:val="FFFB8D4C"/>
    <w:rsid w:val="FFFD41FE"/>
    <w:rsid w:val="FFFDC03C"/>
    <w:rsid w:val="FFFE7D2F"/>
    <w:rsid w:val="FFFF29AB"/>
    <w:rsid w:val="FFFFCF0E"/>
    <w:rsid w:val="FFFFF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0"/>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1"/>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0"/>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1"/>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2"/>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3"/>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4"/>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5"/>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8">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unhideWhenUsed/>
    <w:qFormat/>
    <w:uiPriority w:val="99"/>
    <w:pPr>
      <w:widowControl/>
      <w:spacing w:line="480" w:lineRule="exact"/>
      <w:ind w:firstLine="567"/>
    </w:pPr>
    <w:rPr>
      <w:rFonts w:ascii="宋体"/>
      <w:color w:val="000000"/>
      <w:kern w:val="28"/>
      <w:sz w:val="28"/>
      <w:szCs w:val="28"/>
    </w:rPr>
  </w:style>
  <w:style w:type="paragraph" w:styleId="12">
    <w:name w:val="Body Text Indent"/>
    <w:basedOn w:val="1"/>
    <w:next w:val="1"/>
    <w:link w:val="79"/>
    <w:unhideWhenUsed/>
    <w:qFormat/>
    <w:uiPriority w:val="99"/>
    <w:pPr>
      <w:spacing w:line="480" w:lineRule="atLeast"/>
      <w:ind w:firstLine="570"/>
    </w:pPr>
    <w:rPr>
      <w:rFonts w:ascii="黑体" w:hAnsi="黑体" w:eastAsia="黑体" w:cs="宋体"/>
    </w:rPr>
  </w:style>
  <w:style w:type="paragraph" w:styleId="13">
    <w:name w:val="annotation text"/>
    <w:basedOn w:val="1"/>
    <w:qFormat/>
    <w:uiPriority w:val="0"/>
    <w:pPr>
      <w:jc w:val="left"/>
    </w:pPr>
  </w:style>
  <w:style w:type="paragraph" w:styleId="14">
    <w:name w:val="Body Text"/>
    <w:basedOn w:val="1"/>
    <w:next w:val="15"/>
    <w:link w:val="80"/>
    <w:unhideWhenUsed/>
    <w:qFormat/>
    <w:uiPriority w:val="99"/>
  </w:style>
  <w:style w:type="paragraph" w:styleId="15">
    <w:name w:val="Body Text First Indent"/>
    <w:basedOn w:val="14"/>
    <w:next w:val="16"/>
    <w:qFormat/>
    <w:uiPriority w:val="0"/>
    <w:pPr>
      <w:snapToGrid w:val="0"/>
      <w:spacing w:after="120" w:afterLines="0" w:line="288" w:lineRule="auto"/>
      <w:ind w:firstLine="420" w:firstLineChars="100"/>
      <w:jc w:val="both"/>
      <w:textAlignment w:val="auto"/>
    </w:pPr>
    <w:rPr>
      <w:rFonts w:ascii="Calibri" w:eastAsia="宋体"/>
      <w:kern w:val="2"/>
      <w:sz w:val="21"/>
    </w:rPr>
  </w:style>
  <w:style w:type="paragraph" w:styleId="16">
    <w:name w:val="toc 6"/>
    <w:basedOn w:val="1"/>
    <w:next w:val="1"/>
    <w:unhideWhenUsed/>
    <w:qFormat/>
    <w:uiPriority w:val="39"/>
    <w:pPr>
      <w:ind w:left="1050"/>
    </w:pPr>
    <w:rPr>
      <w:sz w:val="20"/>
    </w:rPr>
  </w:style>
  <w:style w:type="paragraph" w:styleId="17">
    <w:name w:val="Plain Text"/>
    <w:basedOn w:val="1"/>
    <w:link w:val="77"/>
    <w:unhideWhenUsed/>
    <w:qFormat/>
    <w:uiPriority w:val="99"/>
    <w:pPr>
      <w:ind w:firstLine="425" w:firstLineChars="177"/>
    </w:pPr>
    <w:rPr>
      <w:rFonts w:ascii="仿宋" w:hAnsi="仿宋" w:eastAsia="仿宋"/>
    </w:rPr>
  </w:style>
  <w:style w:type="paragraph" w:styleId="18">
    <w:name w:val="Date"/>
    <w:basedOn w:val="1"/>
    <w:next w:val="1"/>
    <w:link w:val="84"/>
    <w:qFormat/>
    <w:uiPriority w:val="0"/>
    <w:pPr>
      <w:ind w:left="100" w:leftChars="2500"/>
    </w:pPr>
  </w:style>
  <w:style w:type="paragraph" w:styleId="19">
    <w:name w:val="footer"/>
    <w:basedOn w:val="1"/>
    <w:link w:val="76"/>
    <w:qFormat/>
    <w:uiPriority w:val="0"/>
    <w:pPr>
      <w:tabs>
        <w:tab w:val="center" w:pos="4153"/>
        <w:tab w:val="right" w:pos="8306"/>
      </w:tabs>
      <w:jc w:val="left"/>
    </w:pPr>
    <w:rPr>
      <w:sz w:val="18"/>
      <w:szCs w:val="18"/>
    </w:rPr>
  </w:style>
  <w:style w:type="paragraph" w:styleId="20">
    <w:name w:val="header"/>
    <w:basedOn w:val="1"/>
    <w:link w:val="74"/>
    <w:qFormat/>
    <w:uiPriority w:val="0"/>
    <w:pPr>
      <w:pBdr>
        <w:bottom w:val="single" w:color="auto" w:sz="6" w:space="1"/>
      </w:pBdr>
      <w:tabs>
        <w:tab w:val="center" w:pos="4153"/>
        <w:tab w:val="right" w:pos="8306"/>
      </w:tabs>
      <w:jc w:val="center"/>
    </w:pPr>
    <w:rPr>
      <w:sz w:val="18"/>
      <w:szCs w:val="18"/>
    </w:rPr>
  </w:style>
  <w:style w:type="paragraph" w:styleId="21">
    <w:name w:val="toc 1"/>
    <w:basedOn w:val="1"/>
    <w:next w:val="1"/>
    <w:qFormat/>
    <w:uiPriority w:val="0"/>
  </w:style>
  <w:style w:type="paragraph" w:styleId="22">
    <w:name w:val="toc 2"/>
    <w:basedOn w:val="1"/>
    <w:next w:val="1"/>
    <w:qFormat/>
    <w:uiPriority w:val="0"/>
    <w:pPr>
      <w:ind w:left="420" w:leftChars="200"/>
    </w:pPr>
  </w:style>
  <w:style w:type="paragraph" w:styleId="2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4">
    <w:name w:val="Title"/>
    <w:basedOn w:val="1"/>
    <w:next w:val="17"/>
    <w:link w:val="87"/>
    <w:qFormat/>
    <w:uiPriority w:val="99"/>
    <w:pPr>
      <w:adjustRightInd/>
      <w:spacing w:before="360" w:after="180"/>
      <w:jc w:val="center"/>
      <w:outlineLvl w:val="0"/>
    </w:pPr>
    <w:rPr>
      <w:rFonts w:ascii="Cambria" w:hAnsi="Cambria" w:eastAsia="华文中宋"/>
      <w:b/>
      <w:bCs/>
      <w:sz w:val="44"/>
      <w:szCs w:val="44"/>
    </w:rPr>
  </w:style>
  <w:style w:type="table" w:styleId="26">
    <w:name w:val="Table Grid"/>
    <w:basedOn w:val="27"/>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7">
    <w:name w:val="表格样式@中勤招标"/>
    <w:basedOn w:val="25"/>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29">
    <w:name w:val="Strong"/>
    <w:basedOn w:val="28"/>
    <w:qFormat/>
    <w:uiPriority w:val="22"/>
    <w:rPr>
      <w:b/>
      <w:bCs/>
    </w:rPr>
  </w:style>
  <w:style w:type="character" w:styleId="30">
    <w:name w:val="page number"/>
    <w:basedOn w:val="28"/>
    <w:qFormat/>
    <w:uiPriority w:val="0"/>
  </w:style>
  <w:style w:type="character" w:styleId="31">
    <w:name w:val="FollowedHyperlink"/>
    <w:basedOn w:val="28"/>
    <w:qFormat/>
    <w:uiPriority w:val="0"/>
    <w:rPr>
      <w:color w:val="954F72" w:themeColor="followedHyperlink"/>
      <w:u w:val="single"/>
      <w14:textFill>
        <w14:solidFill>
          <w14:schemeClr w14:val="folHlink"/>
        </w14:solidFill>
      </w14:textFill>
    </w:rPr>
  </w:style>
  <w:style w:type="character" w:styleId="32">
    <w:name w:val="Hyperlink"/>
    <w:basedOn w:val="28"/>
    <w:unhideWhenUsed/>
    <w:qFormat/>
    <w:uiPriority w:val="99"/>
    <w:rPr>
      <w:color w:val="0000FF"/>
      <w:u w:val="single"/>
    </w:rPr>
  </w:style>
  <w:style w:type="paragraph" w:customStyle="1" w:styleId="33">
    <w:name w:val="标题4@中勤招标"/>
    <w:basedOn w:val="34"/>
    <w:next w:val="34"/>
    <w:qFormat/>
    <w:uiPriority w:val="0"/>
    <w:pPr>
      <w:numPr>
        <w:ilvl w:val="3"/>
        <w:numId w:val="2"/>
      </w:numPr>
      <w:ind w:left="0" w:firstLine="720" w:firstLineChars="200"/>
      <w:outlineLvl w:val="3"/>
    </w:pPr>
    <w:rPr>
      <w:rFonts w:ascii="宋体" w:hAnsi="宋体" w:eastAsia="宋体"/>
      <w:b/>
      <w:bCs/>
      <w:lang w:eastAsia="zh-CN"/>
    </w:rPr>
  </w:style>
  <w:style w:type="paragraph" w:customStyle="1" w:styleId="34">
    <w:name w:val="正文@中勤招标"/>
    <w:basedOn w:val="1"/>
    <w:qFormat/>
    <w:uiPriority w:val="0"/>
    <w:pPr>
      <w:spacing w:line="360" w:lineRule="auto"/>
      <w:ind w:firstLine="200" w:firstLineChars="200"/>
    </w:pPr>
    <w:rPr>
      <w:rFonts w:ascii="宋体" w:hAnsi="宋体"/>
      <w:sz w:val="24"/>
      <w:lang w:eastAsia="zh-Hans"/>
    </w:rPr>
  </w:style>
  <w:style w:type="paragraph" w:customStyle="1" w:styleId="35">
    <w:name w:val="标题1@中勤招标"/>
    <w:basedOn w:val="34"/>
    <w:next w:val="34"/>
    <w:link w:val="91"/>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6">
    <w:name w:val="标题2@中勤招标"/>
    <w:basedOn w:val="35"/>
    <w:next w:val="34"/>
    <w:link w:val="90"/>
    <w:qFormat/>
    <w:uiPriority w:val="0"/>
    <w:pPr>
      <w:numPr>
        <w:ilvl w:val="1"/>
        <w:numId w:val="2"/>
      </w:numPr>
      <w:outlineLvl w:val="1"/>
    </w:pPr>
    <w:rPr>
      <w:sz w:val="32"/>
      <w:szCs w:val="32"/>
    </w:rPr>
  </w:style>
  <w:style w:type="paragraph" w:customStyle="1" w:styleId="37">
    <w:name w:val="标题3@中勤招标"/>
    <w:basedOn w:val="36"/>
    <w:next w:val="34"/>
    <w:qFormat/>
    <w:uiPriority w:val="0"/>
    <w:pPr>
      <w:numPr>
        <w:ilvl w:val="2"/>
      </w:numPr>
      <w:ind w:left="0"/>
      <w:jc w:val="both"/>
      <w:outlineLvl w:val="2"/>
    </w:pPr>
    <w:rPr>
      <w:sz w:val="28"/>
      <w:szCs w:val="28"/>
    </w:rPr>
  </w:style>
  <w:style w:type="paragraph" w:customStyle="1" w:styleId="38">
    <w:name w:val="标题5@中勤招标"/>
    <w:basedOn w:val="33"/>
    <w:next w:val="34"/>
    <w:link w:val="47"/>
    <w:qFormat/>
    <w:uiPriority w:val="0"/>
    <w:pPr>
      <w:numPr>
        <w:ilvl w:val="4"/>
        <w:numId w:val="2"/>
      </w:numPr>
      <w:ind w:left="0" w:firstLine="720" w:firstLineChars="200"/>
      <w:outlineLvl w:val="4"/>
    </w:pPr>
  </w:style>
  <w:style w:type="paragraph" w:customStyle="1" w:styleId="39">
    <w:name w:val="标题6@中勤招标"/>
    <w:basedOn w:val="38"/>
    <w:next w:val="34"/>
    <w:link w:val="41"/>
    <w:qFormat/>
    <w:uiPriority w:val="0"/>
    <w:pPr>
      <w:numPr>
        <w:ilvl w:val="5"/>
        <w:numId w:val="2"/>
      </w:numPr>
      <w:ind w:firstLine="0" w:firstLineChars="0"/>
      <w:outlineLvl w:val="9"/>
    </w:pPr>
    <w:rPr>
      <w:b w:val="0"/>
      <w:u w:val="single"/>
    </w:rPr>
  </w:style>
  <w:style w:type="paragraph" w:customStyle="1" w:styleId="40">
    <w:name w:val="同标题4序号的正文@中勤招标"/>
    <w:basedOn w:val="33"/>
    <w:next w:val="34"/>
    <w:qFormat/>
    <w:uiPriority w:val="0"/>
    <w:pPr>
      <w:numPr>
        <w:numId w:val="3"/>
      </w:numPr>
      <w:outlineLvl w:val="9"/>
    </w:pPr>
    <w:rPr>
      <w:rFonts w:hint="eastAsia" w:ascii="宋体" w:hAnsi="宋体" w:eastAsia="宋体"/>
      <w:b w:val="0"/>
    </w:rPr>
  </w:style>
  <w:style w:type="character" w:customStyle="1" w:styleId="41">
    <w:name w:val="标题6@中勤招标 Char"/>
    <w:link w:val="39"/>
    <w:qFormat/>
    <w:uiPriority w:val="0"/>
    <w:rPr>
      <w:rFonts w:ascii="宋体" w:hAnsi="宋体" w:eastAsia="宋体" w:cs="Times New Roman"/>
      <w:bCs/>
      <w:kern w:val="2"/>
      <w:sz w:val="24"/>
      <w:szCs w:val="21"/>
      <w:u w:val="single"/>
    </w:rPr>
  </w:style>
  <w:style w:type="paragraph" w:customStyle="1" w:styleId="42">
    <w:name w:val="同标题5序号的正文@中勤招标"/>
    <w:basedOn w:val="38"/>
    <w:next w:val="34"/>
    <w:qFormat/>
    <w:uiPriority w:val="0"/>
    <w:pPr>
      <w:ind w:left="0" w:firstLine="480"/>
      <w:outlineLvl w:val="9"/>
    </w:pPr>
    <w:rPr>
      <w:rFonts w:hint="eastAsia"/>
      <w:b w:val="0"/>
    </w:rPr>
  </w:style>
  <w:style w:type="character" w:customStyle="1" w:styleId="43">
    <w:name w:val="标题 3 字符"/>
    <w:basedOn w:val="28"/>
    <w:semiHidden/>
    <w:qFormat/>
    <w:uiPriority w:val="0"/>
    <w:rPr>
      <w:b/>
      <w:bCs/>
      <w:kern w:val="2"/>
      <w:sz w:val="32"/>
      <w:szCs w:val="32"/>
    </w:rPr>
  </w:style>
  <w:style w:type="paragraph" w:customStyle="1" w:styleId="44">
    <w:name w:val="序号1@中勤招标"/>
    <w:basedOn w:val="45"/>
    <w:next w:val="34"/>
    <w:qFormat/>
    <w:uiPriority w:val="0"/>
    <w:pPr>
      <w:numPr>
        <w:ilvl w:val="0"/>
        <w:numId w:val="4"/>
      </w:numPr>
      <w:tabs>
        <w:tab w:val="left" w:pos="0"/>
      </w:tabs>
      <w:ind w:firstLine="480"/>
    </w:pPr>
  </w:style>
  <w:style w:type="paragraph" w:customStyle="1" w:styleId="45">
    <w:name w:val="序号2@中勤招标"/>
    <w:basedOn w:val="46"/>
    <w:next w:val="34"/>
    <w:qFormat/>
    <w:uiPriority w:val="0"/>
    <w:pPr>
      <w:numPr>
        <w:ilvl w:val="0"/>
        <w:numId w:val="5"/>
      </w:numPr>
      <w:ind w:firstLine="200"/>
    </w:pPr>
  </w:style>
  <w:style w:type="paragraph" w:customStyle="1" w:styleId="46">
    <w:name w:val="符号@中勤招标"/>
    <w:basedOn w:val="34"/>
    <w:next w:val="34"/>
    <w:qFormat/>
    <w:uiPriority w:val="0"/>
    <w:pPr>
      <w:numPr>
        <w:ilvl w:val="0"/>
        <w:numId w:val="6"/>
      </w:numPr>
      <w:ind w:firstLine="200"/>
    </w:pPr>
    <w:rPr>
      <w:lang w:eastAsia="zh-CN"/>
    </w:rPr>
  </w:style>
  <w:style w:type="character" w:customStyle="1" w:styleId="47">
    <w:name w:val="标题5@中勤招标 Char"/>
    <w:link w:val="38"/>
    <w:qFormat/>
    <w:uiPriority w:val="0"/>
    <w:rPr>
      <w:rFonts w:eastAsia="宋体"/>
    </w:rPr>
  </w:style>
  <w:style w:type="paragraph" w:customStyle="1" w:styleId="4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49">
    <w:name w:val="标题 1 字符1"/>
    <w:basedOn w:val="28"/>
    <w:link w:val="2"/>
    <w:qFormat/>
    <w:uiPriority w:val="0"/>
    <w:rPr>
      <w:b/>
      <w:bCs/>
      <w:kern w:val="44"/>
      <w:sz w:val="44"/>
      <w:szCs w:val="44"/>
    </w:rPr>
  </w:style>
  <w:style w:type="character" w:customStyle="1" w:styleId="50">
    <w:name w:val="标题 2 字符1"/>
    <w:basedOn w:val="28"/>
    <w:link w:val="3"/>
    <w:semiHidden/>
    <w:qFormat/>
    <w:uiPriority w:val="0"/>
    <w:rPr>
      <w:rFonts w:asciiTheme="majorHAnsi" w:hAnsiTheme="majorHAnsi" w:eastAsiaTheme="majorEastAsia" w:cstheme="majorBidi"/>
      <w:b/>
      <w:bCs/>
      <w:kern w:val="2"/>
      <w:sz w:val="32"/>
      <w:szCs w:val="32"/>
    </w:rPr>
  </w:style>
  <w:style w:type="character" w:customStyle="1" w:styleId="51">
    <w:name w:val="标题 3 字符1"/>
    <w:basedOn w:val="28"/>
    <w:link w:val="4"/>
    <w:semiHidden/>
    <w:qFormat/>
    <w:uiPriority w:val="0"/>
    <w:rPr>
      <w:b/>
      <w:bCs/>
      <w:kern w:val="2"/>
      <w:sz w:val="32"/>
      <w:szCs w:val="32"/>
    </w:rPr>
  </w:style>
  <w:style w:type="character" w:customStyle="1" w:styleId="52">
    <w:name w:val="标题 1 字符"/>
    <w:basedOn w:val="28"/>
    <w:qFormat/>
    <w:uiPriority w:val="0"/>
    <w:rPr>
      <w:b/>
      <w:bCs/>
      <w:kern w:val="44"/>
      <w:sz w:val="44"/>
      <w:szCs w:val="44"/>
    </w:rPr>
  </w:style>
  <w:style w:type="character" w:customStyle="1" w:styleId="53">
    <w:name w:val="标题 2 字符"/>
    <w:basedOn w:val="28"/>
    <w:qFormat/>
    <w:uiPriority w:val="99"/>
    <w:rPr>
      <w:rFonts w:asciiTheme="majorHAnsi" w:hAnsiTheme="majorHAnsi" w:eastAsiaTheme="majorEastAsia" w:cstheme="majorBidi"/>
      <w:b/>
      <w:bCs/>
      <w:kern w:val="2"/>
      <w:sz w:val="32"/>
      <w:szCs w:val="32"/>
    </w:rPr>
  </w:style>
  <w:style w:type="character" w:customStyle="1" w:styleId="54">
    <w:name w:val="标题 4 字符"/>
    <w:basedOn w:val="28"/>
    <w:semiHidden/>
    <w:qFormat/>
    <w:uiPriority w:val="0"/>
    <w:rPr>
      <w:rFonts w:asciiTheme="majorHAnsi" w:hAnsiTheme="majorHAnsi" w:eastAsiaTheme="majorEastAsia" w:cstheme="majorBidi"/>
      <w:b/>
      <w:bCs/>
      <w:kern w:val="2"/>
      <w:sz w:val="28"/>
      <w:szCs w:val="28"/>
    </w:rPr>
  </w:style>
  <w:style w:type="character" w:customStyle="1" w:styleId="55">
    <w:name w:val="标题 5 字符"/>
    <w:basedOn w:val="28"/>
    <w:semiHidden/>
    <w:qFormat/>
    <w:uiPriority w:val="0"/>
    <w:rPr>
      <w:b/>
      <w:bCs/>
      <w:kern w:val="2"/>
      <w:sz w:val="28"/>
      <w:szCs w:val="28"/>
    </w:rPr>
  </w:style>
  <w:style w:type="character" w:customStyle="1" w:styleId="56">
    <w:name w:val="标题 6 字符"/>
    <w:basedOn w:val="28"/>
    <w:semiHidden/>
    <w:qFormat/>
    <w:uiPriority w:val="0"/>
    <w:rPr>
      <w:rFonts w:asciiTheme="majorHAnsi" w:hAnsiTheme="majorHAnsi" w:eastAsiaTheme="majorEastAsia" w:cstheme="majorBidi"/>
      <w:b/>
      <w:bCs/>
      <w:kern w:val="2"/>
      <w:sz w:val="24"/>
      <w:szCs w:val="24"/>
    </w:rPr>
  </w:style>
  <w:style w:type="character" w:customStyle="1" w:styleId="57">
    <w:name w:val="标题 7 字符"/>
    <w:basedOn w:val="28"/>
    <w:semiHidden/>
    <w:qFormat/>
    <w:uiPriority w:val="0"/>
    <w:rPr>
      <w:b/>
      <w:bCs/>
      <w:kern w:val="2"/>
      <w:sz w:val="24"/>
      <w:szCs w:val="24"/>
    </w:rPr>
  </w:style>
  <w:style w:type="character" w:customStyle="1" w:styleId="58">
    <w:name w:val="标题 8 字符"/>
    <w:basedOn w:val="28"/>
    <w:semiHidden/>
    <w:qFormat/>
    <w:uiPriority w:val="0"/>
    <w:rPr>
      <w:rFonts w:asciiTheme="majorHAnsi" w:hAnsiTheme="majorHAnsi" w:eastAsiaTheme="majorEastAsia" w:cstheme="majorBidi"/>
      <w:kern w:val="2"/>
      <w:sz w:val="24"/>
      <w:szCs w:val="24"/>
    </w:rPr>
  </w:style>
  <w:style w:type="character" w:customStyle="1" w:styleId="59">
    <w:name w:val="标题 9 字符"/>
    <w:basedOn w:val="28"/>
    <w:semiHidden/>
    <w:qFormat/>
    <w:uiPriority w:val="0"/>
    <w:rPr>
      <w:rFonts w:asciiTheme="majorHAnsi" w:hAnsiTheme="majorHAnsi" w:eastAsiaTheme="majorEastAsia" w:cstheme="majorBidi"/>
      <w:kern w:val="2"/>
      <w:sz w:val="21"/>
      <w:szCs w:val="21"/>
    </w:rPr>
  </w:style>
  <w:style w:type="character" w:customStyle="1" w:styleId="60">
    <w:name w:val="标题 4 字符1"/>
    <w:basedOn w:val="28"/>
    <w:link w:val="5"/>
    <w:semiHidden/>
    <w:qFormat/>
    <w:uiPriority w:val="0"/>
    <w:rPr>
      <w:rFonts w:asciiTheme="majorHAnsi" w:hAnsiTheme="majorHAnsi" w:eastAsiaTheme="majorEastAsia" w:cstheme="majorBidi"/>
      <w:b/>
      <w:bCs/>
      <w:kern w:val="2"/>
      <w:sz w:val="28"/>
      <w:szCs w:val="28"/>
    </w:rPr>
  </w:style>
  <w:style w:type="character" w:customStyle="1" w:styleId="61">
    <w:name w:val="标题 5 字符1"/>
    <w:basedOn w:val="28"/>
    <w:link w:val="6"/>
    <w:semiHidden/>
    <w:qFormat/>
    <w:uiPriority w:val="0"/>
    <w:rPr>
      <w:b/>
      <w:bCs/>
      <w:kern w:val="2"/>
      <w:sz w:val="28"/>
      <w:szCs w:val="28"/>
    </w:rPr>
  </w:style>
  <w:style w:type="character" w:customStyle="1" w:styleId="62">
    <w:name w:val="标题 6 字符1"/>
    <w:basedOn w:val="28"/>
    <w:link w:val="7"/>
    <w:semiHidden/>
    <w:qFormat/>
    <w:uiPriority w:val="0"/>
    <w:rPr>
      <w:rFonts w:asciiTheme="majorHAnsi" w:hAnsiTheme="majorHAnsi" w:eastAsiaTheme="majorEastAsia" w:cstheme="majorBidi"/>
      <w:b/>
      <w:bCs/>
      <w:kern w:val="2"/>
      <w:sz w:val="24"/>
      <w:szCs w:val="24"/>
    </w:rPr>
  </w:style>
  <w:style w:type="character" w:customStyle="1" w:styleId="63">
    <w:name w:val="标题 7 字符1"/>
    <w:basedOn w:val="28"/>
    <w:link w:val="8"/>
    <w:semiHidden/>
    <w:qFormat/>
    <w:uiPriority w:val="0"/>
    <w:rPr>
      <w:b/>
      <w:bCs/>
      <w:kern w:val="2"/>
      <w:sz w:val="24"/>
      <w:szCs w:val="24"/>
    </w:rPr>
  </w:style>
  <w:style w:type="character" w:customStyle="1" w:styleId="64">
    <w:name w:val="标题 8 字符1"/>
    <w:basedOn w:val="28"/>
    <w:link w:val="9"/>
    <w:semiHidden/>
    <w:qFormat/>
    <w:uiPriority w:val="0"/>
    <w:rPr>
      <w:rFonts w:asciiTheme="majorHAnsi" w:hAnsiTheme="majorHAnsi" w:eastAsiaTheme="majorEastAsia" w:cstheme="majorBidi"/>
      <w:kern w:val="2"/>
      <w:sz w:val="24"/>
      <w:szCs w:val="24"/>
    </w:rPr>
  </w:style>
  <w:style w:type="character" w:customStyle="1" w:styleId="65">
    <w:name w:val="标题 9 字符1"/>
    <w:basedOn w:val="28"/>
    <w:link w:val="10"/>
    <w:semiHidden/>
    <w:qFormat/>
    <w:uiPriority w:val="0"/>
    <w:rPr>
      <w:rFonts w:asciiTheme="majorHAnsi" w:hAnsiTheme="majorHAnsi" w:eastAsiaTheme="majorEastAsia" w:cstheme="majorBidi"/>
      <w:kern w:val="2"/>
      <w:sz w:val="21"/>
      <w:szCs w:val="21"/>
    </w:rPr>
  </w:style>
  <w:style w:type="table" w:customStyle="1" w:styleId="66">
    <w:name w:val="无格式表格 21"/>
    <w:basedOn w:val="25"/>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7">
    <w:name w:val="无格式表格 11"/>
    <w:basedOn w:val="2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型浅色1"/>
    <w:basedOn w:val="25"/>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9">
    <w:name w:val="网格表 1 浅色1"/>
    <w:basedOn w:val="25"/>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0">
    <w:name w:val="样式1"/>
    <w:basedOn w:val="25"/>
    <w:qFormat/>
    <w:uiPriority w:val="99"/>
  </w:style>
  <w:style w:type="table" w:customStyle="1" w:styleId="71">
    <w:name w:val="无格式表格 31"/>
    <w:basedOn w:val="25"/>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2">
    <w:name w:val="网格表 21"/>
    <w:basedOn w:val="25"/>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3">
    <w:name w:val="网格表 2 - 着色 11"/>
    <w:basedOn w:val="25"/>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4">
    <w:name w:val="页眉 字符"/>
    <w:basedOn w:val="28"/>
    <w:link w:val="20"/>
    <w:qFormat/>
    <w:uiPriority w:val="0"/>
    <w:rPr>
      <w:kern w:val="2"/>
      <w:sz w:val="18"/>
      <w:szCs w:val="18"/>
    </w:rPr>
  </w:style>
  <w:style w:type="table" w:customStyle="1" w:styleId="75">
    <w:name w:val="样式2"/>
    <w:basedOn w:val="25"/>
    <w:qFormat/>
    <w:uiPriority w:val="99"/>
  </w:style>
  <w:style w:type="character" w:customStyle="1" w:styleId="76">
    <w:name w:val="页脚 字符"/>
    <w:basedOn w:val="28"/>
    <w:link w:val="19"/>
    <w:qFormat/>
    <w:uiPriority w:val="0"/>
    <w:rPr>
      <w:kern w:val="2"/>
      <w:sz w:val="18"/>
      <w:szCs w:val="18"/>
    </w:rPr>
  </w:style>
  <w:style w:type="character" w:customStyle="1" w:styleId="77">
    <w:name w:val="纯文本 字符"/>
    <w:basedOn w:val="28"/>
    <w:link w:val="17"/>
    <w:qFormat/>
    <w:uiPriority w:val="99"/>
    <w:rPr>
      <w:rFonts w:ascii="仿宋" w:hAnsi="仿宋" w:eastAsia="仿宋" w:cs="Times New Roman"/>
      <w:kern w:val="2"/>
      <w:sz w:val="24"/>
      <w:szCs w:val="24"/>
    </w:rPr>
  </w:style>
  <w:style w:type="character" w:customStyle="1" w:styleId="78">
    <w:name w:val="未处理的提及1"/>
    <w:basedOn w:val="28"/>
    <w:semiHidden/>
    <w:unhideWhenUsed/>
    <w:qFormat/>
    <w:uiPriority w:val="99"/>
    <w:rPr>
      <w:color w:val="605E5C"/>
      <w:shd w:val="clear" w:color="auto" w:fill="E1DFDD"/>
    </w:rPr>
  </w:style>
  <w:style w:type="character" w:customStyle="1" w:styleId="79">
    <w:name w:val="正文文本缩进 字符"/>
    <w:basedOn w:val="28"/>
    <w:link w:val="12"/>
    <w:qFormat/>
    <w:uiPriority w:val="99"/>
    <w:rPr>
      <w:rFonts w:ascii="黑体" w:hAnsi="黑体" w:eastAsia="黑体" w:cs="宋体"/>
      <w:kern w:val="2"/>
      <w:sz w:val="28"/>
      <w:szCs w:val="28"/>
    </w:rPr>
  </w:style>
  <w:style w:type="character" w:customStyle="1" w:styleId="80">
    <w:name w:val="正文文本 字符"/>
    <w:basedOn w:val="28"/>
    <w:link w:val="14"/>
    <w:qFormat/>
    <w:uiPriority w:val="99"/>
    <w:rPr>
      <w:rFonts w:ascii="Times New Roman" w:hAnsi="Times New Roman" w:eastAsia="宋体" w:cs="Times New Roman"/>
      <w:kern w:val="2"/>
      <w:sz w:val="24"/>
      <w:szCs w:val="24"/>
    </w:rPr>
  </w:style>
  <w:style w:type="paragraph" w:customStyle="1" w:styleId="81">
    <w:name w:val="正文2"/>
    <w:basedOn w:val="1"/>
    <w:qFormat/>
    <w:uiPriority w:val="0"/>
    <w:pPr>
      <w:spacing w:after="100" w:afterAutospacing="1"/>
      <w:ind w:firstLine="510"/>
    </w:pPr>
  </w:style>
  <w:style w:type="paragraph" w:customStyle="1" w:styleId="82">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3">
    <w:name w:val="16"/>
    <w:basedOn w:val="28"/>
    <w:qFormat/>
    <w:uiPriority w:val="0"/>
    <w:rPr>
      <w:rFonts w:hint="default" w:ascii="Times New Roman" w:hAnsi="Times New Roman" w:cs="Times New Roman"/>
      <w:color w:val="0000FF"/>
      <w:u w:val="single"/>
    </w:rPr>
  </w:style>
  <w:style w:type="character" w:customStyle="1" w:styleId="84">
    <w:name w:val="日期 字符"/>
    <w:basedOn w:val="28"/>
    <w:link w:val="18"/>
    <w:qFormat/>
    <w:uiPriority w:val="0"/>
    <w:rPr>
      <w:rFonts w:ascii="SimSong" w:hAnsi="SimSong" w:eastAsia="SimSong" w:cs="Times New Roman"/>
      <w:kern w:val="2"/>
      <w:sz w:val="24"/>
      <w:szCs w:val="24"/>
    </w:rPr>
  </w:style>
  <w:style w:type="paragraph" w:customStyle="1" w:styleId="8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6">
    <w:name w:val="未处理的提及2"/>
    <w:basedOn w:val="28"/>
    <w:semiHidden/>
    <w:unhideWhenUsed/>
    <w:qFormat/>
    <w:uiPriority w:val="99"/>
    <w:rPr>
      <w:color w:val="605E5C"/>
      <w:shd w:val="clear" w:color="auto" w:fill="E1DFDD"/>
    </w:rPr>
  </w:style>
  <w:style w:type="character" w:customStyle="1" w:styleId="87">
    <w:name w:val="标题 字符"/>
    <w:basedOn w:val="28"/>
    <w:link w:val="24"/>
    <w:qFormat/>
    <w:uiPriority w:val="99"/>
    <w:rPr>
      <w:rFonts w:ascii="Cambria" w:hAnsi="Cambria" w:eastAsia="华文中宋" w:cs="Times New Roman"/>
      <w:b/>
      <w:bCs/>
      <w:kern w:val="2"/>
      <w:sz w:val="44"/>
      <w:szCs w:val="44"/>
    </w:rPr>
  </w:style>
  <w:style w:type="character" w:customStyle="1" w:styleId="88">
    <w:name w:val="未处理的提及3"/>
    <w:basedOn w:val="28"/>
    <w:semiHidden/>
    <w:unhideWhenUsed/>
    <w:qFormat/>
    <w:uiPriority w:val="99"/>
    <w:rPr>
      <w:color w:val="605E5C"/>
      <w:shd w:val="clear" w:color="auto" w:fill="E1DFDD"/>
    </w:rPr>
  </w:style>
  <w:style w:type="character" w:customStyle="1" w:styleId="89">
    <w:name w:val="未处理的提及4"/>
    <w:basedOn w:val="28"/>
    <w:semiHidden/>
    <w:unhideWhenUsed/>
    <w:qFormat/>
    <w:uiPriority w:val="99"/>
    <w:rPr>
      <w:color w:val="605E5C"/>
      <w:shd w:val="clear" w:color="auto" w:fill="E1DFDD"/>
    </w:rPr>
  </w:style>
  <w:style w:type="character" w:customStyle="1" w:styleId="90">
    <w:name w:val="标题2@中勤招标 Char"/>
    <w:link w:val="36"/>
    <w:qFormat/>
    <w:uiPriority w:val="0"/>
    <w:rPr>
      <w:sz w:val="32"/>
      <w:szCs w:val="32"/>
    </w:rPr>
  </w:style>
  <w:style w:type="character" w:customStyle="1" w:styleId="91">
    <w:name w:val="标题1@中勤招标 Char"/>
    <w:link w:val="35"/>
    <w:qFormat/>
    <w:uiPriority w:val="0"/>
    <w:rPr>
      <w:rFonts w:ascii="黑体" w:hAnsi="黑体" w:eastAsia="黑体" w:cs="黑体"/>
      <w:bCs/>
      <w:sz w:val="36"/>
      <w:szCs w:val="44"/>
    </w:rPr>
  </w:style>
  <w:style w:type="paragraph" w:customStyle="1" w:styleId="92">
    <w:name w:val="正文-首行空格"/>
    <w:basedOn w:val="1"/>
    <w:qFormat/>
    <w:uiPriority w:val="0"/>
    <w:pPr>
      <w:spacing w:line="360" w:lineRule="auto"/>
      <w:jc w:val="left"/>
    </w:pPr>
    <w:rPr>
      <w:rFonts w:ascii="Times New Roman" w:hAnsi="Times New Roman" w:cs="Times New Roman"/>
      <w:color w:val="auto"/>
      <w:kern w:val="2"/>
      <w:szCs w:val="22"/>
    </w:rPr>
  </w:style>
  <w:style w:type="paragraph" w:customStyle="1" w:styleId="93">
    <w:name w:val="正文缩进1"/>
    <w:qFormat/>
    <w:uiPriority w:val="0"/>
    <w:pPr>
      <w:ind w:firstLine="420"/>
    </w:pPr>
    <w:rPr>
      <w:rFonts w:ascii="Times New Roman" w:hAnsi="Times New Roman" w:eastAsia="仿宋_GB2312" w:cs="宋体"/>
      <w:b/>
      <w:bCs/>
      <w:color w:val="000000"/>
      <w:sz w:val="21"/>
      <w:lang w:val="en-US" w:eastAsia="zh-CN" w:bidi="ar-SA"/>
    </w:rPr>
  </w:style>
  <w:style w:type="paragraph" w:styleId="94">
    <w:name w:val="List Paragraph"/>
    <w:basedOn w:val="1"/>
    <w:unhideWhenUsed/>
    <w:qFormat/>
    <w:uiPriority w:val="99"/>
    <w:pPr>
      <w:ind w:firstLine="420" w:firstLineChars="200"/>
    </w:pPr>
  </w:style>
  <w:style w:type="paragraph" w:customStyle="1" w:styleId="95">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111</Pages>
  <Words>3556</Words>
  <Characters>4187</Characters>
  <Lines>363</Lines>
  <Paragraphs>102</Paragraphs>
  <TotalTime>1</TotalTime>
  <ScaleCrop>false</ScaleCrop>
  <LinksUpToDate>false</LinksUpToDate>
  <CharactersWithSpaces>4435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2022-09-07T19:12:00Z</dcterms:created>
  <dc:creator>中勤招标</dc:creator>
  <cp:lastModifiedBy>M-xiya</cp:lastModifiedBy>
  <cp:lastPrinted>2022-11-20T01:04:00Z</cp:lastPrinted>
  <dcterms:modified xsi:type="dcterms:W3CDTF">2025-07-04T08:14:24Z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6676DF4D7C6A4BF78249553D67CE9F7F_13</vt:lpwstr>
  </property>
  <property fmtid="{D5CDD505-2E9C-101B-9397-08002B2CF9AE}" pid="4" name="KSOTemplateDocerSaveRecord">
    <vt:lpwstr>eyJoZGlkIjoiYTc2ZGZiNzZiNDVlOGViOWVmM2JhOTY0NGJkNjUyYzgiLCJ1c2VySWQiOiI0MzU4MzExNzYifQ==</vt:lpwstr>
  </property>
</Properties>
</file>