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8"/>
        <w:numPr>
          <w:ilvl w:val="0"/>
          <w:numId w:val="0"/>
        </w:numPr>
        <w:jc w:val="both"/>
        <w:outlineLvl w:val="9"/>
      </w:pPr>
    </w:p>
    <w:p w14:paraId="187586D1">
      <w:pPr>
        <w:pStyle w:val="35"/>
        <w:ind w:firstLine="480"/>
      </w:pPr>
    </w:p>
    <w:p w14:paraId="64FB0A40">
      <w:pPr>
        <w:pStyle w:val="35"/>
        <w:ind w:firstLine="480"/>
      </w:pPr>
    </w:p>
    <w:p w14:paraId="0E433522">
      <w:pPr>
        <w:pStyle w:val="35"/>
        <w:ind w:firstLine="0" w:firstLineChars="0"/>
      </w:pPr>
    </w:p>
    <w:p w14:paraId="5D02BDA4">
      <w:pPr>
        <w:pStyle w:val="35"/>
        <w:ind w:firstLine="0" w:firstLineChars="0"/>
        <w:jc w:val="center"/>
        <w:rPr>
          <w:color w:val="auto"/>
          <w:sz w:val="52"/>
          <w:szCs w:val="52"/>
          <w:lang w:eastAsia="zh-CN"/>
        </w:rPr>
      </w:pPr>
      <w:r>
        <w:rPr>
          <w:rFonts w:hint="eastAsia"/>
          <w:color w:val="auto"/>
          <w:sz w:val="52"/>
          <w:szCs w:val="52"/>
          <w:lang w:eastAsia="zh-CN"/>
        </w:rPr>
        <w:t>浙江省测绘科学技术研究院</w:t>
      </w:r>
    </w:p>
    <w:p w14:paraId="548549FC">
      <w:pPr>
        <w:pStyle w:val="35"/>
        <w:ind w:firstLine="0" w:firstLineChars="0"/>
        <w:jc w:val="center"/>
        <w:rPr>
          <w:color w:val="auto"/>
          <w:sz w:val="52"/>
          <w:szCs w:val="52"/>
          <w:lang w:eastAsia="zh-CN"/>
        </w:rPr>
      </w:pPr>
      <w:r>
        <w:rPr>
          <w:rFonts w:hint="eastAsia" w:cs="Arial"/>
          <w:color w:val="auto"/>
          <w:kern w:val="0"/>
          <w:sz w:val="52"/>
          <w:szCs w:val="52"/>
          <w:lang w:eastAsia="zh-CN"/>
        </w:rPr>
        <w:t>无人机机身及配套设备一切险与第三者责任保险项目（重新招标）</w:t>
      </w:r>
    </w:p>
    <w:p w14:paraId="094D83D3">
      <w:pPr>
        <w:pStyle w:val="35"/>
        <w:ind w:firstLine="0" w:firstLineChars="0"/>
        <w:jc w:val="center"/>
        <w:rPr>
          <w:rFonts w:hint="eastAsia"/>
          <w:color w:val="auto"/>
          <w:sz w:val="84"/>
          <w:szCs w:val="84"/>
          <w:lang w:eastAsia="zh-CN"/>
        </w:rPr>
      </w:pPr>
    </w:p>
    <w:p w14:paraId="69D20543">
      <w:pPr>
        <w:pStyle w:val="35"/>
        <w:ind w:firstLine="0" w:firstLineChars="0"/>
        <w:jc w:val="center"/>
        <w:rPr>
          <w:color w:val="auto"/>
          <w:sz w:val="84"/>
          <w:szCs w:val="84"/>
        </w:rPr>
      </w:pPr>
      <w:r>
        <w:rPr>
          <w:rFonts w:hint="eastAsia"/>
          <w:color w:val="auto"/>
          <w:sz w:val="84"/>
          <w:szCs w:val="84"/>
          <w:lang w:eastAsia="zh-CN"/>
        </w:rPr>
        <w:t>公开招标采购文件</w:t>
      </w:r>
    </w:p>
    <w:p w14:paraId="5E8E4101">
      <w:pPr>
        <w:pStyle w:val="35"/>
        <w:ind w:firstLine="0" w:firstLineChars="0"/>
        <w:rPr>
          <w:color w:val="auto"/>
          <w:lang w:eastAsia="zh-CN"/>
        </w:rPr>
      </w:pPr>
    </w:p>
    <w:p w14:paraId="7B6D5EC4">
      <w:pPr>
        <w:pStyle w:val="35"/>
        <w:ind w:firstLine="0" w:firstLineChars="0"/>
        <w:jc w:val="center"/>
        <w:rPr>
          <w:color w:val="auto"/>
          <w:sz w:val="52"/>
          <w:szCs w:val="52"/>
          <w:lang w:eastAsia="zh-CN"/>
        </w:rPr>
      </w:pPr>
      <w:r>
        <w:rPr>
          <w:rFonts w:hint="eastAsia"/>
          <w:color w:val="auto"/>
          <w:sz w:val="52"/>
          <w:szCs w:val="52"/>
          <w:lang w:eastAsia="zh-CN"/>
        </w:rPr>
        <w:t>【电子交易】</w:t>
      </w:r>
    </w:p>
    <w:p w14:paraId="6854FAA5">
      <w:pPr>
        <w:pStyle w:val="35"/>
        <w:ind w:firstLine="480"/>
        <w:rPr>
          <w:color w:val="auto"/>
        </w:rPr>
      </w:pPr>
    </w:p>
    <w:p w14:paraId="4207AA4C">
      <w:pPr>
        <w:pStyle w:val="35"/>
        <w:ind w:firstLine="0" w:firstLineChars="0"/>
        <w:rPr>
          <w:color w:val="auto"/>
          <w:lang w:eastAsia="zh-CN"/>
        </w:rPr>
      </w:pPr>
    </w:p>
    <w:p w14:paraId="4A86F879">
      <w:pPr>
        <w:pStyle w:val="35"/>
        <w:ind w:firstLine="0" w:firstLineChars="0"/>
        <w:rPr>
          <w:color w:val="auto"/>
          <w:lang w:eastAsia="zh-CN"/>
        </w:rPr>
      </w:pPr>
    </w:p>
    <w:p w14:paraId="5DC02861">
      <w:pPr>
        <w:pStyle w:val="35"/>
        <w:ind w:firstLine="0" w:firstLineChars="0"/>
        <w:rPr>
          <w:color w:val="auto"/>
          <w:lang w:eastAsia="zh-CN"/>
        </w:rPr>
      </w:pPr>
    </w:p>
    <w:tbl>
      <w:tblPr>
        <w:tblStyle w:val="24"/>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5"/>
              <w:ind w:firstLine="0" w:firstLineChars="0"/>
              <w:rPr>
                <w:color w:val="auto"/>
                <w:sz w:val="32"/>
                <w:szCs w:val="32"/>
              </w:rPr>
            </w:pPr>
            <w:r>
              <w:rPr>
                <w:rFonts w:hint="eastAsia"/>
                <w:color w:val="auto"/>
                <w:sz w:val="32"/>
                <w:szCs w:val="32"/>
              </w:rPr>
              <w:t>项目编号：</w:t>
            </w:r>
          </w:p>
        </w:tc>
        <w:tc>
          <w:tcPr>
            <w:tcW w:w="3854" w:type="pct"/>
            <w:tcBorders>
              <w:top w:val="nil"/>
              <w:left w:val="nil"/>
              <w:bottom w:val="nil"/>
              <w:right w:val="nil"/>
            </w:tcBorders>
            <w:vAlign w:val="center"/>
          </w:tcPr>
          <w:p w14:paraId="2DC210C9">
            <w:pPr>
              <w:pStyle w:val="35"/>
              <w:ind w:firstLine="0" w:firstLineChars="0"/>
              <w:rPr>
                <w:rFonts w:cs="Arial"/>
                <w:color w:val="auto"/>
                <w:kern w:val="0"/>
                <w:sz w:val="32"/>
                <w:szCs w:val="32"/>
              </w:rPr>
            </w:pPr>
            <w:r>
              <w:rPr>
                <w:rFonts w:hint="eastAsia" w:cs="Arial"/>
                <w:color w:val="auto"/>
                <w:kern w:val="0"/>
                <w:sz w:val="32"/>
                <w:szCs w:val="32"/>
                <w:lang w:eastAsia="zh-CN"/>
              </w:rPr>
              <w:t>ZQ250611ZGC</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5"/>
              <w:ind w:firstLine="0" w:firstLineChars="0"/>
              <w:rPr>
                <w:color w:val="auto"/>
                <w:sz w:val="32"/>
                <w:szCs w:val="32"/>
              </w:rPr>
            </w:pPr>
            <w:r>
              <w:rPr>
                <w:rFonts w:hint="eastAsia"/>
                <w:color w:val="auto"/>
                <w:sz w:val="32"/>
                <w:szCs w:val="32"/>
              </w:rPr>
              <w:t>采 购 人：</w:t>
            </w:r>
          </w:p>
        </w:tc>
        <w:tc>
          <w:tcPr>
            <w:tcW w:w="3854" w:type="pct"/>
            <w:tcBorders>
              <w:top w:val="nil"/>
              <w:left w:val="nil"/>
              <w:bottom w:val="nil"/>
              <w:right w:val="nil"/>
            </w:tcBorders>
            <w:vAlign w:val="center"/>
          </w:tcPr>
          <w:p w14:paraId="63070374">
            <w:pPr>
              <w:pStyle w:val="35"/>
              <w:ind w:firstLine="0" w:firstLineChars="0"/>
              <w:rPr>
                <w:rFonts w:cs="Arial"/>
                <w:color w:val="auto"/>
                <w:kern w:val="0"/>
                <w:sz w:val="32"/>
                <w:szCs w:val="32"/>
              </w:rPr>
            </w:pPr>
            <w:r>
              <w:rPr>
                <w:rFonts w:hint="eastAsia" w:cs="Arial"/>
                <w:color w:val="auto"/>
                <w:kern w:val="0"/>
                <w:sz w:val="32"/>
                <w:szCs w:val="32"/>
                <w:lang w:eastAsia="zh-CN"/>
              </w:rPr>
              <w:t>浙江省测绘科学技术研究院</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5"/>
              <w:ind w:firstLine="0" w:firstLineChars="0"/>
              <w:rPr>
                <w:color w:val="auto"/>
                <w:sz w:val="32"/>
                <w:szCs w:val="32"/>
              </w:rPr>
            </w:pPr>
            <w:r>
              <w:rPr>
                <w:rFonts w:hint="eastAsia"/>
                <w:color w:val="auto"/>
                <w:sz w:val="32"/>
                <w:szCs w:val="32"/>
              </w:rPr>
              <w:t>代理机构：</w:t>
            </w:r>
          </w:p>
        </w:tc>
        <w:tc>
          <w:tcPr>
            <w:tcW w:w="3854" w:type="pct"/>
            <w:tcBorders>
              <w:top w:val="nil"/>
              <w:left w:val="nil"/>
              <w:bottom w:val="nil"/>
              <w:right w:val="nil"/>
            </w:tcBorders>
            <w:vAlign w:val="center"/>
          </w:tcPr>
          <w:p w14:paraId="27C5314C">
            <w:pPr>
              <w:pStyle w:val="35"/>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5"/>
              <w:ind w:firstLine="0" w:firstLineChars="0"/>
              <w:rPr>
                <w:color w:val="auto"/>
                <w:sz w:val="32"/>
                <w:szCs w:val="32"/>
              </w:rPr>
            </w:pPr>
            <w:r>
              <w:rPr>
                <w:rFonts w:hint="eastAsia"/>
                <w:color w:val="auto"/>
                <w:sz w:val="32"/>
                <w:szCs w:val="32"/>
              </w:rPr>
              <w:t>日    期：</w:t>
            </w:r>
          </w:p>
        </w:tc>
        <w:tc>
          <w:tcPr>
            <w:tcW w:w="3854" w:type="pct"/>
            <w:tcBorders>
              <w:top w:val="nil"/>
              <w:left w:val="nil"/>
              <w:bottom w:val="nil"/>
              <w:right w:val="nil"/>
            </w:tcBorders>
            <w:vAlign w:val="center"/>
          </w:tcPr>
          <w:p w14:paraId="31D1CE27">
            <w:pPr>
              <w:pStyle w:val="35"/>
              <w:ind w:firstLine="0" w:firstLineChars="0"/>
              <w:rPr>
                <w:rFonts w:cs="Arial"/>
                <w:color w:val="auto"/>
                <w:kern w:val="0"/>
                <w:sz w:val="32"/>
                <w:szCs w:val="32"/>
              </w:rPr>
            </w:pPr>
            <w:r>
              <w:rPr>
                <w:rFonts w:hint="eastAsia" w:cs="Arial"/>
                <w:color w:val="auto"/>
                <w:kern w:val="0"/>
                <w:sz w:val="32"/>
                <w:szCs w:val="32"/>
              </w:rPr>
              <w:t>二○</w:t>
            </w:r>
            <w:r>
              <w:rPr>
                <w:rFonts w:hint="eastAsia" w:cs="Arial"/>
                <w:color w:val="auto"/>
                <w:kern w:val="0"/>
                <w:sz w:val="32"/>
                <w:szCs w:val="32"/>
                <w:lang w:val="en-US" w:eastAsia="zh-CN"/>
              </w:rPr>
              <w:t>二五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61BB6122">
      <w:pPr>
        <w:pStyle w:val="35"/>
        <w:ind w:firstLine="0" w:firstLineChars="0"/>
        <w:rPr>
          <w:color w:val="auto"/>
        </w:rPr>
      </w:pPr>
    </w:p>
    <w:p w14:paraId="53658287">
      <w:pPr>
        <w:pStyle w:val="35"/>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CE04AE8">
      <w:pPr>
        <w:pStyle w:val="35"/>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12C10211">
      <w:pPr>
        <w:pStyle w:val="35"/>
        <w:ind w:firstLine="0" w:firstLineChars="0"/>
        <w:rPr>
          <w:color w:val="auto"/>
          <w:lang w:eastAsia="zh-CN"/>
        </w:rPr>
      </w:pPr>
    </w:p>
    <w:p w14:paraId="78552640">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lang w:eastAsia="zh-CN"/>
        </w:rPr>
        <w:fldChar w:fldCharType="begin"/>
      </w:r>
      <w:r>
        <w:rPr>
          <w:color w:val="auto"/>
          <w:lang w:eastAsia="zh-CN"/>
        </w:rPr>
        <w:instrText xml:space="preserve">TOC \o "1-2" \h \u </w:instrText>
      </w:r>
      <w:r>
        <w:rPr>
          <w:color w:val="auto"/>
          <w:lang w:eastAsia="zh-CN"/>
        </w:rPr>
        <w:fldChar w:fldCharType="separate"/>
      </w:r>
      <w:r>
        <w:rPr>
          <w:color w:val="auto"/>
          <w:sz w:val="24"/>
          <w:szCs w:val="24"/>
          <w:lang w:eastAsia="zh-CN"/>
        </w:rPr>
        <w:fldChar w:fldCharType="begin"/>
      </w:r>
      <w:r>
        <w:rPr>
          <w:sz w:val="24"/>
          <w:szCs w:val="24"/>
          <w:lang w:eastAsia="zh-CN"/>
        </w:rPr>
        <w:instrText xml:space="preserve"> HYPERLINK \l _Toc11899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_Toc11899 \h </w:instrText>
      </w:r>
      <w:r>
        <w:rPr>
          <w:sz w:val="24"/>
          <w:szCs w:val="24"/>
        </w:rPr>
        <w:fldChar w:fldCharType="separate"/>
      </w:r>
      <w:r>
        <w:rPr>
          <w:sz w:val="24"/>
          <w:szCs w:val="24"/>
        </w:rPr>
        <w:t>- 1 -</w:t>
      </w:r>
      <w:r>
        <w:rPr>
          <w:sz w:val="24"/>
          <w:szCs w:val="24"/>
        </w:rPr>
        <w:fldChar w:fldCharType="end"/>
      </w:r>
      <w:r>
        <w:rPr>
          <w:color w:val="auto"/>
          <w:sz w:val="24"/>
          <w:szCs w:val="24"/>
          <w:lang w:eastAsia="zh-CN"/>
        </w:rPr>
        <w:fldChar w:fldCharType="end"/>
      </w:r>
    </w:p>
    <w:p w14:paraId="72FE0AE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_Toc28480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_Toc28480 \h </w:instrText>
      </w:r>
      <w:r>
        <w:rPr>
          <w:sz w:val="24"/>
          <w:szCs w:val="24"/>
        </w:rPr>
        <w:fldChar w:fldCharType="separate"/>
      </w:r>
      <w:r>
        <w:rPr>
          <w:sz w:val="24"/>
          <w:szCs w:val="24"/>
        </w:rPr>
        <w:t>- 6 -</w:t>
      </w:r>
      <w:r>
        <w:rPr>
          <w:sz w:val="24"/>
          <w:szCs w:val="24"/>
        </w:rPr>
        <w:fldChar w:fldCharType="end"/>
      </w:r>
      <w:r>
        <w:rPr>
          <w:color w:val="auto"/>
          <w:sz w:val="24"/>
          <w:szCs w:val="24"/>
          <w:lang w:eastAsia="zh-CN"/>
        </w:rPr>
        <w:fldChar w:fldCharType="end"/>
      </w:r>
    </w:p>
    <w:p w14:paraId="043E255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_Toc7105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_Toc7105 \h </w:instrText>
      </w:r>
      <w:r>
        <w:rPr>
          <w:sz w:val="24"/>
          <w:szCs w:val="24"/>
        </w:rPr>
        <w:fldChar w:fldCharType="separate"/>
      </w:r>
      <w:r>
        <w:rPr>
          <w:sz w:val="24"/>
          <w:szCs w:val="24"/>
        </w:rPr>
        <w:t>- 6 -</w:t>
      </w:r>
      <w:r>
        <w:rPr>
          <w:sz w:val="24"/>
          <w:szCs w:val="24"/>
        </w:rPr>
        <w:fldChar w:fldCharType="end"/>
      </w:r>
      <w:r>
        <w:rPr>
          <w:color w:val="auto"/>
          <w:sz w:val="24"/>
          <w:szCs w:val="24"/>
          <w:lang w:eastAsia="zh-CN"/>
        </w:rPr>
        <w:fldChar w:fldCharType="end"/>
      </w:r>
    </w:p>
    <w:p w14:paraId="6FD58B7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_Toc2495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_Toc2495 \h </w:instrText>
      </w:r>
      <w:r>
        <w:rPr>
          <w:sz w:val="24"/>
          <w:szCs w:val="24"/>
        </w:rPr>
        <w:fldChar w:fldCharType="separate"/>
      </w:r>
      <w:r>
        <w:rPr>
          <w:sz w:val="24"/>
          <w:szCs w:val="24"/>
        </w:rPr>
        <w:t>- 10 -</w:t>
      </w:r>
      <w:r>
        <w:rPr>
          <w:sz w:val="24"/>
          <w:szCs w:val="24"/>
        </w:rPr>
        <w:fldChar w:fldCharType="end"/>
      </w:r>
      <w:r>
        <w:rPr>
          <w:color w:val="auto"/>
          <w:sz w:val="24"/>
          <w:szCs w:val="24"/>
          <w:lang w:eastAsia="zh-CN"/>
        </w:rPr>
        <w:fldChar w:fldCharType="end"/>
      </w:r>
    </w:p>
    <w:p w14:paraId="36B0DC7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_Toc25967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_Toc25967 \h </w:instrText>
      </w:r>
      <w:r>
        <w:rPr>
          <w:sz w:val="24"/>
          <w:szCs w:val="24"/>
        </w:rPr>
        <w:fldChar w:fldCharType="separate"/>
      </w:r>
      <w:r>
        <w:rPr>
          <w:sz w:val="24"/>
          <w:szCs w:val="24"/>
        </w:rPr>
        <w:t>- 18 -</w:t>
      </w:r>
      <w:r>
        <w:rPr>
          <w:sz w:val="24"/>
          <w:szCs w:val="24"/>
        </w:rPr>
        <w:fldChar w:fldCharType="end"/>
      </w:r>
      <w:r>
        <w:rPr>
          <w:color w:val="auto"/>
          <w:sz w:val="24"/>
          <w:szCs w:val="24"/>
          <w:lang w:eastAsia="zh-CN"/>
        </w:rPr>
        <w:fldChar w:fldCharType="end"/>
      </w:r>
    </w:p>
    <w:p w14:paraId="08E3B1C8">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_Toc8404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_Toc8404 \h </w:instrText>
      </w:r>
      <w:r>
        <w:rPr>
          <w:sz w:val="24"/>
          <w:szCs w:val="24"/>
        </w:rPr>
        <w:fldChar w:fldCharType="separate"/>
      </w:r>
      <w:r>
        <w:rPr>
          <w:sz w:val="24"/>
          <w:szCs w:val="24"/>
        </w:rPr>
        <w:t>- 20 -</w:t>
      </w:r>
      <w:r>
        <w:rPr>
          <w:sz w:val="24"/>
          <w:szCs w:val="24"/>
        </w:rPr>
        <w:fldChar w:fldCharType="end"/>
      </w:r>
      <w:r>
        <w:rPr>
          <w:color w:val="auto"/>
          <w:sz w:val="24"/>
          <w:szCs w:val="24"/>
          <w:lang w:eastAsia="zh-CN"/>
        </w:rPr>
        <w:fldChar w:fldCharType="end"/>
      </w:r>
    </w:p>
    <w:p w14:paraId="735B1F9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_Toc1271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_Toc1271 \h </w:instrText>
      </w:r>
      <w:r>
        <w:rPr>
          <w:sz w:val="24"/>
          <w:szCs w:val="24"/>
        </w:rPr>
        <w:fldChar w:fldCharType="separate"/>
      </w:r>
      <w:r>
        <w:rPr>
          <w:sz w:val="24"/>
          <w:szCs w:val="24"/>
        </w:rPr>
        <w:t>- 26 -</w:t>
      </w:r>
      <w:r>
        <w:rPr>
          <w:sz w:val="24"/>
          <w:szCs w:val="24"/>
        </w:rPr>
        <w:fldChar w:fldCharType="end"/>
      </w:r>
      <w:r>
        <w:rPr>
          <w:color w:val="auto"/>
          <w:sz w:val="24"/>
          <w:szCs w:val="24"/>
          <w:lang w:eastAsia="zh-CN"/>
        </w:rPr>
        <w:fldChar w:fldCharType="end"/>
      </w:r>
    </w:p>
    <w:p w14:paraId="4C9A7DC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_Toc20617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_Toc20617 \h </w:instrText>
      </w:r>
      <w:r>
        <w:rPr>
          <w:sz w:val="24"/>
          <w:szCs w:val="24"/>
        </w:rPr>
        <w:fldChar w:fldCharType="separate"/>
      </w:r>
      <w:r>
        <w:rPr>
          <w:sz w:val="24"/>
          <w:szCs w:val="24"/>
        </w:rPr>
        <w:t>- 28 -</w:t>
      </w:r>
      <w:r>
        <w:rPr>
          <w:sz w:val="24"/>
          <w:szCs w:val="24"/>
        </w:rPr>
        <w:fldChar w:fldCharType="end"/>
      </w:r>
      <w:r>
        <w:rPr>
          <w:color w:val="auto"/>
          <w:sz w:val="24"/>
          <w:szCs w:val="24"/>
          <w:lang w:eastAsia="zh-CN"/>
        </w:rPr>
        <w:fldChar w:fldCharType="end"/>
      </w:r>
    </w:p>
    <w:p w14:paraId="7E963EE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_Toc5397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_Toc5397 \h </w:instrText>
      </w:r>
      <w:r>
        <w:rPr>
          <w:sz w:val="24"/>
          <w:szCs w:val="24"/>
        </w:rPr>
        <w:fldChar w:fldCharType="separate"/>
      </w:r>
      <w:r>
        <w:rPr>
          <w:sz w:val="24"/>
          <w:szCs w:val="24"/>
        </w:rPr>
        <w:t>- 30 -</w:t>
      </w:r>
      <w:r>
        <w:rPr>
          <w:sz w:val="24"/>
          <w:szCs w:val="24"/>
        </w:rPr>
        <w:fldChar w:fldCharType="end"/>
      </w:r>
      <w:r>
        <w:rPr>
          <w:color w:val="auto"/>
          <w:sz w:val="24"/>
          <w:szCs w:val="24"/>
          <w:lang w:eastAsia="zh-CN"/>
        </w:rPr>
        <w:fldChar w:fldCharType="end"/>
      </w:r>
    </w:p>
    <w:p w14:paraId="362794B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_Toc25626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_Toc25626 \h </w:instrText>
      </w:r>
      <w:r>
        <w:rPr>
          <w:sz w:val="24"/>
          <w:szCs w:val="24"/>
        </w:rPr>
        <w:fldChar w:fldCharType="separate"/>
      </w:r>
      <w:r>
        <w:rPr>
          <w:sz w:val="24"/>
          <w:szCs w:val="24"/>
        </w:rPr>
        <w:t>- 30 -</w:t>
      </w:r>
      <w:r>
        <w:rPr>
          <w:sz w:val="24"/>
          <w:szCs w:val="24"/>
        </w:rPr>
        <w:fldChar w:fldCharType="end"/>
      </w:r>
      <w:r>
        <w:rPr>
          <w:color w:val="auto"/>
          <w:sz w:val="24"/>
          <w:szCs w:val="24"/>
          <w:lang w:eastAsia="zh-CN"/>
        </w:rPr>
        <w:fldChar w:fldCharType="end"/>
      </w:r>
    </w:p>
    <w:p w14:paraId="00803C7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_Toc10684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_Toc10684 \h </w:instrText>
      </w:r>
      <w:r>
        <w:rPr>
          <w:sz w:val="24"/>
          <w:szCs w:val="24"/>
        </w:rPr>
        <w:fldChar w:fldCharType="separate"/>
      </w:r>
      <w:r>
        <w:rPr>
          <w:sz w:val="24"/>
          <w:szCs w:val="24"/>
        </w:rPr>
        <w:t>- 32 -</w:t>
      </w:r>
      <w:r>
        <w:rPr>
          <w:sz w:val="24"/>
          <w:szCs w:val="24"/>
        </w:rPr>
        <w:fldChar w:fldCharType="end"/>
      </w:r>
      <w:r>
        <w:rPr>
          <w:color w:val="auto"/>
          <w:sz w:val="24"/>
          <w:szCs w:val="24"/>
          <w:lang w:eastAsia="zh-CN"/>
        </w:rPr>
        <w:fldChar w:fldCharType="end"/>
      </w:r>
    </w:p>
    <w:p w14:paraId="6C374E7E">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_Toc26293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_Toc26293 \h </w:instrText>
      </w:r>
      <w:r>
        <w:rPr>
          <w:sz w:val="24"/>
          <w:szCs w:val="24"/>
        </w:rPr>
        <w:fldChar w:fldCharType="separate"/>
      </w:r>
      <w:r>
        <w:rPr>
          <w:sz w:val="24"/>
          <w:szCs w:val="24"/>
        </w:rPr>
        <w:t>- 33 -</w:t>
      </w:r>
      <w:r>
        <w:rPr>
          <w:sz w:val="24"/>
          <w:szCs w:val="24"/>
        </w:rPr>
        <w:fldChar w:fldCharType="end"/>
      </w:r>
      <w:r>
        <w:rPr>
          <w:color w:val="auto"/>
          <w:sz w:val="24"/>
          <w:szCs w:val="24"/>
          <w:lang w:eastAsia="zh-CN"/>
        </w:rPr>
        <w:fldChar w:fldCharType="end"/>
      </w:r>
    </w:p>
    <w:p w14:paraId="64C59D7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_Toc21599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_Toc21599 \h </w:instrText>
      </w:r>
      <w:r>
        <w:rPr>
          <w:sz w:val="24"/>
          <w:szCs w:val="24"/>
        </w:rPr>
        <w:fldChar w:fldCharType="separate"/>
      </w:r>
      <w:r>
        <w:rPr>
          <w:sz w:val="24"/>
          <w:szCs w:val="24"/>
        </w:rPr>
        <w:t>- 34 -</w:t>
      </w:r>
      <w:r>
        <w:rPr>
          <w:sz w:val="24"/>
          <w:szCs w:val="24"/>
        </w:rPr>
        <w:fldChar w:fldCharType="end"/>
      </w:r>
      <w:r>
        <w:rPr>
          <w:color w:val="auto"/>
          <w:sz w:val="24"/>
          <w:szCs w:val="24"/>
          <w:lang w:eastAsia="zh-CN"/>
        </w:rPr>
        <w:fldChar w:fldCharType="end"/>
      </w:r>
    </w:p>
    <w:p w14:paraId="5F9D8AF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_Toc29454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_Toc29454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4E740C57">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_Toc8109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lang w:val="en-US" w:eastAsia="zh-CN"/>
        </w:rPr>
        <w:t>项目背景</w:t>
      </w:r>
      <w:r>
        <w:rPr>
          <w:sz w:val="24"/>
          <w:szCs w:val="24"/>
        </w:rPr>
        <w:tab/>
      </w:r>
      <w:r>
        <w:rPr>
          <w:sz w:val="24"/>
          <w:szCs w:val="24"/>
        </w:rPr>
        <w:fldChar w:fldCharType="begin"/>
      </w:r>
      <w:r>
        <w:rPr>
          <w:sz w:val="24"/>
          <w:szCs w:val="24"/>
        </w:rPr>
        <w:instrText xml:space="preserve"> PAGEREF _Toc8109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0E0A236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_Toc190 </w:instrText>
      </w:r>
      <w:r>
        <w:rPr>
          <w:sz w:val="24"/>
          <w:szCs w:val="24"/>
          <w:lang w:eastAsia="zh-CN"/>
        </w:rPr>
        <w:fldChar w:fldCharType="separate"/>
      </w:r>
      <w:r>
        <w:rPr>
          <w:rFonts w:hint="eastAsia" w:ascii="黑体" w:hAnsi="黑体" w:eastAsia="黑体" w:cs="宋体"/>
          <w:i w:val="0"/>
          <w:sz w:val="24"/>
          <w:szCs w:val="24"/>
          <w:lang w:val="en-US" w:eastAsia="zh-CN"/>
        </w:rPr>
        <w:t xml:space="preserve">二、 </w:t>
      </w:r>
      <w:r>
        <w:rPr>
          <w:rFonts w:hint="eastAsia"/>
          <w:sz w:val="24"/>
          <w:szCs w:val="24"/>
          <w:lang w:val="en-US" w:eastAsia="zh-CN"/>
        </w:rPr>
        <w:t>项目服务内容技术及商务需求</w:t>
      </w:r>
      <w:r>
        <w:rPr>
          <w:sz w:val="24"/>
          <w:szCs w:val="24"/>
        </w:rPr>
        <w:tab/>
      </w:r>
      <w:r>
        <w:rPr>
          <w:sz w:val="24"/>
          <w:szCs w:val="24"/>
        </w:rPr>
        <w:fldChar w:fldCharType="begin"/>
      </w:r>
      <w:r>
        <w:rPr>
          <w:sz w:val="24"/>
          <w:szCs w:val="24"/>
        </w:rPr>
        <w:instrText xml:space="preserve"> PAGEREF _Toc190 \h </w:instrText>
      </w:r>
      <w:r>
        <w:rPr>
          <w:sz w:val="24"/>
          <w:szCs w:val="24"/>
        </w:rPr>
        <w:fldChar w:fldCharType="separate"/>
      </w:r>
      <w:r>
        <w:rPr>
          <w:sz w:val="24"/>
          <w:szCs w:val="24"/>
        </w:rPr>
        <w:t>- 36 -</w:t>
      </w:r>
      <w:r>
        <w:rPr>
          <w:sz w:val="24"/>
          <w:szCs w:val="24"/>
        </w:rPr>
        <w:fldChar w:fldCharType="end"/>
      </w:r>
      <w:r>
        <w:rPr>
          <w:color w:val="auto"/>
          <w:sz w:val="24"/>
          <w:szCs w:val="24"/>
          <w:lang w:eastAsia="zh-CN"/>
        </w:rPr>
        <w:fldChar w:fldCharType="end"/>
      </w:r>
    </w:p>
    <w:p w14:paraId="6B2F3EF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_Toc26098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投保范围</w:t>
      </w:r>
      <w:r>
        <w:rPr>
          <w:sz w:val="24"/>
          <w:szCs w:val="24"/>
        </w:rPr>
        <w:tab/>
      </w:r>
      <w:r>
        <w:rPr>
          <w:sz w:val="24"/>
          <w:szCs w:val="24"/>
        </w:rPr>
        <w:fldChar w:fldCharType="begin"/>
      </w:r>
      <w:r>
        <w:rPr>
          <w:sz w:val="24"/>
          <w:szCs w:val="24"/>
        </w:rPr>
        <w:instrText xml:space="preserve"> PAGEREF _Toc26098 \h </w:instrText>
      </w:r>
      <w:r>
        <w:rPr>
          <w:sz w:val="24"/>
          <w:szCs w:val="24"/>
        </w:rPr>
        <w:fldChar w:fldCharType="separate"/>
      </w:r>
      <w:r>
        <w:rPr>
          <w:sz w:val="24"/>
          <w:szCs w:val="24"/>
        </w:rPr>
        <w:t>- 40 -</w:t>
      </w:r>
      <w:r>
        <w:rPr>
          <w:sz w:val="24"/>
          <w:szCs w:val="24"/>
        </w:rPr>
        <w:fldChar w:fldCharType="end"/>
      </w:r>
      <w:r>
        <w:rPr>
          <w:color w:val="auto"/>
          <w:sz w:val="24"/>
          <w:szCs w:val="24"/>
          <w:lang w:eastAsia="zh-CN"/>
        </w:rPr>
        <w:fldChar w:fldCharType="end"/>
      </w:r>
    </w:p>
    <w:p w14:paraId="1AAD983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_Toc9614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商务要求</w:t>
      </w:r>
      <w:r>
        <w:rPr>
          <w:sz w:val="24"/>
          <w:szCs w:val="24"/>
        </w:rPr>
        <w:tab/>
      </w:r>
      <w:r>
        <w:rPr>
          <w:sz w:val="24"/>
          <w:szCs w:val="24"/>
        </w:rPr>
        <w:fldChar w:fldCharType="begin"/>
      </w:r>
      <w:r>
        <w:rPr>
          <w:sz w:val="24"/>
          <w:szCs w:val="24"/>
        </w:rPr>
        <w:instrText xml:space="preserve"> PAGEREF _Toc9614 \h </w:instrText>
      </w:r>
      <w:r>
        <w:rPr>
          <w:sz w:val="24"/>
          <w:szCs w:val="24"/>
        </w:rPr>
        <w:fldChar w:fldCharType="separate"/>
      </w:r>
      <w:r>
        <w:rPr>
          <w:sz w:val="24"/>
          <w:szCs w:val="24"/>
        </w:rPr>
        <w:t>- 47 -</w:t>
      </w:r>
      <w:r>
        <w:rPr>
          <w:sz w:val="24"/>
          <w:szCs w:val="24"/>
        </w:rPr>
        <w:fldChar w:fldCharType="end"/>
      </w:r>
      <w:r>
        <w:rPr>
          <w:color w:val="auto"/>
          <w:sz w:val="24"/>
          <w:szCs w:val="24"/>
          <w:lang w:eastAsia="zh-CN"/>
        </w:rPr>
        <w:fldChar w:fldCharType="end"/>
      </w:r>
    </w:p>
    <w:p w14:paraId="5E75C050">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_Toc16318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验收方式</w:t>
      </w:r>
      <w:r>
        <w:rPr>
          <w:sz w:val="24"/>
          <w:szCs w:val="24"/>
        </w:rPr>
        <w:tab/>
      </w:r>
      <w:r>
        <w:rPr>
          <w:sz w:val="24"/>
          <w:szCs w:val="24"/>
        </w:rPr>
        <w:fldChar w:fldCharType="begin"/>
      </w:r>
      <w:r>
        <w:rPr>
          <w:sz w:val="24"/>
          <w:szCs w:val="24"/>
        </w:rPr>
        <w:instrText xml:space="preserve"> PAGEREF _Toc16318 \h </w:instrText>
      </w:r>
      <w:r>
        <w:rPr>
          <w:sz w:val="24"/>
          <w:szCs w:val="24"/>
        </w:rPr>
        <w:fldChar w:fldCharType="separate"/>
      </w:r>
      <w:r>
        <w:rPr>
          <w:sz w:val="24"/>
          <w:szCs w:val="24"/>
        </w:rPr>
        <w:t>- 47 -</w:t>
      </w:r>
      <w:r>
        <w:rPr>
          <w:sz w:val="24"/>
          <w:szCs w:val="24"/>
        </w:rPr>
        <w:fldChar w:fldCharType="end"/>
      </w:r>
      <w:r>
        <w:rPr>
          <w:color w:val="auto"/>
          <w:sz w:val="24"/>
          <w:szCs w:val="24"/>
          <w:lang w:eastAsia="zh-CN"/>
        </w:rPr>
        <w:fldChar w:fldCharType="end"/>
      </w:r>
    </w:p>
    <w:p w14:paraId="2C8BA05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_Toc12824 </w:instrText>
      </w:r>
      <w:r>
        <w:rPr>
          <w:sz w:val="24"/>
          <w:szCs w:val="24"/>
          <w:lang w:eastAsia="zh-CN"/>
        </w:rPr>
        <w:fldChar w:fldCharType="separate"/>
      </w:r>
      <w:r>
        <w:rPr>
          <w:rFonts w:hint="eastAsia" w:ascii="黑体" w:hAnsi="黑体" w:eastAsia="黑体" w:cs="宋体"/>
          <w:i w:val="0"/>
          <w:sz w:val="24"/>
          <w:szCs w:val="24"/>
          <w:lang w:val="en-US" w:eastAsia="zh-CN"/>
        </w:rPr>
        <w:t xml:space="preserve">六、 </w:t>
      </w:r>
      <w:r>
        <w:rPr>
          <w:rFonts w:hint="eastAsia"/>
          <w:sz w:val="24"/>
          <w:szCs w:val="24"/>
          <w:lang w:val="en-US" w:eastAsia="zh-CN"/>
        </w:rPr>
        <w:t>付款方式</w:t>
      </w:r>
      <w:r>
        <w:rPr>
          <w:sz w:val="24"/>
          <w:szCs w:val="24"/>
        </w:rPr>
        <w:tab/>
      </w:r>
      <w:r>
        <w:rPr>
          <w:sz w:val="24"/>
          <w:szCs w:val="24"/>
        </w:rPr>
        <w:fldChar w:fldCharType="begin"/>
      </w:r>
      <w:r>
        <w:rPr>
          <w:sz w:val="24"/>
          <w:szCs w:val="24"/>
        </w:rPr>
        <w:instrText xml:space="preserve"> PAGEREF _Toc12824 \h </w:instrText>
      </w:r>
      <w:r>
        <w:rPr>
          <w:sz w:val="24"/>
          <w:szCs w:val="24"/>
        </w:rPr>
        <w:fldChar w:fldCharType="separate"/>
      </w:r>
      <w:r>
        <w:rPr>
          <w:sz w:val="24"/>
          <w:szCs w:val="24"/>
        </w:rPr>
        <w:t>- 48 -</w:t>
      </w:r>
      <w:r>
        <w:rPr>
          <w:sz w:val="24"/>
          <w:szCs w:val="24"/>
        </w:rPr>
        <w:fldChar w:fldCharType="end"/>
      </w:r>
      <w:r>
        <w:rPr>
          <w:color w:val="auto"/>
          <w:sz w:val="24"/>
          <w:szCs w:val="24"/>
          <w:lang w:eastAsia="zh-CN"/>
        </w:rPr>
        <w:fldChar w:fldCharType="end"/>
      </w:r>
    </w:p>
    <w:p w14:paraId="7BBFA21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_Toc29821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特别提示</w:t>
      </w:r>
      <w:r>
        <w:rPr>
          <w:sz w:val="24"/>
          <w:szCs w:val="24"/>
        </w:rPr>
        <w:tab/>
      </w:r>
      <w:r>
        <w:rPr>
          <w:sz w:val="24"/>
          <w:szCs w:val="24"/>
        </w:rPr>
        <w:fldChar w:fldCharType="begin"/>
      </w:r>
      <w:r>
        <w:rPr>
          <w:sz w:val="24"/>
          <w:szCs w:val="24"/>
        </w:rPr>
        <w:instrText xml:space="preserve"> PAGEREF _Toc29821 \h </w:instrText>
      </w:r>
      <w:r>
        <w:rPr>
          <w:sz w:val="24"/>
          <w:szCs w:val="24"/>
        </w:rPr>
        <w:fldChar w:fldCharType="separate"/>
      </w:r>
      <w:r>
        <w:rPr>
          <w:sz w:val="24"/>
          <w:szCs w:val="24"/>
        </w:rPr>
        <w:t>- 48 -</w:t>
      </w:r>
      <w:r>
        <w:rPr>
          <w:sz w:val="24"/>
          <w:szCs w:val="24"/>
        </w:rPr>
        <w:fldChar w:fldCharType="end"/>
      </w:r>
      <w:r>
        <w:rPr>
          <w:color w:val="auto"/>
          <w:sz w:val="24"/>
          <w:szCs w:val="24"/>
          <w:lang w:eastAsia="zh-CN"/>
        </w:rPr>
        <w:fldChar w:fldCharType="end"/>
      </w:r>
    </w:p>
    <w:p w14:paraId="39B84868">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_Toc3169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_Toc3169 \h </w:instrText>
      </w:r>
      <w:r>
        <w:rPr>
          <w:sz w:val="24"/>
          <w:szCs w:val="24"/>
        </w:rPr>
        <w:fldChar w:fldCharType="separate"/>
      </w:r>
      <w:r>
        <w:rPr>
          <w:sz w:val="24"/>
          <w:szCs w:val="24"/>
        </w:rPr>
        <w:t>- 49 -</w:t>
      </w:r>
      <w:r>
        <w:rPr>
          <w:sz w:val="24"/>
          <w:szCs w:val="24"/>
        </w:rPr>
        <w:fldChar w:fldCharType="end"/>
      </w:r>
      <w:r>
        <w:rPr>
          <w:color w:val="auto"/>
          <w:sz w:val="24"/>
          <w:szCs w:val="24"/>
          <w:lang w:eastAsia="zh-CN"/>
        </w:rPr>
        <w:fldChar w:fldCharType="end"/>
      </w:r>
    </w:p>
    <w:p w14:paraId="1603BA7A">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_Toc25900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_Toc25900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0E5AF61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_Toc91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_Toc91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2F145D1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_Toc26954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_Toc26954 \h </w:instrText>
      </w:r>
      <w:r>
        <w:rPr>
          <w:sz w:val="24"/>
          <w:szCs w:val="24"/>
        </w:rPr>
        <w:fldChar w:fldCharType="separate"/>
      </w:r>
      <w:r>
        <w:rPr>
          <w:sz w:val="24"/>
          <w:szCs w:val="24"/>
        </w:rPr>
        <w:t>- 65 -</w:t>
      </w:r>
      <w:r>
        <w:rPr>
          <w:sz w:val="24"/>
          <w:szCs w:val="24"/>
        </w:rPr>
        <w:fldChar w:fldCharType="end"/>
      </w:r>
      <w:r>
        <w:rPr>
          <w:color w:val="auto"/>
          <w:sz w:val="24"/>
          <w:szCs w:val="24"/>
          <w:lang w:eastAsia="zh-CN"/>
        </w:rPr>
        <w:fldChar w:fldCharType="end"/>
      </w:r>
    </w:p>
    <w:p w14:paraId="00EE7AE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_Toc15735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_Toc15735 \h </w:instrText>
      </w:r>
      <w:r>
        <w:rPr>
          <w:sz w:val="24"/>
          <w:szCs w:val="24"/>
        </w:rPr>
        <w:fldChar w:fldCharType="separate"/>
      </w:r>
      <w:r>
        <w:rPr>
          <w:sz w:val="24"/>
          <w:szCs w:val="24"/>
        </w:rPr>
        <w:t>- 70 -</w:t>
      </w:r>
      <w:r>
        <w:rPr>
          <w:sz w:val="24"/>
          <w:szCs w:val="24"/>
        </w:rPr>
        <w:fldChar w:fldCharType="end"/>
      </w:r>
      <w:r>
        <w:rPr>
          <w:color w:val="auto"/>
          <w:sz w:val="24"/>
          <w:szCs w:val="24"/>
          <w:lang w:eastAsia="zh-CN"/>
        </w:rPr>
        <w:fldChar w:fldCharType="end"/>
      </w:r>
    </w:p>
    <w:p w14:paraId="32E969F9">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_Toc6323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_Toc6323 \h </w:instrText>
      </w:r>
      <w:r>
        <w:rPr>
          <w:sz w:val="24"/>
          <w:szCs w:val="24"/>
        </w:rPr>
        <w:fldChar w:fldCharType="separate"/>
      </w:r>
      <w:r>
        <w:rPr>
          <w:sz w:val="24"/>
          <w:szCs w:val="24"/>
        </w:rPr>
        <w:t>- 75 -</w:t>
      </w:r>
      <w:r>
        <w:rPr>
          <w:sz w:val="24"/>
          <w:szCs w:val="24"/>
        </w:rPr>
        <w:fldChar w:fldCharType="end"/>
      </w:r>
      <w:r>
        <w:rPr>
          <w:color w:val="auto"/>
          <w:sz w:val="24"/>
          <w:szCs w:val="24"/>
          <w:lang w:eastAsia="zh-CN"/>
        </w:rPr>
        <w:fldChar w:fldCharType="end"/>
      </w:r>
    </w:p>
    <w:p w14:paraId="050544BB">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_Toc12708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_Toc12708 \h </w:instrText>
      </w:r>
      <w:r>
        <w:rPr>
          <w:sz w:val="24"/>
          <w:szCs w:val="24"/>
        </w:rPr>
        <w:fldChar w:fldCharType="separate"/>
      </w:r>
      <w:r>
        <w:rPr>
          <w:sz w:val="24"/>
          <w:szCs w:val="24"/>
        </w:rPr>
        <w:t>- 75 -</w:t>
      </w:r>
      <w:r>
        <w:rPr>
          <w:sz w:val="24"/>
          <w:szCs w:val="24"/>
        </w:rPr>
        <w:fldChar w:fldCharType="end"/>
      </w:r>
      <w:r>
        <w:rPr>
          <w:color w:val="auto"/>
          <w:sz w:val="24"/>
          <w:szCs w:val="24"/>
          <w:lang w:eastAsia="zh-CN"/>
        </w:rPr>
        <w:fldChar w:fldCharType="end"/>
      </w:r>
    </w:p>
    <w:p w14:paraId="7485843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_Toc4371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_Toc4371 \h </w:instrText>
      </w:r>
      <w:r>
        <w:rPr>
          <w:sz w:val="24"/>
          <w:szCs w:val="24"/>
        </w:rPr>
        <w:fldChar w:fldCharType="separate"/>
      </w:r>
      <w:r>
        <w:rPr>
          <w:sz w:val="24"/>
          <w:szCs w:val="24"/>
        </w:rPr>
        <w:t>- 76 -</w:t>
      </w:r>
      <w:r>
        <w:rPr>
          <w:sz w:val="24"/>
          <w:szCs w:val="24"/>
        </w:rPr>
        <w:fldChar w:fldCharType="end"/>
      </w:r>
      <w:r>
        <w:rPr>
          <w:color w:val="auto"/>
          <w:sz w:val="24"/>
          <w:szCs w:val="24"/>
          <w:lang w:eastAsia="zh-CN"/>
        </w:rPr>
        <w:fldChar w:fldCharType="end"/>
      </w:r>
    </w:p>
    <w:p w14:paraId="2DADF147">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_Toc13682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_Toc13682 \h </w:instrText>
      </w:r>
      <w:r>
        <w:rPr>
          <w:sz w:val="24"/>
          <w:szCs w:val="24"/>
        </w:rPr>
        <w:fldChar w:fldCharType="separate"/>
      </w:r>
      <w:r>
        <w:rPr>
          <w:sz w:val="24"/>
          <w:szCs w:val="24"/>
        </w:rPr>
        <w:t>- 78 -</w:t>
      </w:r>
      <w:r>
        <w:rPr>
          <w:sz w:val="24"/>
          <w:szCs w:val="24"/>
        </w:rPr>
        <w:fldChar w:fldCharType="end"/>
      </w:r>
      <w:r>
        <w:rPr>
          <w:color w:val="auto"/>
          <w:sz w:val="24"/>
          <w:szCs w:val="24"/>
          <w:lang w:eastAsia="zh-CN"/>
        </w:rPr>
        <w:fldChar w:fldCharType="end"/>
      </w:r>
    </w:p>
    <w:p w14:paraId="603723B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_Toc31746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_Toc31746 \h </w:instrText>
      </w:r>
      <w:r>
        <w:rPr>
          <w:sz w:val="24"/>
          <w:szCs w:val="24"/>
        </w:rPr>
        <w:fldChar w:fldCharType="separate"/>
      </w:r>
      <w:r>
        <w:rPr>
          <w:sz w:val="24"/>
          <w:szCs w:val="24"/>
        </w:rPr>
        <w:t>- 78 -</w:t>
      </w:r>
      <w:r>
        <w:rPr>
          <w:sz w:val="24"/>
          <w:szCs w:val="24"/>
        </w:rPr>
        <w:fldChar w:fldCharType="end"/>
      </w:r>
      <w:r>
        <w:rPr>
          <w:color w:val="auto"/>
          <w:sz w:val="24"/>
          <w:szCs w:val="24"/>
          <w:lang w:eastAsia="zh-CN"/>
        </w:rPr>
        <w:fldChar w:fldCharType="end"/>
      </w:r>
    </w:p>
    <w:p w14:paraId="153389E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_Toc23096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_Toc23096 \h </w:instrText>
      </w:r>
      <w:r>
        <w:rPr>
          <w:sz w:val="24"/>
          <w:szCs w:val="24"/>
        </w:rPr>
        <w:fldChar w:fldCharType="separate"/>
      </w:r>
      <w:r>
        <w:rPr>
          <w:sz w:val="24"/>
          <w:szCs w:val="24"/>
        </w:rPr>
        <w:t>- 79 -</w:t>
      </w:r>
      <w:r>
        <w:rPr>
          <w:sz w:val="24"/>
          <w:szCs w:val="24"/>
        </w:rPr>
        <w:fldChar w:fldCharType="end"/>
      </w:r>
      <w:r>
        <w:rPr>
          <w:color w:val="auto"/>
          <w:sz w:val="24"/>
          <w:szCs w:val="24"/>
          <w:lang w:eastAsia="zh-CN"/>
        </w:rPr>
        <w:fldChar w:fldCharType="end"/>
      </w:r>
    </w:p>
    <w:p w14:paraId="740285B1">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_Toc790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highlight w:val="none"/>
        </w:rPr>
        <w:t>投标函</w:t>
      </w:r>
      <w:r>
        <w:rPr>
          <w:sz w:val="24"/>
          <w:szCs w:val="24"/>
        </w:rPr>
        <w:tab/>
      </w:r>
      <w:r>
        <w:rPr>
          <w:sz w:val="24"/>
          <w:szCs w:val="24"/>
        </w:rPr>
        <w:fldChar w:fldCharType="begin"/>
      </w:r>
      <w:r>
        <w:rPr>
          <w:sz w:val="24"/>
          <w:szCs w:val="24"/>
        </w:rPr>
        <w:instrText xml:space="preserve"> PAGEREF _Toc790 \h </w:instrText>
      </w:r>
      <w:r>
        <w:rPr>
          <w:sz w:val="24"/>
          <w:szCs w:val="24"/>
        </w:rPr>
        <w:fldChar w:fldCharType="separate"/>
      </w:r>
      <w:r>
        <w:rPr>
          <w:sz w:val="24"/>
          <w:szCs w:val="24"/>
        </w:rPr>
        <w:t>- 80 -</w:t>
      </w:r>
      <w:r>
        <w:rPr>
          <w:sz w:val="24"/>
          <w:szCs w:val="24"/>
        </w:rPr>
        <w:fldChar w:fldCharType="end"/>
      </w:r>
      <w:r>
        <w:rPr>
          <w:color w:val="auto"/>
          <w:sz w:val="24"/>
          <w:szCs w:val="24"/>
          <w:lang w:eastAsia="zh-CN"/>
        </w:rPr>
        <w:fldChar w:fldCharType="end"/>
      </w:r>
    </w:p>
    <w:p w14:paraId="20CF980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_Toc29286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highlight w:val="none"/>
        </w:rPr>
        <w:t>政府采购供应商廉洁自律承诺书</w:t>
      </w:r>
      <w:r>
        <w:rPr>
          <w:sz w:val="24"/>
          <w:szCs w:val="24"/>
        </w:rPr>
        <w:tab/>
      </w:r>
      <w:r>
        <w:rPr>
          <w:sz w:val="24"/>
          <w:szCs w:val="24"/>
        </w:rPr>
        <w:fldChar w:fldCharType="begin"/>
      </w:r>
      <w:r>
        <w:rPr>
          <w:sz w:val="24"/>
          <w:szCs w:val="24"/>
        </w:rPr>
        <w:instrText xml:space="preserve"> PAGEREF _Toc29286 \h </w:instrText>
      </w:r>
      <w:r>
        <w:rPr>
          <w:sz w:val="24"/>
          <w:szCs w:val="24"/>
        </w:rPr>
        <w:fldChar w:fldCharType="separate"/>
      </w:r>
      <w:r>
        <w:rPr>
          <w:sz w:val="24"/>
          <w:szCs w:val="24"/>
        </w:rPr>
        <w:t>- 82 -</w:t>
      </w:r>
      <w:r>
        <w:rPr>
          <w:sz w:val="24"/>
          <w:szCs w:val="24"/>
        </w:rPr>
        <w:fldChar w:fldCharType="end"/>
      </w:r>
      <w:r>
        <w:rPr>
          <w:color w:val="auto"/>
          <w:sz w:val="24"/>
          <w:szCs w:val="24"/>
          <w:lang w:eastAsia="zh-CN"/>
        </w:rPr>
        <w:fldChar w:fldCharType="end"/>
      </w:r>
    </w:p>
    <w:p w14:paraId="7B7D065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_Toc2412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highlight w:val="none"/>
        </w:rPr>
        <w:t>法定代表人身份证明</w:t>
      </w:r>
      <w:r>
        <w:rPr>
          <w:sz w:val="24"/>
          <w:szCs w:val="24"/>
        </w:rPr>
        <w:tab/>
      </w:r>
      <w:r>
        <w:rPr>
          <w:sz w:val="24"/>
          <w:szCs w:val="24"/>
        </w:rPr>
        <w:fldChar w:fldCharType="begin"/>
      </w:r>
      <w:r>
        <w:rPr>
          <w:sz w:val="24"/>
          <w:szCs w:val="24"/>
        </w:rPr>
        <w:instrText xml:space="preserve"> PAGEREF _Toc2412 \h </w:instrText>
      </w:r>
      <w:r>
        <w:rPr>
          <w:sz w:val="24"/>
          <w:szCs w:val="24"/>
        </w:rPr>
        <w:fldChar w:fldCharType="separate"/>
      </w:r>
      <w:r>
        <w:rPr>
          <w:sz w:val="24"/>
          <w:szCs w:val="24"/>
        </w:rPr>
        <w:t>- 83 -</w:t>
      </w:r>
      <w:r>
        <w:rPr>
          <w:sz w:val="24"/>
          <w:szCs w:val="24"/>
        </w:rPr>
        <w:fldChar w:fldCharType="end"/>
      </w:r>
      <w:r>
        <w:rPr>
          <w:color w:val="auto"/>
          <w:sz w:val="24"/>
          <w:szCs w:val="24"/>
          <w:lang w:eastAsia="zh-CN"/>
        </w:rPr>
        <w:fldChar w:fldCharType="end"/>
      </w:r>
    </w:p>
    <w:p w14:paraId="1B28CFA8">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_Toc28011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highlight w:val="none"/>
        </w:rPr>
        <w:t>授权委托书</w:t>
      </w:r>
      <w:r>
        <w:rPr>
          <w:sz w:val="24"/>
          <w:szCs w:val="24"/>
        </w:rPr>
        <w:tab/>
      </w:r>
      <w:r>
        <w:rPr>
          <w:sz w:val="24"/>
          <w:szCs w:val="24"/>
        </w:rPr>
        <w:fldChar w:fldCharType="begin"/>
      </w:r>
      <w:r>
        <w:rPr>
          <w:sz w:val="24"/>
          <w:szCs w:val="24"/>
        </w:rPr>
        <w:instrText xml:space="preserve"> PAGEREF _Toc28011 \h </w:instrText>
      </w:r>
      <w:r>
        <w:rPr>
          <w:sz w:val="24"/>
          <w:szCs w:val="24"/>
        </w:rPr>
        <w:fldChar w:fldCharType="separate"/>
      </w:r>
      <w:r>
        <w:rPr>
          <w:sz w:val="24"/>
          <w:szCs w:val="24"/>
        </w:rPr>
        <w:t>- 84 -</w:t>
      </w:r>
      <w:r>
        <w:rPr>
          <w:sz w:val="24"/>
          <w:szCs w:val="24"/>
        </w:rPr>
        <w:fldChar w:fldCharType="end"/>
      </w:r>
      <w:r>
        <w:rPr>
          <w:color w:val="auto"/>
          <w:sz w:val="24"/>
          <w:szCs w:val="24"/>
          <w:lang w:eastAsia="zh-CN"/>
        </w:rPr>
        <w:fldChar w:fldCharType="end"/>
      </w:r>
    </w:p>
    <w:p w14:paraId="7D38A13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_Toc32363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highlight w:val="none"/>
        </w:rPr>
        <w:t>联合协议</w:t>
      </w:r>
      <w:r>
        <w:rPr>
          <w:sz w:val="24"/>
          <w:szCs w:val="24"/>
        </w:rPr>
        <w:tab/>
      </w:r>
      <w:r>
        <w:rPr>
          <w:sz w:val="24"/>
          <w:szCs w:val="24"/>
        </w:rPr>
        <w:fldChar w:fldCharType="begin"/>
      </w:r>
      <w:r>
        <w:rPr>
          <w:sz w:val="24"/>
          <w:szCs w:val="24"/>
        </w:rPr>
        <w:instrText xml:space="preserve"> PAGEREF _Toc32363 \h </w:instrText>
      </w:r>
      <w:r>
        <w:rPr>
          <w:sz w:val="24"/>
          <w:szCs w:val="24"/>
        </w:rPr>
        <w:fldChar w:fldCharType="separate"/>
      </w:r>
      <w:r>
        <w:rPr>
          <w:sz w:val="24"/>
          <w:szCs w:val="24"/>
        </w:rPr>
        <w:t>- 85 -</w:t>
      </w:r>
      <w:r>
        <w:rPr>
          <w:sz w:val="24"/>
          <w:szCs w:val="24"/>
        </w:rPr>
        <w:fldChar w:fldCharType="end"/>
      </w:r>
      <w:r>
        <w:rPr>
          <w:color w:val="auto"/>
          <w:sz w:val="24"/>
          <w:szCs w:val="24"/>
          <w:lang w:eastAsia="zh-CN"/>
        </w:rPr>
        <w:fldChar w:fldCharType="end"/>
      </w:r>
    </w:p>
    <w:p w14:paraId="6E28408A">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_Toc11229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highlight w:val="none"/>
        </w:rPr>
        <w:t>分包意向协议</w:t>
      </w:r>
      <w:r>
        <w:rPr>
          <w:sz w:val="24"/>
          <w:szCs w:val="24"/>
        </w:rPr>
        <w:tab/>
      </w:r>
      <w:r>
        <w:rPr>
          <w:sz w:val="24"/>
          <w:szCs w:val="24"/>
        </w:rPr>
        <w:fldChar w:fldCharType="begin"/>
      </w:r>
      <w:r>
        <w:rPr>
          <w:sz w:val="24"/>
          <w:szCs w:val="24"/>
        </w:rPr>
        <w:instrText xml:space="preserve"> PAGEREF _Toc11229 \h </w:instrText>
      </w:r>
      <w:r>
        <w:rPr>
          <w:sz w:val="24"/>
          <w:szCs w:val="24"/>
        </w:rPr>
        <w:fldChar w:fldCharType="separate"/>
      </w:r>
      <w:r>
        <w:rPr>
          <w:sz w:val="24"/>
          <w:szCs w:val="24"/>
        </w:rPr>
        <w:t>- 87 -</w:t>
      </w:r>
      <w:r>
        <w:rPr>
          <w:sz w:val="24"/>
          <w:szCs w:val="24"/>
        </w:rPr>
        <w:fldChar w:fldCharType="end"/>
      </w:r>
      <w:r>
        <w:rPr>
          <w:color w:val="auto"/>
          <w:sz w:val="24"/>
          <w:szCs w:val="24"/>
          <w:lang w:eastAsia="zh-CN"/>
        </w:rPr>
        <w:fldChar w:fldCharType="end"/>
      </w:r>
    </w:p>
    <w:p w14:paraId="425A5CD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_Toc31712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highlight w:val="none"/>
        </w:rPr>
        <w:t>开标一览表（报价表）</w:t>
      </w:r>
      <w:r>
        <w:rPr>
          <w:sz w:val="24"/>
          <w:szCs w:val="24"/>
        </w:rPr>
        <w:tab/>
      </w:r>
      <w:r>
        <w:rPr>
          <w:sz w:val="24"/>
          <w:szCs w:val="24"/>
        </w:rPr>
        <w:fldChar w:fldCharType="begin"/>
      </w:r>
      <w:r>
        <w:rPr>
          <w:sz w:val="24"/>
          <w:szCs w:val="24"/>
        </w:rPr>
        <w:instrText xml:space="preserve"> PAGEREF _Toc31712 \h </w:instrText>
      </w:r>
      <w:r>
        <w:rPr>
          <w:sz w:val="24"/>
          <w:szCs w:val="24"/>
        </w:rPr>
        <w:fldChar w:fldCharType="separate"/>
      </w:r>
      <w:r>
        <w:rPr>
          <w:sz w:val="24"/>
          <w:szCs w:val="24"/>
        </w:rPr>
        <w:t>- 89 -</w:t>
      </w:r>
      <w:r>
        <w:rPr>
          <w:sz w:val="24"/>
          <w:szCs w:val="24"/>
        </w:rPr>
        <w:fldChar w:fldCharType="end"/>
      </w:r>
      <w:r>
        <w:rPr>
          <w:color w:val="auto"/>
          <w:sz w:val="24"/>
          <w:szCs w:val="24"/>
          <w:lang w:eastAsia="zh-CN"/>
        </w:rPr>
        <w:fldChar w:fldCharType="end"/>
      </w:r>
    </w:p>
    <w:p w14:paraId="379F0AE4">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_Toc21953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_Toc21953 \h </w:instrText>
      </w:r>
      <w:r>
        <w:rPr>
          <w:sz w:val="24"/>
          <w:szCs w:val="24"/>
        </w:rPr>
        <w:fldChar w:fldCharType="separate"/>
      </w:r>
      <w:r>
        <w:rPr>
          <w:sz w:val="24"/>
          <w:szCs w:val="24"/>
        </w:rPr>
        <w:t>- 90 -</w:t>
      </w:r>
      <w:r>
        <w:rPr>
          <w:sz w:val="24"/>
          <w:szCs w:val="24"/>
        </w:rPr>
        <w:fldChar w:fldCharType="end"/>
      </w:r>
      <w:r>
        <w:rPr>
          <w:color w:val="auto"/>
          <w:sz w:val="24"/>
          <w:szCs w:val="24"/>
          <w:lang w:eastAsia="zh-CN"/>
        </w:rPr>
        <w:fldChar w:fldCharType="end"/>
      </w:r>
    </w:p>
    <w:p w14:paraId="1132263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_Toc12694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_Toc12694 \h </w:instrText>
      </w:r>
      <w:r>
        <w:rPr>
          <w:sz w:val="24"/>
          <w:szCs w:val="24"/>
        </w:rPr>
        <w:fldChar w:fldCharType="separate"/>
      </w:r>
      <w:r>
        <w:rPr>
          <w:sz w:val="24"/>
          <w:szCs w:val="24"/>
        </w:rPr>
        <w:t>- 91 -</w:t>
      </w:r>
      <w:r>
        <w:rPr>
          <w:sz w:val="24"/>
          <w:szCs w:val="24"/>
        </w:rPr>
        <w:fldChar w:fldCharType="end"/>
      </w:r>
      <w:r>
        <w:rPr>
          <w:color w:val="auto"/>
          <w:sz w:val="24"/>
          <w:szCs w:val="24"/>
          <w:lang w:eastAsia="zh-CN"/>
        </w:rPr>
        <w:fldChar w:fldCharType="end"/>
      </w:r>
    </w:p>
    <w:p w14:paraId="427B73E2">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color w:val="auto"/>
          <w:sz w:val="24"/>
          <w:szCs w:val="24"/>
          <w:lang w:eastAsia="zh-CN"/>
        </w:rPr>
        <w:fldChar w:fldCharType="begin"/>
      </w:r>
      <w:r>
        <w:rPr>
          <w:sz w:val="24"/>
          <w:szCs w:val="24"/>
          <w:lang w:eastAsia="zh-CN"/>
        </w:rPr>
        <w:instrText xml:space="preserve"> HYPERLINK \l _Toc19487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_Toc19487 \h </w:instrText>
      </w:r>
      <w:r>
        <w:rPr>
          <w:sz w:val="24"/>
          <w:szCs w:val="24"/>
        </w:rPr>
        <w:fldChar w:fldCharType="separate"/>
      </w:r>
      <w:r>
        <w:rPr>
          <w:sz w:val="24"/>
          <w:szCs w:val="24"/>
        </w:rPr>
        <w:t>- 92 -</w:t>
      </w:r>
      <w:r>
        <w:rPr>
          <w:sz w:val="24"/>
          <w:szCs w:val="24"/>
        </w:rPr>
        <w:fldChar w:fldCharType="end"/>
      </w:r>
      <w:r>
        <w:rPr>
          <w:color w:val="auto"/>
          <w:sz w:val="24"/>
          <w:szCs w:val="24"/>
          <w:lang w:eastAsia="zh-CN"/>
        </w:rPr>
        <w:fldChar w:fldCharType="end"/>
      </w:r>
    </w:p>
    <w:p w14:paraId="700C1ECE">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color w:val="auto"/>
          <w:sz w:val="24"/>
          <w:szCs w:val="24"/>
          <w:lang w:eastAsia="zh-CN"/>
        </w:rPr>
        <w:fldChar w:fldCharType="begin"/>
      </w:r>
      <w:r>
        <w:rPr>
          <w:sz w:val="24"/>
          <w:szCs w:val="24"/>
          <w:lang w:eastAsia="zh-CN"/>
        </w:rPr>
        <w:instrText xml:space="preserve"> HYPERLINK \l _Toc29467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_Toc29467 \h </w:instrText>
      </w:r>
      <w:r>
        <w:rPr>
          <w:sz w:val="24"/>
          <w:szCs w:val="24"/>
        </w:rPr>
        <w:fldChar w:fldCharType="separate"/>
      </w:r>
      <w:r>
        <w:rPr>
          <w:sz w:val="24"/>
          <w:szCs w:val="24"/>
        </w:rPr>
        <w:t>- 93 -</w:t>
      </w:r>
      <w:r>
        <w:rPr>
          <w:sz w:val="24"/>
          <w:szCs w:val="24"/>
        </w:rPr>
        <w:fldChar w:fldCharType="end"/>
      </w:r>
      <w:r>
        <w:rPr>
          <w:color w:val="auto"/>
          <w:sz w:val="24"/>
          <w:szCs w:val="24"/>
          <w:lang w:eastAsia="zh-CN"/>
        </w:rPr>
        <w:fldChar w:fldCharType="end"/>
      </w:r>
    </w:p>
    <w:p w14:paraId="17BFE2FB">
      <w:pPr>
        <w:pStyle w:val="35"/>
        <w:ind w:firstLine="199" w:firstLineChars="83"/>
        <w:rPr>
          <w:color w:val="auto"/>
          <w:lang w:eastAsia="zh-C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lowerRoman" w:start="1"/>
          <w:cols w:space="425" w:num="1"/>
          <w:docGrid w:type="lines" w:linePitch="312" w:charSpace="0"/>
        </w:sectPr>
      </w:pPr>
      <w:r>
        <w:rPr>
          <w:color w:val="auto"/>
          <w:lang w:eastAsia="zh-CN"/>
        </w:rPr>
        <w:fldChar w:fldCharType="end"/>
      </w:r>
    </w:p>
    <w:p w14:paraId="06C68198">
      <w:pPr>
        <w:pStyle w:val="38"/>
        <w:rPr>
          <w:color w:val="auto"/>
        </w:rPr>
      </w:pPr>
      <w:bookmarkStart w:id="0" w:name="_Toc11899"/>
      <w:r>
        <w:rPr>
          <w:rFonts w:hint="eastAsia"/>
          <w:color w:val="auto"/>
        </w:rPr>
        <w:t>招标公告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5"/>
              <w:ind w:firstLine="480"/>
              <w:rPr>
                <w:b w:val="0"/>
                <w:bCs/>
                <w:i w:val="0"/>
                <w:color w:val="auto"/>
              </w:rPr>
            </w:pPr>
            <w:r>
              <w:rPr>
                <w:rFonts w:hint="eastAsia"/>
                <w:b w:val="0"/>
                <w:bCs/>
                <w:i w:val="0"/>
                <w:color w:val="auto"/>
              </w:rPr>
              <w:t>项目概况</w:t>
            </w:r>
          </w:p>
          <w:p w14:paraId="74BCB971">
            <w:pPr>
              <w:pStyle w:val="35"/>
              <w:ind w:firstLine="480"/>
              <w:jc w:val="left"/>
              <w:rPr>
                <w:b/>
                <w:i w:val="0"/>
                <w:color w:val="auto"/>
              </w:rPr>
            </w:pPr>
            <w:r>
              <w:rPr>
                <w:rFonts w:hint="eastAsia"/>
                <w:b w:val="0"/>
                <w:bCs/>
                <w:i w:val="0"/>
                <w:color w:val="auto"/>
                <w:u w:val="single"/>
                <w:lang w:val="en-US" w:eastAsia="zh-CN"/>
              </w:rPr>
              <w:t>浙江省测绘科学技术研究院</w:t>
            </w:r>
            <w:r>
              <w:rPr>
                <w:rFonts w:hint="eastAsia"/>
                <w:b w:val="0"/>
                <w:bCs/>
                <w:i w:val="0"/>
                <w:color w:val="auto"/>
                <w:u w:val="single"/>
                <w:lang w:eastAsia="zh-CN"/>
              </w:rPr>
              <w:t>无人机机身及配套设备一切险与第三者责任保险</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2025年08月01日14时00分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04A93F54">
      <w:pPr>
        <w:pStyle w:val="37"/>
        <w:numPr>
          <w:ilvl w:val="0"/>
          <w:numId w:val="0"/>
        </w:numPr>
        <w:jc w:val="both"/>
        <w:outlineLvl w:val="9"/>
        <w:rPr>
          <w:b/>
          <w:bCs w:val="0"/>
          <w:color w:val="auto"/>
          <w:sz w:val="24"/>
          <w:szCs w:val="24"/>
        </w:rPr>
      </w:pPr>
      <w:r>
        <w:rPr>
          <w:rFonts w:hint="eastAsia"/>
          <w:b/>
          <w:bCs w:val="0"/>
          <w:color w:val="auto"/>
          <w:sz w:val="24"/>
          <w:szCs w:val="24"/>
          <w:lang w:eastAsia="zh-CN"/>
        </w:rPr>
        <w:t>一、</w:t>
      </w:r>
      <w:r>
        <w:rPr>
          <w:rFonts w:hint="eastAsia"/>
          <w:b/>
          <w:bCs w:val="0"/>
          <w:color w:val="auto"/>
          <w:sz w:val="24"/>
          <w:szCs w:val="24"/>
        </w:rPr>
        <w:t>项目基本情况</w:t>
      </w:r>
    </w:p>
    <w:p w14:paraId="1A0AD1EC">
      <w:pPr>
        <w:pStyle w:val="35"/>
        <w:ind w:firstLine="482"/>
        <w:rPr>
          <w:color w:val="auto"/>
        </w:rPr>
      </w:pPr>
      <w:r>
        <w:rPr>
          <w:rFonts w:hint="eastAsia"/>
          <w:b/>
          <w:bCs/>
          <w:color w:val="auto"/>
        </w:rPr>
        <w:t>项目编号：</w:t>
      </w:r>
      <w:r>
        <w:rPr>
          <w:rFonts w:hint="eastAsia"/>
          <w:color w:val="auto"/>
          <w:lang w:eastAsia="zh-CN"/>
        </w:rPr>
        <w:t>ZQ250611ZGC</w:t>
      </w:r>
    </w:p>
    <w:p w14:paraId="2C0B4777">
      <w:pPr>
        <w:pStyle w:val="35"/>
        <w:ind w:firstLine="482"/>
        <w:rPr>
          <w:color w:val="auto"/>
        </w:rPr>
      </w:pPr>
      <w:r>
        <w:rPr>
          <w:rFonts w:hint="eastAsia"/>
          <w:b/>
          <w:bCs/>
          <w:color w:val="auto"/>
        </w:rPr>
        <w:t>项目名称：</w:t>
      </w:r>
      <w:r>
        <w:rPr>
          <w:rFonts w:hint="eastAsia"/>
          <w:b w:val="0"/>
          <w:bCs/>
          <w:i w:val="0"/>
          <w:color w:val="auto"/>
          <w:u w:val="none"/>
          <w:lang w:val="en-US" w:eastAsia="zh-CN"/>
        </w:rPr>
        <w:t>浙江省测绘科学技术研究院</w:t>
      </w:r>
      <w:r>
        <w:rPr>
          <w:rFonts w:hint="eastAsia"/>
          <w:b w:val="0"/>
          <w:bCs/>
          <w:i w:val="0"/>
          <w:color w:val="auto"/>
          <w:u w:val="none"/>
          <w:lang w:eastAsia="zh-CN"/>
        </w:rPr>
        <w:t>无人机机身及配套设备一切险与第三者责任保险项目（重新招标）</w:t>
      </w:r>
    </w:p>
    <w:p w14:paraId="2D57AFFC">
      <w:pPr>
        <w:pStyle w:val="35"/>
        <w:ind w:firstLine="482"/>
        <w:rPr>
          <w:color w:val="auto"/>
        </w:rPr>
      </w:pPr>
      <w:r>
        <w:rPr>
          <w:rFonts w:hint="eastAsia"/>
          <w:b/>
          <w:bCs/>
          <w:color w:val="auto"/>
        </w:rPr>
        <w:t>预算金额（元）：</w:t>
      </w:r>
      <w:r>
        <w:rPr>
          <w:rFonts w:hint="eastAsia"/>
          <w:color w:val="auto"/>
          <w:lang w:val="en-US" w:eastAsia="zh-CN"/>
        </w:rPr>
        <w:t>2284700</w:t>
      </w:r>
      <w:r>
        <w:rPr>
          <w:color w:val="auto"/>
        </w:rPr>
        <w:t>.00</w:t>
      </w:r>
    </w:p>
    <w:p w14:paraId="39D12680">
      <w:pPr>
        <w:pStyle w:val="35"/>
        <w:ind w:firstLine="482"/>
        <w:rPr>
          <w:color w:val="auto"/>
        </w:rPr>
      </w:pPr>
      <w:r>
        <w:rPr>
          <w:rFonts w:hint="eastAsia"/>
          <w:b/>
          <w:bCs/>
          <w:color w:val="auto"/>
        </w:rPr>
        <w:t>最高限价（元）：</w:t>
      </w:r>
      <w:r>
        <w:rPr>
          <w:rFonts w:hint="eastAsia"/>
          <w:color w:val="auto"/>
          <w:lang w:val="en-US" w:eastAsia="zh-CN"/>
        </w:rPr>
        <w:t>2284700</w:t>
      </w:r>
      <w:r>
        <w:rPr>
          <w:color w:val="auto"/>
        </w:rPr>
        <w:t>.00</w:t>
      </w:r>
    </w:p>
    <w:p w14:paraId="39F0DB1C">
      <w:pPr>
        <w:pStyle w:val="35"/>
        <w:ind w:firstLine="482"/>
        <w:rPr>
          <w:b/>
          <w:bCs/>
          <w:color w:val="auto"/>
        </w:rPr>
      </w:pPr>
      <w:r>
        <w:rPr>
          <w:rFonts w:hint="eastAsia"/>
          <w:b/>
          <w:bCs/>
          <w:color w:val="auto"/>
        </w:rPr>
        <w:t>采购需求：</w:t>
      </w:r>
    </w:p>
    <w:p w14:paraId="3A99F366">
      <w:pPr>
        <w:pStyle w:val="35"/>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5"/>
        <w:ind w:firstLine="480"/>
        <w:rPr>
          <w:color w:val="auto"/>
          <w:lang w:eastAsia="zh-CN"/>
        </w:rPr>
      </w:pPr>
      <w:r>
        <w:rPr>
          <w:rFonts w:hint="eastAsia"/>
          <w:color w:val="auto"/>
        </w:rPr>
        <w:t>标项名称</w:t>
      </w:r>
      <w:r>
        <w:rPr>
          <w:rFonts w:hint="eastAsia"/>
          <w:color w:val="auto"/>
          <w:lang w:eastAsia="zh-CN"/>
        </w:rPr>
        <w:t>：无人机机身及配套设备一切险与第三者责任保险项目</w:t>
      </w:r>
    </w:p>
    <w:p w14:paraId="47535759">
      <w:pPr>
        <w:pStyle w:val="35"/>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5"/>
        <w:ind w:firstLine="480"/>
        <w:rPr>
          <w:rFonts w:hint="eastAsia"/>
          <w:color w:val="auto"/>
          <w:lang w:eastAsia="zh-CN"/>
        </w:rPr>
      </w:pPr>
      <w:r>
        <w:rPr>
          <w:rFonts w:hint="eastAsia"/>
          <w:color w:val="auto"/>
          <w:lang w:eastAsia="zh-CN"/>
        </w:rPr>
        <w:t>预算金额（元）：</w:t>
      </w:r>
      <w:r>
        <w:rPr>
          <w:rFonts w:hint="eastAsia"/>
          <w:color w:val="auto"/>
          <w:lang w:val="en-US" w:eastAsia="zh-CN"/>
        </w:rPr>
        <w:t>2284700</w:t>
      </w:r>
      <w:r>
        <w:rPr>
          <w:color w:val="auto"/>
        </w:rPr>
        <w:t>.00</w:t>
      </w:r>
    </w:p>
    <w:p w14:paraId="2B58CAE5">
      <w:pPr>
        <w:pStyle w:val="35"/>
        <w:ind w:firstLine="480"/>
        <w:rPr>
          <w:color w:val="auto"/>
          <w:lang w:eastAsia="zh-CN"/>
        </w:rPr>
      </w:pPr>
      <w:r>
        <w:rPr>
          <w:rFonts w:hint="eastAsia"/>
          <w:color w:val="auto"/>
        </w:rPr>
        <w:t>单位</w:t>
      </w:r>
      <w:r>
        <w:rPr>
          <w:rFonts w:hint="eastAsia"/>
          <w:color w:val="auto"/>
          <w:lang w:eastAsia="zh-CN"/>
        </w:rPr>
        <w:t>：项</w:t>
      </w:r>
    </w:p>
    <w:p w14:paraId="39938854">
      <w:pPr>
        <w:pStyle w:val="35"/>
        <w:ind w:firstLine="480"/>
        <w:rPr>
          <w:lang w:eastAsia="zh-CN"/>
        </w:rPr>
      </w:pPr>
      <w:r>
        <w:rPr>
          <w:rFonts w:hint="eastAsia"/>
        </w:rPr>
        <w:t>简要规格描述或项目基本概况介绍、用途</w:t>
      </w:r>
      <w:r>
        <w:rPr>
          <w:rFonts w:hint="eastAsia"/>
          <w:lang w:eastAsia="zh-CN"/>
        </w:rPr>
        <w:t>：</w:t>
      </w:r>
      <w:r>
        <w:rPr>
          <w:rFonts w:hint="eastAsia"/>
          <w:color w:val="auto"/>
          <w:lang w:val="en-US" w:eastAsia="zh-CN"/>
        </w:rPr>
        <w:t>为减少单位财产损失，组织好保险的采购及以后的理赔事宜，本次开展</w:t>
      </w:r>
      <w:r>
        <w:rPr>
          <w:rFonts w:hint="eastAsia"/>
          <w:color w:val="auto"/>
          <w:lang w:eastAsia="zh-CN"/>
        </w:rPr>
        <w:t>无人机机身及配套设备一切险与第三者责任保险</w:t>
      </w:r>
      <w:bookmarkStart w:id="130" w:name="_GoBack"/>
      <w:bookmarkEnd w:id="130"/>
      <w:r>
        <w:rPr>
          <w:rFonts w:hint="eastAsia"/>
          <w:color w:val="auto"/>
          <w:lang w:val="en-US" w:eastAsia="zh-CN"/>
        </w:rPr>
        <w:t>采购</w:t>
      </w:r>
      <w:r>
        <w:rPr>
          <w:rFonts w:hint="eastAsia"/>
          <w:color w:val="auto"/>
          <w:lang w:eastAsia="zh-CN"/>
        </w:rPr>
        <w:t>。详</w:t>
      </w:r>
      <w:r>
        <w:rPr>
          <w:rFonts w:hint="eastAsia"/>
          <w:lang w:eastAsia="zh-CN"/>
        </w:rPr>
        <w:t>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35"/>
        <w:ind w:firstLine="480"/>
        <w:rPr>
          <w:rFonts w:hint="eastAsia" w:eastAsia="微软雅黑"/>
          <w:bCs/>
          <w:lang w:val="en-US" w:eastAsia="zh-CN"/>
        </w:rPr>
      </w:pPr>
      <w:r>
        <w:rPr>
          <w:rFonts w:hint="eastAsia"/>
          <w:bCs/>
        </w:rPr>
        <w:t>备</w:t>
      </w:r>
      <w:r>
        <w:rPr>
          <w:rFonts w:hint="eastAsia"/>
          <w:bCs/>
          <w:color w:val="auto"/>
        </w:rPr>
        <w:t>注</w:t>
      </w:r>
      <w:r>
        <w:rPr>
          <w:rFonts w:hint="eastAsia"/>
          <w:bCs/>
          <w:color w:val="auto"/>
          <w:lang w:eastAsia="zh-CN"/>
        </w:rPr>
        <w:t>：</w:t>
      </w:r>
      <w:r>
        <w:rPr>
          <w:rFonts w:hint="eastAsia"/>
          <w:bCs/>
          <w:color w:val="auto"/>
        </w:rPr>
        <w:t>采购计划文号</w:t>
      </w:r>
      <w:r>
        <w:rPr>
          <w:rFonts w:hint="eastAsia" w:eastAsia="宋体"/>
          <w:bCs/>
          <w:color w:val="auto"/>
        </w:rPr>
        <w:t xml:space="preserve"> </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"/plan/list/view?id=1000000000016049349&amp;_app_=zcy.procurement"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[2025]36887号</w:t>
      </w:r>
      <w:r>
        <w:rPr>
          <w:rFonts w:hint="eastAsia" w:ascii="宋体" w:hAnsi="宋体" w:eastAsia="宋体" w:cs="Times New Roman"/>
          <w:bCs/>
          <w:i w:val="0"/>
          <w:iCs w:val="0"/>
          <w:caps w:val="0"/>
          <w:color w:val="auto"/>
          <w:spacing w:val="0"/>
          <w:sz w:val="24"/>
          <w:szCs w:val="21"/>
          <w:u w:val="none"/>
        </w:rPr>
        <w:fldChar w:fldCharType="end"/>
      </w:r>
      <w:r>
        <w:rPr>
          <w:rFonts w:hint="eastAsia" w:ascii="宋体" w:hAnsi="宋体" w:eastAsia="宋体" w:cs="Times New Roman"/>
          <w:bCs/>
          <w:i w:val="0"/>
          <w:iCs w:val="0"/>
          <w:caps w:val="0"/>
          <w:color w:val="auto"/>
          <w:spacing w:val="0"/>
          <w:sz w:val="24"/>
          <w:szCs w:val="21"/>
          <w:u w:val="none"/>
          <w:lang w:val="en-US"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"/plan/list/view?id=1000000000016049305&amp;_app_=zcy.procurement"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[2025]36888号</w:t>
      </w:r>
      <w:r>
        <w:rPr>
          <w:rFonts w:hint="eastAsia" w:ascii="宋体" w:hAnsi="宋体" w:eastAsia="宋体" w:cs="Times New Roman"/>
          <w:bCs/>
          <w:i w:val="0"/>
          <w:iCs w:val="0"/>
          <w:caps w:val="0"/>
          <w:color w:val="auto"/>
          <w:spacing w:val="0"/>
          <w:sz w:val="24"/>
          <w:szCs w:val="21"/>
          <w:u w:val="none"/>
        </w:rPr>
        <w:fldChar w:fldCharType="end"/>
      </w:r>
      <w:r>
        <w:rPr>
          <w:rFonts w:hint="eastAsia" w:ascii="宋体" w:hAnsi="宋体" w:eastAsia="宋体" w:cs="Times New Roman"/>
          <w:bCs/>
          <w:i w:val="0"/>
          <w:iCs w:val="0"/>
          <w:caps w:val="0"/>
          <w:color w:val="auto"/>
          <w:spacing w:val="0"/>
          <w:sz w:val="24"/>
          <w:szCs w:val="21"/>
          <w:u w:val="none"/>
          <w:lang w:eastAsia="zh-CN"/>
        </w:rPr>
        <w:t>、</w:t>
      </w:r>
      <w:r>
        <w:rPr>
          <w:rFonts w:hint="eastAsia" w:ascii="宋体" w:hAnsi="宋体" w:eastAsia="宋体" w:cs="Times New Roman"/>
          <w:bCs/>
          <w:i w:val="0"/>
          <w:iCs w:val="0"/>
          <w:caps w:val="0"/>
          <w:color w:val="auto"/>
          <w:spacing w:val="0"/>
          <w:sz w:val="24"/>
          <w:szCs w:val="21"/>
          <w:u w:val="none"/>
          <w:shd w:val="clear"/>
        </w:rPr>
        <w:fldChar w:fldCharType="begin"/>
      </w:r>
      <w:r>
        <w:rPr>
          <w:rFonts w:hint="eastAsia" w:ascii="宋体" w:hAnsi="宋体" w:eastAsia="宋体" w:cs="Times New Roman"/>
          <w:bCs/>
          <w:i w:val="0"/>
          <w:iCs w:val="0"/>
          <w:caps w:val="0"/>
          <w:color w:val="auto"/>
          <w:spacing w:val="0"/>
          <w:sz w:val="24"/>
          <w:szCs w:val="21"/>
          <w:u w:val="none"/>
          <w:shd w:val="clear"/>
        </w:rPr>
        <w:instrText xml:space="preserve"> HYPERLINK "https://pay.zcygov.cn/purchaseplan_front/" \l "/plan/list/view?id=1000000000016049306&amp;_app_=zcy.procurement"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shd w:val="clear"/>
        </w:rPr>
        <w:fldChar w:fldCharType="separate"/>
      </w:r>
      <w:r>
        <w:rPr>
          <w:rFonts w:hint="eastAsia" w:ascii="宋体" w:hAnsi="宋体" w:eastAsia="宋体" w:cs="Times New Roman"/>
          <w:bCs/>
          <w:i w:val="0"/>
          <w:iCs w:val="0"/>
          <w:caps w:val="0"/>
          <w:color w:val="auto"/>
          <w:spacing w:val="0"/>
          <w:sz w:val="24"/>
          <w:szCs w:val="21"/>
          <w:u w:val="none"/>
          <w:shd w:val="clear"/>
        </w:rPr>
        <w:t>[2025]36889号</w:t>
      </w:r>
      <w:r>
        <w:rPr>
          <w:rFonts w:hint="eastAsia" w:ascii="宋体" w:hAnsi="宋体" w:eastAsia="宋体" w:cs="Times New Roman"/>
          <w:bCs/>
          <w:i w:val="0"/>
          <w:iCs w:val="0"/>
          <w:caps w:val="0"/>
          <w:color w:val="auto"/>
          <w:spacing w:val="0"/>
          <w:sz w:val="24"/>
          <w:szCs w:val="21"/>
          <w:u w:val="none"/>
          <w:shd w:val="clear"/>
        </w:rPr>
        <w:fldChar w:fldCharType="end"/>
      </w:r>
      <w:r>
        <w:rPr>
          <w:rFonts w:hint="eastAsia" w:ascii="宋体" w:hAnsi="宋体" w:eastAsia="宋体" w:cs="Times New Roman"/>
          <w:bCs/>
          <w:i w:val="0"/>
          <w:iCs w:val="0"/>
          <w:caps w:val="0"/>
          <w:color w:val="auto"/>
          <w:spacing w:val="0"/>
          <w:sz w:val="24"/>
          <w:szCs w:val="21"/>
          <w:u w:val="none"/>
          <w:shd w:val="clear"/>
          <w:lang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"/plan/list/view?id=1000000000016049279&amp;_app_=zcy.procurement"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[2025]36890号</w:t>
      </w:r>
      <w:r>
        <w:rPr>
          <w:rFonts w:hint="eastAsia" w:ascii="宋体" w:hAnsi="宋体" w:eastAsia="宋体" w:cs="Times New Roman"/>
          <w:bCs/>
          <w:i w:val="0"/>
          <w:iCs w:val="0"/>
          <w:caps w:val="0"/>
          <w:color w:val="auto"/>
          <w:spacing w:val="0"/>
          <w:sz w:val="24"/>
          <w:szCs w:val="21"/>
          <w:u w:val="none"/>
        </w:rPr>
        <w:fldChar w:fldCharType="end"/>
      </w:r>
      <w:r>
        <w:rPr>
          <w:rFonts w:hint="eastAsia" w:cs="Times New Roman"/>
          <w:bCs/>
          <w:i w:val="0"/>
          <w:iCs w:val="0"/>
          <w:caps w:val="0"/>
          <w:color w:val="auto"/>
          <w:spacing w:val="0"/>
          <w:sz w:val="24"/>
          <w:szCs w:val="21"/>
          <w:u w:val="none"/>
          <w:lang w:eastAsia="zh-CN"/>
        </w:rPr>
        <w:t>、</w:t>
      </w:r>
      <w:r>
        <w:rPr>
          <w:rFonts w:hint="eastAsia" w:ascii="宋体" w:hAnsi="宋体" w:eastAsia="宋体" w:cs="Times New Roman"/>
          <w:bCs/>
          <w:i w:val="0"/>
          <w:iCs w:val="0"/>
          <w:caps w:val="0"/>
          <w:color w:val="auto"/>
          <w:spacing w:val="0"/>
          <w:sz w:val="24"/>
          <w:szCs w:val="21"/>
          <w:u w:val="none"/>
        </w:rPr>
        <w:fldChar w:fldCharType="begin"/>
      </w:r>
      <w:r>
        <w:rPr>
          <w:rFonts w:hint="eastAsia" w:ascii="宋体" w:hAnsi="宋体" w:eastAsia="宋体" w:cs="Times New Roman"/>
          <w:bCs/>
          <w:i w:val="0"/>
          <w:iCs w:val="0"/>
          <w:caps w:val="0"/>
          <w:color w:val="auto"/>
          <w:spacing w:val="0"/>
          <w:sz w:val="24"/>
          <w:szCs w:val="21"/>
          <w:u w:val="none"/>
        </w:rPr>
        <w:instrText xml:space="preserve"> HYPERLINK "https://pay.zcygov.cn/purchaseplan_front/" \l "/plan/list/view?id=1000000000016049304&amp;_app_=zcy.procurement" \t "https://www.zcygov.cn/delegation-order/_procurement_/order/orderInfo/check/_blank" </w:instrText>
      </w:r>
      <w:r>
        <w:rPr>
          <w:rFonts w:hint="eastAsia" w:ascii="宋体" w:hAnsi="宋体" w:eastAsia="宋体" w:cs="Times New Roman"/>
          <w:bCs/>
          <w:i w:val="0"/>
          <w:iCs w:val="0"/>
          <w:caps w:val="0"/>
          <w:color w:val="auto"/>
          <w:spacing w:val="0"/>
          <w:sz w:val="24"/>
          <w:szCs w:val="21"/>
          <w:u w:val="none"/>
        </w:rPr>
        <w:fldChar w:fldCharType="separate"/>
      </w:r>
      <w:r>
        <w:rPr>
          <w:rFonts w:hint="eastAsia" w:ascii="宋体" w:hAnsi="宋体" w:eastAsia="宋体" w:cs="Times New Roman"/>
          <w:bCs/>
          <w:i w:val="0"/>
          <w:iCs w:val="0"/>
          <w:caps w:val="0"/>
          <w:color w:val="auto"/>
          <w:spacing w:val="0"/>
          <w:sz w:val="24"/>
          <w:szCs w:val="21"/>
          <w:u w:val="none"/>
        </w:rPr>
        <w:t>[2025]36891号</w:t>
      </w:r>
      <w:r>
        <w:rPr>
          <w:rFonts w:hint="eastAsia" w:ascii="宋体" w:hAnsi="宋体" w:eastAsia="宋体" w:cs="Times New Roman"/>
          <w:bCs/>
          <w:i w:val="0"/>
          <w:iCs w:val="0"/>
          <w:caps w:val="0"/>
          <w:color w:val="auto"/>
          <w:spacing w:val="0"/>
          <w:sz w:val="24"/>
          <w:szCs w:val="21"/>
          <w:u w:val="none"/>
        </w:rPr>
        <w:fldChar w:fldCharType="end"/>
      </w:r>
    </w:p>
    <w:p w14:paraId="6703E02D">
      <w:pPr>
        <w:pStyle w:val="35"/>
        <w:ind w:firstLine="482"/>
        <w:rPr>
          <w:rFonts w:hint="eastAsia"/>
          <w:color w:val="00B050"/>
          <w:lang w:val="en-US" w:eastAsia="zh-CN"/>
        </w:rPr>
      </w:pPr>
      <w:r>
        <w:rPr>
          <w:rFonts w:hint="eastAsia"/>
          <w:b/>
          <w:bCs/>
          <w:color w:val="000000"/>
          <w:lang w:val="en-US" w:eastAsia="zh-CN"/>
        </w:rPr>
        <w:t>保险期限</w:t>
      </w:r>
      <w:r>
        <w:rPr>
          <w:rFonts w:hint="eastAsia"/>
          <w:b/>
          <w:bCs/>
          <w:color w:val="000000"/>
        </w:rPr>
        <w:t>：</w:t>
      </w:r>
      <w:r>
        <w:rPr>
          <w:rFonts w:hint="eastAsia"/>
          <w:b/>
          <w:bCs/>
          <w:color w:val="000000"/>
          <w:lang w:val="en-US" w:eastAsia="zh-CN"/>
        </w:rPr>
        <w:t>自合同签订生效之日起一年</w:t>
      </w:r>
    </w:p>
    <w:p w14:paraId="27F06D50">
      <w:pPr>
        <w:pStyle w:val="35"/>
        <w:ind w:firstLine="482"/>
        <w:rPr>
          <w:rFonts w:ascii="仿宋_GB2312" w:hAnsi="仿宋"/>
          <w:kern w:val="28"/>
          <w:lang w:eastAsia="zh-CN"/>
        </w:rPr>
      </w:pPr>
      <w:r>
        <w:rPr>
          <w:rFonts w:ascii="仿宋_GB2312" w:hAnsi="仿宋_GB2312"/>
          <w:b/>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rPr>
        <w:t>接受联合体投标</w:t>
      </w:r>
      <w:r>
        <w:rPr>
          <w:rFonts w:hint="eastAsia" w:ascii="仿宋_GB2312" w:hAnsi="仿宋_GB2312"/>
          <w:b/>
          <w:lang w:eastAsia="zh-CN"/>
        </w:rPr>
        <w:t>。</w:t>
      </w:r>
    </w:p>
    <w:p w14:paraId="3A0ACAC7">
      <w:pPr>
        <w:pStyle w:val="37"/>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5"/>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7E50E567">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w:t>
      </w:r>
      <w:r>
        <w:rPr>
          <w:rFonts w:hint="eastAsia"/>
          <w:color w:val="auto"/>
          <w:lang w:val="en-US" w:eastAsia="zh-CN"/>
        </w:rPr>
        <w:t>/小微</w:t>
      </w:r>
      <w:r>
        <w:rPr>
          <w:color w:val="auto"/>
        </w:rPr>
        <w:t>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/小微企业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5"/>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5"/>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bCs/>
          <w:lang w:eastAsia="zh-CN"/>
        </w:rPr>
      </w:pPr>
      <w:r>
        <w:rPr>
          <w:b/>
          <w:bCs/>
        </w:rPr>
        <w:t>3.</w:t>
      </w:r>
      <w:r>
        <w:rPr>
          <w:rFonts w:hint="eastAsia"/>
          <w:b/>
          <w:bCs/>
        </w:rPr>
        <w:t>本项目的特定资格要求：</w:t>
      </w:r>
      <w:r>
        <w:rPr>
          <w:rFonts w:hint="eastAsia"/>
          <w:b w:val="0"/>
          <w:bCs w:val="0"/>
        </w:rPr>
        <w:t>投标人具有完成本项目的服务能力且持有中国银行保险监督管理委员会批准的经营保险业务许可证（经营范围需涵盖财产保险等业务）的地市级分公司、支公司或中心支公司（投标人在项目所在地市未设立分支机构的，可由省级或总公司参与投标）</w:t>
      </w:r>
      <w:r>
        <w:rPr>
          <w:rFonts w:hint="eastAsia"/>
          <w:b w:val="0"/>
          <w:bCs w:val="0"/>
          <w:lang w:eastAsia="zh-CN"/>
        </w:rPr>
        <w:t>。</w:t>
      </w:r>
    </w:p>
    <w:p w14:paraId="793F5DB8">
      <w:pPr>
        <w:pStyle w:val="37"/>
        <w:numPr>
          <w:ilvl w:val="0"/>
          <w:numId w:val="0"/>
        </w:numPr>
        <w:jc w:val="both"/>
        <w:outlineLvl w:val="9"/>
        <w:rPr>
          <w:b/>
          <w:bCs w:val="0"/>
          <w:sz w:val="24"/>
          <w:szCs w:val="24"/>
        </w:rPr>
      </w:pPr>
      <w:r>
        <w:rPr>
          <w:rFonts w:hint="eastAsia"/>
          <w:b/>
          <w:bCs w:val="0"/>
          <w:sz w:val="24"/>
          <w:szCs w:val="24"/>
        </w:rPr>
        <w:t>三、获取招标文件</w:t>
      </w:r>
    </w:p>
    <w:p w14:paraId="330913D0">
      <w:pPr>
        <w:pStyle w:val="35"/>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5"/>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5"/>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5"/>
        <w:ind w:firstLine="482"/>
      </w:pPr>
      <w:r>
        <w:rPr>
          <w:rFonts w:hint="eastAsia"/>
          <w:b/>
          <w:bCs/>
        </w:rPr>
        <w:t>售价（元）：</w:t>
      </w:r>
      <w:r>
        <w:rPr>
          <w:rFonts w:hint="eastAsia"/>
        </w:rPr>
        <w:t>0</w:t>
      </w:r>
    </w:p>
    <w:p w14:paraId="2673DD20">
      <w:pPr>
        <w:pStyle w:val="37"/>
        <w:numPr>
          <w:ilvl w:val="0"/>
          <w:numId w:val="0"/>
        </w:numPr>
        <w:jc w:val="both"/>
        <w:outlineLvl w:val="9"/>
        <w:rPr>
          <w:sz w:val="24"/>
          <w:szCs w:val="24"/>
        </w:rPr>
      </w:pPr>
      <w:r>
        <w:rPr>
          <w:rFonts w:hint="eastAsia"/>
          <w:sz w:val="24"/>
          <w:szCs w:val="24"/>
        </w:rPr>
        <w:t>四、提交投标文件截止时间、开标时间和地点</w:t>
      </w:r>
    </w:p>
    <w:p w14:paraId="179EA6CE">
      <w:pPr>
        <w:pStyle w:val="35"/>
        <w:ind w:firstLine="482"/>
        <w:rPr>
          <w:color w:val="auto"/>
        </w:rPr>
      </w:pPr>
      <w:r>
        <w:rPr>
          <w:rFonts w:hint="eastAsia"/>
          <w:b/>
          <w:bCs/>
        </w:rPr>
        <w:t>提交投标文件截止时间</w:t>
      </w:r>
      <w:r>
        <w:rPr>
          <w:rFonts w:hint="eastAsia"/>
          <w:b/>
          <w:bCs/>
          <w:color w:val="auto"/>
        </w:rPr>
        <w:t>：</w:t>
      </w:r>
      <w:r>
        <w:rPr>
          <w:rFonts w:hint="eastAsia"/>
          <w:color w:val="auto"/>
          <w:lang w:eastAsia="zh-CN"/>
        </w:rPr>
        <w:t>2025年08月01日14时00分</w:t>
      </w:r>
      <w:r>
        <w:rPr>
          <w:rFonts w:hint="eastAsia"/>
          <w:color w:val="auto"/>
        </w:rPr>
        <w:t>（北京时间）</w:t>
      </w:r>
    </w:p>
    <w:p w14:paraId="283D8C69">
      <w:pPr>
        <w:pStyle w:val="35"/>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4171DCBE">
      <w:pPr>
        <w:pStyle w:val="35"/>
        <w:ind w:firstLine="480"/>
        <w:rPr>
          <w:color w:val="auto"/>
        </w:rPr>
      </w:pPr>
      <w:r>
        <w:rPr>
          <w:rFonts w:hint="eastAsia"/>
          <w:b/>
          <w:bCs/>
          <w:color w:val="auto"/>
        </w:rPr>
        <w:t>开标时间：</w:t>
      </w:r>
      <w:r>
        <w:rPr>
          <w:rFonts w:hint="eastAsia"/>
          <w:color w:val="auto"/>
          <w:lang w:eastAsia="zh-CN"/>
        </w:rPr>
        <w:t>2025年08月01日14时00分</w:t>
      </w:r>
      <w:r>
        <w:rPr>
          <w:rFonts w:hint="eastAsia"/>
          <w:color w:val="auto"/>
        </w:rPr>
        <w:t>（北京时间）</w:t>
      </w:r>
    </w:p>
    <w:p w14:paraId="315DA4F5">
      <w:pPr>
        <w:pStyle w:val="35"/>
        <w:ind w:firstLine="482"/>
      </w:pPr>
      <w:r>
        <w:rPr>
          <w:rFonts w:hint="eastAsia"/>
          <w:b/>
          <w:bCs/>
          <w:color w:val="auto"/>
        </w:rPr>
        <w:t>开标地点（网址）：</w:t>
      </w:r>
      <w:r>
        <w:rPr>
          <w:rFonts w:hint="eastAsia"/>
          <w:color w:val="auto"/>
        </w:rPr>
        <w:t>政府采购云平台（</w:t>
      </w:r>
      <w:r>
        <w:rPr>
          <w:color w:val="auto"/>
          <w:lang w:val="en-US"/>
        </w:rPr>
        <w:t>https://middle.zcygov.cn/</w:t>
      </w:r>
      <w:r>
        <w:rPr>
          <w:rFonts w:hint="eastAsia"/>
        </w:rPr>
        <w:t>）</w:t>
      </w:r>
    </w:p>
    <w:p w14:paraId="7DF04C30">
      <w:pPr>
        <w:pStyle w:val="37"/>
        <w:numPr>
          <w:ilvl w:val="0"/>
          <w:numId w:val="0"/>
        </w:numPr>
        <w:jc w:val="both"/>
        <w:outlineLvl w:val="9"/>
        <w:rPr>
          <w:sz w:val="24"/>
          <w:szCs w:val="24"/>
        </w:rPr>
      </w:pPr>
      <w:r>
        <w:rPr>
          <w:rFonts w:hint="eastAsia"/>
          <w:sz w:val="24"/>
          <w:szCs w:val="24"/>
        </w:rPr>
        <w:t>五、公告期限</w:t>
      </w:r>
    </w:p>
    <w:p w14:paraId="6454400F">
      <w:pPr>
        <w:pStyle w:val="35"/>
        <w:ind w:firstLine="480"/>
      </w:pPr>
      <w:r>
        <w:rPr>
          <w:rFonts w:hint="eastAsia"/>
        </w:rPr>
        <w:t>自本公告发布之日起5个工作日。</w:t>
      </w:r>
    </w:p>
    <w:p w14:paraId="2E720481">
      <w:pPr>
        <w:pStyle w:val="37"/>
        <w:numPr>
          <w:ilvl w:val="0"/>
          <w:numId w:val="0"/>
        </w:numPr>
        <w:jc w:val="both"/>
        <w:outlineLvl w:val="9"/>
        <w:rPr>
          <w:sz w:val="24"/>
          <w:szCs w:val="24"/>
        </w:rPr>
      </w:pPr>
      <w:r>
        <w:rPr>
          <w:rFonts w:hint="eastAsia"/>
          <w:sz w:val="24"/>
          <w:szCs w:val="24"/>
        </w:rPr>
        <w:t>六、其他补充事宜</w:t>
      </w:r>
    </w:p>
    <w:p w14:paraId="011EEF3A">
      <w:pPr>
        <w:pStyle w:val="35"/>
        <w:ind w:firstLine="480"/>
        <w:jc w:val="left"/>
        <w:rPr>
          <w:rFonts w:hint="default"/>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本项目采购意向公开链接为：https://zfcg.czt.zj.gov.cn/luban/detail?parentId=600007&amp;articleId=WsdmBRB4C1asvqUXPSdFKw==</w:t>
      </w:r>
    </w:p>
    <w:p w14:paraId="1AF6F68D">
      <w:pPr>
        <w:pStyle w:val="35"/>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5"/>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5"/>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5"/>
        <w:ind w:firstLine="480"/>
      </w:pPr>
      <w:r>
        <w:rPr>
          <w:rFonts w:hint="eastAsia"/>
          <w:lang w:val="en-US" w:eastAsia="zh-CN"/>
        </w:rPr>
        <w:t>5</w:t>
      </w:r>
      <w:r>
        <w:rPr>
          <w:rFonts w:hint="eastAsia"/>
          <w:lang w:eastAsia="zh-CN"/>
        </w:rPr>
        <w:t>.</w:t>
      </w:r>
      <w:r>
        <w:rPr>
          <w:rFonts w:hint="eastAsia"/>
        </w:rPr>
        <w:t>其他事项：</w:t>
      </w:r>
    </w:p>
    <w:p w14:paraId="7AB022C8">
      <w:pPr>
        <w:pStyle w:val="35"/>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5"/>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5"/>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5"/>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7"/>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5"/>
        <w:ind w:firstLine="480"/>
      </w:pPr>
      <w:r>
        <w:rPr>
          <w:rFonts w:hint="eastAsia"/>
        </w:rPr>
        <w:t>1</w:t>
      </w:r>
      <w:r>
        <w:rPr>
          <w:rFonts w:hint="eastAsia"/>
          <w:lang w:eastAsia="zh-CN"/>
        </w:rPr>
        <w:t>.</w:t>
      </w:r>
      <w:r>
        <w:rPr>
          <w:rFonts w:hint="eastAsia"/>
        </w:rPr>
        <w:t>采购人信息</w:t>
      </w:r>
    </w:p>
    <w:p w14:paraId="0E40FAFB">
      <w:pPr>
        <w:pStyle w:val="35"/>
        <w:ind w:firstLine="480"/>
        <w:rPr>
          <w:color w:val="auto"/>
        </w:rPr>
      </w:pPr>
      <w:r>
        <w:rPr>
          <w:rFonts w:hint="eastAsia"/>
          <w:color w:val="auto"/>
        </w:rPr>
        <w:t>名称：</w:t>
      </w:r>
      <w:r>
        <w:rPr>
          <w:rFonts w:hint="eastAsia"/>
          <w:color w:val="auto"/>
          <w:lang w:eastAsia="zh-CN"/>
        </w:rPr>
        <w:t>浙江省测绘科学技术研究院</w:t>
      </w:r>
    </w:p>
    <w:p w14:paraId="3C19C101">
      <w:pPr>
        <w:pStyle w:val="35"/>
        <w:ind w:firstLine="480"/>
        <w:rPr>
          <w:color w:val="auto"/>
        </w:rPr>
      </w:pPr>
      <w:r>
        <w:rPr>
          <w:rFonts w:hint="eastAsia"/>
          <w:color w:val="auto"/>
        </w:rPr>
        <w:t>地址：</w:t>
      </w:r>
      <w:r>
        <w:rPr>
          <w:rFonts w:hint="eastAsia"/>
          <w:color w:val="auto"/>
          <w:lang w:eastAsia="zh-CN"/>
        </w:rPr>
        <w:t>浙江省杭州市余杭区地信路2号</w:t>
      </w:r>
    </w:p>
    <w:p w14:paraId="5CF00533">
      <w:pPr>
        <w:pStyle w:val="35"/>
        <w:ind w:firstLine="480"/>
        <w:rPr>
          <w:rFonts w:hint="default" w:eastAsia="宋体"/>
          <w:color w:val="auto"/>
          <w:lang w:val="en-US" w:eastAsia="zh-CN"/>
        </w:rPr>
      </w:pPr>
      <w:r>
        <w:rPr>
          <w:rFonts w:hint="eastAsia"/>
          <w:color w:val="auto"/>
        </w:rPr>
        <w:t>项目联系人（询问）：</w:t>
      </w:r>
      <w:r>
        <w:rPr>
          <w:rFonts w:hint="eastAsia"/>
          <w:color w:val="auto"/>
          <w:lang w:val="en-US" w:eastAsia="zh-CN"/>
        </w:rPr>
        <w:t>沈老师</w:t>
      </w:r>
    </w:p>
    <w:p w14:paraId="7B41084A">
      <w:pPr>
        <w:pStyle w:val="35"/>
        <w:ind w:firstLine="480"/>
        <w:rPr>
          <w:color w:val="auto"/>
        </w:rPr>
      </w:pPr>
      <w:r>
        <w:rPr>
          <w:rFonts w:hint="eastAsia"/>
          <w:color w:val="auto"/>
        </w:rPr>
        <w:t>项目联系方式（询问）：0571-88827823</w:t>
      </w:r>
    </w:p>
    <w:p w14:paraId="64FCEBAE">
      <w:pPr>
        <w:pStyle w:val="35"/>
        <w:ind w:firstLine="480"/>
        <w:rPr>
          <w:rFonts w:hint="default" w:eastAsia="宋体"/>
          <w:color w:val="auto"/>
          <w:lang w:val="en-US" w:eastAsia="zh-CN"/>
        </w:rPr>
      </w:pPr>
      <w:r>
        <w:rPr>
          <w:rFonts w:hint="eastAsia"/>
          <w:color w:val="auto"/>
        </w:rPr>
        <w:t>质疑联系人：</w:t>
      </w:r>
      <w:r>
        <w:rPr>
          <w:rFonts w:hint="eastAsia"/>
          <w:color w:val="auto"/>
          <w:lang w:val="en-US" w:eastAsia="zh-CN"/>
        </w:rPr>
        <w:t>陈老师</w:t>
      </w:r>
    </w:p>
    <w:p w14:paraId="28CBBAA5">
      <w:pPr>
        <w:pStyle w:val="35"/>
        <w:ind w:firstLine="480"/>
        <w:rPr>
          <w:rFonts w:hint="default" w:eastAsia="宋体"/>
          <w:color w:val="auto"/>
          <w:lang w:val="en-US" w:eastAsia="zh-CN"/>
        </w:rPr>
      </w:pPr>
      <w:r>
        <w:rPr>
          <w:rFonts w:hint="eastAsia"/>
          <w:color w:val="auto"/>
        </w:rPr>
        <w:t>质疑联系方式：</w:t>
      </w:r>
      <w:r>
        <w:rPr>
          <w:rFonts w:hint="eastAsia"/>
          <w:color w:val="auto"/>
          <w:lang w:val="en-US" w:eastAsia="zh-CN"/>
        </w:rPr>
        <w:t>0571-56097254</w:t>
      </w:r>
    </w:p>
    <w:p w14:paraId="0FF28CCE">
      <w:pPr>
        <w:pStyle w:val="35"/>
        <w:ind w:firstLine="480"/>
      </w:pPr>
      <w:r>
        <w:rPr>
          <w:rFonts w:hint="eastAsia"/>
        </w:rPr>
        <w:t>2</w:t>
      </w:r>
      <w:r>
        <w:rPr>
          <w:rFonts w:hint="eastAsia"/>
          <w:lang w:eastAsia="zh-CN"/>
        </w:rPr>
        <w:t>.</w:t>
      </w:r>
      <w:r>
        <w:rPr>
          <w:rFonts w:hint="eastAsia"/>
        </w:rPr>
        <w:t>采购代理机构信息</w:t>
      </w:r>
    </w:p>
    <w:p w14:paraId="4E56017E">
      <w:pPr>
        <w:pStyle w:val="35"/>
        <w:ind w:firstLine="480"/>
      </w:pPr>
      <w:r>
        <w:rPr>
          <w:rFonts w:hint="eastAsia"/>
        </w:rPr>
        <w:t>名称：</w:t>
      </w:r>
      <w:r>
        <w:rPr>
          <w:rFonts w:hint="eastAsia"/>
          <w:lang w:eastAsia="zh-CN"/>
        </w:rPr>
        <w:t>浙江中勤招标代理有限公司</w:t>
      </w:r>
    </w:p>
    <w:p w14:paraId="719B27C4">
      <w:pPr>
        <w:pStyle w:val="35"/>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766457EA">
      <w:pPr>
        <w:pStyle w:val="35"/>
        <w:ind w:firstLine="480"/>
        <w:rPr>
          <w:rFonts w:hint="default"/>
          <w:lang w:val="en-US"/>
        </w:rPr>
      </w:pPr>
      <w:r>
        <w:rPr>
          <w:rFonts w:hint="eastAsia"/>
        </w:rPr>
        <w:t>项目联系人（询问）：</w:t>
      </w:r>
      <w:r>
        <w:rPr>
          <w:rFonts w:hint="eastAsia"/>
          <w:lang w:eastAsia="zh-CN"/>
        </w:rPr>
        <w:t>张</w:t>
      </w:r>
      <w:r>
        <w:rPr>
          <w:rFonts w:hint="eastAsia"/>
          <w:lang w:val="en-US" w:eastAsia="zh-CN"/>
        </w:rPr>
        <w:t>工</w:t>
      </w:r>
    </w:p>
    <w:p w14:paraId="30999913">
      <w:pPr>
        <w:pStyle w:val="35"/>
        <w:ind w:firstLine="480"/>
        <w:rPr>
          <w:rFonts w:hint="eastAsia"/>
        </w:rPr>
      </w:pPr>
      <w:r>
        <w:rPr>
          <w:rFonts w:hint="eastAsia"/>
        </w:rPr>
        <w:t>项目联系方式（询问）：0571-</w:t>
      </w:r>
      <w:r>
        <w:t>86808575</w:t>
      </w:r>
    </w:p>
    <w:p w14:paraId="5CE84A13">
      <w:pPr>
        <w:pStyle w:val="35"/>
        <w:ind w:firstLine="480"/>
        <w:rPr>
          <w:rFonts w:hint="eastAsia"/>
        </w:rPr>
      </w:pPr>
      <w:r>
        <w:rPr>
          <w:rFonts w:hint="eastAsia"/>
        </w:rPr>
        <w:t>质疑联系人：</w:t>
      </w:r>
      <w:r>
        <w:rPr>
          <w:rFonts w:hint="eastAsia"/>
          <w:lang w:eastAsia="zh-CN"/>
        </w:rPr>
        <w:t>李</w:t>
      </w:r>
      <w:r>
        <w:rPr>
          <w:rFonts w:hint="eastAsia"/>
          <w:lang w:val="en-US" w:eastAsia="zh-CN"/>
        </w:rPr>
        <w:t>工</w:t>
      </w:r>
    </w:p>
    <w:p w14:paraId="7A6C67FE">
      <w:pPr>
        <w:pStyle w:val="35"/>
        <w:ind w:firstLine="480"/>
        <w:rPr>
          <w:rFonts w:hint="eastAsia"/>
          <w:u w:val="none"/>
        </w:rPr>
      </w:pPr>
      <w:r>
        <w:rPr>
          <w:rFonts w:hint="eastAsia"/>
        </w:rPr>
        <w:t>质疑联系方式：</w:t>
      </w:r>
      <w:r>
        <w:rPr>
          <w:rStyle w:val="36"/>
          <w:rFonts w:hint="eastAsia"/>
          <w:u w:val="none"/>
        </w:rPr>
        <w:t>0571-</w:t>
      </w:r>
      <w:r>
        <w:rPr>
          <w:rStyle w:val="36"/>
          <w:u w:val="none"/>
        </w:rPr>
        <w:t>86803309</w:t>
      </w:r>
    </w:p>
    <w:p w14:paraId="314CA535">
      <w:pPr>
        <w:pStyle w:val="35"/>
        <w:ind w:firstLine="480"/>
      </w:pPr>
      <w:r>
        <w:rPr>
          <w:rFonts w:hint="eastAsia"/>
        </w:rPr>
        <w:t>3</w:t>
      </w:r>
      <w:r>
        <w:rPr>
          <w:rFonts w:hint="eastAsia"/>
          <w:lang w:eastAsia="zh-CN"/>
        </w:rPr>
        <w:t>.</w:t>
      </w:r>
      <w:r>
        <w:rPr>
          <w:rFonts w:hint="eastAsia"/>
        </w:rPr>
        <w:t>同级政府采购监督管理部门</w:t>
      </w:r>
    </w:p>
    <w:p w14:paraId="683E944A">
      <w:pPr>
        <w:pStyle w:val="35"/>
        <w:ind w:firstLine="480"/>
      </w:pPr>
      <w:r>
        <w:rPr>
          <w:rFonts w:hint="eastAsia"/>
        </w:rPr>
        <w:t>名称：浙江省财政厅政府采购监管处、浙江省政府采购行政裁决服务中心（杭州）</w:t>
      </w:r>
    </w:p>
    <w:p w14:paraId="585216C4">
      <w:pPr>
        <w:pStyle w:val="35"/>
        <w:ind w:firstLine="480"/>
      </w:pPr>
      <w:r>
        <w:rPr>
          <w:rFonts w:hint="eastAsia"/>
        </w:rPr>
        <w:t xml:space="preserve">地址：杭州市上城区四季青街道新业路市民之家G03办公室   </w:t>
      </w:r>
    </w:p>
    <w:p w14:paraId="10AB6BC7">
      <w:pPr>
        <w:pStyle w:val="35"/>
        <w:ind w:firstLine="480"/>
      </w:pPr>
      <w:r>
        <w:rPr>
          <w:rFonts w:hint="eastAsia"/>
        </w:rPr>
        <w:t xml:space="preserve">联系人：朱女士、王女士   </w:t>
      </w:r>
    </w:p>
    <w:p w14:paraId="366FD304">
      <w:pPr>
        <w:pStyle w:val="35"/>
        <w:ind w:firstLine="480"/>
        <w:rPr>
          <w:rFonts w:hint="eastAsia"/>
        </w:rPr>
      </w:pPr>
      <w:r>
        <w:rPr>
          <w:rFonts w:hint="eastAsia"/>
        </w:rPr>
        <w:t xml:space="preserve">监督投诉电话：0571-85252453  </w:t>
      </w:r>
    </w:p>
    <w:p w14:paraId="1243C0E2">
      <w:pPr>
        <w:pStyle w:val="35"/>
        <w:ind w:firstLine="480"/>
        <w:rPr>
          <w:rFonts w:hint="eastAsia"/>
        </w:rPr>
      </w:pPr>
      <w:r>
        <w:rPr>
          <w:rFonts w:hint="eastAsia"/>
        </w:rPr>
        <w:t>政策咨询：何一平、冯华，0571-87058424、87055741</w:t>
      </w:r>
    </w:p>
    <w:p w14:paraId="1D99326B">
      <w:pPr>
        <w:pStyle w:val="35"/>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8"/>
      </w:pPr>
      <w:bookmarkStart w:id="1" w:name="_Toc28480"/>
      <w:r>
        <w:rPr>
          <w:rFonts w:hint="eastAsia"/>
          <w:lang w:eastAsia="zh-CN"/>
        </w:rPr>
        <w:t>投标人须知</w:t>
      </w:r>
      <w:bookmarkEnd w:id="1"/>
    </w:p>
    <w:p w14:paraId="03AB09B5">
      <w:pPr>
        <w:pStyle w:val="37"/>
        <w:numPr>
          <w:ilvl w:val="0"/>
          <w:numId w:val="0"/>
        </w:numPr>
        <w:rPr>
          <w:lang w:eastAsia="zh-CN"/>
        </w:rPr>
      </w:pPr>
      <w:bookmarkStart w:id="2" w:name="_Toc7105"/>
      <w:r>
        <w:rPr>
          <w:rFonts w:hint="eastAsia"/>
          <w:lang w:eastAsia="zh-CN"/>
        </w:rPr>
        <w:t>前附表</w:t>
      </w:r>
      <w:bookmarkEnd w:id="2"/>
      <w:bookmarkStart w:id="3" w:name="_Toc233618971"/>
      <w:bookmarkEnd w:id="3"/>
    </w:p>
    <w:p w14:paraId="10DCC444">
      <w:pPr>
        <w:pStyle w:val="35"/>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4"/>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5"/>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5"/>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5"/>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5"/>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5"/>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5"/>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lang w:val="en-US" w:eastAsia="zh-CN"/>
              </w:rPr>
            </w:pPr>
            <w:r>
              <w:rPr>
                <w:rFonts w:hint="eastAsia"/>
                <w:b/>
                <w:bCs/>
                <w:color w:val="auto"/>
                <w:lang w:val="en-US" w:eastAsia="zh-CN"/>
              </w:rPr>
              <w:t>1.转包:</w:t>
            </w:r>
          </w:p>
          <w:p w14:paraId="08C8C0B7">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auto"/>
                <w:lang w:val="en-US" w:eastAsia="zh-CN"/>
              </w:rPr>
            </w:pPr>
            <w:sdt>
              <w:sdtPr>
                <w:rPr>
                  <w:color w:val="auto"/>
                </w:rPr>
                <w:id w:val="599015012"/>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w:t>
            </w:r>
            <w:r>
              <w:rPr>
                <w:rFonts w:hint="eastAsia" w:cs="AdobeFangsongStd-Regular"/>
                <w:color w:val="auto"/>
                <w:spacing w:val="-2"/>
                <w:kern w:val="0"/>
                <w:position w:val="-3"/>
                <w:lang w:val="en-US" w:eastAsia="zh-CN"/>
              </w:rPr>
              <w:t>允许</w:t>
            </w:r>
          </w:p>
          <w:p w14:paraId="48F9E072">
            <w:pPr>
              <w:pStyle w:val="35"/>
              <w:ind w:firstLine="0" w:firstLineChars="0"/>
              <w:rPr>
                <w:rFonts w:hint="default"/>
                <w:b/>
                <w:bCs/>
                <w:color w:val="auto"/>
                <w:lang w:val="en-US" w:eastAsia="zh-CN"/>
              </w:rPr>
            </w:pPr>
            <w:r>
              <w:rPr>
                <w:rFonts w:hint="eastAsia"/>
                <w:b/>
                <w:bCs/>
                <w:color w:val="auto"/>
                <w:lang w:val="en-US" w:eastAsia="zh-CN"/>
              </w:rPr>
              <w:t>2.分包:</w:t>
            </w:r>
          </w:p>
          <w:p w14:paraId="754AA6D7">
            <w:pPr>
              <w:pStyle w:val="35"/>
              <w:ind w:firstLine="0" w:firstLineChars="0"/>
              <w:rPr>
                <w:rFonts w:hint="default"/>
                <w:color w:val="auto"/>
                <w:lang w:val="en-US" w:eastAsia="zh-CN"/>
              </w:rPr>
            </w:pPr>
            <w:sdt>
              <w:sdtPr>
                <w:rPr>
                  <w:color w:val="auto"/>
                </w:rPr>
                <w:id w:val="630187934"/>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w:t>
            </w:r>
            <w:r>
              <w:rPr>
                <w:rFonts w:hint="eastAsia" w:cs="AdobeFangsongStd-Regular"/>
                <w:color w:val="auto"/>
                <w:spacing w:val="-2"/>
                <w:kern w:val="0"/>
                <w:position w:val="-3"/>
                <w:lang w:val="en-US" w:eastAsia="zh-CN"/>
              </w:rPr>
              <w:t>允许</w:t>
            </w:r>
            <w:r>
              <w:rPr>
                <w:rFonts w:hint="eastAsia" w:cs="AdobeFangsongStd-Regular"/>
                <w:color w:val="auto"/>
                <w:spacing w:val="-2"/>
                <w:kern w:val="0"/>
                <w:position w:val="-3"/>
                <w:lang w:eastAsia="zh-CN"/>
              </w:rPr>
              <w:t>；</w:t>
            </w:r>
            <w:sdt>
              <w:sdtPr>
                <w:rPr>
                  <w:color w:val="auto"/>
                </w:rPr>
                <w:id w:val="972238312"/>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lang w:val="en-US" w:eastAsia="zh-CN"/>
              </w:rPr>
              <w:t>允许分包，允许中标人在中标后将非主体、非关键性的</w:t>
            </w:r>
            <w:r>
              <w:rPr>
                <w:rFonts w:hint="eastAsia"/>
                <w:color w:val="auto"/>
                <w:u w:val="single"/>
                <w:lang w:val="en-US" w:eastAsia="zh-CN"/>
              </w:rPr>
              <w:t xml:space="preserve">            </w:t>
            </w:r>
            <w:r>
              <w:rPr>
                <w:rFonts w:hint="eastAsia"/>
                <w:color w:val="auto"/>
                <w:lang w:val="en-US" w:eastAsia="zh-CN"/>
              </w:rPr>
              <w:t>工作分包,且分包金额比例不超过</w:t>
            </w:r>
            <w:r>
              <w:rPr>
                <w:rFonts w:hint="eastAsia"/>
                <w:color w:val="auto"/>
                <w:u w:val="single"/>
                <w:lang w:val="en-US" w:eastAsia="zh-CN"/>
              </w:rPr>
              <w:t xml:space="preserve">   </w:t>
            </w:r>
            <w:r>
              <w:rPr>
                <w:rFonts w:hint="eastAsia"/>
                <w:color w:val="auto"/>
                <w:lang w:val="en-US" w:eastAsia="zh-CN"/>
              </w:rPr>
              <w:t>%（投标人为大中型企业，拟在中标后向小微企业分包的，可不受此比例限制）。</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5"/>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5"/>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sdt>
              <w:sdtPr>
                <w:rPr>
                  <w:color w:val="auto"/>
                </w:rPr>
                <w:id w:val="624569083"/>
                <w14:checkbox>
                  <w14:checked w14:val="1"/>
                  <w14:checkedState w14:val="00FE" w14:font="Wingdings"/>
                  <w14:uncheckedState w14:val="2610" w14:font="MS Gothic"/>
                </w14:checkbox>
              </w:sdtPr>
              <w:sdtEndPr>
                <w:rPr>
                  <w:color w:val="auto"/>
                </w:rPr>
              </w:sdtEndPr>
              <w:sdtContent>
                <w:r>
                  <w:rPr>
                    <w:rFonts w:ascii="Wingdings" w:hAnsi="Wingdings" w:eastAsia="宋体" w:cs="Times New Roman"/>
                    <w:color w:val="auto"/>
                    <w:kern w:val="2"/>
                    <w:sz w:val="24"/>
                    <w:szCs w:val="21"/>
                    <w:lang w:val="en-US" w:eastAsia="zh-Hans" w:bidi="ar-SA"/>
                  </w:rPr>
                  <w:t>þ</w:t>
                </w:r>
              </w:sdtContent>
            </w:sdt>
            <w:r>
              <w:rPr>
                <w:rFonts w:hint="eastAsia" w:cs="AdobeFangsongStd-Regular"/>
                <w:color w:val="auto"/>
                <w:spacing w:val="-2"/>
                <w:kern w:val="0"/>
                <w:position w:val="-3"/>
              </w:rPr>
              <w:t>不组织</w:t>
            </w:r>
            <w:r>
              <w:rPr>
                <w:rFonts w:hint="eastAsia" w:cs="AdobeFangsongStd-Regular"/>
                <w:color w:val="auto"/>
                <w:spacing w:val="-2"/>
                <w:kern w:val="0"/>
                <w:position w:val="-3"/>
                <w:lang w:eastAsia="zh-CN"/>
              </w:rPr>
              <w:t>；</w:t>
            </w:r>
            <w:sdt>
              <w:sdtPr>
                <w:rPr>
                  <w:color w:val="auto"/>
                </w:rPr>
                <w:id w:val="52063290"/>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s="AdobeFangsongStd-Regular"/>
                <w:color w:val="auto"/>
                <w:spacing w:val="-2"/>
                <w:kern w:val="0"/>
                <w:position w:val="-3"/>
              </w:rPr>
              <w:t xml:space="preserve">统一组织 </w:t>
            </w:r>
          </w:p>
          <w:p w14:paraId="44F802AB">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7A48D775">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color w:val="auto"/>
                <w:kern w:val="2"/>
                <w:sz w:val="24"/>
                <w:szCs w:val="21"/>
                <w:lang w:val="en-US" w:eastAsia="zh-Hans" w:bidi="ar-SA"/>
              </w:rPr>
            </w:pPr>
            <w:r>
              <w:rPr>
                <w:rFonts w:hint="eastAsia"/>
                <w:color w:val="auto"/>
              </w:rPr>
              <w:t xml:space="preserve">联 系 人： </w:t>
            </w:r>
            <w:r>
              <w:rPr>
                <w:color w:val="auto"/>
              </w:rPr>
              <w:t xml:space="preserve">     </w:t>
            </w:r>
            <w:r>
              <w:rPr>
                <w:rFonts w:hint="eastAsia"/>
                <w:color w:val="auto"/>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5"/>
              <w:ind w:firstLine="0" w:firstLineChars="0"/>
            </w:pPr>
            <w:r>
              <w:rPr>
                <w:rFonts w:hint="eastAsia"/>
              </w:rPr>
              <w:t>一、</w:t>
            </w:r>
            <w:r>
              <w:t>10.</w:t>
            </w:r>
          </w:p>
        </w:tc>
        <w:tc>
          <w:tcPr>
            <w:tcW w:w="838" w:type="pct"/>
            <w:gridSpan w:val="2"/>
            <w:vAlign w:val="center"/>
          </w:tcPr>
          <w:p w14:paraId="20504E57">
            <w:pPr>
              <w:pStyle w:val="35"/>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5"/>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color w:val="auto"/>
                <w:spacing w:val="-2"/>
                <w:kern w:val="0"/>
                <w:position w:val="-3"/>
                <w:lang w:eastAsia="zh-CN"/>
              </w:rPr>
            </w:pPr>
            <w:sdt>
              <w:sdtPr>
                <w:rPr>
                  <w:color w:val="auto"/>
                </w:rPr>
                <w:id w:val="853448301"/>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s="AdobeFangsongStd-Regular"/>
                <w:color w:val="auto"/>
                <w:spacing w:val="-2"/>
                <w:kern w:val="0"/>
                <w:position w:val="-3"/>
              </w:rPr>
              <w:t>不召开</w:t>
            </w:r>
            <w:r>
              <w:rPr>
                <w:rFonts w:hint="eastAsia" w:cs="AdobeFangsongStd-Regular"/>
                <w:color w:val="auto"/>
                <w:spacing w:val="-2"/>
                <w:kern w:val="0"/>
                <w:position w:val="-3"/>
                <w:lang w:eastAsia="zh-CN"/>
              </w:rPr>
              <w:t>；</w:t>
            </w:r>
            <w:sdt>
              <w:sdtPr>
                <w:rPr>
                  <w:color w:val="auto"/>
                </w:rPr>
                <w:id w:val="24444205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s="AdobeFangsongStd-Regular"/>
                <w:color w:val="auto"/>
                <w:spacing w:val="-2"/>
                <w:kern w:val="0"/>
                <w:position w:val="-3"/>
              </w:rPr>
              <w:t>召开</w:t>
            </w:r>
          </w:p>
          <w:p w14:paraId="366F608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587897F3">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5"/>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5"/>
              <w:ind w:firstLine="0" w:firstLineChars="0"/>
            </w:pPr>
            <w:r>
              <w:rPr>
                <w:rFonts w:hint="eastAsia"/>
              </w:rPr>
              <w:t>本项目需要落实的政府采购政策</w:t>
            </w:r>
          </w:p>
        </w:tc>
        <w:tc>
          <w:tcPr>
            <w:tcW w:w="3546" w:type="pct"/>
            <w:vAlign w:val="center"/>
          </w:tcPr>
          <w:p w14:paraId="7F1B3122">
            <w:pPr>
              <w:pStyle w:val="35"/>
              <w:ind w:firstLine="0" w:firstLineChars="0"/>
              <w:rPr>
                <w:rFonts w:hint="eastAsia"/>
                <w:b/>
                <w:bCs/>
                <w:color w:val="auto"/>
              </w:rPr>
            </w:pPr>
            <w:r>
              <w:rPr>
                <w:rFonts w:hint="eastAsia"/>
                <w:b/>
                <w:bCs/>
                <w:color w:val="auto"/>
                <w:lang w:val="en-US" w:eastAsia="zh-CN"/>
              </w:rPr>
              <w:t>1.</w:t>
            </w:r>
            <w:r>
              <w:rPr>
                <w:rFonts w:hint="eastAsia"/>
                <w:b/>
                <w:bCs/>
                <w:color w:val="auto"/>
              </w:rPr>
              <w:t>支持中小企业、残疾人福利性单位、监狱企业发展</w:t>
            </w:r>
          </w:p>
          <w:p w14:paraId="05E534B4">
            <w:pPr>
              <w:pStyle w:val="35"/>
              <w:ind w:firstLine="0" w:firstLineChars="0"/>
              <w:rPr>
                <w:rFonts w:hint="default"/>
                <w:color w:val="auto"/>
                <w:lang w:val="en-US" w:eastAsia="zh-CN"/>
              </w:rPr>
            </w:pPr>
            <w:r>
              <w:rPr>
                <w:rFonts w:hint="eastAsia"/>
                <w:color w:val="auto"/>
                <w:lang w:val="en-US" w:eastAsia="zh-CN"/>
              </w:rPr>
              <w:t>（1）支持方式：详见本项目采购公告。</w:t>
            </w:r>
          </w:p>
          <w:p w14:paraId="640089A5">
            <w:pPr>
              <w:pStyle w:val="35"/>
              <w:ind w:firstLine="0" w:firstLineChars="0"/>
              <w:rPr>
                <w:rFonts w:hint="default"/>
                <w:color w:val="auto"/>
                <w:lang w:val="en-US" w:eastAsia="zh-CN"/>
              </w:rPr>
            </w:pPr>
            <w:r>
              <w:rPr>
                <w:rFonts w:hint="eastAsia"/>
                <w:color w:val="auto"/>
                <w:lang w:val="en-US" w:eastAsia="zh-CN"/>
              </w:rPr>
              <w:t>（2）本项目采购标的：以本项目《中小企业申明函》（格式文本）列示的为准；</w:t>
            </w:r>
          </w:p>
          <w:p w14:paraId="4EF666B7">
            <w:pPr>
              <w:pStyle w:val="35"/>
              <w:ind w:firstLine="0" w:firstLineChars="0"/>
              <w:rPr>
                <w:rFonts w:hint="eastAsia"/>
                <w:color w:val="auto"/>
                <w:u w:val="single"/>
                <w:lang w:eastAsia="zh-CN"/>
              </w:rPr>
            </w:pPr>
            <w:r>
              <w:rPr>
                <w:rFonts w:hint="eastAsia"/>
                <w:b w:val="0"/>
                <w:bCs w:val="0"/>
                <w:color w:val="auto"/>
                <w:lang w:eastAsia="zh-CN"/>
              </w:rPr>
              <w:t>（</w:t>
            </w:r>
            <w:r>
              <w:rPr>
                <w:rFonts w:hint="eastAsia"/>
                <w:b w:val="0"/>
                <w:bCs w:val="0"/>
                <w:color w:val="auto"/>
                <w:lang w:val="en-US" w:eastAsia="zh-CN"/>
              </w:rPr>
              <w:t>3）</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其他未列明行业</w:t>
            </w:r>
          </w:p>
          <w:p w14:paraId="3A498899">
            <w:pPr>
              <w:pStyle w:val="34"/>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5"/>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5"/>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5"/>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5"/>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5"/>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5"/>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4"/>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4"/>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5"/>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5"/>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5"/>
              <w:ind w:firstLine="0" w:firstLineChars="0"/>
              <w:rPr>
                <w:rFonts w:hint="default"/>
                <w:color w:val="auto"/>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5"/>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5"/>
              <w:ind w:firstLine="0" w:firstLineChars="0"/>
              <w:rPr>
                <w:rFonts w:hint="eastAsia"/>
              </w:rPr>
            </w:pPr>
            <w:r>
              <w:rPr>
                <w:rFonts w:hint="eastAsia"/>
              </w:rPr>
              <w:t>对供应商的限制</w:t>
            </w:r>
          </w:p>
        </w:tc>
        <w:tc>
          <w:tcPr>
            <w:tcW w:w="3546" w:type="pct"/>
            <w:vAlign w:val="center"/>
          </w:tcPr>
          <w:p w14:paraId="443C1581">
            <w:pPr>
              <w:pStyle w:val="35"/>
              <w:ind w:firstLine="0" w:firstLineChars="0"/>
              <w:rPr>
                <w:rFonts w:hint="eastAsia"/>
                <w:lang w:val="en-US" w:eastAsia="zh-CN"/>
              </w:rPr>
            </w:pPr>
            <w:r>
              <w:rPr>
                <w:rFonts w:hint="eastAsia"/>
                <w:lang w:val="en-US" w:eastAsia="zh-CN"/>
              </w:rPr>
              <w:t>本项目是否为“政府购买服务”项目</w:t>
            </w:r>
          </w:p>
          <w:p w14:paraId="28E6F69E">
            <w:pPr>
              <w:pStyle w:val="35"/>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5"/>
              <w:ind w:firstLine="0" w:firstLineChars="0"/>
            </w:pPr>
            <w:r>
              <w:rPr>
                <w:rFonts w:hint="eastAsia"/>
              </w:rPr>
              <w:t>三、5</w:t>
            </w:r>
            <w:r>
              <w:t>.</w:t>
            </w:r>
          </w:p>
        </w:tc>
        <w:tc>
          <w:tcPr>
            <w:tcW w:w="838" w:type="pct"/>
            <w:gridSpan w:val="2"/>
            <w:vAlign w:val="center"/>
          </w:tcPr>
          <w:p w14:paraId="4D26A9CC">
            <w:pPr>
              <w:pStyle w:val="35"/>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5"/>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5"/>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5"/>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5"/>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5"/>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5"/>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5"/>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兼投不兼中，即投标人可以选择一个或多个标项投报，但只能获得一个投报标项的中标资格</w:t>
            </w:r>
            <w:r>
              <w:rPr>
                <w:rFonts w:hint="eastAsia"/>
                <w:highlight w:val="none"/>
                <w:lang w:val="en-US" w:eastAsia="zh-Hans"/>
              </w:rPr>
              <w:t>，具体理由、规则详见“第五章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5"/>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5"/>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5"/>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5"/>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5"/>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5"/>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5"/>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5"/>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5"/>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5"/>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5"/>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5"/>
              <w:ind w:firstLine="0" w:firstLineChars="0"/>
              <w:rPr>
                <w:rFonts w:hint="default" w:eastAsia="宋体"/>
                <w:b/>
                <w:bCs/>
                <w:lang w:val="en-US" w:eastAsia="zh-CN"/>
              </w:rPr>
            </w:pPr>
            <w:r>
              <w:rPr>
                <w:rFonts w:hint="eastAsia"/>
                <w:b/>
                <w:bCs/>
                <w:lang w:val="en-US" w:eastAsia="zh-CN"/>
              </w:rPr>
              <w:t>2.演示方式：</w:t>
            </w:r>
          </w:p>
          <w:p w14:paraId="103622C7">
            <w:pPr>
              <w:pStyle w:val="35"/>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5"/>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5"/>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5"/>
              <w:ind w:firstLine="0" w:firstLineChars="0"/>
              <w:rPr>
                <w:rFonts w:hint="default"/>
                <w:lang w:val="en-US" w:eastAsia="zh-Hans"/>
              </w:rPr>
            </w:pPr>
            <w:r>
              <w:rPr>
                <w:rFonts w:hint="eastAsia"/>
                <w:lang w:val="en-US" w:eastAsia="zh-Hans"/>
              </w:rPr>
              <w:t>演示条件见“政采云平台”要求</w:t>
            </w:r>
          </w:p>
          <w:p w14:paraId="1E300247">
            <w:pPr>
              <w:pStyle w:val="35"/>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5"/>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5"/>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5"/>
              <w:ind w:firstLine="0" w:firstLineChars="0"/>
            </w:pPr>
            <w:r>
              <w:rPr>
                <w:rFonts w:hint="eastAsia"/>
              </w:rPr>
              <w:t>九、2</w:t>
            </w:r>
          </w:p>
        </w:tc>
        <w:tc>
          <w:tcPr>
            <w:tcW w:w="838" w:type="pct"/>
            <w:gridSpan w:val="2"/>
            <w:vAlign w:val="center"/>
          </w:tcPr>
          <w:p w14:paraId="25AFD84F">
            <w:pPr>
              <w:pStyle w:val="35"/>
              <w:ind w:firstLine="0" w:firstLineChars="0"/>
              <w:rPr>
                <w:rFonts w:cs="AdobeFangsongStd-Regular"/>
                <w:kern w:val="0"/>
                <w:position w:val="-3"/>
              </w:rPr>
            </w:pPr>
            <w:r>
              <w:rPr>
                <w:rFonts w:hint="eastAsia" w:cs="AdobeFangsongStd-Regular"/>
                <w:kern w:val="0"/>
                <w:position w:val="-3"/>
              </w:rPr>
              <w:t>履约</w:t>
            </w:r>
          </w:p>
          <w:p w14:paraId="175B177B">
            <w:pPr>
              <w:pStyle w:val="35"/>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5"/>
              <w:ind w:firstLine="0" w:firstLineChars="0"/>
              <w:rPr>
                <w:kern w:val="10"/>
              </w:rPr>
            </w:pPr>
            <w:r>
              <w:rPr>
                <w:kern w:val="10"/>
              </w:rPr>
              <w:t>履约保证金金额：</w:t>
            </w:r>
            <w:r>
              <w:rPr>
                <w:color w:val="auto"/>
                <w:kern w:val="10"/>
              </w:rPr>
              <w:t>无</w:t>
            </w:r>
          </w:p>
          <w:p w14:paraId="346B049E">
            <w:pPr>
              <w:pStyle w:val="35"/>
              <w:ind w:firstLine="0" w:firstLineChars="0"/>
              <w:rPr>
                <w:kern w:val="10"/>
              </w:rPr>
            </w:pPr>
            <w:r>
              <w:rPr>
                <w:kern w:val="10"/>
              </w:rPr>
              <w:t>履约保证金缴纳形式：支票/汇票/电汇/保函等非现金形式</w:t>
            </w:r>
          </w:p>
          <w:p w14:paraId="2F0521C0">
            <w:pPr>
              <w:pStyle w:val="35"/>
              <w:ind w:firstLine="0" w:firstLineChars="0"/>
              <w:rPr>
                <w:kern w:val="10"/>
              </w:rPr>
            </w:pPr>
            <w:r>
              <w:rPr>
                <w:kern w:val="10"/>
              </w:rPr>
              <w:t>履约保证金接收人：</w:t>
            </w:r>
            <w:r>
              <w:rPr>
                <w:rFonts w:hint="eastAsia"/>
                <w:kern w:val="10"/>
              </w:rPr>
              <w:t>招标</w:t>
            </w:r>
            <w:r>
              <w:rPr>
                <w:kern w:val="10"/>
              </w:rPr>
              <w:t>人</w:t>
            </w:r>
          </w:p>
          <w:p w14:paraId="2D177D9D">
            <w:pPr>
              <w:pStyle w:val="35"/>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5"/>
              <w:ind w:firstLine="0" w:firstLineChars="0"/>
            </w:pPr>
            <w:r>
              <w:rPr>
                <w:rFonts w:hint="eastAsia"/>
              </w:rPr>
              <w:t>十、</w:t>
            </w:r>
          </w:p>
        </w:tc>
        <w:tc>
          <w:tcPr>
            <w:tcW w:w="838" w:type="pct"/>
            <w:gridSpan w:val="2"/>
            <w:vAlign w:val="center"/>
          </w:tcPr>
          <w:p w14:paraId="62C202E8">
            <w:pPr>
              <w:pStyle w:val="35"/>
              <w:ind w:firstLine="0" w:firstLineChars="0"/>
            </w:pPr>
            <w:r>
              <w:rPr>
                <w:rFonts w:hint="eastAsia"/>
              </w:rPr>
              <w:t>招标代理服务费</w:t>
            </w:r>
          </w:p>
        </w:tc>
        <w:tc>
          <w:tcPr>
            <w:tcW w:w="3546" w:type="pct"/>
            <w:vAlign w:val="center"/>
          </w:tcPr>
          <w:p w14:paraId="03631695">
            <w:pPr>
              <w:pStyle w:val="35"/>
              <w:ind w:firstLine="0" w:firstLineChars="0"/>
              <w:rPr>
                <w:lang w:eastAsia="zh-CN"/>
              </w:rPr>
            </w:pPr>
            <w:r>
              <w:rPr>
                <w:rFonts w:hint="eastAsia"/>
                <w:color w:val="auto"/>
                <w:highlight w:val="none"/>
              </w:rPr>
              <w:t>本项目</w:t>
            </w:r>
            <w:r>
              <w:rPr>
                <w:rFonts w:hint="eastAsia"/>
                <w:color w:val="auto"/>
                <w:highlight w:val="none"/>
                <w:lang w:eastAsia="zh-CN"/>
              </w:rPr>
              <w:t>招标代理</w:t>
            </w:r>
            <w:r>
              <w:rPr>
                <w:rFonts w:hint="eastAsia"/>
                <w:color w:val="auto"/>
                <w:highlight w:val="none"/>
              </w:rPr>
              <w:t>服务费以原国家计委《</w:t>
            </w:r>
            <w:r>
              <w:rPr>
                <w:rFonts w:hint="eastAsia"/>
                <w:color w:val="auto"/>
                <w:highlight w:val="none"/>
                <w:lang w:eastAsia="zh-CN"/>
              </w:rPr>
              <w:t>招标代理</w:t>
            </w:r>
            <w:r>
              <w:rPr>
                <w:rFonts w:hint="eastAsia"/>
                <w:color w:val="auto"/>
                <w:highlight w:val="none"/>
              </w:rPr>
              <w:t>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lang w:eastAsia="zh-CN"/>
              </w:rPr>
              <w:t>，</w:t>
            </w:r>
            <w:r>
              <w:rPr>
                <w:rFonts w:hint="eastAsia"/>
                <w:color w:val="auto"/>
                <w:highlight w:val="none"/>
                <w:lang w:val="en-US" w:eastAsia="zh-CN"/>
              </w:rPr>
              <w:t>以中标金额</w:t>
            </w:r>
            <w:r>
              <w:rPr>
                <w:rFonts w:hint="eastAsia"/>
                <w:color w:val="auto"/>
                <w:highlight w:val="none"/>
              </w:rPr>
              <w:t>为基</w:t>
            </w:r>
            <w:r>
              <w:rPr>
                <w:rFonts w:hint="eastAsia"/>
                <w:color w:val="auto"/>
                <w:highlight w:val="none"/>
                <w:u w:val="none"/>
              </w:rPr>
              <w:t>准</w:t>
            </w:r>
            <w:r>
              <w:rPr>
                <w:rFonts w:hint="eastAsia"/>
                <w:color w:val="auto"/>
                <w:highlight w:val="none"/>
                <w:u w:val="none"/>
                <w:lang w:val="en-US" w:eastAsia="zh-CN"/>
              </w:rPr>
              <w:t>的70%</w:t>
            </w:r>
            <w:r>
              <w:rPr>
                <w:rFonts w:hint="eastAsia"/>
                <w:color w:val="auto"/>
                <w:highlight w:val="none"/>
                <w:u w:val="none"/>
                <w:lang w:val="en-US" w:eastAsia="zh-Hans"/>
              </w:rPr>
              <w:t>向</w:t>
            </w:r>
            <w:r>
              <w:rPr>
                <w:rFonts w:hint="eastAsia"/>
                <w:color w:val="auto"/>
                <w:highlight w:val="none"/>
                <w:u w:val="none"/>
                <w:lang w:val="en-US" w:eastAsia="zh-CN"/>
              </w:rPr>
              <w:t>成交</w:t>
            </w:r>
            <w:r>
              <w:rPr>
                <w:rFonts w:hint="eastAsia"/>
                <w:color w:val="auto"/>
                <w:highlight w:val="none"/>
                <w:u w:val="none"/>
                <w:lang w:val="en-US" w:eastAsia="zh-Hans"/>
              </w:rPr>
              <w:t>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5"/>
              <w:ind w:firstLine="0" w:firstLineChars="0"/>
            </w:pPr>
            <w:r>
              <w:t>账户名称</w:t>
            </w:r>
            <w:r>
              <w:rPr>
                <w:rFonts w:hint="eastAsia"/>
                <w:lang w:eastAsia="zh-CN"/>
              </w:rPr>
              <w:t>：</w:t>
            </w:r>
            <w:r>
              <w:t>浙江中勤招标代理有限公司</w:t>
            </w:r>
          </w:p>
          <w:p w14:paraId="496D7E73">
            <w:pPr>
              <w:pStyle w:val="35"/>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5"/>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5"/>
              <w:ind w:firstLine="0" w:firstLineChars="0"/>
            </w:pPr>
            <w:r>
              <w:rPr>
                <w:rFonts w:hint="eastAsia"/>
              </w:rPr>
              <w:t>其他注意事项</w:t>
            </w:r>
          </w:p>
        </w:tc>
        <w:tc>
          <w:tcPr>
            <w:tcW w:w="3546" w:type="pct"/>
            <w:vAlign w:val="center"/>
          </w:tcPr>
          <w:p w14:paraId="7AC81A07">
            <w:pPr>
              <w:pStyle w:val="35"/>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5"/>
              <w:ind w:firstLine="0" w:firstLineChars="0"/>
            </w:pPr>
          </w:p>
        </w:tc>
        <w:tc>
          <w:tcPr>
            <w:tcW w:w="3546" w:type="pct"/>
            <w:vAlign w:val="center"/>
          </w:tcPr>
          <w:p w14:paraId="01CF9B2E">
            <w:pPr>
              <w:pStyle w:val="35"/>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5"/>
              <w:ind w:firstLine="0" w:firstLineChars="0"/>
            </w:pPr>
          </w:p>
        </w:tc>
        <w:tc>
          <w:tcPr>
            <w:tcW w:w="3546" w:type="pct"/>
            <w:vAlign w:val="center"/>
          </w:tcPr>
          <w:p w14:paraId="6E0FE153">
            <w:pPr>
              <w:pStyle w:val="35"/>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5"/>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7"/>
        <w:rPr>
          <w:rFonts w:cs="Times New Roman"/>
          <w:lang w:eastAsia="zh-CN"/>
        </w:rPr>
      </w:pPr>
      <w:r>
        <w:rPr>
          <w:rFonts w:hint="eastAsia"/>
          <w:sz w:val="24"/>
          <w:szCs w:val="24"/>
        </w:rPr>
        <w:br w:type="page"/>
      </w:r>
      <w:bookmarkStart w:id="4" w:name="_Toc233618972"/>
      <w:bookmarkEnd w:id="4"/>
      <w:bookmarkStart w:id="5" w:name="_Toc464483845"/>
      <w:bookmarkStart w:id="6" w:name="_Toc2495"/>
      <w:r>
        <w:rPr>
          <w:rFonts w:hint="eastAsia"/>
        </w:rPr>
        <w:t>总 则</w:t>
      </w:r>
      <w:bookmarkEnd w:id="5"/>
      <w:bookmarkEnd w:id="6"/>
    </w:p>
    <w:p w14:paraId="6DA17F94">
      <w:pPr>
        <w:pStyle w:val="39"/>
        <w:rPr>
          <w:rFonts w:ascii="宋体"/>
        </w:rPr>
      </w:pPr>
      <w:bookmarkStart w:id="7" w:name="_Hlt74730295"/>
      <w:bookmarkEnd w:id="7"/>
      <w:bookmarkStart w:id="8" w:name="_Hlt74730112"/>
      <w:bookmarkEnd w:id="8"/>
      <w:bookmarkStart w:id="9" w:name="_Hlt74714665"/>
      <w:bookmarkEnd w:id="9"/>
      <w:bookmarkStart w:id="10" w:name="_Hlt74730208"/>
      <w:r>
        <w:rPr>
          <w:rFonts w:hint="eastAsia"/>
        </w:rPr>
        <w:t>实施依据</w:t>
      </w:r>
      <w:bookmarkEnd w:id="10"/>
    </w:p>
    <w:p w14:paraId="2A9DFD9F">
      <w:pPr>
        <w:pStyle w:val="35"/>
        <w:ind w:firstLine="480"/>
      </w:pPr>
      <w:r>
        <w:rPr>
          <w:rFonts w:hint="eastAsia"/>
        </w:rPr>
        <w:t>本次招标工作按照《中华人民共和国政府采购法》等政府采购有关法律、法规、规章、文件的规定组织和实施。</w:t>
      </w:r>
    </w:p>
    <w:p w14:paraId="049959F1">
      <w:pPr>
        <w:pStyle w:val="39"/>
        <w:rPr>
          <w:rFonts w:ascii="宋体"/>
        </w:rPr>
      </w:pPr>
      <w:bookmarkStart w:id="11" w:name="_Toc91899873"/>
      <w:bookmarkEnd w:id="11"/>
      <w:r>
        <w:rPr>
          <w:rFonts w:hint="eastAsia"/>
        </w:rPr>
        <w:t>基本信息</w:t>
      </w:r>
    </w:p>
    <w:p w14:paraId="61E1B01D">
      <w:pPr>
        <w:pStyle w:val="35"/>
        <w:ind w:firstLine="480"/>
      </w:pPr>
      <w:r>
        <w:rPr>
          <w:rFonts w:hint="eastAsia"/>
          <w:lang w:eastAsia="zh-CN"/>
        </w:rPr>
        <w:t>有关本项目的基本信息</w:t>
      </w:r>
      <w:r>
        <w:rPr>
          <w:rFonts w:hint="eastAsia"/>
        </w:rPr>
        <w:t>见本项目“招标公告”。</w:t>
      </w:r>
      <w:bookmarkStart w:id="12" w:name="_Hlt74388212"/>
      <w:bookmarkEnd w:id="12"/>
      <w:bookmarkStart w:id="13" w:name="_Hlt68516771"/>
      <w:bookmarkEnd w:id="13"/>
    </w:p>
    <w:p w14:paraId="6591EC64">
      <w:pPr>
        <w:pStyle w:val="39"/>
      </w:pPr>
      <w:bookmarkStart w:id="14" w:name="_Hlt74730303"/>
      <w:bookmarkEnd w:id="14"/>
      <w:r>
        <w:rPr>
          <w:rFonts w:hint="eastAsia"/>
          <w:lang w:eastAsia="zh-CN"/>
        </w:rPr>
        <w:t>词条</w:t>
      </w:r>
      <w:r>
        <w:rPr>
          <w:rFonts w:hint="eastAsia"/>
        </w:rPr>
        <w:t>定义</w:t>
      </w:r>
    </w:p>
    <w:p w14:paraId="65031A18">
      <w:pPr>
        <w:pStyle w:val="35"/>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5"/>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5"/>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5"/>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5"/>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5"/>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5"/>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5"/>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5"/>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5"/>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9"/>
      </w:pPr>
      <w:r>
        <w:rPr>
          <w:rFonts w:hint="eastAsia"/>
          <w:lang w:eastAsia="zh-CN"/>
        </w:rPr>
        <w:t>符号</w:t>
      </w:r>
      <w:r>
        <w:rPr>
          <w:rFonts w:hint="eastAsia"/>
        </w:rPr>
        <w:t>定义</w:t>
      </w:r>
    </w:p>
    <w:p w14:paraId="3EA06EB0">
      <w:pPr>
        <w:pStyle w:val="35"/>
        <w:ind w:firstLine="480"/>
        <w:rPr>
          <w:lang w:eastAsia="zh-CN"/>
        </w:rPr>
      </w:pPr>
      <w:r>
        <w:rPr>
          <w:rFonts w:hint="eastAsia"/>
          <w:lang w:eastAsia="zh-CN"/>
        </w:rPr>
        <w:t>“▲”：系指实质性要求条款；</w:t>
      </w:r>
    </w:p>
    <w:p w14:paraId="6BDC4367">
      <w:pPr>
        <w:pStyle w:val="35"/>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5"/>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5"/>
        <w:ind w:firstLine="480"/>
        <w:rPr>
          <w:lang w:eastAsia="zh-CN"/>
        </w:rPr>
      </w:pPr>
      <w:r>
        <w:rPr>
          <w:rFonts w:hint="eastAsia"/>
          <w:lang w:eastAsia="zh-CN"/>
        </w:rPr>
        <w:t>其他符号除非有明确说明，否则均仅作强调。</w:t>
      </w:r>
    </w:p>
    <w:p w14:paraId="19D5349C">
      <w:pPr>
        <w:pStyle w:val="39"/>
      </w:pPr>
      <w:r>
        <w:rPr>
          <w:rFonts w:hint="eastAsia"/>
        </w:rPr>
        <w:t>投标费用</w:t>
      </w:r>
    </w:p>
    <w:p w14:paraId="7A5779B6">
      <w:pPr>
        <w:pStyle w:val="35"/>
        <w:ind w:firstLine="480"/>
      </w:pPr>
      <w:r>
        <w:rPr>
          <w:rFonts w:hint="eastAsia"/>
        </w:rPr>
        <w:t>无论招投标过程中的做法和结果如何，投标人自行承担招投标活动中所发生的全部费用。</w:t>
      </w:r>
    </w:p>
    <w:p w14:paraId="7006AD15">
      <w:pPr>
        <w:pStyle w:val="39"/>
      </w:pPr>
      <w:r>
        <w:rPr>
          <w:rFonts w:hint="eastAsia"/>
        </w:rPr>
        <w:t>语言文字</w:t>
      </w:r>
    </w:p>
    <w:p w14:paraId="3D902A82">
      <w:pPr>
        <w:pStyle w:val="43"/>
        <w:bidi w:val="0"/>
      </w:pPr>
      <w:bookmarkStart w:id="15" w:name="_Hlt74729768"/>
      <w:bookmarkEnd w:id="15"/>
      <w:bookmarkStart w:id="16" w:name="_Hlt75236290"/>
      <w:bookmarkEnd w:id="16"/>
      <w:bookmarkStart w:id="17" w:name="_Hlt74707468"/>
      <w:bookmarkEnd w:id="17"/>
      <w:bookmarkStart w:id="18" w:name="_Hlt68072990"/>
      <w:bookmarkEnd w:id="18"/>
      <w:bookmarkStart w:id="19" w:name="_Toc91899879"/>
      <w:bookmarkEnd w:id="19"/>
      <w:bookmarkStart w:id="20" w:name="_Hlt68057669"/>
      <w:bookmarkEnd w:id="20"/>
      <w:r>
        <w:t>除专用术语外，投标文件以及投标人与招标人就有关投标的往来函电均应使用中文，否则视同未实质性响应招标文件要求。</w:t>
      </w:r>
    </w:p>
    <w:p w14:paraId="2124B80B">
      <w:pPr>
        <w:pStyle w:val="43"/>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9"/>
      </w:pPr>
      <w:r>
        <w:rPr>
          <w:rFonts w:hint="eastAsia"/>
        </w:rPr>
        <w:t>计量单位</w:t>
      </w:r>
    </w:p>
    <w:p w14:paraId="5C990E88">
      <w:pPr>
        <w:pStyle w:val="35"/>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9"/>
      </w:pPr>
      <w:r>
        <w:rPr>
          <w:rFonts w:hint="eastAsia"/>
        </w:rPr>
        <w:t>转包与分包</w:t>
      </w:r>
    </w:p>
    <w:p w14:paraId="48C9A075">
      <w:pPr>
        <w:pStyle w:val="34"/>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5"/>
        <w:bidi w:val="0"/>
      </w:pPr>
      <w:r>
        <w:t>本项目不允许转包。</w:t>
      </w:r>
    </w:p>
    <w:p w14:paraId="25947481">
      <w:pPr>
        <w:pStyle w:val="34"/>
        <w:bidi w:val="0"/>
      </w:pPr>
      <w:r>
        <w:rPr>
          <w:rFonts w:hint="eastAsia"/>
          <w:lang w:val="en-US" w:eastAsia="zh-CN"/>
        </w:rPr>
        <w:t>分包</w:t>
      </w:r>
    </w:p>
    <w:p w14:paraId="1D439C2A">
      <w:pPr>
        <w:pStyle w:val="43"/>
        <w:numPr>
          <w:ilvl w:val="0"/>
          <w:numId w:val="8"/>
        </w:numPr>
        <w:bidi w:val="0"/>
      </w:pPr>
      <w:r>
        <w:rPr>
          <w:rFonts w:hint="eastAsia"/>
          <w:lang w:val="en-US" w:eastAsia="zh-CN"/>
        </w:rPr>
        <w:t>本项目是否允许分包详见</w:t>
      </w:r>
      <w:r>
        <w:t>本章“前附表”规定</w:t>
      </w:r>
      <w:r>
        <w:rPr>
          <w:rFonts w:hint="eastAsia"/>
          <w:lang w:eastAsia="zh-CN"/>
        </w:rPr>
        <w:t>；</w:t>
      </w:r>
    </w:p>
    <w:p w14:paraId="2581F80B">
      <w:pPr>
        <w:pStyle w:val="43"/>
        <w:numPr>
          <w:ilvl w:val="0"/>
          <w:numId w:val="8"/>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9"/>
      </w:pPr>
      <w:r>
        <w:rPr>
          <w:rFonts w:hint="eastAsia"/>
        </w:rPr>
        <w:t>踏勘现场</w:t>
      </w:r>
    </w:p>
    <w:p w14:paraId="1964DB7B">
      <w:pPr>
        <w:pStyle w:val="43"/>
        <w:numPr>
          <w:ilvl w:val="0"/>
          <w:numId w:val="9"/>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3"/>
        <w:numPr>
          <w:ilvl w:val="0"/>
          <w:numId w:val="9"/>
        </w:numPr>
        <w:bidi w:val="0"/>
      </w:pPr>
      <w:r>
        <w:t>如本章“前附表”规定“不组织”的，供应商如觉得有必要，可自行前往踏勘现场。</w:t>
      </w:r>
    </w:p>
    <w:p w14:paraId="37DDF6E1">
      <w:pPr>
        <w:pStyle w:val="43"/>
        <w:numPr>
          <w:ilvl w:val="0"/>
          <w:numId w:val="9"/>
        </w:numPr>
        <w:bidi w:val="0"/>
      </w:pPr>
      <w:r>
        <w:rPr>
          <w:rFonts w:hint="eastAsia"/>
          <w:lang w:val="en-US" w:eastAsia="zh-Hans"/>
        </w:rPr>
        <w:t>如</w:t>
      </w:r>
      <w:r>
        <w:t>本章“前附表”规定“统一组织”的，供应商应按规定的时间、地点准时出席，否则将不予单独安排。</w:t>
      </w:r>
    </w:p>
    <w:p w14:paraId="26C9CDF9">
      <w:pPr>
        <w:pStyle w:val="43"/>
        <w:numPr>
          <w:ilvl w:val="0"/>
          <w:numId w:val="9"/>
        </w:numPr>
        <w:bidi w:val="0"/>
      </w:pPr>
      <w:r>
        <w:t>供应商踏勘现场发生的费用自理。</w:t>
      </w:r>
    </w:p>
    <w:p w14:paraId="340FEE98">
      <w:pPr>
        <w:pStyle w:val="43"/>
        <w:numPr>
          <w:ilvl w:val="0"/>
          <w:numId w:val="9"/>
        </w:numPr>
        <w:bidi w:val="0"/>
      </w:pPr>
      <w:r>
        <w:t>除招标人的原因外，供应商自行负责在踏勘现场中可能发生的人员伤亡和财产损失。</w:t>
      </w:r>
    </w:p>
    <w:p w14:paraId="6A420BC3">
      <w:pPr>
        <w:pStyle w:val="43"/>
        <w:numPr>
          <w:ilvl w:val="0"/>
          <w:numId w:val="9"/>
        </w:numPr>
        <w:bidi w:val="0"/>
      </w:pPr>
      <w:r>
        <w:t>招标人在踏勘现场中介绍的场地和相关的周边环境情况，供应商在编制投标文件时参考，招标人不对供应商据此作出的判断和决策负责。</w:t>
      </w:r>
    </w:p>
    <w:p w14:paraId="7FF0F65B">
      <w:pPr>
        <w:pStyle w:val="39"/>
      </w:pPr>
      <w:r>
        <w:rPr>
          <w:rFonts w:hint="eastAsia"/>
        </w:rPr>
        <w:t>投标预备会/答疑会</w:t>
      </w:r>
    </w:p>
    <w:p w14:paraId="410DB353">
      <w:pPr>
        <w:pStyle w:val="43"/>
        <w:numPr>
          <w:ilvl w:val="0"/>
          <w:numId w:val="10"/>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3"/>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3"/>
        <w:numPr>
          <w:ilvl w:val="0"/>
          <w:numId w:val="4"/>
        </w:numPr>
        <w:bidi w:val="0"/>
      </w:pPr>
      <w:r>
        <w:t>供应商应在答疑会时间的前一天，以书面形式将提出的问题送达招标人，以便招标人在会议期间澄清。</w:t>
      </w:r>
    </w:p>
    <w:p w14:paraId="6BE0EDA2">
      <w:pPr>
        <w:pStyle w:val="43"/>
        <w:numPr>
          <w:ilvl w:val="0"/>
          <w:numId w:val="4"/>
        </w:numPr>
        <w:bidi w:val="0"/>
      </w:pPr>
      <w:r>
        <w:t>答疑会后，招标人将按规定对供应商所提问题进行书面澄清答复。</w:t>
      </w:r>
    </w:p>
    <w:p w14:paraId="663E16A2">
      <w:pPr>
        <w:pStyle w:val="39"/>
      </w:pPr>
      <w:r>
        <w:rPr>
          <w:rFonts w:hint="eastAsia"/>
        </w:rPr>
        <w:t>联合体</w:t>
      </w:r>
      <w:r>
        <w:rPr>
          <w:rFonts w:hint="eastAsia"/>
          <w:lang w:eastAsia="zh-CN"/>
        </w:rPr>
        <w:t>投标</w:t>
      </w:r>
    </w:p>
    <w:p w14:paraId="3B72E0A5">
      <w:pPr>
        <w:pStyle w:val="35"/>
        <w:ind w:firstLine="480"/>
        <w:rPr>
          <w:rFonts w:hint="default"/>
          <w:lang w:val="en-US" w:eastAsia="zh-CN"/>
        </w:rPr>
      </w:pPr>
      <w:r>
        <w:rPr>
          <w:rFonts w:hint="eastAsia"/>
          <w:lang w:val="en-US" w:eastAsia="zh-CN"/>
        </w:rPr>
        <w:t>本项目是否接受联合体投标详见本项目招标公告。</w:t>
      </w:r>
    </w:p>
    <w:p w14:paraId="1C1648C1">
      <w:pPr>
        <w:pStyle w:val="35"/>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3"/>
        <w:numPr>
          <w:ilvl w:val="0"/>
          <w:numId w:val="11"/>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3"/>
        <w:numPr>
          <w:ilvl w:val="0"/>
          <w:numId w:val="11"/>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3"/>
        <w:numPr>
          <w:ilvl w:val="0"/>
          <w:numId w:val="11"/>
        </w:numPr>
        <w:bidi w:val="0"/>
        <w:rPr>
          <w:rFonts w:hint="default"/>
        </w:rPr>
      </w:pPr>
      <w:r>
        <w:t>联合体各方签订投标联合协议后，不得再以自己名义单独在本项目中参加投标，也不得组成新的联合体参加本项目投标；</w:t>
      </w:r>
    </w:p>
    <w:p w14:paraId="1DD42B64">
      <w:pPr>
        <w:pStyle w:val="43"/>
        <w:numPr>
          <w:ilvl w:val="0"/>
          <w:numId w:val="11"/>
        </w:numPr>
        <w:bidi w:val="0"/>
        <w:rPr>
          <w:rFonts w:hint="default"/>
        </w:rPr>
      </w:pPr>
      <w:r>
        <w:t>由联合投标协议书中载明的主办人按规定进行签、章以及采购合同签订，对联合体各成员方同样具有约束力；</w:t>
      </w:r>
    </w:p>
    <w:p w14:paraId="401A4DC4">
      <w:pPr>
        <w:pStyle w:val="43"/>
        <w:numPr>
          <w:ilvl w:val="0"/>
          <w:numId w:val="11"/>
        </w:numPr>
        <w:bidi w:val="0"/>
        <w:rPr>
          <w:rFonts w:hint="default"/>
        </w:rPr>
      </w:pPr>
      <w:r>
        <w:t>联合体形式参加政府采购的，履约保证金、采购代理服务费可由主办人一方缴纳，也可以由联合体各方按联合投标协议书约定共同缴纳。</w:t>
      </w:r>
    </w:p>
    <w:p w14:paraId="18280F31">
      <w:pPr>
        <w:pStyle w:val="39"/>
      </w:pPr>
      <w:r>
        <w:rPr>
          <w:rFonts w:hint="eastAsia"/>
        </w:rPr>
        <w:t>本项目需要落实的政府采购政策</w:t>
      </w:r>
    </w:p>
    <w:p w14:paraId="6D10F8AD">
      <w:pPr>
        <w:pStyle w:val="34"/>
        <w:bidi w:val="0"/>
      </w:pPr>
      <w:r>
        <w:rPr>
          <w:rFonts w:hint="eastAsia"/>
        </w:rPr>
        <w:t>支持中小企业、残疾人福利性单位、监狱企业发展</w:t>
      </w:r>
    </w:p>
    <w:p w14:paraId="39DAA7AE">
      <w:pPr>
        <w:pStyle w:val="33"/>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5"/>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5"/>
        <w:ind w:firstLine="482"/>
        <w:rPr>
          <w:b/>
          <w:bCs/>
          <w:lang w:eastAsia="zh-CN"/>
        </w:rPr>
      </w:pPr>
      <w:r>
        <w:rPr>
          <w:rFonts w:hint="eastAsia"/>
          <w:b/>
          <w:bCs/>
          <w:lang w:eastAsia="zh-CN"/>
        </w:rPr>
        <w:t>本项目采购标的对应的中小企业划分标准所属行业见本章“前附表”。</w:t>
      </w:r>
    </w:p>
    <w:p w14:paraId="0341F1BB">
      <w:pPr>
        <w:pStyle w:val="45"/>
        <w:ind w:firstLine="480"/>
      </w:pPr>
      <w:r>
        <w:rPr>
          <w:rFonts w:hint="eastAsia"/>
        </w:rPr>
        <w:t>符合中小企业划分标准的个体工商户以及专业合作社、家庭农场等新型农业经营主体，在政府采购活动中视同中小企业；</w:t>
      </w:r>
    </w:p>
    <w:p w14:paraId="1F3B07A5">
      <w:pPr>
        <w:pStyle w:val="45"/>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5"/>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5"/>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5"/>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3"/>
        <w:ind w:firstLine="482"/>
      </w:pPr>
      <w:r>
        <w:rPr>
          <w:rFonts w:hint="eastAsia"/>
        </w:rPr>
        <w:t>支持条件</w:t>
      </w:r>
    </w:p>
    <w:p w14:paraId="2F9D7098">
      <w:pPr>
        <w:pStyle w:val="43"/>
        <w:numPr>
          <w:ilvl w:val="0"/>
          <w:numId w:val="12"/>
        </w:numPr>
        <w:bidi w:val="0"/>
        <w:rPr>
          <w:u w:val="single"/>
        </w:rPr>
      </w:pPr>
      <w:r>
        <w:rPr>
          <w:rFonts w:hint="eastAsia"/>
          <w:u w:val="single"/>
        </w:rPr>
        <w:t>在政府采购活动中，投标人提供的货物、工程或者服务符合下列情形的，享受中小企业扶持政策：</w:t>
      </w:r>
    </w:p>
    <w:p w14:paraId="7FC34247">
      <w:pPr>
        <w:pStyle w:val="44"/>
        <w:bidi w:val="0"/>
      </w:pPr>
      <w:r>
        <w:rPr>
          <w:rFonts w:hint="eastAsia"/>
        </w:rPr>
        <w:t>在货物采购项目中，货物全部由中小企业制造，即货物全部由中小企业生产且使用该中小企业商号或者注册商标；</w:t>
      </w:r>
    </w:p>
    <w:p w14:paraId="4B48D378">
      <w:pPr>
        <w:pStyle w:val="44"/>
        <w:bidi w:val="0"/>
      </w:pPr>
      <w:r>
        <w:rPr>
          <w:rFonts w:hint="eastAsia"/>
        </w:rPr>
        <w:t>在工程采购项目中，工程全部由中小企业承建，即工程施工单位为全部中小企业；</w:t>
      </w:r>
    </w:p>
    <w:p w14:paraId="4A7AE831">
      <w:pPr>
        <w:pStyle w:val="44"/>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3"/>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4"/>
        <w:numPr>
          <w:ilvl w:val="0"/>
          <w:numId w:val="13"/>
        </w:numPr>
        <w:bidi w:val="0"/>
      </w:pPr>
      <w:r>
        <w:rPr>
          <w:rFonts w:hint="eastAsia"/>
        </w:rPr>
        <w:t>在货物采购项目中，投标人提供的货物既有中小企业制造货物，也有大型企业制造货物的；</w:t>
      </w:r>
    </w:p>
    <w:p w14:paraId="5A17A986">
      <w:pPr>
        <w:pStyle w:val="44"/>
        <w:numPr>
          <w:ilvl w:val="0"/>
          <w:numId w:val="13"/>
        </w:numPr>
        <w:bidi w:val="0"/>
      </w:pPr>
      <w:r>
        <w:rPr>
          <w:rFonts w:hint="eastAsia"/>
        </w:rPr>
        <w:t>组成联合体或者接受分包的小微企业与联合体内其他企业、分包企业之间存在直接控股、管理关系的；</w:t>
      </w:r>
    </w:p>
    <w:p w14:paraId="0E8E0B7C">
      <w:pPr>
        <w:pStyle w:val="44"/>
        <w:numPr>
          <w:ilvl w:val="0"/>
          <w:numId w:val="13"/>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3"/>
        <w:bidi w:val="0"/>
      </w:pPr>
      <w:r>
        <w:rPr>
          <w:rFonts w:hint="eastAsia"/>
        </w:rPr>
        <w:t>支持方式</w:t>
      </w:r>
    </w:p>
    <w:p w14:paraId="7AC876C0">
      <w:pPr>
        <w:pStyle w:val="43"/>
        <w:numPr>
          <w:ilvl w:val="0"/>
          <w:numId w:val="14"/>
        </w:numPr>
        <w:bidi w:val="0"/>
        <w:rPr>
          <w:u w:val="single"/>
        </w:rPr>
      </w:pPr>
      <w:r>
        <w:rPr>
          <w:rFonts w:hint="eastAsia"/>
          <w:u w:val="single"/>
        </w:rPr>
        <w:t>对于预留份额专门面向中小企业的政府采购项目通过下列措施之一进行：</w:t>
      </w:r>
    </w:p>
    <w:p w14:paraId="42F57A86">
      <w:pPr>
        <w:pStyle w:val="44"/>
        <w:numPr>
          <w:ilvl w:val="0"/>
          <w:numId w:val="15"/>
        </w:numPr>
        <w:bidi w:val="0"/>
      </w:pPr>
      <w:r>
        <w:t>将采购项目整体或者设置采购包专门面向中小企 业采购；</w:t>
      </w:r>
    </w:p>
    <w:p w14:paraId="379B216C">
      <w:pPr>
        <w:pStyle w:val="44"/>
        <w:numPr>
          <w:ilvl w:val="0"/>
          <w:numId w:val="15"/>
        </w:numPr>
        <w:bidi w:val="0"/>
      </w:pPr>
      <w:r>
        <w:t>要求供应商以联合体形式参加采购活动，且联合体中中小企业承担的部分达到一定比例；</w:t>
      </w:r>
    </w:p>
    <w:p w14:paraId="095FBF3D">
      <w:pPr>
        <w:pStyle w:val="44"/>
        <w:numPr>
          <w:ilvl w:val="0"/>
          <w:numId w:val="15"/>
        </w:numPr>
        <w:bidi w:val="0"/>
      </w:pPr>
      <w:r>
        <w:t>要求获得采购合同的供应商将采购项目中的一定比例分包给一家或者多家中小企业。</w:t>
      </w:r>
    </w:p>
    <w:p w14:paraId="394D80EE">
      <w:pPr>
        <w:pStyle w:val="43"/>
        <w:bidi w:val="0"/>
        <w:rPr>
          <w:u w:val="single"/>
        </w:rPr>
      </w:pPr>
      <w:r>
        <w:rPr>
          <w:rFonts w:hint="eastAsia"/>
          <w:u w:val="single"/>
        </w:rPr>
        <w:t>对于未预留份额专门面向中小企业的政府采购项目，以及预留份额政府采购项目中的非预留部分标项：</w:t>
      </w:r>
    </w:p>
    <w:p w14:paraId="779C39F1">
      <w:pPr>
        <w:pStyle w:val="44"/>
        <w:numPr>
          <w:ilvl w:val="0"/>
          <w:numId w:val="16"/>
        </w:numPr>
        <w:bidi w:val="0"/>
      </w:pPr>
      <w:r>
        <w:rPr>
          <w:rFonts w:hint="eastAsia"/>
        </w:rPr>
        <w:t>对小型和微型企业的投标报价给予一定比例的扣除，用扣除后的价格参与评审；</w:t>
      </w:r>
    </w:p>
    <w:p w14:paraId="38A28634">
      <w:pPr>
        <w:pStyle w:val="44"/>
        <w:numPr>
          <w:ilvl w:val="0"/>
          <w:numId w:val="16"/>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5"/>
        <w:ind w:firstLine="480"/>
        <w:rPr>
          <w:u w:val="single"/>
        </w:rPr>
      </w:pPr>
      <w:r>
        <w:rPr>
          <w:rFonts w:hint="eastAsia"/>
          <w:u w:val="single"/>
        </w:rPr>
        <w:t>本项目具体支持方式见“招标公告”及“第五章 评审办法和标准”。</w:t>
      </w:r>
    </w:p>
    <w:p w14:paraId="5E74E332">
      <w:pPr>
        <w:pStyle w:val="43"/>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4"/>
        <w:bidi w:val="0"/>
      </w:pPr>
      <w:bookmarkStart w:id="21" w:name="_Toc661102123"/>
      <w:r>
        <w:t>支持绿色发展</w:t>
      </w:r>
      <w:bookmarkEnd w:id="21"/>
    </w:p>
    <w:p w14:paraId="7991F9E1">
      <w:pPr>
        <w:pStyle w:val="35"/>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5"/>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4"/>
        <w:ind w:firstLine="482"/>
      </w:pPr>
      <w:bookmarkStart w:id="22" w:name="_Toc62991683"/>
      <w:r>
        <w:t>支持创新发展</w:t>
      </w:r>
      <w:bookmarkEnd w:id="22"/>
    </w:p>
    <w:p w14:paraId="0782A45F">
      <w:pPr>
        <w:pStyle w:val="35"/>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5"/>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4"/>
        <w:ind w:firstLine="482"/>
      </w:pPr>
      <w:bookmarkStart w:id="23" w:name="_Toc2139261857"/>
      <w:r>
        <w:rPr>
          <w:rFonts w:hint="eastAsia"/>
        </w:rPr>
        <w:t>支持本国生产的货物</w:t>
      </w:r>
      <w:bookmarkEnd w:id="23"/>
    </w:p>
    <w:p w14:paraId="5C9ABECC">
      <w:pPr>
        <w:pStyle w:val="35"/>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5"/>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5"/>
        <w:ind w:firstLine="480"/>
      </w:pPr>
      <w:r>
        <w:rPr>
          <w:rFonts w:hint="eastAsia"/>
        </w:rPr>
        <w:t>即使允许采购进口产品但不排斥满足需求的国内产品参与采购公平竞争。</w:t>
      </w:r>
    </w:p>
    <w:p w14:paraId="37CF0E91">
      <w:pPr>
        <w:pStyle w:val="35"/>
        <w:ind w:firstLine="480"/>
      </w:pPr>
      <w:r>
        <w:rPr>
          <w:rFonts w:hint="eastAsia"/>
        </w:rPr>
        <w:t>优先采购向我国企业转让技术、与我国企业签订消化吸收再创新方案的供应商的进口产品；</w:t>
      </w:r>
    </w:p>
    <w:p w14:paraId="6B5BAE7B">
      <w:pPr>
        <w:pStyle w:val="35"/>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9"/>
      </w:pPr>
      <w:r>
        <w:rPr>
          <w:rFonts w:hint="eastAsia"/>
        </w:rPr>
        <w:t>对供应商的限制</w:t>
      </w:r>
    </w:p>
    <w:p w14:paraId="6E180D89">
      <w:pPr>
        <w:pStyle w:val="35"/>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3"/>
        <w:numPr>
          <w:ilvl w:val="0"/>
          <w:numId w:val="17"/>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3"/>
        <w:numPr>
          <w:ilvl w:val="0"/>
          <w:numId w:val="17"/>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3"/>
        <w:numPr>
          <w:ilvl w:val="0"/>
          <w:numId w:val="17"/>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3"/>
        <w:numPr>
          <w:ilvl w:val="0"/>
          <w:numId w:val="17"/>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9"/>
      </w:pPr>
      <w:r>
        <w:rPr>
          <w:rFonts w:hint="eastAsia"/>
        </w:rPr>
        <w:t>询问、质疑与投诉</w:t>
      </w:r>
    </w:p>
    <w:p w14:paraId="480D433D">
      <w:pPr>
        <w:pStyle w:val="35"/>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4"/>
        <w:ind w:firstLine="482"/>
      </w:pPr>
      <w:r>
        <w:rPr>
          <w:rFonts w:hint="eastAsia"/>
        </w:rPr>
        <w:t>询问</w:t>
      </w:r>
    </w:p>
    <w:p w14:paraId="6BA4802E">
      <w:pPr>
        <w:pStyle w:val="43"/>
        <w:numPr>
          <w:ilvl w:val="0"/>
          <w:numId w:val="18"/>
        </w:numPr>
        <w:bidi w:val="0"/>
      </w:pPr>
      <w:r>
        <w:t>在采购活动中供应商可以就某一事项向采购组织机构发出“询问”，采购组织机构将在收到供应商“询问”后三个工作日内予以答复，但规定不予答复的内容除外。</w:t>
      </w:r>
    </w:p>
    <w:p w14:paraId="46D683EA">
      <w:pPr>
        <w:pStyle w:val="43"/>
        <w:numPr>
          <w:ilvl w:val="0"/>
          <w:numId w:val="18"/>
        </w:numPr>
        <w:bidi w:val="0"/>
      </w:pPr>
      <w:r>
        <w:t>供应商提出的询问超出招标人对采购代理机构委托授权范围的，采购代理机构应当告知供应商向招标人提出。</w:t>
      </w:r>
    </w:p>
    <w:p w14:paraId="1F5B4CC0">
      <w:pPr>
        <w:pStyle w:val="43"/>
        <w:numPr>
          <w:ilvl w:val="0"/>
          <w:numId w:val="18"/>
        </w:numPr>
        <w:bidi w:val="0"/>
      </w:pPr>
      <w:r>
        <w:t>在线询问路径为：政采云平台-项目采购-询问质疑投诉-询问列表。</w:t>
      </w:r>
    </w:p>
    <w:p w14:paraId="6B2E1D3E">
      <w:pPr>
        <w:pStyle w:val="34"/>
        <w:ind w:firstLine="482"/>
      </w:pPr>
      <w:r>
        <w:rPr>
          <w:rFonts w:hint="eastAsia"/>
        </w:rPr>
        <w:t>质疑</w:t>
      </w:r>
    </w:p>
    <w:p w14:paraId="4AF2E9D5">
      <w:pPr>
        <w:pStyle w:val="43"/>
        <w:numPr>
          <w:ilvl w:val="0"/>
          <w:numId w:val="19"/>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3"/>
        <w:numPr>
          <w:ilvl w:val="0"/>
          <w:numId w:val="19"/>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5"/>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5"/>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5"/>
        <w:ind w:firstLine="480"/>
      </w:pPr>
      <w:r>
        <w:t>对</w:t>
      </w:r>
      <w:r>
        <w:rPr>
          <w:rFonts w:hint="eastAsia"/>
        </w:rPr>
        <w:t>招标</w:t>
      </w:r>
      <w:r>
        <w:t>过程提出质疑的，为各</w:t>
      </w:r>
      <w:r>
        <w:rPr>
          <w:rFonts w:hint="eastAsia"/>
        </w:rPr>
        <w:t>招标</w:t>
      </w:r>
      <w:r>
        <w:t>程序环节结束之日；</w:t>
      </w:r>
    </w:p>
    <w:p w14:paraId="7531C2CE">
      <w:pPr>
        <w:pStyle w:val="45"/>
        <w:ind w:firstLine="480"/>
      </w:pPr>
      <w:r>
        <w:t>对中标或者成交结果提出质疑的，为中标或者成交结果公告期限届满之日。</w:t>
      </w:r>
    </w:p>
    <w:p w14:paraId="144FBC12">
      <w:pPr>
        <w:pStyle w:val="43"/>
        <w:bidi w:val="0"/>
      </w:pPr>
      <w:r>
        <w:t>供应商提出质疑应当提交质疑函和必要的证明材料。质疑函应当包括下列内容：</w:t>
      </w:r>
    </w:p>
    <w:p w14:paraId="5207DD88">
      <w:pPr>
        <w:pStyle w:val="44"/>
        <w:numPr>
          <w:ilvl w:val="0"/>
          <w:numId w:val="20"/>
        </w:numPr>
        <w:bidi w:val="0"/>
      </w:pPr>
      <w:r>
        <w:t>供应商的姓名或者名称、地址、邮编、联系人及联系电话；</w:t>
      </w:r>
    </w:p>
    <w:p w14:paraId="3ED8B022">
      <w:pPr>
        <w:pStyle w:val="44"/>
        <w:numPr>
          <w:ilvl w:val="0"/>
          <w:numId w:val="20"/>
        </w:numPr>
        <w:bidi w:val="0"/>
      </w:pPr>
      <w:r>
        <w:t>质疑项目的名称、编号；</w:t>
      </w:r>
    </w:p>
    <w:p w14:paraId="70C8DCAD">
      <w:pPr>
        <w:pStyle w:val="44"/>
        <w:numPr>
          <w:ilvl w:val="0"/>
          <w:numId w:val="20"/>
        </w:numPr>
        <w:bidi w:val="0"/>
      </w:pPr>
      <w:r>
        <w:t>具体、明确的质疑事项和与质疑事项相关的请求；</w:t>
      </w:r>
    </w:p>
    <w:p w14:paraId="1548B6CF">
      <w:pPr>
        <w:pStyle w:val="44"/>
        <w:numPr>
          <w:ilvl w:val="0"/>
          <w:numId w:val="20"/>
        </w:numPr>
        <w:bidi w:val="0"/>
      </w:pPr>
      <w:r>
        <w:t>事实依据；</w:t>
      </w:r>
    </w:p>
    <w:p w14:paraId="6F675D94">
      <w:pPr>
        <w:pStyle w:val="44"/>
        <w:numPr>
          <w:ilvl w:val="0"/>
          <w:numId w:val="20"/>
        </w:numPr>
        <w:bidi w:val="0"/>
      </w:pPr>
      <w:r>
        <w:t>必要的法律依据；</w:t>
      </w:r>
    </w:p>
    <w:p w14:paraId="6C37D373">
      <w:pPr>
        <w:pStyle w:val="44"/>
        <w:numPr>
          <w:ilvl w:val="0"/>
          <w:numId w:val="20"/>
        </w:numPr>
        <w:bidi w:val="0"/>
      </w:pPr>
      <w:r>
        <w:t>提出质疑的日期。</w:t>
      </w:r>
    </w:p>
    <w:p w14:paraId="4B4F3605">
      <w:pPr>
        <w:pStyle w:val="43"/>
        <w:bidi w:val="0"/>
      </w:pPr>
      <w:r>
        <w:t>对同一招标程序环节的质疑，供应商须在法定质疑期内一次性提出。</w:t>
      </w:r>
    </w:p>
    <w:p w14:paraId="7B91F5C5">
      <w:pPr>
        <w:pStyle w:val="43"/>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3"/>
        <w:bidi w:val="0"/>
      </w:pPr>
      <w:r>
        <w:t>在线质疑路径为：政采云品台-项目采购-询问质疑投诉-质疑列表。</w:t>
      </w:r>
    </w:p>
    <w:p w14:paraId="37563C10">
      <w:pPr>
        <w:pStyle w:val="34"/>
        <w:ind w:firstLine="482"/>
      </w:pPr>
      <w:r>
        <w:t>投诉</w:t>
      </w:r>
    </w:p>
    <w:p w14:paraId="00CF6EF1">
      <w:pPr>
        <w:pStyle w:val="43"/>
        <w:numPr>
          <w:ilvl w:val="0"/>
          <w:numId w:val="21"/>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3"/>
        <w:numPr>
          <w:ilvl w:val="0"/>
          <w:numId w:val="21"/>
        </w:numPr>
        <w:bidi w:val="0"/>
      </w:pPr>
      <w:r>
        <w:t>供应商投诉的事项不得超出已质疑事项的范围，基于质疑答复内容提出的投诉事项除外。</w:t>
      </w:r>
    </w:p>
    <w:p w14:paraId="58EDA792">
      <w:pPr>
        <w:pStyle w:val="43"/>
        <w:numPr>
          <w:ilvl w:val="0"/>
          <w:numId w:val="21"/>
        </w:numPr>
        <w:bidi w:val="0"/>
      </w:pPr>
      <w:r>
        <w:t>供应商投诉应当有明确的请求和必要的证明材料。</w:t>
      </w:r>
    </w:p>
    <w:p w14:paraId="6EE0B125">
      <w:pPr>
        <w:pStyle w:val="43"/>
        <w:numPr>
          <w:ilvl w:val="0"/>
          <w:numId w:val="21"/>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9"/>
      </w:pPr>
      <w:r>
        <w:rPr>
          <w:rFonts w:hint="eastAsia"/>
        </w:rPr>
        <w:t>其他注意事项</w:t>
      </w:r>
    </w:p>
    <w:p w14:paraId="2A890FB5">
      <w:pPr>
        <w:pStyle w:val="43"/>
        <w:numPr>
          <w:ilvl w:val="0"/>
          <w:numId w:val="22"/>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3"/>
        <w:numPr>
          <w:ilvl w:val="0"/>
          <w:numId w:val="22"/>
        </w:numPr>
        <w:bidi w:val="0"/>
      </w:pPr>
      <w:r>
        <w:t>不论招标人、招标代理机构向供应商发送的资料文件，还是供应商提出的问题，均以书面形式为准。</w:t>
      </w:r>
    </w:p>
    <w:p w14:paraId="3C25C505">
      <w:pPr>
        <w:pStyle w:val="43"/>
        <w:numPr>
          <w:ilvl w:val="0"/>
          <w:numId w:val="22"/>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3"/>
        <w:numPr>
          <w:ilvl w:val="0"/>
          <w:numId w:val="22"/>
        </w:numPr>
        <w:bidi w:val="0"/>
      </w:pPr>
      <w:r>
        <w:t>为证明投标人拥有的业绩、荣誉、知识产权、项目案例等而在投标文件中提供的证明材料必须为投标人自身所有。不同法人、其他组织的资料与投标人无关。</w:t>
      </w:r>
    </w:p>
    <w:p w14:paraId="10F99CED">
      <w:pPr>
        <w:pStyle w:val="39"/>
      </w:pPr>
      <w:r>
        <w:rPr>
          <w:rFonts w:hint="eastAsia"/>
        </w:rPr>
        <w:t>保密</w:t>
      </w:r>
    </w:p>
    <w:p w14:paraId="2C568FE5">
      <w:pPr>
        <w:pStyle w:val="35"/>
        <w:ind w:firstLine="480"/>
      </w:pPr>
      <w:r>
        <w:rPr>
          <w:rFonts w:hint="eastAsia"/>
        </w:rPr>
        <w:t>参与招标投标活动的各方应对招标文件和投标文件中的商业和技术等秘密保密，违者应对此造成的后果承担法律责任。</w:t>
      </w:r>
    </w:p>
    <w:p w14:paraId="1787F28E">
      <w:pPr>
        <w:pStyle w:val="35"/>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5"/>
        <w:ind w:firstLine="480"/>
      </w:pPr>
      <w:r>
        <w:rPr>
          <w:rFonts w:hint="eastAsia"/>
        </w:rPr>
        <w:t xml:space="preserve"> </w:t>
      </w:r>
    </w:p>
    <w:p w14:paraId="168D9D65">
      <w:pPr>
        <w:pStyle w:val="37"/>
      </w:pPr>
      <w:bookmarkStart w:id="24" w:name="_Toc233618973"/>
      <w:bookmarkEnd w:id="24"/>
      <w:bookmarkStart w:id="25" w:name="_Toc464483846"/>
      <w:bookmarkStart w:id="26" w:name="_Toc25967"/>
      <w:r>
        <w:rPr>
          <w:rFonts w:hint="eastAsia"/>
        </w:rPr>
        <w:t>招标文件</w:t>
      </w:r>
      <w:bookmarkEnd w:id="25"/>
      <w:bookmarkEnd w:id="26"/>
    </w:p>
    <w:p w14:paraId="71B98B89">
      <w:pPr>
        <w:pStyle w:val="39"/>
      </w:pPr>
      <w:bookmarkStart w:id="27" w:name="_Toc91899880"/>
      <w:bookmarkEnd w:id="27"/>
      <w:bookmarkStart w:id="28" w:name="_Hlt74730307"/>
      <w:r>
        <w:rPr>
          <w:rFonts w:hint="eastAsia"/>
        </w:rPr>
        <w:t>招标文件的</w:t>
      </w:r>
      <w:bookmarkEnd w:id="28"/>
      <w:r>
        <w:rPr>
          <w:rFonts w:hint="eastAsia"/>
        </w:rPr>
        <w:t>组成</w:t>
      </w:r>
    </w:p>
    <w:p w14:paraId="01EAB752">
      <w:pPr>
        <w:pStyle w:val="35"/>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9"/>
      </w:pPr>
      <w:r>
        <w:rPr>
          <w:rFonts w:hint="eastAsia"/>
        </w:rPr>
        <w:t>招标文件的解释</w:t>
      </w:r>
    </w:p>
    <w:p w14:paraId="4759238A">
      <w:pPr>
        <w:pStyle w:val="43"/>
        <w:numPr>
          <w:ilvl w:val="0"/>
          <w:numId w:val="23"/>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3"/>
        <w:numPr>
          <w:ilvl w:val="0"/>
          <w:numId w:val="23"/>
        </w:numPr>
        <w:bidi w:val="0"/>
      </w:pPr>
      <w:r>
        <w:t>供应商一旦参与本次招标活动，即被视为接受了本招标文件的所有内容，如有任何异议，均应在答疑截止时间前提出。</w:t>
      </w:r>
    </w:p>
    <w:p w14:paraId="493D3E15">
      <w:pPr>
        <w:pStyle w:val="43"/>
        <w:numPr>
          <w:ilvl w:val="0"/>
          <w:numId w:val="23"/>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3"/>
        <w:numPr>
          <w:ilvl w:val="0"/>
          <w:numId w:val="23"/>
        </w:numPr>
        <w:bidi w:val="0"/>
      </w:pPr>
      <w:r>
        <w:t>招标文件的解释权归招标人、招标代理机构所有。</w:t>
      </w:r>
    </w:p>
    <w:p w14:paraId="7141647C">
      <w:pPr>
        <w:pStyle w:val="39"/>
      </w:pPr>
      <w:r>
        <w:rPr>
          <w:rFonts w:hint="eastAsia"/>
        </w:rPr>
        <w:t>招标文件的修改</w:t>
      </w:r>
    </w:p>
    <w:p w14:paraId="0462CD7B">
      <w:pPr>
        <w:pStyle w:val="43"/>
        <w:numPr>
          <w:ilvl w:val="0"/>
          <w:numId w:val="24"/>
        </w:numPr>
        <w:bidi w:val="0"/>
      </w:pPr>
      <w:r>
        <w:t>由于各种原因招标人可能在投标截止时间前以澄清、答复、修改、补充文件的形式修改完善招标文件。</w:t>
      </w:r>
    </w:p>
    <w:p w14:paraId="449F6C2E">
      <w:pPr>
        <w:pStyle w:val="43"/>
        <w:numPr>
          <w:ilvl w:val="0"/>
          <w:numId w:val="24"/>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3"/>
        <w:numPr>
          <w:ilvl w:val="0"/>
          <w:numId w:val="24"/>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5"/>
        <w:ind w:firstLine="480"/>
      </w:pPr>
    </w:p>
    <w:p w14:paraId="6B5F7D30">
      <w:pPr>
        <w:pStyle w:val="37"/>
      </w:pPr>
      <w:bookmarkStart w:id="29" w:name="_Toc91899884"/>
      <w:bookmarkEnd w:id="29"/>
      <w:bookmarkStart w:id="30" w:name="_Toc464483847"/>
      <w:bookmarkEnd w:id="30"/>
      <w:bookmarkStart w:id="31" w:name="_Toc8404"/>
      <w:bookmarkStart w:id="32" w:name="_Toc233618974"/>
      <w:r>
        <w:rPr>
          <w:rFonts w:hint="eastAsia"/>
        </w:rPr>
        <w:t>投标文件</w:t>
      </w:r>
      <w:bookmarkEnd w:id="31"/>
      <w:bookmarkEnd w:id="32"/>
    </w:p>
    <w:p w14:paraId="64686B9E">
      <w:pPr>
        <w:pStyle w:val="39"/>
      </w:pPr>
      <w:r>
        <w:rPr>
          <w:rFonts w:hint="eastAsia"/>
        </w:rPr>
        <w:t>投标文件的组成</w:t>
      </w:r>
    </w:p>
    <w:p w14:paraId="1B9B9BF8">
      <w:pPr>
        <w:pStyle w:val="35"/>
        <w:ind w:firstLine="480"/>
      </w:pPr>
      <w:r>
        <w:rPr>
          <w:rFonts w:hint="eastAsia"/>
          <w:lang w:eastAsia="zh-CN"/>
        </w:rPr>
        <w:t>投标文件包括资格文件、商务技术文件和报价文件，包含但不限于以下内容：</w:t>
      </w:r>
    </w:p>
    <w:p w14:paraId="626AF7CE">
      <w:pPr>
        <w:pStyle w:val="34"/>
        <w:ind w:firstLine="482"/>
        <w:rPr>
          <w:highlight w:val="none"/>
        </w:rPr>
      </w:pPr>
      <w:r>
        <w:rPr>
          <w:rFonts w:hint="eastAsia"/>
          <w:highlight w:val="none"/>
        </w:rPr>
        <w:t>资格文件</w:t>
      </w:r>
    </w:p>
    <w:p w14:paraId="7991330B">
      <w:pPr>
        <w:pStyle w:val="43"/>
        <w:numPr>
          <w:ilvl w:val="0"/>
          <w:numId w:val="25"/>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3"/>
        <w:numPr>
          <w:ilvl w:val="0"/>
          <w:numId w:val="25"/>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3"/>
        <w:numPr>
          <w:ilvl w:val="0"/>
          <w:numId w:val="25"/>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3"/>
        <w:numPr>
          <w:ilvl w:val="0"/>
          <w:numId w:val="25"/>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5"/>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5"/>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5"/>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5"/>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3"/>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4"/>
        <w:ind w:firstLine="482"/>
        <w:rPr>
          <w:highlight w:val="none"/>
        </w:rPr>
      </w:pPr>
      <w:r>
        <w:rPr>
          <w:highlight w:val="none"/>
        </w:rPr>
        <w:t>商务技术文件</w:t>
      </w:r>
    </w:p>
    <w:p w14:paraId="1D9AFC0B">
      <w:pPr>
        <w:pStyle w:val="43"/>
        <w:numPr>
          <w:ilvl w:val="0"/>
          <w:numId w:val="26"/>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3"/>
        <w:numPr>
          <w:ilvl w:val="0"/>
          <w:numId w:val="26"/>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3"/>
        <w:numPr>
          <w:ilvl w:val="0"/>
          <w:numId w:val="26"/>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3"/>
        <w:numPr>
          <w:ilvl w:val="0"/>
          <w:numId w:val="26"/>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3"/>
        <w:numPr>
          <w:ilvl w:val="0"/>
          <w:numId w:val="26"/>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5"/>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5"/>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3"/>
        <w:numPr>
          <w:ilvl w:val="0"/>
          <w:numId w:val="26"/>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4"/>
        <w:ind w:firstLine="482"/>
        <w:rPr>
          <w:highlight w:val="none"/>
        </w:rPr>
      </w:pPr>
      <w:r>
        <w:rPr>
          <w:highlight w:val="none"/>
        </w:rPr>
        <w:t xml:space="preserve">报价文件 </w:t>
      </w:r>
    </w:p>
    <w:p w14:paraId="66013623">
      <w:pPr>
        <w:pStyle w:val="43"/>
        <w:numPr>
          <w:ilvl w:val="0"/>
          <w:numId w:val="27"/>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3"/>
        <w:numPr>
          <w:ilvl w:val="0"/>
          <w:numId w:val="27"/>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3"/>
        <w:numPr>
          <w:ilvl w:val="0"/>
          <w:numId w:val="27"/>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5"/>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可不提供的情形外，未完整提供上述内容的投标文件将被视为无效投标文件。</w:t>
      </w:r>
    </w:p>
    <w:p w14:paraId="273DFB3A">
      <w:pPr>
        <w:pStyle w:val="39"/>
      </w:pPr>
      <w:r>
        <w:rPr>
          <w:rFonts w:hint="eastAsia"/>
        </w:rPr>
        <w:t>投标文件的编制</w:t>
      </w:r>
    </w:p>
    <w:p w14:paraId="57DC0FD7">
      <w:pPr>
        <w:pStyle w:val="43"/>
        <w:numPr>
          <w:ilvl w:val="0"/>
          <w:numId w:val="28"/>
        </w:numPr>
        <w:bidi w:val="0"/>
      </w:pPr>
      <w:r>
        <w:t>供应商应仔细阅读招标文件规定的所有内容，以保证能全面准确理解招标文件，并按照招标文件要求，详细编制投标文件，投标文件内容必须针对本次招标要求进行响应。</w:t>
      </w:r>
    </w:p>
    <w:p w14:paraId="7F9A3D7D">
      <w:pPr>
        <w:pStyle w:val="43"/>
        <w:numPr>
          <w:ilvl w:val="0"/>
          <w:numId w:val="28"/>
        </w:numPr>
        <w:bidi w:val="0"/>
      </w:pPr>
      <w: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3"/>
        <w:numPr>
          <w:ilvl w:val="0"/>
          <w:numId w:val="28"/>
        </w:numPr>
        <w:bidi w:val="0"/>
      </w:pPr>
      <w:r>
        <w:t>投标文件应按照本节“1.投标文件的组成”</w:t>
      </w:r>
      <w:r>
        <w:rPr>
          <w:highlight w:val="none"/>
        </w:rPr>
        <w:t>及“政采云投标客户端”</w:t>
      </w:r>
      <w:r>
        <w:t>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3"/>
        <w:numPr>
          <w:ilvl w:val="0"/>
          <w:numId w:val="28"/>
        </w:numPr>
        <w:bidi w:val="0"/>
      </w:pPr>
      <w:r>
        <w:t>投标文件内容不完整、编排混乱或表达不清导致投标文件被误读、漏读或者查找不到相关内容的，是投标人的责任。</w:t>
      </w:r>
    </w:p>
    <w:p w14:paraId="05FB8627">
      <w:pPr>
        <w:pStyle w:val="43"/>
        <w:numPr>
          <w:ilvl w:val="0"/>
          <w:numId w:val="28"/>
        </w:numPr>
        <w:bidi w:val="0"/>
      </w:pPr>
      <w: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3"/>
        <w:numPr>
          <w:ilvl w:val="0"/>
          <w:numId w:val="28"/>
        </w:numPr>
        <w:bidi w:val="0"/>
      </w:pPr>
      <w:r>
        <w:t>投标人不得递交任何的投标备选（替代）方案，否则作无效标处理。</w:t>
      </w:r>
    </w:p>
    <w:p w14:paraId="38DB58D6">
      <w:pPr>
        <w:pStyle w:val="39"/>
      </w:pPr>
      <w:r>
        <w:rPr>
          <w:rFonts w:hint="eastAsia"/>
        </w:rPr>
        <w:t>投标文件的签署</w:t>
      </w:r>
    </w:p>
    <w:p w14:paraId="1AEEC418">
      <w:pPr>
        <w:pStyle w:val="43"/>
        <w:numPr>
          <w:ilvl w:val="0"/>
          <w:numId w:val="29"/>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3"/>
        <w:numPr>
          <w:ilvl w:val="0"/>
          <w:numId w:val="29"/>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9"/>
      </w:pPr>
      <w:r>
        <w:rPr>
          <w:rFonts w:hint="eastAsia"/>
        </w:rPr>
        <w:t>投标报价</w:t>
      </w:r>
    </w:p>
    <w:p w14:paraId="31077529">
      <w:pPr>
        <w:pStyle w:val="34"/>
        <w:ind w:firstLine="482"/>
      </w:pPr>
      <w:r>
        <w:rPr>
          <w:rFonts w:hint="eastAsia"/>
        </w:rPr>
        <w:t>报价组成</w:t>
      </w:r>
    </w:p>
    <w:p w14:paraId="274A94F1">
      <w:pPr>
        <w:pStyle w:val="35"/>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5"/>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3"/>
        <w:numPr>
          <w:ilvl w:val="0"/>
          <w:numId w:val="30"/>
        </w:numPr>
        <w:ind w:firstLine="480"/>
      </w:pPr>
      <w:r>
        <w:rPr>
          <w:rFonts w:hint="eastAsia"/>
        </w:rPr>
        <w:t>投标截止时间前已经进口的货物：货物在从关境外进口时已交纳或应交纳的全部关税、增值税和其它税；</w:t>
      </w:r>
    </w:p>
    <w:p w14:paraId="161E6D57">
      <w:pPr>
        <w:pStyle w:val="43"/>
        <w:numPr>
          <w:ilvl w:val="0"/>
          <w:numId w:val="30"/>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3"/>
        <w:numPr>
          <w:ilvl w:val="0"/>
          <w:numId w:val="30"/>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4"/>
        <w:ind w:firstLine="482"/>
      </w:pPr>
      <w:r>
        <w:rPr>
          <w:rFonts w:hint="eastAsia"/>
        </w:rPr>
        <w:t>其它费用处理</w:t>
      </w:r>
    </w:p>
    <w:p w14:paraId="79B0D981">
      <w:pPr>
        <w:pStyle w:val="35"/>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5"/>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4"/>
        <w:ind w:firstLine="482"/>
      </w:pPr>
      <w:r>
        <w:rPr>
          <w:rFonts w:hint="eastAsia"/>
        </w:rPr>
        <w:t>投标货币</w:t>
      </w:r>
    </w:p>
    <w:p w14:paraId="52049430">
      <w:pPr>
        <w:pStyle w:val="35"/>
        <w:ind w:firstLine="480"/>
      </w:pPr>
      <w:r>
        <w:rPr>
          <w:rFonts w:hint="eastAsia"/>
        </w:rPr>
        <w:t>投标文件中价格全部采用人民币报价。</w:t>
      </w:r>
    </w:p>
    <w:p w14:paraId="435F4C51">
      <w:pPr>
        <w:pStyle w:val="35"/>
        <w:ind w:firstLine="480"/>
      </w:pPr>
      <w:r>
        <w:rPr>
          <w:rFonts w:hint="eastAsia"/>
        </w:rPr>
        <w:t>报价应是唯一的，不接受有选择的报价。</w:t>
      </w:r>
    </w:p>
    <w:p w14:paraId="3B368563">
      <w:pPr>
        <w:pStyle w:val="34"/>
        <w:ind w:firstLine="482"/>
      </w:pPr>
      <w:r>
        <w:rPr>
          <w:rFonts w:hint="eastAsia"/>
        </w:rPr>
        <w:t>特别说明</w:t>
      </w:r>
    </w:p>
    <w:p w14:paraId="194D2529">
      <w:pPr>
        <w:pStyle w:val="45"/>
        <w:ind w:firstLine="480"/>
      </w:pPr>
      <w:r>
        <w:rPr>
          <w:rFonts w:hint="eastAsia"/>
        </w:rPr>
        <w:t>投标人对在合同执行中，除上述费用及招标文件规定的由中标人负责的工作范围以外需要招标人协调或提供便利的工作应当在投标文件中说明。</w:t>
      </w:r>
      <w:bookmarkStart w:id="33" w:name="_Hlt75236011"/>
      <w:bookmarkEnd w:id="33"/>
    </w:p>
    <w:p w14:paraId="02C96969">
      <w:pPr>
        <w:pStyle w:val="45"/>
        <w:ind w:firstLine="480"/>
        <w:rPr>
          <w:b/>
        </w:rPr>
      </w:pPr>
      <w:r>
        <w:rPr>
          <w:rFonts w:hint="eastAsia"/>
          <w:u w:val="single"/>
        </w:rPr>
        <w:t>报价是中标的一个重要因素，但最低报价不是中标的唯一依据。</w:t>
      </w:r>
    </w:p>
    <w:p w14:paraId="481AFBDE">
      <w:pPr>
        <w:pStyle w:val="39"/>
      </w:pPr>
      <w:bookmarkStart w:id="34" w:name="_Toc91899887"/>
      <w:bookmarkEnd w:id="34"/>
      <w:r>
        <w:rPr>
          <w:rFonts w:hint="eastAsia"/>
        </w:rPr>
        <w:t>投标有效期</w:t>
      </w:r>
    </w:p>
    <w:p w14:paraId="752C5721">
      <w:pPr>
        <w:pStyle w:val="43"/>
        <w:numPr>
          <w:ilvl w:val="0"/>
          <w:numId w:val="31"/>
        </w:numPr>
        <w:bidi w:val="0"/>
      </w:pPr>
      <w:r>
        <w:t>投标文件合格投递后，自投标截止日期起，至前附表规定的日期内有效。合同签订后，投标文件作为合同附件，投标文件有效期延长至与合同有效期相同。</w:t>
      </w:r>
    </w:p>
    <w:p w14:paraId="4B6AEAC9">
      <w:pPr>
        <w:pStyle w:val="43"/>
        <w:numPr>
          <w:ilvl w:val="0"/>
          <w:numId w:val="31"/>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3"/>
        <w:numPr>
          <w:ilvl w:val="0"/>
          <w:numId w:val="31"/>
        </w:numPr>
        <w:bidi w:val="0"/>
      </w:pPr>
      <w:r>
        <w:t>投标人可拒绝接受延期要求，拒绝延期要求视同未实质性响应招标文件要求。同意延长有效期的投标人不能修改投标文件。</w:t>
      </w:r>
    </w:p>
    <w:p w14:paraId="410664C6">
      <w:pPr>
        <w:pStyle w:val="39"/>
        <w:rPr>
          <w:lang w:eastAsia="zh-CN"/>
        </w:rPr>
      </w:pPr>
      <w:r>
        <w:rPr>
          <w:rFonts w:hint="eastAsia"/>
        </w:rPr>
        <w:t>电子标书的</w:t>
      </w:r>
      <w:r>
        <w:rPr>
          <w:rFonts w:hint="eastAsia"/>
          <w:lang w:eastAsia="zh-CN"/>
        </w:rPr>
        <w:t>生成</w:t>
      </w:r>
    </w:p>
    <w:p w14:paraId="47FF7042">
      <w:pPr>
        <w:pStyle w:val="34"/>
        <w:ind w:firstLine="482"/>
      </w:pPr>
      <w:r>
        <w:rPr>
          <w:rFonts w:hint="eastAsia"/>
        </w:rPr>
        <w:t>登录客户端</w:t>
      </w:r>
    </w:p>
    <w:p w14:paraId="3EF3FAA2">
      <w:pPr>
        <w:pStyle w:val="35"/>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3"/>
        <w:numPr>
          <w:ilvl w:val="0"/>
          <w:numId w:val="32"/>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3"/>
        <w:numPr>
          <w:ilvl w:val="0"/>
          <w:numId w:val="32"/>
        </w:numPr>
        <w:ind w:firstLine="480"/>
      </w:pPr>
      <w:r>
        <w:t>已完成CA申领，并在政采云平台与账号绑定</w:t>
      </w:r>
      <w:r>
        <w:rPr>
          <w:rFonts w:hint="eastAsia"/>
        </w:rPr>
        <w:t>；</w:t>
      </w:r>
    </w:p>
    <w:p w14:paraId="4789889E">
      <w:pPr>
        <w:pStyle w:val="43"/>
        <w:numPr>
          <w:ilvl w:val="0"/>
          <w:numId w:val="32"/>
        </w:numPr>
        <w:ind w:firstLine="480"/>
      </w:pPr>
      <w:r>
        <w:t>已下载并安装CA驱动。</w:t>
      </w:r>
    </w:p>
    <w:p w14:paraId="5EA792C8">
      <w:pPr>
        <w:pStyle w:val="35"/>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4"/>
        <w:ind w:firstLine="482"/>
      </w:pPr>
      <w:r>
        <w:rPr>
          <w:rFonts w:hint="eastAsia"/>
        </w:rPr>
        <w:t>制作投标文件</w:t>
      </w:r>
    </w:p>
    <w:p w14:paraId="0CC5B718">
      <w:pPr>
        <w:pStyle w:val="35"/>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5"/>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4"/>
        <w:ind w:firstLine="482"/>
      </w:pPr>
      <w:r>
        <w:rPr>
          <w:rFonts w:hint="eastAsia"/>
        </w:rPr>
        <w:t>基本信息</w:t>
      </w:r>
    </w:p>
    <w:p w14:paraId="62585C7E">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5"/>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4"/>
        <w:ind w:firstLine="482"/>
      </w:pPr>
      <w:r>
        <w:rPr>
          <w:rFonts w:hint="eastAsia"/>
        </w:rPr>
        <w:t>导入投标（响应）文件</w:t>
      </w:r>
    </w:p>
    <w:p w14:paraId="2014865B">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5"/>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5"/>
        <w:ind w:firstLine="480"/>
        <w:rPr>
          <w:lang w:eastAsia="zh-CN"/>
        </w:rPr>
      </w:pPr>
      <w:r>
        <w:rPr>
          <w:rFonts w:hint="eastAsia"/>
          <w:lang w:eastAsia="zh-CN"/>
        </w:rPr>
        <w:t>建议对应客户端中显示的各资格项分页上传资格文件各部分内容。</w:t>
      </w:r>
    </w:p>
    <w:p w14:paraId="518E22DC">
      <w:pPr>
        <w:pStyle w:val="35"/>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4"/>
        <w:ind w:firstLine="482"/>
      </w:pPr>
      <w:r>
        <w:rPr>
          <w:rFonts w:hint="eastAsia"/>
        </w:rPr>
        <w:t>标书关联</w:t>
      </w:r>
    </w:p>
    <w:p w14:paraId="1C8CFA35">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5"/>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5"/>
        <w:ind w:firstLine="480"/>
        <w:rPr>
          <w:lang w:eastAsia="zh-CN"/>
        </w:rPr>
      </w:pPr>
      <w:r>
        <w:rPr>
          <w:rFonts w:hint="eastAsia"/>
          <w:lang w:eastAsia="zh-CN"/>
        </w:rPr>
        <w:t>此处“开标一览表”的信息录入须与报价文件中的《开标一览表》内容一致。</w:t>
      </w:r>
    </w:p>
    <w:p w14:paraId="1BAF35A7">
      <w:pPr>
        <w:pStyle w:val="35"/>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5"/>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4"/>
        <w:ind w:firstLine="482"/>
      </w:pPr>
      <w:r>
        <w:rPr>
          <w:rFonts w:hint="eastAsia"/>
        </w:rPr>
        <w:t>标书检查</w:t>
      </w:r>
    </w:p>
    <w:p w14:paraId="0CABFE15">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5"/>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5"/>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4"/>
        <w:ind w:firstLine="482"/>
      </w:pPr>
      <w:r>
        <w:rPr>
          <w:rFonts w:hint="eastAsia"/>
        </w:rPr>
        <w:t>电子签名</w:t>
      </w:r>
    </w:p>
    <w:p w14:paraId="6BD33D11">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5"/>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5"/>
        <w:ind w:firstLine="480"/>
        <w:rPr>
          <w:lang w:eastAsia="zh-CN"/>
        </w:rPr>
      </w:pPr>
      <w:r>
        <w:rPr>
          <w:lang w:eastAsia="zh-CN"/>
        </w:rPr>
        <w:t>招标文件对投标文件签署、盖章的要求适用于电子签名</w:t>
      </w:r>
      <w:r>
        <w:rPr>
          <w:rFonts w:hint="eastAsia"/>
          <w:lang w:eastAsia="zh-CN"/>
        </w:rPr>
        <w:t>。</w:t>
      </w:r>
    </w:p>
    <w:p w14:paraId="294BF22A">
      <w:pPr>
        <w:pStyle w:val="35"/>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4"/>
        <w:ind w:firstLine="482"/>
      </w:pPr>
      <w:r>
        <w:rPr>
          <w:rFonts w:hint="eastAsia"/>
        </w:rPr>
        <w:t>生成电子标书</w:t>
      </w:r>
    </w:p>
    <w:p w14:paraId="7CD7DA80">
      <w:pPr>
        <w:pStyle w:val="35"/>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5"/>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5"/>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5"/>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5"/>
        <w:ind w:firstLine="480"/>
        <w:rPr>
          <w:u w:val="single"/>
        </w:rPr>
      </w:pPr>
    </w:p>
    <w:p w14:paraId="063EDA1A">
      <w:pPr>
        <w:pStyle w:val="37"/>
      </w:pPr>
      <w:bookmarkStart w:id="35" w:name="_Toc464483848"/>
      <w:bookmarkEnd w:id="35"/>
      <w:bookmarkStart w:id="36" w:name="_Toc1271"/>
      <w:r>
        <w:rPr>
          <w:rFonts w:hint="eastAsia"/>
        </w:rPr>
        <w:t>投 标</w:t>
      </w:r>
      <w:bookmarkEnd w:id="36"/>
    </w:p>
    <w:p w14:paraId="3CC967E4">
      <w:pPr>
        <w:pStyle w:val="39"/>
      </w:pPr>
      <w:r>
        <w:rPr>
          <w:rFonts w:hint="eastAsia"/>
          <w:lang w:val="en-US" w:eastAsia="zh-Hans"/>
        </w:rPr>
        <w:t>投标范围</w:t>
      </w:r>
    </w:p>
    <w:p w14:paraId="3837B1E6">
      <w:pPr>
        <w:pStyle w:val="35"/>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3"/>
        <w:numPr>
          <w:ilvl w:val="0"/>
          <w:numId w:val="0"/>
        </w:numPr>
        <w:bidi w:val="0"/>
        <w:ind w:leftChars="200"/>
      </w:pPr>
      <w:r>
        <w:t>投标人对所投标项内的采购内容必须全部进行投标。</w:t>
      </w:r>
    </w:p>
    <w:p w14:paraId="4845B6B3">
      <w:pPr>
        <w:pStyle w:val="39"/>
      </w:pPr>
      <w:r>
        <w:rPr>
          <w:rFonts w:hint="eastAsia"/>
        </w:rPr>
        <w:t>投标文件的上传（递交）</w:t>
      </w:r>
    </w:p>
    <w:p w14:paraId="2738AC60">
      <w:pPr>
        <w:pStyle w:val="35"/>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5"/>
        <w:ind w:firstLine="480"/>
        <w:rPr>
          <w:u w:val="single"/>
        </w:rPr>
      </w:pPr>
      <w:r>
        <w:rPr>
          <w:u w:val="single"/>
        </w:rPr>
        <w:t>菜单路径：我的工作台-项目采购-投标文件上传</w:t>
      </w:r>
    </w:p>
    <w:p w14:paraId="4CE6698F">
      <w:pPr>
        <w:pStyle w:val="35"/>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5"/>
        <w:ind w:firstLine="480"/>
        <w:rPr>
          <w:u w:val="single"/>
        </w:rPr>
      </w:pPr>
      <w:r>
        <w:rPr>
          <w:u w:val="single"/>
        </w:rPr>
        <w:t>投标截止时间后传输递交的投标文件，“政府采购云平台”将予以拒收。</w:t>
      </w:r>
    </w:p>
    <w:p w14:paraId="72B07A65">
      <w:pPr>
        <w:pStyle w:val="39"/>
      </w:pPr>
      <w:r>
        <w:rPr>
          <w:rFonts w:hint="eastAsia"/>
        </w:rPr>
        <w:t>投标文件的补充、修改、撤回</w:t>
      </w:r>
    </w:p>
    <w:p w14:paraId="7144F978">
      <w:pPr>
        <w:pStyle w:val="35"/>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5"/>
        <w:ind w:firstLine="480"/>
      </w:pPr>
      <w:r>
        <w:rPr>
          <w:rFonts w:hint="eastAsia"/>
          <w:lang w:eastAsia="zh-CN"/>
        </w:rPr>
        <w:t>在投标截止时间后，投标人</w:t>
      </w:r>
      <w:r>
        <w:rPr>
          <w:lang w:eastAsia="zh-CN"/>
        </w:rPr>
        <w:t>不得对投标文件进行补充、修改或撤回。</w:t>
      </w:r>
    </w:p>
    <w:p w14:paraId="4CCCF2EA">
      <w:pPr>
        <w:pStyle w:val="39"/>
      </w:pPr>
      <w:r>
        <w:rPr>
          <w:rFonts w:hint="eastAsia"/>
        </w:rPr>
        <w:t>投标文件的备份文件</w:t>
      </w:r>
    </w:p>
    <w:p w14:paraId="0B9025FE">
      <w:pPr>
        <w:pStyle w:val="34"/>
        <w:ind w:firstLine="482"/>
      </w:pPr>
      <w:r>
        <w:rPr>
          <w:rFonts w:hint="eastAsia"/>
        </w:rPr>
        <w:t>备份文件的生成</w:t>
      </w:r>
    </w:p>
    <w:p w14:paraId="2A94D951">
      <w:pPr>
        <w:pStyle w:val="35"/>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5"/>
        <w:ind w:firstLine="480"/>
      </w:pPr>
      <w:r>
        <w:t>以其他方式编制的“备份投标文件”视为无效“备份投标文件”。</w:t>
      </w:r>
    </w:p>
    <w:p w14:paraId="444C47A2">
      <w:pPr>
        <w:pStyle w:val="34"/>
        <w:ind w:firstLine="482"/>
      </w:pPr>
      <w:r>
        <w:t>备份投标文件的递交与接收</w:t>
      </w:r>
    </w:p>
    <w:p w14:paraId="0A4751EE">
      <w:pPr>
        <w:pStyle w:val="35"/>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5"/>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4"/>
        <w:ind w:firstLine="482"/>
      </w:pPr>
      <w:r>
        <w:t>备份投标文件的</w:t>
      </w:r>
      <w:r>
        <w:rPr>
          <w:rFonts w:hint="eastAsia"/>
        </w:rPr>
        <w:t>存储、</w:t>
      </w:r>
      <w:r>
        <w:t>密封包装</w:t>
      </w:r>
      <w:r>
        <w:rPr>
          <w:rFonts w:hint="eastAsia"/>
        </w:rPr>
        <w:t>及</w:t>
      </w:r>
      <w:r>
        <w:t>标识</w:t>
      </w:r>
    </w:p>
    <w:p w14:paraId="04A9991B">
      <w:pPr>
        <w:pStyle w:val="35"/>
        <w:ind w:firstLine="480"/>
      </w:pPr>
      <w:r>
        <w:t>备份投标文件应当密封包装并在外包装上标注投标项目名称、投标单位名称并加盖公章。“备份投标文件”没有密封包装或标识或盖章的视为未递交。</w:t>
      </w:r>
    </w:p>
    <w:p w14:paraId="0558DD68">
      <w:pPr>
        <w:pStyle w:val="34"/>
        <w:ind w:firstLine="482"/>
      </w:pPr>
      <w:r>
        <w:rPr>
          <w:rFonts w:hint="eastAsia"/>
        </w:rPr>
        <w:t>备份投标文件的使用与失效</w:t>
      </w:r>
    </w:p>
    <w:p w14:paraId="661F2423">
      <w:pPr>
        <w:pStyle w:val="35"/>
        <w:ind w:firstLine="480"/>
      </w:pPr>
      <w:r>
        <w:rPr>
          <w:rFonts w:hint="eastAsia"/>
        </w:rPr>
        <w:t>合格的备份投标文件在电子加密“投标文件”解密异常时拆封、使用，电子加密“投标文件”正常解密的备份投标文件自动失效，不再拆封、使用。</w:t>
      </w:r>
    </w:p>
    <w:p w14:paraId="617BA297">
      <w:pPr>
        <w:pStyle w:val="35"/>
        <w:ind w:firstLine="480"/>
        <w:rPr>
          <w:rFonts w:hint="eastAsia"/>
        </w:rPr>
      </w:pPr>
      <w:r>
        <w:rPr>
          <w:rFonts w:hint="eastAsia"/>
        </w:rPr>
        <w:t>“备份投标文件”与电子加密的“投标文件”同时生成，不属于投标备选（替代）方案。</w:t>
      </w:r>
    </w:p>
    <w:p w14:paraId="74C1BA4D">
      <w:pPr>
        <w:pStyle w:val="39"/>
      </w:pPr>
      <w:bookmarkStart w:id="37" w:name="_Toc2026166791"/>
      <w:r>
        <w:rPr>
          <w:rFonts w:hint="eastAsia"/>
        </w:rPr>
        <w:t>投标样品的递交与退还</w:t>
      </w:r>
      <w:bookmarkEnd w:id="37"/>
    </w:p>
    <w:p w14:paraId="2B102D7B">
      <w:pPr>
        <w:pStyle w:val="43"/>
        <w:numPr>
          <w:ilvl w:val="0"/>
          <w:numId w:val="33"/>
        </w:numPr>
        <w:bidi w:val="0"/>
      </w:pPr>
      <w:r>
        <w:t>投标人应按本章“前附表”及“第三章 项目技术及服务要求”的要求提供样品。</w:t>
      </w:r>
    </w:p>
    <w:p w14:paraId="1BB05C7B">
      <w:pPr>
        <w:pStyle w:val="43"/>
        <w:numPr>
          <w:ilvl w:val="0"/>
          <w:numId w:val="33"/>
        </w:numPr>
        <w:bidi w:val="0"/>
      </w:pPr>
      <w:r>
        <w:t>样品为投标文件的补充，仅作辅助评标用，但其应能真实反应投标货物的参数性能指标，所提供样品与投标文件不符以投标文件为准。</w:t>
      </w:r>
    </w:p>
    <w:p w14:paraId="2B3217CE">
      <w:pPr>
        <w:pStyle w:val="43"/>
        <w:numPr>
          <w:ilvl w:val="0"/>
          <w:numId w:val="33"/>
        </w:numPr>
        <w:bidi w:val="0"/>
      </w:pPr>
      <w:r>
        <w:t>本章“前附表”规定样品标识为“明标”的，投标人须在样品本体明显位置标注“项目（标项）；投标人全称；样品总件数-第几件”（例：A项目，标项B，XX公司 16-1）。</w:t>
      </w:r>
    </w:p>
    <w:p w14:paraId="337C87C7">
      <w:pPr>
        <w:pStyle w:val="43"/>
        <w:numPr>
          <w:ilvl w:val="0"/>
          <w:numId w:val="33"/>
        </w:numPr>
        <w:bidi w:val="0"/>
      </w:pPr>
      <w:r>
        <w:t>本章“前附表”规定样品标识为“暗标”的，投标人样品任何地方均不得出现投标人信息，否则视同未提交样品。</w:t>
      </w:r>
    </w:p>
    <w:p w14:paraId="18163467">
      <w:pPr>
        <w:pStyle w:val="43"/>
        <w:numPr>
          <w:ilvl w:val="0"/>
          <w:numId w:val="33"/>
        </w:numPr>
        <w:bidi w:val="0"/>
      </w:pPr>
      <w:r>
        <w:t>投标人样品应于投标截止时间前到达本章“前附表”规定的地点，否则视为未提交样品。</w:t>
      </w:r>
    </w:p>
    <w:p w14:paraId="1AE635B9">
      <w:pPr>
        <w:pStyle w:val="43"/>
        <w:numPr>
          <w:ilvl w:val="0"/>
          <w:numId w:val="33"/>
        </w:numPr>
        <w:bidi w:val="0"/>
      </w:pPr>
      <w:r>
        <w:t>投标人样品应于本章“前附表”规定的时间起5个工作日取回。</w:t>
      </w:r>
    </w:p>
    <w:p w14:paraId="7CC5AFCC">
      <w:pPr>
        <w:pStyle w:val="43"/>
        <w:numPr>
          <w:ilvl w:val="0"/>
          <w:numId w:val="33"/>
        </w:numPr>
        <w:bidi w:val="0"/>
      </w:pPr>
      <w:r>
        <w:t>本章“前附表”规定中标样品“封存至验收”或“抵扣采购数量”的，中标人应将样品运送至招标人指定地点，期间应保证到达目的地的样品与评标样品完全一致。</w:t>
      </w:r>
    </w:p>
    <w:p w14:paraId="41F5B62B">
      <w:pPr>
        <w:pStyle w:val="43"/>
        <w:numPr>
          <w:ilvl w:val="0"/>
          <w:numId w:val="33"/>
        </w:numPr>
        <w:bidi w:val="0"/>
      </w:pPr>
      <w:r>
        <w:t>样品制作、安装、运输、拆除等递交、退还样品所需要费用由投标人自行承担。</w:t>
      </w:r>
    </w:p>
    <w:p w14:paraId="32F6783F">
      <w:pPr>
        <w:pStyle w:val="35"/>
        <w:ind w:firstLine="480"/>
        <w:rPr>
          <w:rFonts w:hint="eastAsia"/>
        </w:rPr>
      </w:pPr>
      <w:r>
        <w:t>样品的包装应方便样品运输、保存并二次包装，否则投标人取回样品时需自行携带包装。</w:t>
      </w:r>
    </w:p>
    <w:p w14:paraId="7711647D">
      <w:pPr>
        <w:pStyle w:val="37"/>
      </w:pPr>
      <w:bookmarkStart w:id="38" w:name="_Toc91899897"/>
      <w:bookmarkEnd w:id="38"/>
      <w:bookmarkStart w:id="39" w:name="_Toc464483849"/>
      <w:bookmarkEnd w:id="39"/>
      <w:bookmarkStart w:id="40" w:name="_Toc20617"/>
      <w:r>
        <w:rPr>
          <w:rFonts w:hint="eastAsia"/>
        </w:rPr>
        <w:t>开 标</w:t>
      </w:r>
      <w:bookmarkEnd w:id="40"/>
    </w:p>
    <w:p w14:paraId="4BFB3F0C">
      <w:pPr>
        <w:pStyle w:val="39"/>
      </w:pPr>
      <w:r>
        <w:t>开标组织</w:t>
      </w:r>
    </w:p>
    <w:p w14:paraId="50A6B04F">
      <w:pPr>
        <w:pStyle w:val="35"/>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5"/>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5"/>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9"/>
      </w:pPr>
      <w:r>
        <w:t>开标流程</w:t>
      </w:r>
    </w:p>
    <w:p w14:paraId="7BB3F8BF">
      <w:pPr>
        <w:pStyle w:val="35"/>
        <w:ind w:firstLine="480"/>
      </w:pPr>
      <w:r>
        <w:t>本项目由采购代理机构通过“政府采购云平台”按以下流程顺序组织实施开标：</w:t>
      </w:r>
    </w:p>
    <w:p w14:paraId="4866AD4B">
      <w:pPr>
        <w:pStyle w:val="43"/>
        <w:numPr>
          <w:ilvl w:val="0"/>
          <w:numId w:val="34"/>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5"/>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5"/>
        <w:ind w:firstLine="480"/>
      </w:pPr>
      <w:r>
        <w:rPr>
          <w:rFonts w:hint="eastAsia"/>
          <w:lang w:eastAsia="zh-CN"/>
        </w:rPr>
        <w:t>如遇投标人上传</w:t>
      </w:r>
      <w:r>
        <w:t>至“政府采购云平台”的电子加密“投标文件”无法按时解密时，按以下规定处理：</w:t>
      </w:r>
    </w:p>
    <w:p w14:paraId="3C1A4330">
      <w:pPr>
        <w:pStyle w:val="44"/>
        <w:numPr>
          <w:ilvl w:val="0"/>
          <w:numId w:val="35"/>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4"/>
        <w:numPr>
          <w:ilvl w:val="0"/>
          <w:numId w:val="35"/>
        </w:numPr>
        <w:bidi w:val="0"/>
      </w:pPr>
      <w:r>
        <w:t>未按规定递交合格的备份投标文件的或递交的备份投标文件无法成功上传的，视为投标文件撤回。</w:t>
      </w:r>
    </w:p>
    <w:p w14:paraId="05F3057F">
      <w:pPr>
        <w:pStyle w:val="44"/>
        <w:numPr>
          <w:ilvl w:val="0"/>
          <w:numId w:val="35"/>
        </w:numPr>
        <w:bidi w:val="0"/>
      </w:pPr>
      <w:r>
        <w:t>备份投标文件上传成功后视为投标文件解密成功，供应商可以继续进入后续评审。</w:t>
      </w:r>
    </w:p>
    <w:p w14:paraId="2C05BEB0">
      <w:pPr>
        <w:pStyle w:val="43"/>
        <w:bidi w:val="0"/>
      </w:pPr>
      <w:r>
        <w:t>公布投标文件解密情况（包括成功解密投标文件的供应商名单等信息）；</w:t>
      </w:r>
    </w:p>
    <w:p w14:paraId="112CBA32">
      <w:pPr>
        <w:pStyle w:val="43"/>
        <w:bidi w:val="0"/>
      </w:pPr>
      <w:r>
        <w:t>开启所有已成功解密投标文件的投标人的资格文件，进行资格审查（包括信用信息查询）。资格审查结束后，公布投标人资格审查结果，告知不合格名称及理由；</w:t>
      </w:r>
    </w:p>
    <w:p w14:paraId="2D823161">
      <w:pPr>
        <w:pStyle w:val="43"/>
        <w:bidi w:val="0"/>
      </w:pPr>
      <w:r>
        <w:t>开启所有资格审查合格的投标人的商务技术文件，进入符合性审查和商务技术部分评审；</w:t>
      </w:r>
    </w:p>
    <w:p w14:paraId="3FCB5149">
      <w:pPr>
        <w:pStyle w:val="43"/>
        <w:bidi w:val="0"/>
      </w:pPr>
      <w:r>
        <w:t>符合性审查和商务技术评审结束后，公布经评审的无效标供应商名称及理由；公布经评审的有效供应商名单，同时公布其商务技术得分情况；</w:t>
      </w:r>
    </w:p>
    <w:p w14:paraId="0CA19B57">
      <w:pPr>
        <w:pStyle w:val="43"/>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3"/>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3"/>
        <w:bidi w:val="0"/>
      </w:pPr>
      <w:r>
        <w:t>公布报价文件无效供应商名称及理由，公布有效投标人的报价得分；</w:t>
      </w:r>
    </w:p>
    <w:p w14:paraId="328600A7">
      <w:pPr>
        <w:pStyle w:val="43"/>
        <w:bidi w:val="0"/>
      </w:pPr>
      <w:r>
        <w:t>公布评审结果、中标候选供应商名单及采购人最终确定中标或成交供应商名单的时间和公告方式等。</w:t>
      </w:r>
    </w:p>
    <w:p w14:paraId="3C5248A3">
      <w:pPr>
        <w:pStyle w:val="39"/>
      </w:pPr>
      <w:r>
        <w:t>开标过程特殊情况说明</w:t>
      </w:r>
    </w:p>
    <w:p w14:paraId="4F3F8D54">
      <w:pPr>
        <w:pStyle w:val="43"/>
        <w:numPr>
          <w:ilvl w:val="0"/>
          <w:numId w:val="36"/>
        </w:numPr>
        <w:bidi w:val="0"/>
      </w:pPr>
      <w:r>
        <w:t>如遇“政府采购云平台”电子化开标或评审程序调整的，按调整后程序执行，不再另行通知。</w:t>
      </w:r>
    </w:p>
    <w:p w14:paraId="1D86BB3A">
      <w:pPr>
        <w:pStyle w:val="43"/>
        <w:numPr>
          <w:ilvl w:val="0"/>
          <w:numId w:val="36"/>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5"/>
        <w:ind w:firstLine="480"/>
      </w:pPr>
      <w:bookmarkStart w:id="41" w:name="_Toc464483850"/>
      <w:bookmarkEnd w:id="41"/>
    </w:p>
    <w:p w14:paraId="7BE3C7A7">
      <w:pPr>
        <w:pStyle w:val="37"/>
      </w:pPr>
      <w:bookmarkStart w:id="42" w:name="_Toc5397"/>
      <w:r>
        <w:t>资格审查</w:t>
      </w:r>
      <w:bookmarkEnd w:id="42"/>
    </w:p>
    <w:p w14:paraId="51497279">
      <w:pPr>
        <w:pStyle w:val="43"/>
        <w:numPr>
          <w:ilvl w:val="0"/>
          <w:numId w:val="37"/>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3"/>
        <w:numPr>
          <w:ilvl w:val="0"/>
          <w:numId w:val="37"/>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3"/>
        <w:numPr>
          <w:ilvl w:val="0"/>
          <w:numId w:val="37"/>
        </w:numPr>
        <w:bidi w:val="0"/>
      </w:pPr>
      <w:r>
        <w:rPr>
          <w:rFonts w:hint="eastAsia"/>
          <w:lang w:eastAsia="zh-CN"/>
        </w:rPr>
        <w:t>投标人</w:t>
      </w:r>
      <w:r>
        <w:t>信用记录查询与使用</w:t>
      </w:r>
    </w:p>
    <w:p w14:paraId="3855916D">
      <w:pPr>
        <w:pStyle w:val="35"/>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5"/>
        <w:ind w:firstLine="480"/>
      </w:pPr>
      <w:r>
        <w:t>查询工作在资格审查时由</w:t>
      </w:r>
      <w:r>
        <w:rPr>
          <w:rFonts w:hint="eastAsia"/>
          <w:lang w:eastAsia="zh-CN"/>
        </w:rPr>
        <w:t>招标</w:t>
      </w:r>
      <w:r>
        <w:t>组织机构统一进行，查询结果打印后留存备案。</w:t>
      </w:r>
    </w:p>
    <w:p w14:paraId="5AB9D78F">
      <w:pPr>
        <w:pStyle w:val="35"/>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3"/>
        <w:bidi w:val="0"/>
      </w:pPr>
      <w:r>
        <w:t>资格审查合格的投标人不足三家的，项目不再进行评审。除采购任务取消情形外，采购人可选择以下方式之一处理：</w:t>
      </w:r>
    </w:p>
    <w:p w14:paraId="5812B522">
      <w:pPr>
        <w:pStyle w:val="44"/>
        <w:numPr>
          <w:ilvl w:val="0"/>
          <w:numId w:val="38"/>
        </w:numPr>
        <w:bidi w:val="0"/>
      </w:pPr>
      <w:r>
        <w:t>将本标项作废标处理，重新组织采购；</w:t>
      </w:r>
    </w:p>
    <w:p w14:paraId="4DF3CA02">
      <w:pPr>
        <w:pStyle w:val="44"/>
        <w:numPr>
          <w:ilvl w:val="0"/>
          <w:numId w:val="38"/>
        </w:numPr>
        <w:bidi w:val="0"/>
      </w:pPr>
      <w:r>
        <w:t>按同级政府采购监督管理部门审批意见采用其他采购方式组织采购。</w:t>
      </w:r>
    </w:p>
    <w:p w14:paraId="71715737">
      <w:pPr>
        <w:pStyle w:val="35"/>
        <w:ind w:firstLine="480"/>
      </w:pPr>
    </w:p>
    <w:p w14:paraId="477349AB">
      <w:pPr>
        <w:pStyle w:val="37"/>
      </w:pPr>
      <w:bookmarkStart w:id="43" w:name="_Toc25626"/>
      <w:r>
        <w:rPr>
          <w:rFonts w:hint="eastAsia"/>
        </w:rPr>
        <w:t>评 审</w:t>
      </w:r>
      <w:bookmarkEnd w:id="43"/>
    </w:p>
    <w:p w14:paraId="27C855C7">
      <w:pPr>
        <w:pStyle w:val="39"/>
      </w:pPr>
      <w:bookmarkStart w:id="44" w:name="_Toc91899903"/>
      <w:bookmarkEnd w:id="44"/>
      <w:r>
        <w:t>评审组织</w:t>
      </w:r>
    </w:p>
    <w:p w14:paraId="3BE6BDF0">
      <w:pPr>
        <w:pStyle w:val="43"/>
        <w:numPr>
          <w:ilvl w:val="0"/>
          <w:numId w:val="39"/>
        </w:numPr>
        <w:bidi w:val="0"/>
      </w:pPr>
      <w:r>
        <w:t>招标人或招标代理机构负责组织本项目的评审工作，并依法履行职责。</w:t>
      </w:r>
    </w:p>
    <w:p w14:paraId="419775B4">
      <w:pPr>
        <w:pStyle w:val="43"/>
        <w:numPr>
          <w:ilvl w:val="0"/>
          <w:numId w:val="39"/>
        </w:numPr>
        <w:bidi w:val="0"/>
      </w:pPr>
      <w:r>
        <w:t>评审委员会由招标人或招标代理机构依法组建，成员由招标人代表和评审专家组成，成员人数为五人或以上单数，其中评审专家不少于成员总数的三分之二。</w:t>
      </w:r>
    </w:p>
    <w:p w14:paraId="5AB8EFE0">
      <w:pPr>
        <w:pStyle w:val="43"/>
        <w:numPr>
          <w:ilvl w:val="0"/>
          <w:numId w:val="39"/>
        </w:numPr>
        <w:bidi w:val="0"/>
      </w:pPr>
      <w:r>
        <w:t>评审专家从省级或以上财政部门设立的政府采购评审专家库中通过随机方式抽取产生。评审委员会成员名单在采购结果公告前保密。</w:t>
      </w:r>
    </w:p>
    <w:p w14:paraId="4548F8A7">
      <w:pPr>
        <w:pStyle w:val="39"/>
      </w:pPr>
      <w:r>
        <w:t>评</w:t>
      </w:r>
      <w:r>
        <w:rPr>
          <w:rFonts w:hint="eastAsia"/>
          <w:lang w:eastAsia="zh-CN"/>
        </w:rPr>
        <w:t>审</w:t>
      </w:r>
      <w:r>
        <w:t>委员会的职责</w:t>
      </w:r>
    </w:p>
    <w:p w14:paraId="3AF4945C">
      <w:pPr>
        <w:pStyle w:val="35"/>
        <w:ind w:firstLine="480"/>
      </w:pPr>
      <w:r>
        <w:t>评</w:t>
      </w:r>
      <w:r>
        <w:rPr>
          <w:rFonts w:hint="eastAsia"/>
          <w:lang w:eastAsia="zh-CN"/>
        </w:rPr>
        <w:t>审</w:t>
      </w:r>
      <w:r>
        <w:t>委员会负责具体评审事务，并独立履行下列职责：</w:t>
      </w:r>
    </w:p>
    <w:p w14:paraId="629C0EA1">
      <w:pPr>
        <w:pStyle w:val="43"/>
        <w:numPr>
          <w:ilvl w:val="0"/>
          <w:numId w:val="40"/>
        </w:numPr>
        <w:ind w:firstLine="480"/>
      </w:pPr>
      <w:r>
        <w:t>审查、评价投标文件是否符合采购文件的商务、技术等实质性要求；</w:t>
      </w:r>
    </w:p>
    <w:p w14:paraId="5F514E78">
      <w:pPr>
        <w:pStyle w:val="43"/>
        <w:numPr>
          <w:ilvl w:val="0"/>
          <w:numId w:val="40"/>
        </w:numPr>
        <w:ind w:firstLine="480"/>
      </w:pPr>
      <w:r>
        <w:t>要求投标</w:t>
      </w:r>
      <w:r>
        <w:rPr>
          <w:rFonts w:hint="eastAsia"/>
        </w:rPr>
        <w:t>人</w:t>
      </w:r>
      <w:r>
        <w:t>对投标文件有关事项作出澄清或者说明；</w:t>
      </w:r>
    </w:p>
    <w:p w14:paraId="12895AAC">
      <w:pPr>
        <w:pStyle w:val="43"/>
        <w:numPr>
          <w:ilvl w:val="0"/>
          <w:numId w:val="40"/>
        </w:numPr>
        <w:ind w:firstLine="480"/>
      </w:pPr>
      <w:r>
        <w:t>对投标文件进行</w:t>
      </w:r>
      <w:r>
        <w:rPr>
          <w:rFonts w:hint="eastAsia"/>
        </w:rPr>
        <w:t>详细</w:t>
      </w:r>
      <w:r>
        <w:t>评价；</w:t>
      </w:r>
    </w:p>
    <w:p w14:paraId="1EE4C2FA">
      <w:pPr>
        <w:pStyle w:val="43"/>
        <w:numPr>
          <w:ilvl w:val="0"/>
          <w:numId w:val="40"/>
        </w:numPr>
        <w:ind w:firstLine="480"/>
      </w:pPr>
      <w:r>
        <w:t>确定中标候选供应商名单</w:t>
      </w:r>
      <w:r>
        <w:rPr>
          <w:rFonts w:hint="eastAsia"/>
        </w:rPr>
        <w:t>或</w:t>
      </w:r>
      <w:r>
        <w:t>根据</w:t>
      </w:r>
      <w:r>
        <w:rPr>
          <w:rFonts w:hint="eastAsia"/>
        </w:rPr>
        <w:t>招标</w:t>
      </w:r>
      <w:r>
        <w:t>人委托直接确定中标供应商；</w:t>
      </w:r>
    </w:p>
    <w:p w14:paraId="729E5DB5">
      <w:pPr>
        <w:pStyle w:val="43"/>
        <w:numPr>
          <w:ilvl w:val="0"/>
          <w:numId w:val="40"/>
        </w:numPr>
        <w:ind w:firstLine="480"/>
      </w:pPr>
      <w:r>
        <w:t>向</w:t>
      </w:r>
      <w:r>
        <w:rPr>
          <w:rFonts w:hint="eastAsia"/>
        </w:rPr>
        <w:t>招标人、招标</w:t>
      </w:r>
      <w:r>
        <w:t>代理机构或者有关部门报告评审中发现的违法行为。</w:t>
      </w:r>
    </w:p>
    <w:p w14:paraId="56105FF6">
      <w:pPr>
        <w:pStyle w:val="39"/>
      </w:pPr>
      <w:r>
        <w:t>评审原则</w:t>
      </w:r>
    </w:p>
    <w:p w14:paraId="0CAFB9E7">
      <w:pPr>
        <w:pStyle w:val="43"/>
        <w:numPr>
          <w:ilvl w:val="0"/>
          <w:numId w:val="41"/>
        </w:numPr>
        <w:bidi w:val="0"/>
      </w:pPr>
      <w:r>
        <w:t>评审原则：评审委员会按照客观、公正、审慎、择优的原则，根据采购文件规定的评审程序、评审方法和评审标准进行独立评审。</w:t>
      </w:r>
    </w:p>
    <w:p w14:paraId="0B09E6C2">
      <w:pPr>
        <w:pStyle w:val="43"/>
        <w:numPr>
          <w:ilvl w:val="0"/>
          <w:numId w:val="41"/>
        </w:numPr>
        <w:bidi w:val="0"/>
      </w:pPr>
      <w:r>
        <w:t>评审工作将依据招标文件、投标文件及采购文件中事先已列明的内容进行（如方案讲解、演示、样品等）。</w:t>
      </w:r>
    </w:p>
    <w:p w14:paraId="43034B59">
      <w:pPr>
        <w:pStyle w:val="39"/>
      </w:pPr>
      <w:r>
        <w:t>评</w:t>
      </w:r>
      <w:r>
        <w:rPr>
          <w:rFonts w:hint="eastAsia"/>
          <w:lang w:eastAsia="zh-CN"/>
        </w:rPr>
        <w:t>审</w:t>
      </w:r>
      <w:r>
        <w:t>意见的争议处理</w:t>
      </w:r>
    </w:p>
    <w:p w14:paraId="428D272C">
      <w:pPr>
        <w:pStyle w:val="35"/>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9"/>
      </w:pPr>
      <w:r>
        <w:t>评</w:t>
      </w:r>
      <w:r>
        <w:rPr>
          <w:rFonts w:hint="eastAsia"/>
          <w:lang w:eastAsia="zh-CN"/>
        </w:rPr>
        <w:t>审</w:t>
      </w:r>
      <w:r>
        <w:t>纪律</w:t>
      </w:r>
    </w:p>
    <w:p w14:paraId="0324A3AD">
      <w:pPr>
        <w:pStyle w:val="35"/>
        <w:ind w:firstLine="480"/>
      </w:pPr>
      <w:r>
        <w:rPr>
          <w:rFonts w:hint="eastAsia"/>
        </w:rPr>
        <w:t>评审委员会成员要严格遵守评标纪律、保密、回避等相关规定，依法独立履行评标职责，客观、公正、审慎参与评标工作：</w:t>
      </w:r>
    </w:p>
    <w:p w14:paraId="6B074138">
      <w:pPr>
        <w:pStyle w:val="43"/>
        <w:numPr>
          <w:ilvl w:val="0"/>
          <w:numId w:val="42"/>
        </w:numPr>
        <w:ind w:firstLine="480"/>
      </w:pPr>
      <w:r>
        <w:rPr>
          <w:rFonts w:hint="eastAsia"/>
        </w:rPr>
        <w:t>严格遵守评标时间，因突发情况确实不能按时参加评标的，应事先告知招标组织机构；</w:t>
      </w:r>
    </w:p>
    <w:p w14:paraId="4A78A6D8">
      <w:pPr>
        <w:pStyle w:val="43"/>
        <w:numPr>
          <w:ilvl w:val="0"/>
          <w:numId w:val="42"/>
        </w:numPr>
        <w:ind w:firstLine="480"/>
      </w:pPr>
      <w:r>
        <w:rPr>
          <w:rFonts w:hint="eastAsia"/>
        </w:rPr>
        <w:t>服从招标组织机构的现场管理，主动出示身份证明，进入评标区域后应主动寄存移动通讯工具，按要求佩戴工作牌；</w:t>
      </w:r>
    </w:p>
    <w:p w14:paraId="27F58867">
      <w:pPr>
        <w:pStyle w:val="43"/>
        <w:numPr>
          <w:ilvl w:val="0"/>
          <w:numId w:val="42"/>
        </w:numPr>
        <w:ind w:firstLine="480"/>
      </w:pPr>
      <w:r>
        <w:rPr>
          <w:rFonts w:hint="eastAsia"/>
        </w:rPr>
        <w:t>与投标人或评审委员会其他成员存在利害关系的，要主动回避，自觉签订《政府采购评审人员廉洁自律承诺书》；</w:t>
      </w:r>
    </w:p>
    <w:p w14:paraId="7EDB63D8">
      <w:pPr>
        <w:pStyle w:val="43"/>
        <w:numPr>
          <w:ilvl w:val="0"/>
          <w:numId w:val="42"/>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3"/>
        <w:numPr>
          <w:ilvl w:val="0"/>
          <w:numId w:val="42"/>
        </w:numPr>
        <w:ind w:firstLine="480"/>
      </w:pPr>
      <w:r>
        <w:rPr>
          <w:rFonts w:hint="eastAsia"/>
        </w:rPr>
        <w:t>自觉遵守职业道德，尊重招标人代表和投标人代表，配合招标组织机构回答投标人代表提出的有关异议；</w:t>
      </w:r>
    </w:p>
    <w:p w14:paraId="7B274D1E">
      <w:pPr>
        <w:pStyle w:val="43"/>
        <w:numPr>
          <w:ilvl w:val="0"/>
          <w:numId w:val="42"/>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3"/>
        <w:numPr>
          <w:ilvl w:val="0"/>
          <w:numId w:val="42"/>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9"/>
      </w:pPr>
      <w:r>
        <w:t>评</w:t>
      </w:r>
      <w:r>
        <w:rPr>
          <w:rFonts w:hint="eastAsia"/>
          <w:lang w:eastAsia="zh-CN"/>
        </w:rPr>
        <w:t>审</w:t>
      </w:r>
      <w:r>
        <w:t>方法和标准</w:t>
      </w:r>
    </w:p>
    <w:p w14:paraId="510CA694">
      <w:pPr>
        <w:pStyle w:val="35"/>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9"/>
      </w:pPr>
      <w:r>
        <w:rPr>
          <w:rFonts w:hint="eastAsia"/>
        </w:rPr>
        <w:t>评</w:t>
      </w:r>
      <w:r>
        <w:rPr>
          <w:rFonts w:hint="eastAsia"/>
          <w:lang w:eastAsia="zh-CN"/>
        </w:rPr>
        <w:t>审</w:t>
      </w:r>
      <w:r>
        <w:rPr>
          <w:rFonts w:hint="eastAsia"/>
        </w:rPr>
        <w:t>内容的保密</w:t>
      </w:r>
    </w:p>
    <w:p w14:paraId="4F2855C1">
      <w:pPr>
        <w:pStyle w:val="43"/>
        <w:numPr>
          <w:ilvl w:val="0"/>
          <w:numId w:val="43"/>
        </w:numPr>
        <w:bidi w:val="0"/>
      </w:pPr>
      <w:r>
        <w:t>公开开标后，直到公告中标单位止，凡属于审查、澄清、评价和比较投标的所有资料，都不向投标人或与评标无关的其他人泄露。</w:t>
      </w:r>
    </w:p>
    <w:p w14:paraId="0E1671BE">
      <w:pPr>
        <w:pStyle w:val="43"/>
        <w:numPr>
          <w:ilvl w:val="0"/>
          <w:numId w:val="43"/>
        </w:numPr>
        <w:bidi w:val="0"/>
      </w:pPr>
      <w:r>
        <w:t>在投标文件的审查、澄清、评价和比较以及确定中标人过程中，投标人对招标人、招标代理机构和评审委员会施加影响的任何行为，都将导致取消资格。</w:t>
      </w:r>
    </w:p>
    <w:p w14:paraId="56E0A4F7">
      <w:pPr>
        <w:pStyle w:val="35"/>
        <w:ind w:firstLine="480"/>
      </w:pPr>
    </w:p>
    <w:p w14:paraId="0CBD5C57">
      <w:pPr>
        <w:pStyle w:val="37"/>
      </w:pPr>
      <w:bookmarkStart w:id="45" w:name="_Toc10684"/>
      <w:r>
        <w:rPr>
          <w:rFonts w:hint="eastAsia"/>
        </w:rPr>
        <w:t>定 标</w:t>
      </w:r>
      <w:bookmarkEnd w:id="45"/>
    </w:p>
    <w:p w14:paraId="4EAF3BA2">
      <w:pPr>
        <w:pStyle w:val="39"/>
      </w:pPr>
      <w:r>
        <w:rPr>
          <w:rFonts w:hint="eastAsia"/>
        </w:rPr>
        <w:t>定标</w:t>
      </w:r>
      <w:r>
        <w:rPr>
          <w:rFonts w:hint="eastAsia"/>
        </w:rPr>
        <w:tab/>
      </w:r>
    </w:p>
    <w:p w14:paraId="03411D34">
      <w:pPr>
        <w:pStyle w:val="35"/>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9"/>
      </w:pPr>
      <w:r>
        <w:rPr>
          <w:rFonts w:hint="eastAsia"/>
        </w:rPr>
        <w:t>招标结果公告</w:t>
      </w:r>
      <w:r>
        <w:rPr>
          <w:rFonts w:hint="eastAsia"/>
        </w:rPr>
        <w:tab/>
      </w:r>
    </w:p>
    <w:p w14:paraId="2B4C55FF">
      <w:pPr>
        <w:pStyle w:val="35"/>
        <w:ind w:firstLine="480"/>
      </w:pPr>
      <w:r>
        <w:rPr>
          <w:rFonts w:hint="eastAsia"/>
        </w:rPr>
        <w:t>在招标人确认招标结果后招标代理机构按相关政府采购规定将招标结果发布在原招标公告发布媒体。</w:t>
      </w:r>
    </w:p>
    <w:p w14:paraId="3A4ED337">
      <w:pPr>
        <w:pStyle w:val="35"/>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5"/>
        <w:ind w:firstLine="480"/>
      </w:pPr>
      <w:r>
        <w:rPr>
          <w:rFonts w:hint="eastAsia"/>
        </w:rPr>
        <w:t>公告有效期为1个工作日。</w:t>
      </w:r>
    </w:p>
    <w:p w14:paraId="2E79148A">
      <w:pPr>
        <w:pStyle w:val="35"/>
        <w:ind w:firstLine="480"/>
      </w:pPr>
      <w:r>
        <w:rPr>
          <w:rFonts w:hint="eastAsia"/>
        </w:rPr>
        <w:t>招标人、招标代理机构及评审委员会对未中标的投标人不作落标原因解释。</w:t>
      </w:r>
    </w:p>
    <w:p w14:paraId="17648807">
      <w:pPr>
        <w:pStyle w:val="39"/>
      </w:pPr>
      <w:bookmarkStart w:id="46" w:name="_Hlt75236103"/>
      <w:bookmarkEnd w:id="46"/>
      <w:bookmarkStart w:id="47" w:name="_Toc86216995"/>
      <w:bookmarkEnd w:id="47"/>
      <w:bookmarkStart w:id="48" w:name="_Toc91899910"/>
      <w:r>
        <w:rPr>
          <w:rFonts w:hint="eastAsia"/>
        </w:rPr>
        <w:t>中标通知书</w:t>
      </w:r>
      <w:bookmarkEnd w:id="48"/>
      <w:r>
        <w:rPr>
          <w:rFonts w:hint="eastAsia"/>
        </w:rPr>
        <w:tab/>
      </w:r>
    </w:p>
    <w:p w14:paraId="17EA7837">
      <w:pPr>
        <w:pStyle w:val="35"/>
        <w:ind w:firstLine="480"/>
      </w:pPr>
      <w:r>
        <w:rPr>
          <w:rFonts w:hint="eastAsia"/>
        </w:rPr>
        <w:t>招标代理机构将以书面形式向中标人发出《中标通知书》。</w:t>
      </w:r>
    </w:p>
    <w:p w14:paraId="6F123777">
      <w:pPr>
        <w:pStyle w:val="35"/>
        <w:ind w:firstLine="480"/>
      </w:pPr>
    </w:p>
    <w:p w14:paraId="1CF25EC7">
      <w:pPr>
        <w:pStyle w:val="37"/>
      </w:pPr>
      <w:bookmarkStart w:id="49" w:name="_Toc26293"/>
      <w:r>
        <w:t>合同签订和履约担保</w:t>
      </w:r>
      <w:bookmarkEnd w:id="49"/>
    </w:p>
    <w:p w14:paraId="2B94B516">
      <w:pPr>
        <w:pStyle w:val="39"/>
      </w:pPr>
      <w:r>
        <w:t>合同</w:t>
      </w:r>
      <w:r>
        <w:rPr>
          <w:rFonts w:hint="eastAsia"/>
          <w:lang w:eastAsia="zh-CN"/>
        </w:rPr>
        <w:t>签订</w:t>
      </w:r>
    </w:p>
    <w:p w14:paraId="4D821171">
      <w:pPr>
        <w:pStyle w:val="43"/>
        <w:numPr>
          <w:ilvl w:val="0"/>
          <w:numId w:val="44"/>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3"/>
        <w:numPr>
          <w:ilvl w:val="0"/>
          <w:numId w:val="44"/>
        </w:numPr>
        <w:bidi w:val="0"/>
      </w:pPr>
      <w:r>
        <w:t>招标文件及补充文件、中标人的投标文件及投标修改文件、评标过程中有关澄清文件和中标通知书均作为合同附件。</w:t>
      </w:r>
    </w:p>
    <w:p w14:paraId="1AC630C0">
      <w:pPr>
        <w:pStyle w:val="43"/>
        <w:numPr>
          <w:ilvl w:val="0"/>
          <w:numId w:val="44"/>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3"/>
        <w:numPr>
          <w:ilvl w:val="0"/>
          <w:numId w:val="44"/>
        </w:numPr>
        <w:bidi w:val="0"/>
      </w:pPr>
      <w:r>
        <w:t>中标人拒绝与招标人签订合同的，招标人可以按照评审报告推荐的中标或者成交候选人名单排序，确定下一候选人为中标供应商，也可以重新开展政府采购活动。</w:t>
      </w:r>
    </w:p>
    <w:p w14:paraId="58EF22F9">
      <w:pPr>
        <w:pStyle w:val="43"/>
        <w:numPr>
          <w:ilvl w:val="0"/>
          <w:numId w:val="44"/>
        </w:numPr>
        <w:bidi w:val="0"/>
      </w:pPr>
      <w:r>
        <w:t>如中标人为联合体的，由联合体成员各方法定代表人或其授权代表与招标人代表签订合同。</w:t>
      </w:r>
    </w:p>
    <w:p w14:paraId="0A19EA4F">
      <w:pPr>
        <w:pStyle w:val="39"/>
      </w:pPr>
      <w:r>
        <w:t>履约担保（履约保证金）</w:t>
      </w:r>
    </w:p>
    <w:p w14:paraId="3EBCC246">
      <w:pPr>
        <w:pStyle w:val="43"/>
        <w:numPr>
          <w:ilvl w:val="0"/>
          <w:numId w:val="45"/>
        </w:numPr>
        <w:bidi w:val="0"/>
      </w:pPr>
      <w:r>
        <w:t>履约担保提交要求：见本章“前附表”，中标人应提交而未提交履约担保的，合同款不予支付、合同验收不予通过。</w:t>
      </w:r>
    </w:p>
    <w:p w14:paraId="5AF53637">
      <w:pPr>
        <w:pStyle w:val="43"/>
        <w:numPr>
          <w:ilvl w:val="0"/>
          <w:numId w:val="45"/>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4"/>
        <w:numPr>
          <w:ilvl w:val="0"/>
          <w:numId w:val="46"/>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4"/>
        <w:numPr>
          <w:ilvl w:val="0"/>
          <w:numId w:val="46"/>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3"/>
        <w:bidi w:val="0"/>
      </w:pPr>
      <w:r>
        <w:t>中标人的违约金用于弥补招标人、招标代理机构的损失，以及支付采购代理服务费、专家评审费等采购组织费用。</w:t>
      </w:r>
    </w:p>
    <w:p w14:paraId="5A9C2206">
      <w:pPr>
        <w:pStyle w:val="43"/>
        <w:bidi w:val="0"/>
      </w:pPr>
      <w:r>
        <w:t>履约保证金在中标人按约定履约完毕后退还（具体退还方式以合同签订时约定为准）。</w:t>
      </w:r>
    </w:p>
    <w:p w14:paraId="53CA1737">
      <w:pPr>
        <w:pStyle w:val="43"/>
        <w:bidi w:val="0"/>
      </w:pPr>
      <w:r>
        <w:t>中标人不按合同履约的，招标人将对其行为上报至同级政府采购监督管理部门对其依法处理。</w:t>
      </w:r>
    </w:p>
    <w:p w14:paraId="0967B8C0">
      <w:pPr>
        <w:rPr>
          <w:rFonts w:ascii="宋体" w:hAnsi="宋体"/>
        </w:rPr>
      </w:pPr>
      <w:bookmarkStart w:id="50" w:name="_Toc464483851"/>
      <w:bookmarkEnd w:id="50"/>
    </w:p>
    <w:p w14:paraId="649518E0">
      <w:pPr>
        <w:pStyle w:val="37"/>
      </w:pPr>
      <w:bookmarkStart w:id="51" w:name="_Toc464483852"/>
      <w:bookmarkEnd w:id="51"/>
      <w:bookmarkStart w:id="52" w:name="_Toc21599"/>
      <w:r>
        <w:rPr>
          <w:rFonts w:hint="eastAsia"/>
          <w:lang w:eastAsia="zh-CN"/>
        </w:rPr>
        <w:t>招标</w:t>
      </w:r>
      <w:r>
        <w:t>代理服务费</w:t>
      </w:r>
      <w:bookmarkEnd w:id="52"/>
    </w:p>
    <w:p w14:paraId="7EACF2B1">
      <w:pPr>
        <w:pStyle w:val="43"/>
        <w:numPr>
          <w:ilvl w:val="0"/>
          <w:numId w:val="47"/>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3"/>
        <w:numPr>
          <w:ilvl w:val="0"/>
          <w:numId w:val="47"/>
        </w:numPr>
        <w:bidi w:val="0"/>
      </w:pPr>
      <w:r>
        <w:t>收取标准或金额：见</w:t>
      </w:r>
      <w:r>
        <w:rPr>
          <w:rFonts w:hint="eastAsia"/>
          <w:lang w:eastAsia="zh-CN"/>
        </w:rPr>
        <w:t>本章“</w:t>
      </w:r>
      <w:r>
        <w:t>前附表</w:t>
      </w:r>
      <w:r>
        <w:rPr>
          <w:rFonts w:hint="eastAsia"/>
          <w:lang w:eastAsia="zh-CN"/>
        </w:rPr>
        <w:t>”</w:t>
      </w:r>
      <w:r>
        <w:t>。</w:t>
      </w:r>
    </w:p>
    <w:p w14:paraId="71B739DA">
      <w:pPr>
        <w:pStyle w:val="43"/>
        <w:numPr>
          <w:ilvl w:val="0"/>
          <w:numId w:val="47"/>
        </w:numPr>
        <w:bidi w:val="0"/>
      </w:pPr>
      <w:r>
        <w:t>缴纳时间：见</w:t>
      </w:r>
      <w:r>
        <w:rPr>
          <w:rFonts w:hint="eastAsia"/>
          <w:lang w:eastAsia="zh-CN"/>
        </w:rPr>
        <w:t>本章“</w:t>
      </w:r>
      <w:r>
        <w:t>前附表</w:t>
      </w:r>
      <w:r>
        <w:rPr>
          <w:rFonts w:hint="eastAsia"/>
          <w:lang w:eastAsia="zh-CN"/>
        </w:rPr>
        <w:t>”</w:t>
      </w:r>
      <w:r>
        <w:t>。</w:t>
      </w:r>
    </w:p>
    <w:p w14:paraId="22C7FB24">
      <w:pPr>
        <w:pStyle w:val="43"/>
        <w:numPr>
          <w:ilvl w:val="0"/>
          <w:numId w:val="47"/>
        </w:numPr>
        <w:bidi w:val="0"/>
      </w:pPr>
      <w:r>
        <w:t>缴纳形式：电汇、转账、支票、汇票</w:t>
      </w:r>
    </w:p>
    <w:p w14:paraId="484F8CE7">
      <w:pPr>
        <w:pStyle w:val="43"/>
        <w:numPr>
          <w:ilvl w:val="0"/>
          <w:numId w:val="47"/>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3"/>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5"/>
        <w:ind w:firstLine="0" w:firstLineChars="0"/>
      </w:pPr>
    </w:p>
    <w:p w14:paraId="2C093A9C">
      <w:pPr>
        <w:pStyle w:val="35"/>
        <w:ind w:firstLine="480"/>
      </w:pPr>
    </w:p>
    <w:p w14:paraId="5E34ABA7">
      <w:pPr>
        <w:widowControl/>
        <w:jc w:val="left"/>
        <w:rPr>
          <w:rFonts w:ascii="黑体" w:hAnsi="黑体" w:eastAsia="黑体" w:cs="黑体"/>
          <w:bCs/>
          <w:sz w:val="36"/>
          <w:szCs w:val="44"/>
          <w:lang w:eastAsia="zh-Hans"/>
        </w:rPr>
      </w:pPr>
      <w:r>
        <w:br w:type="page"/>
      </w:r>
    </w:p>
    <w:p w14:paraId="626FFB7C">
      <w:pPr>
        <w:pStyle w:val="38"/>
      </w:pPr>
      <w:bookmarkStart w:id="53" w:name="_Toc29454"/>
      <w:r>
        <w:rPr>
          <w:rFonts w:hint="eastAsia"/>
          <w:lang w:eastAsia="zh-CN"/>
        </w:rPr>
        <w:t>项目技术及服务要求</w:t>
      </w:r>
      <w:bookmarkEnd w:id="53"/>
    </w:p>
    <w:p w14:paraId="535423F5">
      <w:pPr>
        <w:pStyle w:val="37"/>
        <w:numPr>
          <w:ilvl w:val="1"/>
          <w:numId w:val="48"/>
        </w:numPr>
        <w:bidi w:val="0"/>
      </w:pPr>
      <w:bookmarkStart w:id="54" w:name="_Toc8109"/>
      <w:r>
        <w:rPr>
          <w:rFonts w:hint="eastAsia"/>
          <w:lang w:val="en-US" w:eastAsia="zh-CN"/>
        </w:rPr>
        <w:t>项目背景</w:t>
      </w:r>
      <w:bookmarkEnd w:id="54"/>
    </w:p>
    <w:p w14:paraId="483764BE">
      <w:pPr>
        <w:pStyle w:val="35"/>
        <w:rPr>
          <w:rFonts w:hint="eastAsia"/>
          <w:lang w:val="en-US" w:eastAsia="zh-CN"/>
        </w:rPr>
      </w:pPr>
      <w:r>
        <w:rPr>
          <w:rFonts w:hint="eastAsia"/>
          <w:lang w:val="en-US" w:eastAsia="zh-CN"/>
        </w:rPr>
        <w:t>本项目为浙江省测绘科学技术研究院无人机机身及配套设备一切险与第三者责任保险，无人机航空测绘是浙江省测绘科学技术研究院在快速获取、分析、处理现场影像数据的有效手段，有效覆盖浙江、上海、福建、山东、东海海域等全国范围。测绘无人机将为浙江及周边省、直辖市、海域的灾害发生后快速现场信息支撑、应急救援救灾、自然资源监测、航空摄影测量、实景三维测量等提供保障，为其航空测绘能力进一步提升贡献力量。</w:t>
      </w:r>
    </w:p>
    <w:p w14:paraId="680CFC11">
      <w:pPr>
        <w:pStyle w:val="35"/>
        <w:rPr>
          <w:rFonts w:hint="eastAsia" w:eastAsia="宋体"/>
          <w:lang w:eastAsia="zh-CN"/>
        </w:rPr>
      </w:pPr>
      <w:r>
        <w:rPr>
          <w:rFonts w:hint="eastAsia"/>
          <w:lang w:val="en-US" w:eastAsia="zh-CN"/>
        </w:rPr>
        <w:t>投标人应根据采购文件所提出的采购内容和技术、服务要求，综合考虑，选择具有最佳性价比的服务团队前来投标。希望投标人以优良的服务和优惠的价格，充分显示竞争实力</w:t>
      </w:r>
      <w:r>
        <w:rPr>
          <w:rFonts w:hint="eastAsia"/>
          <w:lang w:eastAsia="zh-CN"/>
        </w:rPr>
        <w:t>。</w:t>
      </w:r>
    </w:p>
    <w:p w14:paraId="7650FF3E">
      <w:pPr>
        <w:pStyle w:val="37"/>
        <w:bidi w:val="0"/>
        <w:rPr>
          <w:rFonts w:hint="default"/>
          <w:lang w:val="en-US" w:eastAsia="zh-CN"/>
        </w:rPr>
      </w:pPr>
      <w:bookmarkStart w:id="55" w:name="_Toc190"/>
      <w:r>
        <w:rPr>
          <w:rFonts w:hint="eastAsia"/>
          <w:lang w:val="en-US" w:eastAsia="zh-CN"/>
        </w:rPr>
        <w:t>项目服务内容技术及商务需求</w:t>
      </w:r>
      <w:bookmarkEnd w:id="55"/>
    </w:p>
    <w:p w14:paraId="5D8BCD62">
      <w:pPr>
        <w:pStyle w:val="35"/>
        <w:rPr>
          <w:rFonts w:hint="default"/>
          <w:lang w:val="en-US" w:eastAsia="zh-CN"/>
        </w:rPr>
      </w:pPr>
      <w:r>
        <w:rPr>
          <w:rFonts w:hint="eastAsia"/>
          <w:lang w:val="en-US" w:eastAsia="zh-CN"/>
        </w:rPr>
        <w:t>投标人应对表内要求逐条响应，并出具相应承诺。</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1212"/>
        <w:gridCol w:w="6488"/>
      </w:tblGrid>
      <w:tr w14:paraId="29C5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80" w:type="pct"/>
            <w:noWrap w:val="0"/>
            <w:tcMar>
              <w:top w:w="15" w:type="dxa"/>
              <w:left w:w="15" w:type="dxa"/>
              <w:right w:w="15" w:type="dxa"/>
            </w:tcMar>
            <w:vAlign w:val="center"/>
          </w:tcPr>
          <w:p w14:paraId="49B8D397">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bookmarkStart w:id="56" w:name="_Hlk43821878"/>
            <w:r>
              <w:rPr>
                <w:rFonts w:hint="eastAsia" w:ascii="宋体" w:hAnsi="宋体" w:eastAsia="宋体" w:cs="宋体"/>
                <w:b/>
                <w:bCs/>
                <w:i w:val="0"/>
                <w:color w:val="000000"/>
                <w:kern w:val="0"/>
                <w:sz w:val="24"/>
                <w:szCs w:val="24"/>
                <w:highlight w:val="none"/>
                <w:u w:val="none"/>
                <w:lang w:val="en-US" w:eastAsia="zh-CN" w:bidi="ar"/>
              </w:rPr>
              <w:t>序号</w:t>
            </w:r>
          </w:p>
        </w:tc>
        <w:tc>
          <w:tcPr>
            <w:tcW w:w="727" w:type="pct"/>
            <w:noWrap w:val="0"/>
            <w:tcMar>
              <w:top w:w="15" w:type="dxa"/>
              <w:left w:w="15" w:type="dxa"/>
              <w:right w:w="15" w:type="dxa"/>
            </w:tcMar>
            <w:vAlign w:val="center"/>
          </w:tcPr>
          <w:p w14:paraId="148F931B">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采购要求名称</w:t>
            </w:r>
          </w:p>
        </w:tc>
        <w:tc>
          <w:tcPr>
            <w:tcW w:w="3892" w:type="pct"/>
            <w:noWrap w:val="0"/>
            <w:tcMar>
              <w:top w:w="15" w:type="dxa"/>
              <w:left w:w="15" w:type="dxa"/>
              <w:right w:w="15" w:type="dxa"/>
            </w:tcMar>
            <w:vAlign w:val="center"/>
          </w:tcPr>
          <w:p w14:paraId="0A6D66C8">
            <w:pPr>
              <w:keepNext w:val="0"/>
              <w:keepLines w:val="0"/>
              <w:widowControl/>
              <w:suppressLineNumbers w:val="0"/>
              <w:shd w:val="clear" w:color="auto" w:fill="auto"/>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采购要求</w:t>
            </w:r>
          </w:p>
        </w:tc>
      </w:tr>
      <w:tr w14:paraId="3EC1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80" w:type="pct"/>
            <w:noWrap w:val="0"/>
            <w:tcMar>
              <w:top w:w="15" w:type="dxa"/>
              <w:left w:w="15" w:type="dxa"/>
              <w:right w:w="15" w:type="dxa"/>
            </w:tcMar>
            <w:vAlign w:val="center"/>
          </w:tcPr>
          <w:p w14:paraId="0A9E4D25">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27" w:type="pct"/>
            <w:vMerge w:val="restart"/>
            <w:noWrap w:val="0"/>
            <w:tcMar>
              <w:top w:w="15" w:type="dxa"/>
              <w:left w:w="15" w:type="dxa"/>
              <w:right w:w="15" w:type="dxa"/>
            </w:tcMar>
            <w:vAlign w:val="center"/>
          </w:tcPr>
          <w:p w14:paraId="6D22A9D3">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机身一切险</w:t>
            </w:r>
          </w:p>
        </w:tc>
        <w:tc>
          <w:tcPr>
            <w:tcW w:w="3892" w:type="pct"/>
            <w:noWrap w:val="0"/>
            <w:tcMar>
              <w:top w:w="15" w:type="dxa"/>
              <w:left w:w="15" w:type="dxa"/>
              <w:right w:w="15" w:type="dxa"/>
            </w:tcMar>
            <w:vAlign w:val="center"/>
          </w:tcPr>
          <w:p w14:paraId="28FE5E89">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在保险期间内，由于保险单明细表所列保险标的发生意外事故造成保险标的的损失，保险人依本保险合同约定负责赔偿。</w:t>
            </w:r>
          </w:p>
        </w:tc>
      </w:tr>
      <w:tr w14:paraId="5990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380" w:type="pct"/>
            <w:noWrap w:val="0"/>
            <w:tcMar>
              <w:top w:w="15" w:type="dxa"/>
              <w:left w:w="15" w:type="dxa"/>
              <w:right w:w="15" w:type="dxa"/>
            </w:tcMar>
            <w:vAlign w:val="center"/>
          </w:tcPr>
          <w:p w14:paraId="798715DC">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2</w:t>
            </w:r>
          </w:p>
        </w:tc>
        <w:tc>
          <w:tcPr>
            <w:tcW w:w="727" w:type="pct"/>
            <w:vMerge w:val="continue"/>
            <w:noWrap w:val="0"/>
            <w:tcMar>
              <w:top w:w="15" w:type="dxa"/>
              <w:left w:w="15" w:type="dxa"/>
              <w:right w:w="15" w:type="dxa"/>
            </w:tcMar>
            <w:vAlign w:val="center"/>
          </w:tcPr>
          <w:p w14:paraId="475A9770">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41655B64">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保险事故发生后，被保险人为防止或减少保险标的的损失所支付的必要的、合理的费用，保险人按照本保险合同的约定也负责赔偿。</w:t>
            </w:r>
          </w:p>
        </w:tc>
      </w:tr>
      <w:tr w14:paraId="36DE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380" w:type="pct"/>
            <w:noWrap w:val="0"/>
            <w:tcMar>
              <w:top w:w="15" w:type="dxa"/>
              <w:left w:w="15" w:type="dxa"/>
              <w:right w:w="15" w:type="dxa"/>
            </w:tcMar>
            <w:vAlign w:val="center"/>
          </w:tcPr>
          <w:p w14:paraId="2CDE6B3D">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27" w:type="pct"/>
            <w:vMerge w:val="restart"/>
            <w:noWrap w:val="0"/>
            <w:tcMar>
              <w:top w:w="15" w:type="dxa"/>
              <w:left w:w="15" w:type="dxa"/>
              <w:right w:w="15" w:type="dxa"/>
            </w:tcMar>
            <w:vAlign w:val="center"/>
          </w:tcPr>
          <w:p w14:paraId="0E25291F">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第三者责任险</w:t>
            </w:r>
          </w:p>
        </w:tc>
        <w:tc>
          <w:tcPr>
            <w:tcW w:w="3892" w:type="pct"/>
            <w:noWrap w:val="0"/>
            <w:tcMar>
              <w:top w:w="15" w:type="dxa"/>
              <w:left w:w="15" w:type="dxa"/>
              <w:right w:w="15" w:type="dxa"/>
            </w:tcMar>
            <w:vAlign w:val="center"/>
          </w:tcPr>
          <w:p w14:paraId="28A48E0F">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在保险期间内，被保险人使用、操控保险单明细表所列航空无人机过程中，无人机发生意外事故，对于由无人机或从无人机上坠落的任何物品</w:t>
            </w:r>
            <w:r>
              <w:rPr>
                <w:rFonts w:hint="eastAsia" w:ascii="宋体" w:hAnsi="宋体" w:eastAsia="宋体" w:cs="宋体"/>
                <w:b w:val="0"/>
                <w:bCs/>
                <w:sz w:val="24"/>
                <w:szCs w:val="24"/>
                <w:highlight w:val="none"/>
                <w:lang w:eastAsia="zh-CN"/>
              </w:rPr>
              <w:t>（含附属设备）</w:t>
            </w:r>
            <w:r>
              <w:rPr>
                <w:rFonts w:hint="eastAsia" w:ascii="宋体" w:hAnsi="宋体" w:eastAsia="宋体" w:cs="宋体"/>
                <w:i w:val="0"/>
                <w:color w:val="000000"/>
                <w:kern w:val="0"/>
                <w:sz w:val="24"/>
                <w:szCs w:val="24"/>
                <w:highlight w:val="none"/>
                <w:u w:val="none"/>
                <w:lang w:val="en-US" w:eastAsia="zh-CN" w:bidi="ar"/>
              </w:rPr>
              <w:t>对第三者（不包括无人机操作人员）造成的人身伤亡或财产损失，而依照中华人民共和国法律（不包括港、澳、台地区法律）应由被保险人承担的经济赔偿责任，保险人依本保险合同约定负责赔偿。</w:t>
            </w:r>
          </w:p>
        </w:tc>
      </w:tr>
      <w:tr w14:paraId="75C2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80" w:type="pct"/>
            <w:noWrap w:val="0"/>
            <w:tcMar>
              <w:top w:w="15" w:type="dxa"/>
              <w:left w:w="15" w:type="dxa"/>
              <w:right w:w="15" w:type="dxa"/>
            </w:tcMar>
            <w:vAlign w:val="center"/>
          </w:tcPr>
          <w:p w14:paraId="2039563E">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27" w:type="pct"/>
            <w:vMerge w:val="continue"/>
            <w:noWrap w:val="0"/>
            <w:tcMar>
              <w:top w:w="15" w:type="dxa"/>
              <w:left w:w="15" w:type="dxa"/>
              <w:right w:w="15" w:type="dxa"/>
            </w:tcMar>
            <w:vAlign w:val="center"/>
          </w:tcPr>
          <w:p w14:paraId="08C7D908">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66D6578E">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保险事故发生后，被保险人因保险事故而被提起仲裁或者诉讼的，对应由被保险人支付的仲裁或诉讼费用以及其它必要的、合理的法律费用（以下简称“法律费用”），由保险人承担。</w:t>
            </w:r>
          </w:p>
        </w:tc>
      </w:tr>
      <w:tr w14:paraId="3E85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380" w:type="pct"/>
            <w:noWrap w:val="0"/>
            <w:tcMar>
              <w:top w:w="15" w:type="dxa"/>
              <w:left w:w="15" w:type="dxa"/>
              <w:right w:w="15" w:type="dxa"/>
            </w:tcMar>
            <w:vAlign w:val="center"/>
          </w:tcPr>
          <w:p w14:paraId="1D476E33">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5</w:t>
            </w:r>
          </w:p>
        </w:tc>
        <w:tc>
          <w:tcPr>
            <w:tcW w:w="727" w:type="pct"/>
            <w:noWrap w:val="0"/>
            <w:tcMar>
              <w:top w:w="15" w:type="dxa"/>
              <w:left w:w="15" w:type="dxa"/>
              <w:right w:w="15" w:type="dxa"/>
            </w:tcMar>
            <w:vAlign w:val="center"/>
          </w:tcPr>
          <w:p w14:paraId="1F66BB73">
            <w:pPr>
              <w:shd w:val="clear" w:color="auto" w:fill="auto"/>
              <w:spacing w:line="360" w:lineRule="auto"/>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免赔条款</w:t>
            </w:r>
          </w:p>
        </w:tc>
        <w:tc>
          <w:tcPr>
            <w:tcW w:w="3892" w:type="pct"/>
            <w:noWrap w:val="0"/>
            <w:tcMar>
              <w:top w:w="15" w:type="dxa"/>
              <w:left w:w="15" w:type="dxa"/>
              <w:right w:w="15" w:type="dxa"/>
            </w:tcMar>
            <w:vAlign w:val="center"/>
          </w:tcPr>
          <w:p w14:paraId="673402B8">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下列原因造成的损失、费用，保险人不负责赔偿：</w:t>
            </w:r>
          </w:p>
          <w:p w14:paraId="42591089">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（一）保险标的任何单元的自然磨损、渐进损坏、机械故障、内在缺陷或失灵；</w:t>
            </w:r>
          </w:p>
          <w:p w14:paraId="19B693AB">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（二）违反无人机的适航要求；</w:t>
            </w:r>
          </w:p>
          <w:p w14:paraId="1293CCC9">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（三）在未达到产品说明书所要求的飞行环境（包括但不限于气象、水文环境）及相关要求下使用、操控保险标的；</w:t>
            </w:r>
          </w:p>
          <w:p w14:paraId="45D8F4D5">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（四）投保人、被保险人及其代表的故意、重大过失或犯罪行为；</w:t>
            </w:r>
          </w:p>
          <w:p w14:paraId="2525420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（五）战争、敌对行动、军事行为、武装冲突、罢工、骚乱、暴动、恐怖活动；</w:t>
            </w:r>
          </w:p>
          <w:p w14:paraId="048B498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（六）核辐射、核爆炸、核污染及其他放射性污染；</w:t>
            </w:r>
          </w:p>
          <w:p w14:paraId="0606EFE2">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（七）噪音（不论人耳是否能听到）、振动、音震及其它相关现象，电子或电磁干扰；</w:t>
            </w:r>
          </w:p>
          <w:p w14:paraId="2E571AA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（八）实际的、宣称的有任何形式的石棉存在，或有任何其它含有或宣称含有石棉的物质或产品存在；</w:t>
            </w:r>
          </w:p>
          <w:p w14:paraId="0389E4A7">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（九）任何计算机硬件、软件、集成电路、芯片或信息技术设备或系统（无论为被保险人还是第三方所有）不能准确或完全处理、交换或传输与任何年份、日期或时间变更有关的数据或信息。</w:t>
            </w:r>
          </w:p>
          <w:p w14:paraId="6BFBCD40">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（十）在进行维修、检查或维护保养保险标的过程中或因任何后期改装保险标的造成保险标的的损失；</w:t>
            </w:r>
          </w:p>
          <w:p w14:paraId="4F083D82">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（十一）对于任何被修复或更换的单元，其大修费用与该单元已使用时间占该单元大修寿命的比例相乘，乘法计算结果所得的部分；</w:t>
            </w:r>
          </w:p>
          <w:p w14:paraId="06676390">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（十二）被保险人的间接损失；</w:t>
            </w:r>
          </w:p>
          <w:p w14:paraId="42916D47">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（十三）被保险人可以在其它保险合同项下获得赔付的索赔；</w:t>
            </w:r>
          </w:p>
          <w:p w14:paraId="6CC40406">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（十四）行政行为或司法行为造成的损失；</w:t>
            </w:r>
          </w:p>
          <w:p w14:paraId="6870446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（十五）本保险单中载明的免赔额，或按本保险单中载明的免赔率计算的免赔额。</w:t>
            </w:r>
          </w:p>
          <w:p w14:paraId="002618FA">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（十六）保险标的由任何运送工具进行运输；</w:t>
            </w:r>
          </w:p>
          <w:p w14:paraId="01D693CE">
            <w:pPr>
              <w:keepNext w:val="0"/>
              <w:keepLines w:val="0"/>
              <w:widowControl/>
              <w:suppressLineNumbers w:val="0"/>
              <w:shd w:val="clear" w:color="auto" w:fill="auto"/>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（十七）保险标的失踪和丢失；</w:t>
            </w:r>
          </w:p>
          <w:p w14:paraId="6AB20356">
            <w:pPr>
              <w:keepNext w:val="0"/>
              <w:keepLines w:val="0"/>
              <w:widowControl/>
              <w:suppressLineNumbers w:val="0"/>
              <w:shd w:val="clear" w:color="auto" w:fill="auto"/>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（十八）利用保险标的从事违法或违规活动，或用于保险单明细表声明用途之外的目的，造成保险标的的损失；</w:t>
            </w:r>
          </w:p>
        </w:tc>
      </w:tr>
      <w:tr w14:paraId="6F6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4" w:hRule="atLeast"/>
        </w:trPr>
        <w:tc>
          <w:tcPr>
            <w:tcW w:w="380" w:type="pct"/>
            <w:noWrap w:val="0"/>
            <w:tcMar>
              <w:top w:w="15" w:type="dxa"/>
              <w:left w:w="15" w:type="dxa"/>
              <w:right w:w="15" w:type="dxa"/>
            </w:tcMar>
            <w:vAlign w:val="center"/>
          </w:tcPr>
          <w:p w14:paraId="532C184E">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727" w:type="pct"/>
            <w:noWrap w:val="0"/>
            <w:tcMar>
              <w:top w:w="15" w:type="dxa"/>
              <w:left w:w="15" w:type="dxa"/>
              <w:right w:w="15" w:type="dxa"/>
            </w:tcMar>
            <w:vAlign w:val="center"/>
          </w:tcPr>
          <w:p w14:paraId="527D4A05">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bCs/>
                <w:sz w:val="24"/>
                <w:szCs w:val="24"/>
                <w:highlight w:val="none"/>
              </w:rPr>
              <w:t>★</w:t>
            </w:r>
            <w:r>
              <w:rPr>
                <w:rFonts w:hint="eastAsia" w:ascii="宋体" w:hAnsi="宋体" w:eastAsia="宋体" w:cs="宋体"/>
                <w:i w:val="0"/>
                <w:color w:val="000000"/>
                <w:kern w:val="0"/>
                <w:sz w:val="24"/>
                <w:szCs w:val="24"/>
                <w:highlight w:val="none"/>
                <w:u w:val="none"/>
                <w:lang w:val="en-US" w:eastAsia="zh-CN" w:bidi="ar"/>
              </w:rPr>
              <w:t>免赔率</w:t>
            </w:r>
          </w:p>
        </w:tc>
        <w:tc>
          <w:tcPr>
            <w:tcW w:w="3892" w:type="pct"/>
            <w:noWrap w:val="0"/>
            <w:tcMar>
              <w:top w:w="15" w:type="dxa"/>
              <w:left w:w="15" w:type="dxa"/>
              <w:right w:w="15" w:type="dxa"/>
            </w:tcMar>
            <w:vAlign w:val="center"/>
          </w:tcPr>
          <w:p w14:paraId="4FCD9A8C">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Dragom50直升机机身一切险为10000元/每架航空器、每次事件，或每次损失的10％，两者以高者为准。第三者责任险为2000元/每架航空器、每次事件，或每次损失的10％，两者以高者为准。</w:t>
            </w:r>
          </w:p>
          <w:p w14:paraId="2A731602">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彩虹4无人机机身一切险为100000元/每架航空器、每次事件，或每次损失的10％，两者以高者为准。第三者责任险为10000元/每架航空器、每次事件，或每次损失的10％，两者以高者为准。</w:t>
            </w:r>
          </w:p>
          <w:p w14:paraId="239C0BDE">
            <w:pPr>
              <w:keepNext w:val="0"/>
              <w:keepLines w:val="0"/>
              <w:widowControl/>
              <w:suppressLineNumbers w:val="0"/>
              <w:shd w:val="clear" w:color="auto" w:fill="auto"/>
              <w:spacing w:line="360" w:lineRule="auto"/>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其余无人机及设备机身一切险与第三者责任险均为1000元/每架航空器、每次事件，或每次损失的10％。</w:t>
            </w:r>
          </w:p>
        </w:tc>
      </w:tr>
      <w:tr w14:paraId="1D52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380" w:type="pct"/>
            <w:noWrap w:val="0"/>
            <w:tcMar>
              <w:top w:w="15" w:type="dxa"/>
              <w:left w:w="15" w:type="dxa"/>
              <w:right w:w="15" w:type="dxa"/>
            </w:tcMar>
            <w:vAlign w:val="center"/>
          </w:tcPr>
          <w:p w14:paraId="725EF4F7">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7</w:t>
            </w:r>
          </w:p>
        </w:tc>
        <w:tc>
          <w:tcPr>
            <w:tcW w:w="727" w:type="pct"/>
            <w:vMerge w:val="restart"/>
            <w:noWrap w:val="0"/>
            <w:tcMar>
              <w:top w:w="15" w:type="dxa"/>
              <w:left w:w="15" w:type="dxa"/>
              <w:right w:w="15" w:type="dxa"/>
            </w:tcMar>
            <w:vAlign w:val="center"/>
          </w:tcPr>
          <w:p w14:paraId="0715B148">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无人机及配套设备</w:t>
            </w:r>
          </w:p>
        </w:tc>
        <w:tc>
          <w:tcPr>
            <w:tcW w:w="3892" w:type="pct"/>
            <w:noWrap w:val="0"/>
            <w:tcMar>
              <w:top w:w="15" w:type="dxa"/>
              <w:left w:w="15" w:type="dxa"/>
              <w:right w:w="15" w:type="dxa"/>
            </w:tcMar>
            <w:vAlign w:val="center"/>
          </w:tcPr>
          <w:p w14:paraId="73F1676A">
            <w:pPr>
              <w:keepNext w:val="0"/>
              <w:keepLines w:val="0"/>
              <w:widowControl/>
              <w:suppressLineNumbers w:val="0"/>
              <w:shd w:val="clear" w:color="auto" w:fill="auto"/>
              <w:spacing w:line="360" w:lineRule="auto"/>
              <w:jc w:val="left"/>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详见《无人机及配套设备保险清单》</w:t>
            </w:r>
            <w:r>
              <w:rPr>
                <w:rFonts w:hint="eastAsia" w:ascii="宋体" w:hAnsi="宋体" w:cs="宋体"/>
                <w:i w:val="0"/>
                <w:color w:val="000000"/>
                <w:kern w:val="0"/>
                <w:sz w:val="24"/>
                <w:szCs w:val="24"/>
                <w:highlight w:val="none"/>
                <w:u w:val="none"/>
                <w:lang w:val="en-US" w:eastAsia="zh-CN" w:bidi="ar"/>
              </w:rPr>
              <w:t>及</w:t>
            </w:r>
            <w:r>
              <w:rPr>
                <w:rFonts w:hint="eastAsia" w:ascii="宋体" w:hAnsi="宋体" w:eastAsia="宋体" w:cs="宋体"/>
                <w:i w:val="0"/>
                <w:color w:val="000000"/>
                <w:kern w:val="0"/>
                <w:sz w:val="24"/>
                <w:szCs w:val="24"/>
                <w:highlight w:val="none"/>
                <w:u w:val="none"/>
                <w:lang w:val="en-US" w:eastAsia="zh-CN" w:bidi="ar"/>
              </w:rPr>
              <w:t>《大型无人机投保零备件的详细情况表》</w:t>
            </w:r>
            <w:r>
              <w:rPr>
                <w:rFonts w:hint="eastAsia" w:ascii="宋体" w:hAnsi="宋体" w:cs="宋体"/>
                <w:i w:val="0"/>
                <w:color w:val="000000"/>
                <w:kern w:val="0"/>
                <w:sz w:val="24"/>
                <w:szCs w:val="24"/>
                <w:highlight w:val="none"/>
                <w:u w:val="none"/>
                <w:lang w:val="en-US" w:eastAsia="zh-CN" w:bidi="ar"/>
              </w:rPr>
              <w:t>，投标人需对清单内全部设备承保。</w:t>
            </w:r>
          </w:p>
        </w:tc>
      </w:tr>
      <w:tr w14:paraId="360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trPr>
        <w:tc>
          <w:tcPr>
            <w:tcW w:w="380" w:type="pct"/>
            <w:noWrap w:val="0"/>
            <w:tcMar>
              <w:top w:w="15" w:type="dxa"/>
              <w:left w:w="15" w:type="dxa"/>
              <w:right w:w="15" w:type="dxa"/>
            </w:tcMar>
            <w:vAlign w:val="center"/>
          </w:tcPr>
          <w:p w14:paraId="6B1F948A">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8</w:t>
            </w:r>
          </w:p>
        </w:tc>
        <w:tc>
          <w:tcPr>
            <w:tcW w:w="727" w:type="pct"/>
            <w:vMerge w:val="restart"/>
            <w:noWrap w:val="0"/>
            <w:tcMar>
              <w:top w:w="15" w:type="dxa"/>
              <w:left w:w="15" w:type="dxa"/>
              <w:right w:w="15" w:type="dxa"/>
            </w:tcMar>
            <w:vAlign w:val="center"/>
          </w:tcPr>
          <w:p w14:paraId="4B2E49CC">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无人机操控人员</w:t>
            </w:r>
          </w:p>
        </w:tc>
        <w:tc>
          <w:tcPr>
            <w:tcW w:w="3892" w:type="pct"/>
            <w:noWrap w:val="0"/>
            <w:tcMar>
              <w:top w:w="15" w:type="dxa"/>
              <w:left w:w="15" w:type="dxa"/>
              <w:right w:w="15" w:type="dxa"/>
            </w:tcMar>
            <w:vAlign w:val="center"/>
          </w:tcPr>
          <w:p w14:paraId="2F92D999">
            <w:pPr>
              <w:pStyle w:val="12"/>
              <w:shd w:val="clear" w:color="auto" w:fill="auto"/>
              <w:spacing w:line="360" w:lineRule="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lang w:val="en-US" w:eastAsia="zh-CN" w:bidi="ar"/>
              </w:rPr>
              <w:t>招标人委托的具有适飞机型飞行执照的</w:t>
            </w:r>
            <w:r>
              <w:rPr>
                <w:rFonts w:hint="eastAsia" w:ascii="宋体" w:hAnsi="宋体" w:eastAsia="宋体" w:cs="宋体"/>
                <w:i w:val="0"/>
                <w:color w:val="auto"/>
                <w:kern w:val="0"/>
                <w:sz w:val="24"/>
                <w:szCs w:val="24"/>
                <w:highlight w:val="none"/>
                <w:u w:val="none"/>
                <w:lang w:val="en-US" w:eastAsia="zh-CN" w:bidi="ar"/>
              </w:rPr>
              <w:t>无人机操控员</w:t>
            </w:r>
            <w:r>
              <w:rPr>
                <w:rFonts w:hint="eastAsia" w:ascii="宋体" w:hAnsi="宋体" w:cs="宋体"/>
                <w:i w:val="0"/>
                <w:color w:val="auto"/>
                <w:kern w:val="0"/>
                <w:sz w:val="24"/>
                <w:szCs w:val="24"/>
                <w:highlight w:val="none"/>
                <w:u w:val="none"/>
                <w:lang w:val="en-US" w:eastAsia="zh-CN" w:bidi="ar"/>
              </w:rPr>
              <w:t>操控</w:t>
            </w:r>
            <w:r>
              <w:rPr>
                <w:rFonts w:hint="eastAsia" w:ascii="宋体" w:hAnsi="宋体" w:eastAsia="宋体" w:cs="宋体"/>
                <w:i w:val="0"/>
                <w:color w:val="auto"/>
                <w:kern w:val="0"/>
                <w:sz w:val="24"/>
                <w:szCs w:val="24"/>
                <w:highlight w:val="none"/>
                <w:u w:val="none"/>
                <w:lang w:val="en-US" w:eastAsia="zh-CN" w:bidi="ar"/>
              </w:rPr>
              <w:t>《无人机及配套设备保险清单》中相应机型无人机的，投标人不得拒保，包括但不限于招标人在职职工以及后续新增人员。</w:t>
            </w:r>
          </w:p>
        </w:tc>
      </w:tr>
      <w:tr w14:paraId="2FEE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380" w:type="pct"/>
            <w:noWrap w:val="0"/>
            <w:tcMar>
              <w:top w:w="15" w:type="dxa"/>
              <w:left w:w="15" w:type="dxa"/>
              <w:right w:w="15" w:type="dxa"/>
            </w:tcMar>
            <w:vAlign w:val="center"/>
          </w:tcPr>
          <w:p w14:paraId="5CBB11F4">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9</w:t>
            </w:r>
          </w:p>
        </w:tc>
        <w:tc>
          <w:tcPr>
            <w:tcW w:w="727" w:type="pct"/>
            <w:vMerge w:val="restart"/>
            <w:noWrap w:val="0"/>
            <w:tcMar>
              <w:top w:w="15" w:type="dxa"/>
              <w:left w:w="15" w:type="dxa"/>
              <w:right w:w="15" w:type="dxa"/>
            </w:tcMar>
            <w:vAlign w:val="center"/>
          </w:tcPr>
          <w:p w14:paraId="38615516">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商务要求</w:t>
            </w:r>
          </w:p>
        </w:tc>
        <w:tc>
          <w:tcPr>
            <w:tcW w:w="3892" w:type="pct"/>
            <w:noWrap w:val="0"/>
            <w:tcMar>
              <w:top w:w="15" w:type="dxa"/>
              <w:left w:w="15" w:type="dxa"/>
              <w:right w:w="15" w:type="dxa"/>
            </w:tcMar>
            <w:vAlign w:val="center"/>
          </w:tcPr>
          <w:p w14:paraId="16AF73AF">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shd w:val="clear" w:color="auto" w:fill="auto"/>
                <w:lang w:val="en-US" w:eastAsia="zh-CN" w:bidi="ar"/>
              </w:rPr>
            </w:pPr>
            <w:r>
              <w:rPr>
                <w:rFonts w:hint="eastAsia" w:ascii="宋体" w:hAnsi="宋体" w:eastAsia="宋体" w:cs="宋体"/>
                <w:i w:val="0"/>
                <w:color w:val="000000"/>
                <w:kern w:val="0"/>
                <w:sz w:val="24"/>
                <w:szCs w:val="24"/>
                <w:highlight w:val="none"/>
                <w:u w:val="none"/>
                <w:lang w:val="en-US" w:eastAsia="zh-CN" w:bidi="ar"/>
              </w:rPr>
              <w:t>1、▲</w:t>
            </w:r>
            <w:r>
              <w:rPr>
                <w:rFonts w:hint="eastAsia" w:ascii="宋体" w:hAnsi="宋体" w:cs="宋体"/>
                <w:i w:val="0"/>
                <w:color w:val="000000"/>
                <w:kern w:val="0"/>
                <w:sz w:val="24"/>
                <w:szCs w:val="24"/>
                <w:highlight w:val="none"/>
                <w:u w:val="none"/>
                <w:lang w:val="en-US" w:eastAsia="zh-CN" w:bidi="ar"/>
              </w:rPr>
              <w:t>保险期限</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cs="宋体"/>
                <w:i w:val="0"/>
                <w:color w:val="auto"/>
                <w:kern w:val="0"/>
                <w:sz w:val="24"/>
                <w:szCs w:val="24"/>
                <w:highlight w:val="none"/>
                <w:u w:val="none"/>
                <w:shd w:val="clear" w:color="auto" w:fill="auto"/>
                <w:lang w:val="en-US" w:eastAsia="zh-CN" w:bidi="ar"/>
              </w:rPr>
              <w:t>自合同签订生效之日起一年</w:t>
            </w:r>
            <w:r>
              <w:rPr>
                <w:rFonts w:hint="eastAsia" w:ascii="宋体" w:hAnsi="宋体" w:eastAsia="宋体" w:cs="宋体"/>
                <w:i w:val="0"/>
                <w:color w:val="auto"/>
                <w:kern w:val="0"/>
                <w:sz w:val="24"/>
                <w:szCs w:val="24"/>
                <w:highlight w:val="none"/>
                <w:u w:val="none"/>
                <w:shd w:val="clear" w:color="auto" w:fill="auto"/>
                <w:lang w:val="en-US" w:eastAsia="zh-CN" w:bidi="ar"/>
              </w:rPr>
              <w:t>，具体时间按无人机及配套设备保险清单；清单里无保险到期日的以一年计。</w:t>
            </w:r>
          </w:p>
          <w:p w14:paraId="397A7F48">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地点：甲方指定地点。</w:t>
            </w:r>
          </w:p>
        </w:tc>
      </w:tr>
      <w:tr w14:paraId="19EF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80" w:type="pct"/>
            <w:noWrap w:val="0"/>
            <w:tcMar>
              <w:top w:w="15" w:type="dxa"/>
              <w:left w:w="15" w:type="dxa"/>
              <w:right w:w="15" w:type="dxa"/>
            </w:tcMar>
            <w:vAlign w:val="center"/>
          </w:tcPr>
          <w:p w14:paraId="11BCFDBE">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w:t>
            </w:r>
          </w:p>
        </w:tc>
        <w:tc>
          <w:tcPr>
            <w:tcW w:w="727" w:type="pct"/>
            <w:vMerge w:val="continue"/>
            <w:noWrap w:val="0"/>
            <w:tcMar>
              <w:top w:w="15" w:type="dxa"/>
              <w:left w:w="15" w:type="dxa"/>
              <w:right w:w="15" w:type="dxa"/>
            </w:tcMar>
            <w:vAlign w:val="center"/>
          </w:tcPr>
          <w:p w14:paraId="42EA8F03">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229AAB04">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4"/>
                <w:szCs w:val="24"/>
                <w:highlight w:val="none"/>
                <w:u w:val="none"/>
                <w:lang w:val="en-US" w:eastAsia="zh-CN" w:bidi="ar"/>
              </w:rPr>
              <w:t>付款条件：</w:t>
            </w:r>
          </w:p>
          <w:p w14:paraId="29B1170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A.合同签订并且保单提供后</w:t>
            </w:r>
            <w:r>
              <w:rPr>
                <w:rFonts w:hint="eastAsia" w:ascii="宋体" w:hAnsi="宋体" w:cs="宋体"/>
                <w:i w:val="0"/>
                <w:color w:val="auto"/>
                <w:kern w:val="0"/>
                <w:sz w:val="24"/>
                <w:szCs w:val="24"/>
                <w:highlight w:val="none"/>
                <w:u w:val="none"/>
                <w:lang w:val="en-US" w:eastAsia="zh-CN" w:bidi="ar"/>
              </w:rPr>
              <w:t>7个工作日</w:t>
            </w:r>
            <w:r>
              <w:rPr>
                <w:rFonts w:hint="eastAsia" w:ascii="宋体" w:hAnsi="宋体" w:eastAsia="宋体" w:cs="宋体"/>
                <w:i w:val="0"/>
                <w:color w:val="auto"/>
                <w:kern w:val="0"/>
                <w:sz w:val="24"/>
                <w:szCs w:val="24"/>
                <w:highlight w:val="none"/>
                <w:u w:val="none"/>
                <w:lang w:val="en-US" w:eastAsia="zh-CN" w:bidi="ar"/>
              </w:rPr>
              <w:t>内，采购人向中标人支付不低于总合同金额的60%作为预付款。</w:t>
            </w:r>
          </w:p>
          <w:p w14:paraId="2246A96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B.202</w:t>
            </w:r>
            <w:r>
              <w:rPr>
                <w:rFonts w:hint="eastAsia" w:ascii="宋体" w:hAnsi="宋体" w:cs="宋体"/>
                <w:i w:val="0"/>
                <w:color w:val="auto"/>
                <w:kern w:val="0"/>
                <w:sz w:val="24"/>
                <w:szCs w:val="24"/>
                <w:highlight w:val="none"/>
                <w:u w:val="none"/>
                <w:lang w:val="en-US" w:eastAsia="zh-CN" w:bidi="ar"/>
              </w:rPr>
              <w:t>5</w:t>
            </w:r>
            <w:r>
              <w:rPr>
                <w:rFonts w:hint="eastAsia" w:ascii="宋体" w:hAnsi="宋体" w:eastAsia="宋体" w:cs="宋体"/>
                <w:i w:val="0"/>
                <w:color w:val="auto"/>
                <w:kern w:val="0"/>
                <w:sz w:val="24"/>
                <w:szCs w:val="24"/>
                <w:highlight w:val="none"/>
                <w:u w:val="none"/>
                <w:lang w:val="en-US" w:eastAsia="zh-CN" w:bidi="ar"/>
              </w:rPr>
              <w:t>年12月，</w:t>
            </w:r>
            <w:r>
              <w:rPr>
                <w:rFonts w:hint="eastAsia" w:ascii="宋体" w:hAnsi="宋体" w:cs="宋体"/>
                <w:i w:val="0"/>
                <w:color w:val="auto"/>
                <w:kern w:val="0"/>
                <w:sz w:val="24"/>
                <w:szCs w:val="24"/>
                <w:highlight w:val="none"/>
                <w:u w:val="none"/>
                <w:lang w:val="en-US" w:eastAsia="zh-CN" w:bidi="ar"/>
              </w:rPr>
              <w:t>在满足支付条件情况下</w:t>
            </w:r>
            <w:r>
              <w:rPr>
                <w:rFonts w:hint="eastAsia" w:ascii="宋体" w:hAnsi="宋体" w:eastAsia="宋体" w:cs="宋体"/>
                <w:i w:val="0"/>
                <w:color w:val="auto"/>
                <w:kern w:val="0"/>
                <w:sz w:val="24"/>
                <w:szCs w:val="24"/>
                <w:highlight w:val="none"/>
                <w:u w:val="none"/>
                <w:lang w:val="en-US" w:eastAsia="zh-CN" w:bidi="ar"/>
              </w:rPr>
              <w:t>支付合同余额。</w:t>
            </w:r>
          </w:p>
          <w:p w14:paraId="37B907E5">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履约保证金：本项目不交纳履约保证金。</w:t>
            </w:r>
          </w:p>
        </w:tc>
      </w:tr>
      <w:tr w14:paraId="649D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28132797">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11</w:t>
            </w:r>
          </w:p>
        </w:tc>
        <w:tc>
          <w:tcPr>
            <w:tcW w:w="727" w:type="pct"/>
            <w:vMerge w:val="continue"/>
            <w:noWrap w:val="0"/>
            <w:tcMar>
              <w:top w:w="15" w:type="dxa"/>
              <w:left w:w="15" w:type="dxa"/>
              <w:right w:w="15" w:type="dxa"/>
            </w:tcMar>
            <w:vAlign w:val="center"/>
          </w:tcPr>
          <w:p w14:paraId="3DE28E92">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09B0BBBD">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3、服务团队要求：投标人须根据项目实际需求配备一定数量及专业的服务团队咨询人员</w:t>
            </w:r>
          </w:p>
        </w:tc>
      </w:tr>
      <w:tr w14:paraId="5EA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16313484">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12</w:t>
            </w:r>
          </w:p>
        </w:tc>
        <w:tc>
          <w:tcPr>
            <w:tcW w:w="727" w:type="pct"/>
            <w:vMerge w:val="continue"/>
            <w:noWrap w:val="0"/>
            <w:tcMar>
              <w:top w:w="15" w:type="dxa"/>
              <w:left w:w="15" w:type="dxa"/>
              <w:right w:w="15" w:type="dxa"/>
            </w:tcMar>
            <w:vAlign w:val="center"/>
          </w:tcPr>
          <w:p w14:paraId="59702CB9">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F23D85A">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r>
              <w:rPr>
                <w:rFonts w:hint="eastAsia" w:ascii="宋体" w:hAnsi="宋体" w:eastAsia="宋体" w:cs="宋体"/>
                <w:bCs/>
                <w:color w:val="auto"/>
                <w:sz w:val="24"/>
                <w:szCs w:val="24"/>
                <w:highlight w:val="none"/>
              </w:rPr>
              <w:t>★</w:t>
            </w:r>
            <w:r>
              <w:rPr>
                <w:rFonts w:hint="eastAsia" w:ascii="宋体" w:hAnsi="宋体" w:eastAsia="宋体" w:cs="宋体"/>
                <w:i w:val="0"/>
                <w:color w:val="auto"/>
                <w:kern w:val="0"/>
                <w:sz w:val="24"/>
                <w:szCs w:val="24"/>
                <w:highlight w:val="none"/>
                <w:u w:val="none"/>
                <w:lang w:val="en-US" w:eastAsia="zh-CN" w:bidi="ar"/>
              </w:rPr>
              <w:t>服务方案：投标人须根据本项目保险内容进行风险认知分析、提供防灾防损建议计划、承保服务计划、理赔服务计划等服务方案</w:t>
            </w:r>
          </w:p>
        </w:tc>
      </w:tr>
      <w:tr w14:paraId="38AD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380" w:type="pct"/>
            <w:noWrap w:val="0"/>
            <w:tcMar>
              <w:top w:w="15" w:type="dxa"/>
              <w:left w:w="15" w:type="dxa"/>
              <w:right w:w="15" w:type="dxa"/>
            </w:tcMar>
            <w:vAlign w:val="center"/>
          </w:tcPr>
          <w:p w14:paraId="2C688C1E">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13</w:t>
            </w:r>
          </w:p>
        </w:tc>
        <w:tc>
          <w:tcPr>
            <w:tcW w:w="727" w:type="pct"/>
            <w:vMerge w:val="restart"/>
            <w:noWrap w:val="0"/>
            <w:tcMar>
              <w:top w:w="15" w:type="dxa"/>
              <w:left w:w="15" w:type="dxa"/>
              <w:right w:w="15" w:type="dxa"/>
            </w:tcMar>
            <w:vAlign w:val="center"/>
          </w:tcPr>
          <w:p w14:paraId="41FB384D">
            <w:pPr>
              <w:keepNext w:val="0"/>
              <w:keepLines w:val="0"/>
              <w:widowControl/>
              <w:suppressLineNumbers w:val="0"/>
              <w:shd w:val="clear" w:color="auto" w:fill="auto"/>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技术要求</w:t>
            </w:r>
          </w:p>
        </w:tc>
        <w:tc>
          <w:tcPr>
            <w:tcW w:w="3892" w:type="pct"/>
            <w:noWrap w:val="0"/>
            <w:tcMar>
              <w:top w:w="15" w:type="dxa"/>
              <w:left w:w="15" w:type="dxa"/>
              <w:right w:w="15" w:type="dxa"/>
            </w:tcMar>
            <w:vAlign w:val="center"/>
          </w:tcPr>
          <w:p w14:paraId="6B2D8587">
            <w:pPr>
              <w:keepNext w:val="0"/>
              <w:keepLines w:val="0"/>
              <w:widowControl/>
              <w:suppressLineNumbers w:val="0"/>
              <w:shd w:val="clear" w:color="auto" w:fill="auto"/>
              <w:spacing w:line="360" w:lineRule="auto"/>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事故设备出险</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除第5项免赔条款规定的情形外</w:t>
            </w:r>
            <w:r>
              <w:rPr>
                <w:rFonts w:hint="eastAsia" w:ascii="宋体" w:hAnsi="宋体" w:cs="宋体"/>
                <w:b/>
                <w:i w:val="0"/>
                <w:color w:val="auto"/>
                <w:kern w:val="0"/>
                <w:sz w:val="24"/>
                <w:szCs w:val="24"/>
                <w:highlight w:val="none"/>
                <w:u w:val="none"/>
                <w:lang w:val="en-US" w:eastAsia="zh-CN" w:bidi="ar"/>
              </w:rPr>
              <w:t>）</w:t>
            </w:r>
            <w:r>
              <w:rPr>
                <w:rFonts w:hint="eastAsia" w:ascii="宋体" w:hAnsi="宋体" w:eastAsia="宋体" w:cs="宋体"/>
                <w:b/>
                <w:i w:val="0"/>
                <w:color w:val="auto"/>
                <w:kern w:val="0"/>
                <w:sz w:val="24"/>
                <w:szCs w:val="24"/>
                <w:highlight w:val="none"/>
                <w:u w:val="none"/>
                <w:lang w:val="en-US" w:eastAsia="zh-CN" w:bidi="ar"/>
              </w:rPr>
              <w:t>，保险人</w:t>
            </w:r>
            <w:r>
              <w:rPr>
                <w:rFonts w:hint="eastAsia" w:ascii="宋体" w:hAnsi="宋体" w:cs="宋体"/>
                <w:b/>
                <w:i w:val="0"/>
                <w:color w:val="auto"/>
                <w:kern w:val="0"/>
                <w:sz w:val="24"/>
                <w:szCs w:val="24"/>
                <w:highlight w:val="none"/>
                <w:u w:val="none"/>
                <w:lang w:val="en-US" w:eastAsia="zh-CN" w:bidi="ar"/>
              </w:rPr>
              <w:t>应</w:t>
            </w:r>
            <w:r>
              <w:rPr>
                <w:rFonts w:hint="eastAsia" w:ascii="宋体" w:hAnsi="宋体" w:eastAsia="宋体" w:cs="宋体"/>
                <w:b/>
                <w:i w:val="0"/>
                <w:color w:val="auto"/>
                <w:kern w:val="0"/>
                <w:sz w:val="24"/>
                <w:szCs w:val="24"/>
                <w:highlight w:val="none"/>
                <w:u w:val="none"/>
                <w:lang w:val="en-US" w:eastAsia="zh-CN" w:bidi="ar"/>
              </w:rPr>
              <w:t>按保险合同的约定负责赔偿。</w:t>
            </w:r>
          </w:p>
        </w:tc>
      </w:tr>
      <w:tr w14:paraId="27FA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380" w:type="pct"/>
            <w:noWrap w:val="0"/>
            <w:tcMar>
              <w:top w:w="15" w:type="dxa"/>
              <w:left w:w="15" w:type="dxa"/>
              <w:right w:w="15" w:type="dxa"/>
            </w:tcMar>
            <w:vAlign w:val="center"/>
          </w:tcPr>
          <w:p w14:paraId="103A1906">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14</w:t>
            </w:r>
          </w:p>
        </w:tc>
        <w:tc>
          <w:tcPr>
            <w:tcW w:w="727" w:type="pct"/>
            <w:vMerge w:val="continue"/>
            <w:noWrap w:val="0"/>
            <w:tcMar>
              <w:top w:w="15" w:type="dxa"/>
              <w:left w:w="15" w:type="dxa"/>
              <w:right w:w="15" w:type="dxa"/>
            </w:tcMar>
            <w:vAlign w:val="center"/>
          </w:tcPr>
          <w:p w14:paraId="488CEF39">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bottom"/>
          </w:tcPr>
          <w:p w14:paraId="365B5C6A">
            <w:pPr>
              <w:keepNext w:val="0"/>
              <w:keepLines w:val="0"/>
              <w:widowControl/>
              <w:suppressLineNumbers w:val="0"/>
              <w:shd w:val="clear" w:color="auto" w:fill="auto"/>
              <w:spacing w:line="360" w:lineRule="auto"/>
              <w:jc w:val="both"/>
              <w:textAlignment w:val="bottom"/>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eastAsia="宋体" w:cs="宋体"/>
                <w:b/>
                <w:i w:val="0"/>
                <w:color w:val="000000"/>
                <w:kern w:val="0"/>
                <w:sz w:val="24"/>
                <w:szCs w:val="24"/>
                <w:highlight w:val="none"/>
                <w:u w:val="none"/>
                <w:lang w:val="en-US" w:eastAsia="zh-CN" w:bidi="ar"/>
              </w:rPr>
              <w:t>无人机起飞后10天内没有任何消息，在有飞行数据前提下，如符合保单责任，保险人</w:t>
            </w:r>
            <w:r>
              <w:rPr>
                <w:rFonts w:hint="eastAsia" w:ascii="宋体" w:hAnsi="宋体" w:cs="宋体"/>
                <w:b/>
                <w:i w:val="0"/>
                <w:color w:val="000000"/>
                <w:kern w:val="0"/>
                <w:sz w:val="24"/>
                <w:szCs w:val="24"/>
                <w:highlight w:val="none"/>
                <w:u w:val="none"/>
                <w:lang w:val="en-US" w:eastAsia="zh-CN" w:bidi="ar"/>
              </w:rPr>
              <w:t>可</w:t>
            </w:r>
            <w:r>
              <w:rPr>
                <w:rFonts w:hint="eastAsia" w:ascii="宋体" w:hAnsi="宋体" w:eastAsia="宋体" w:cs="宋体"/>
                <w:b/>
                <w:i w:val="0"/>
                <w:color w:val="000000"/>
                <w:kern w:val="0"/>
                <w:sz w:val="24"/>
                <w:szCs w:val="24"/>
                <w:highlight w:val="none"/>
                <w:u w:val="none"/>
                <w:lang w:val="en-US" w:eastAsia="zh-CN" w:bidi="ar"/>
              </w:rPr>
              <w:t>选择货币赔付、重置或修理等任何一种方式进行赔偿。</w:t>
            </w:r>
          </w:p>
        </w:tc>
      </w:tr>
      <w:tr w14:paraId="411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710610A9">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15</w:t>
            </w:r>
          </w:p>
        </w:tc>
        <w:tc>
          <w:tcPr>
            <w:tcW w:w="727" w:type="pct"/>
            <w:vMerge w:val="continue"/>
            <w:noWrap w:val="0"/>
            <w:tcMar>
              <w:top w:w="15" w:type="dxa"/>
              <w:left w:w="15" w:type="dxa"/>
              <w:right w:w="15" w:type="dxa"/>
            </w:tcMar>
            <w:vAlign w:val="center"/>
          </w:tcPr>
          <w:p w14:paraId="7F69DEF1">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65FCB8EF">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▲《无人机及配套设备保险清单》中部分设备根据实际使用情况存在挂载在招标人或招标人合作单位“有人机</w:t>
            </w:r>
            <w:r>
              <w:rPr>
                <w:rFonts w:hint="eastAsia" w:ascii="宋体" w:hAnsi="宋体" w:cs="宋体"/>
                <w:i w:val="0"/>
                <w:color w:val="000000"/>
                <w:kern w:val="0"/>
                <w:sz w:val="24"/>
                <w:szCs w:val="24"/>
                <w:highlight w:val="none"/>
                <w:u w:val="none"/>
                <w:lang w:val="en-US" w:eastAsia="zh-CN" w:bidi="ar"/>
              </w:rPr>
              <w:t>”上使用的情形。只要“有人机”为合法飞行，承保人对这些设备应当全部无差别足额承保。</w:t>
            </w:r>
          </w:p>
        </w:tc>
      </w:tr>
      <w:tr w14:paraId="5E07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38997728">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16</w:t>
            </w:r>
          </w:p>
        </w:tc>
        <w:tc>
          <w:tcPr>
            <w:tcW w:w="727" w:type="pct"/>
            <w:vMerge w:val="continue"/>
            <w:noWrap w:val="0"/>
            <w:tcMar>
              <w:top w:w="15" w:type="dxa"/>
              <w:left w:w="15" w:type="dxa"/>
              <w:right w:w="15" w:type="dxa"/>
            </w:tcMar>
            <w:vAlign w:val="center"/>
          </w:tcPr>
          <w:p w14:paraId="2BB36223">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9FACA29">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★出于安全考虑的需要或是为了防止被保险无人机进一步的损失或是为了遵守有关当局的指令而采取的维护行为进而对投保标的产生的影响不应包含在被保险人免赔条款中，投标人应对此做出明确的响应。</w:t>
            </w:r>
          </w:p>
        </w:tc>
      </w:tr>
      <w:tr w14:paraId="5308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380" w:type="pct"/>
            <w:noWrap w:val="0"/>
            <w:tcMar>
              <w:top w:w="15" w:type="dxa"/>
              <w:left w:w="15" w:type="dxa"/>
              <w:right w:w="15" w:type="dxa"/>
            </w:tcMar>
            <w:vAlign w:val="center"/>
          </w:tcPr>
          <w:p w14:paraId="19144999">
            <w:pPr>
              <w:keepNext w:val="0"/>
              <w:keepLines w:val="0"/>
              <w:widowControl/>
              <w:suppressLineNumbers w:val="0"/>
              <w:shd w:val="clear" w:color="auto" w:fill="auto"/>
              <w:spacing w:line="360" w:lineRule="auto"/>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17</w:t>
            </w:r>
          </w:p>
        </w:tc>
        <w:tc>
          <w:tcPr>
            <w:tcW w:w="727" w:type="pct"/>
            <w:vMerge w:val="continue"/>
            <w:noWrap w:val="0"/>
            <w:tcMar>
              <w:top w:w="15" w:type="dxa"/>
              <w:left w:w="15" w:type="dxa"/>
              <w:right w:w="15" w:type="dxa"/>
            </w:tcMar>
            <w:vAlign w:val="center"/>
          </w:tcPr>
          <w:p w14:paraId="56BE040F">
            <w:pPr>
              <w:shd w:val="clear" w:color="auto" w:fill="auto"/>
              <w:spacing w:line="360" w:lineRule="auto"/>
              <w:jc w:val="center"/>
              <w:rPr>
                <w:rFonts w:hint="eastAsia" w:ascii="宋体" w:hAnsi="宋体" w:eastAsia="宋体" w:cs="宋体"/>
                <w:i w:val="0"/>
                <w:color w:val="000000"/>
                <w:sz w:val="24"/>
                <w:szCs w:val="24"/>
                <w:highlight w:val="none"/>
                <w:u w:val="none"/>
              </w:rPr>
            </w:pPr>
          </w:p>
        </w:tc>
        <w:tc>
          <w:tcPr>
            <w:tcW w:w="3892" w:type="pct"/>
            <w:noWrap w:val="0"/>
            <w:tcMar>
              <w:top w:w="15" w:type="dxa"/>
              <w:left w:w="15" w:type="dxa"/>
              <w:right w:w="15" w:type="dxa"/>
            </w:tcMar>
            <w:vAlign w:val="center"/>
          </w:tcPr>
          <w:p w14:paraId="128130DC">
            <w:pPr>
              <w:keepNext w:val="0"/>
              <w:keepLines w:val="0"/>
              <w:widowControl/>
              <w:suppressLineNumbers w:val="0"/>
              <w:shd w:val="clear" w:color="auto" w:fill="auto"/>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bCs/>
                <w:sz w:val="24"/>
                <w:szCs w:val="24"/>
                <w:highlight w:val="none"/>
              </w:rPr>
              <w:t>★</w:t>
            </w:r>
            <w:r>
              <w:rPr>
                <w:rFonts w:hint="eastAsia" w:ascii="宋体" w:hAnsi="宋体" w:eastAsia="宋体" w:cs="宋体"/>
                <w:sz w:val="24"/>
                <w:szCs w:val="24"/>
                <w:highlight w:val="none"/>
                <w:lang w:val="en-US" w:eastAsia="zh-CN"/>
              </w:rPr>
              <w:t>无人机</w:t>
            </w:r>
            <w:r>
              <w:rPr>
                <w:rFonts w:hint="eastAsia" w:ascii="宋体" w:hAnsi="宋体" w:eastAsia="宋体" w:cs="宋体"/>
                <w:sz w:val="24"/>
                <w:szCs w:val="24"/>
                <w:highlight w:val="none"/>
                <w:lang w:eastAsia="zh-CN"/>
              </w:rPr>
              <w:t>在起飞时各种飞行环境良好，而起飞后突发的各种恶劣不适航情形（</w:t>
            </w:r>
            <w:r>
              <w:rPr>
                <w:rFonts w:hint="eastAsia" w:ascii="宋体" w:hAnsi="宋体" w:eastAsia="宋体" w:cs="宋体"/>
                <w:sz w:val="24"/>
                <w:szCs w:val="24"/>
                <w:highlight w:val="none"/>
                <w:lang w:val="en-US" w:eastAsia="zh-CN"/>
              </w:rPr>
              <w:t>如</w:t>
            </w:r>
            <w:r>
              <w:rPr>
                <w:rFonts w:hint="eastAsia" w:ascii="宋体" w:hAnsi="宋体" w:eastAsia="宋体" w:cs="宋体"/>
                <w:b w:val="0"/>
                <w:bCs w:val="0"/>
                <w:sz w:val="24"/>
                <w:szCs w:val="24"/>
                <w:highlight w:val="none"/>
              </w:rPr>
              <w:t>未达到产品说明书所要求的飞行环境</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振动、音震</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电子或电磁干扰</w:t>
            </w:r>
            <w:r>
              <w:rPr>
                <w:rFonts w:hint="eastAsia" w:ascii="宋体" w:hAnsi="宋体" w:eastAsia="宋体" w:cs="宋体"/>
                <w:b w:val="0"/>
                <w:bCs w:val="0"/>
                <w:sz w:val="24"/>
                <w:szCs w:val="24"/>
                <w:highlight w:val="none"/>
                <w:lang w:val="en-US" w:eastAsia="zh-CN"/>
              </w:rPr>
              <w:t>等），又来不及收回无人机及设备时，</w:t>
            </w:r>
            <w:r>
              <w:rPr>
                <w:rFonts w:hint="eastAsia" w:ascii="宋体" w:hAnsi="宋体" w:eastAsia="宋体" w:cs="宋体"/>
                <w:b w:val="0"/>
                <w:i w:val="0"/>
                <w:color w:val="000000"/>
                <w:kern w:val="2"/>
                <w:sz w:val="24"/>
                <w:szCs w:val="24"/>
                <w:highlight w:val="none"/>
                <w:u w:val="none"/>
                <w:lang w:val="en-US" w:eastAsia="zh-CN" w:bidi="ar"/>
              </w:rPr>
              <w:t>保险人按保险合同的约定负责赔偿。</w:t>
            </w:r>
          </w:p>
        </w:tc>
      </w:tr>
      <w:bookmarkEnd w:id="56"/>
    </w:tbl>
    <w:p w14:paraId="6D8BF6A9">
      <w:pPr>
        <w:rPr>
          <w:rFonts w:hint="default"/>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default"/>
          <w:lang w:val="en-US" w:eastAsia="zh-CN"/>
        </w:rPr>
        <w:br w:type="page"/>
      </w:r>
    </w:p>
    <w:p w14:paraId="0654EA1F">
      <w:pPr>
        <w:pStyle w:val="37"/>
        <w:bidi w:val="0"/>
        <w:rPr>
          <w:rFonts w:hint="eastAsia"/>
          <w:lang w:val="en-US" w:eastAsia="zh-CN"/>
        </w:rPr>
      </w:pPr>
      <w:bookmarkStart w:id="57" w:name="_Toc26098"/>
      <w:r>
        <w:rPr>
          <w:rFonts w:hint="eastAsia"/>
          <w:lang w:val="en-US" w:eastAsia="zh-CN"/>
        </w:rPr>
        <w:t>投保范围</w:t>
      </w:r>
      <w:bookmarkEnd w:id="57"/>
    </w:p>
    <w:p w14:paraId="1771965B">
      <w:pPr>
        <w:pStyle w:val="13"/>
        <w:numPr>
          <w:ilvl w:val="0"/>
          <w:numId w:val="0"/>
        </w:numPr>
        <w:shd w:val="clear" w:color="auto" w:fill="auto"/>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1、无人机及配套设备保险清单</w:t>
      </w:r>
    </w:p>
    <w:p w14:paraId="61A218A7">
      <w:pPr>
        <w:pStyle w:val="13"/>
        <w:numPr>
          <w:ilvl w:val="0"/>
          <w:numId w:val="0"/>
        </w:numPr>
        <w:shd w:val="clear" w:color="auto" w:fill="auto"/>
        <w:jc w:val="right"/>
        <w:rPr>
          <w:rFonts w:hint="eastAsia" w:ascii="宋体" w:hAnsi="宋体" w:eastAsia="宋体" w:cs="宋体"/>
          <w:b/>
          <w:color w:val="0D0D0D"/>
          <w:sz w:val="28"/>
          <w:highlight w:val="none"/>
          <w:lang w:val="en-US" w:eastAsia="zh-CN"/>
        </w:rPr>
      </w:pPr>
      <w:r>
        <w:rPr>
          <w:rFonts w:hint="eastAsia" w:ascii="宋体" w:hAnsi="宋体" w:eastAsia="宋体" w:cs="宋体"/>
          <w:b/>
          <w:bCs/>
          <w:kern w:val="2"/>
          <w:sz w:val="24"/>
          <w:szCs w:val="24"/>
          <w:highlight w:val="none"/>
          <w:lang w:val="en-US" w:eastAsia="zh-CN" w:bidi="ar-SA"/>
        </w:rPr>
        <w:t>单位：万元</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87"/>
        <w:gridCol w:w="554"/>
        <w:gridCol w:w="1258"/>
        <w:gridCol w:w="1175"/>
        <w:gridCol w:w="1440"/>
        <w:gridCol w:w="787"/>
        <w:gridCol w:w="906"/>
        <w:gridCol w:w="694"/>
        <w:gridCol w:w="1035"/>
      </w:tblGrid>
      <w:tr w14:paraId="2F951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blHeader/>
        </w:trPr>
        <w:tc>
          <w:tcPr>
            <w:tcW w:w="292" w:type="pct"/>
            <w:tcBorders>
              <w:tl2br w:val="nil"/>
              <w:tr2bl w:val="nil"/>
            </w:tcBorders>
            <w:shd w:val="clear" w:color="auto" w:fill="D7D7D7" w:themeFill="background1" w:themeFillShade="D8"/>
            <w:noWrap/>
            <w:tcMar>
              <w:top w:w="15" w:type="dxa"/>
              <w:left w:w="15" w:type="dxa"/>
              <w:right w:w="15" w:type="dxa"/>
            </w:tcMar>
            <w:vAlign w:val="center"/>
          </w:tcPr>
          <w:p w14:paraId="15BC6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32" w:type="pct"/>
            <w:tcBorders>
              <w:tl2br w:val="nil"/>
              <w:tr2bl w:val="nil"/>
            </w:tcBorders>
            <w:shd w:val="clear" w:color="auto" w:fill="D7D7D7" w:themeFill="background1" w:themeFillShade="D8"/>
            <w:noWrap w:val="0"/>
            <w:tcMar>
              <w:top w:w="15" w:type="dxa"/>
              <w:left w:w="15" w:type="dxa"/>
              <w:right w:w="15" w:type="dxa"/>
            </w:tcMar>
            <w:vAlign w:val="center"/>
          </w:tcPr>
          <w:p w14:paraId="57DDA9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754" w:type="pct"/>
            <w:tcBorders>
              <w:tl2br w:val="nil"/>
              <w:tr2bl w:val="nil"/>
            </w:tcBorders>
            <w:shd w:val="clear" w:color="auto" w:fill="D7D7D7" w:themeFill="background1" w:themeFillShade="D8"/>
            <w:noWrap w:val="0"/>
            <w:tcMar>
              <w:top w:w="15" w:type="dxa"/>
              <w:left w:w="15" w:type="dxa"/>
              <w:right w:w="15" w:type="dxa"/>
            </w:tcMar>
            <w:vAlign w:val="center"/>
          </w:tcPr>
          <w:p w14:paraId="361B4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设备类型</w:t>
            </w:r>
          </w:p>
        </w:tc>
        <w:tc>
          <w:tcPr>
            <w:tcW w:w="704" w:type="pct"/>
            <w:tcBorders>
              <w:tl2br w:val="nil"/>
              <w:tr2bl w:val="nil"/>
            </w:tcBorders>
            <w:shd w:val="clear" w:color="auto" w:fill="D7D7D7" w:themeFill="background1" w:themeFillShade="D8"/>
            <w:noWrap w:val="0"/>
            <w:tcMar>
              <w:top w:w="15" w:type="dxa"/>
              <w:left w:w="15" w:type="dxa"/>
              <w:right w:w="15" w:type="dxa"/>
            </w:tcMar>
            <w:vAlign w:val="center"/>
          </w:tcPr>
          <w:p w14:paraId="78032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厂家</w:t>
            </w:r>
          </w:p>
        </w:tc>
        <w:tc>
          <w:tcPr>
            <w:tcW w:w="863" w:type="pct"/>
            <w:tcBorders>
              <w:tl2br w:val="nil"/>
              <w:tr2bl w:val="nil"/>
            </w:tcBorders>
            <w:shd w:val="clear" w:color="auto" w:fill="D7D7D7" w:themeFill="background1" w:themeFillShade="D8"/>
            <w:noWrap w:val="0"/>
            <w:tcMar>
              <w:top w:w="15" w:type="dxa"/>
              <w:left w:w="15" w:type="dxa"/>
              <w:right w:w="15" w:type="dxa"/>
            </w:tcMar>
            <w:vAlign w:val="center"/>
          </w:tcPr>
          <w:p w14:paraId="6BF6A0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设备型号</w:t>
            </w:r>
          </w:p>
        </w:tc>
        <w:tc>
          <w:tcPr>
            <w:tcW w:w="472" w:type="pct"/>
            <w:tcBorders>
              <w:tl2br w:val="nil"/>
              <w:tr2bl w:val="nil"/>
            </w:tcBorders>
            <w:shd w:val="clear" w:color="auto" w:fill="D7D7D7" w:themeFill="background1" w:themeFillShade="D8"/>
            <w:noWrap w:val="0"/>
            <w:tcMar>
              <w:top w:w="15" w:type="dxa"/>
              <w:left w:w="15" w:type="dxa"/>
              <w:right w:w="15" w:type="dxa"/>
            </w:tcMar>
            <w:vAlign w:val="center"/>
          </w:tcPr>
          <w:p w14:paraId="4B1E8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采购年份</w:t>
            </w:r>
          </w:p>
        </w:tc>
        <w:tc>
          <w:tcPr>
            <w:tcW w:w="543" w:type="pct"/>
            <w:tcBorders>
              <w:tl2br w:val="nil"/>
              <w:tr2bl w:val="nil"/>
            </w:tcBorders>
            <w:shd w:val="clear" w:color="auto" w:fill="D7D7D7" w:themeFill="background1" w:themeFillShade="D8"/>
            <w:noWrap w:val="0"/>
            <w:tcMar>
              <w:top w:w="15" w:type="dxa"/>
              <w:left w:w="15" w:type="dxa"/>
              <w:right w:w="15" w:type="dxa"/>
            </w:tcMar>
            <w:vAlign w:val="center"/>
          </w:tcPr>
          <w:p w14:paraId="258514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机身险投保额</w:t>
            </w:r>
          </w:p>
        </w:tc>
        <w:tc>
          <w:tcPr>
            <w:tcW w:w="416" w:type="pct"/>
            <w:tcBorders>
              <w:tl2br w:val="nil"/>
              <w:tr2bl w:val="nil"/>
            </w:tcBorders>
            <w:shd w:val="clear" w:color="auto" w:fill="D7D7D7" w:themeFill="background1" w:themeFillShade="D8"/>
            <w:noWrap w:val="0"/>
            <w:tcMar>
              <w:top w:w="15" w:type="dxa"/>
              <w:left w:w="15" w:type="dxa"/>
              <w:right w:w="15" w:type="dxa"/>
            </w:tcMar>
            <w:vAlign w:val="center"/>
          </w:tcPr>
          <w:p w14:paraId="110BD3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三者险</w:t>
            </w:r>
          </w:p>
          <w:p w14:paraId="24131523">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2"/>
                <w:szCs w:val="22"/>
                <w:u w:val="none"/>
                <w:lang w:val="en-US" w:eastAsia="zh-CN" w:bidi="ar"/>
              </w:rPr>
              <w:t>投保额</w:t>
            </w:r>
          </w:p>
        </w:tc>
        <w:tc>
          <w:tcPr>
            <w:tcW w:w="620" w:type="pct"/>
            <w:tcBorders>
              <w:tl2br w:val="nil"/>
              <w:tr2bl w:val="nil"/>
            </w:tcBorders>
            <w:shd w:val="clear" w:color="auto" w:fill="D7D7D7" w:themeFill="background1" w:themeFillShade="D8"/>
            <w:noWrap w:val="0"/>
            <w:tcMar>
              <w:top w:w="15" w:type="dxa"/>
              <w:left w:w="15" w:type="dxa"/>
              <w:right w:w="15" w:type="dxa"/>
            </w:tcMar>
            <w:vAlign w:val="center"/>
          </w:tcPr>
          <w:p w14:paraId="0EF6F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保单</w:t>
            </w:r>
            <w:r>
              <w:rPr>
                <w:rFonts w:hint="eastAsia" w:ascii="宋体" w:hAnsi="宋体" w:cs="宋体"/>
                <w:i w:val="0"/>
                <w:color w:val="000000"/>
                <w:kern w:val="0"/>
                <w:sz w:val="22"/>
                <w:szCs w:val="22"/>
                <w:u w:val="none"/>
                <w:lang w:val="en-US" w:eastAsia="zh-CN" w:bidi="ar"/>
              </w:rPr>
              <w:t>起保</w:t>
            </w:r>
            <w:r>
              <w:rPr>
                <w:rFonts w:hint="eastAsia" w:ascii="宋体" w:hAnsi="宋体" w:eastAsia="宋体" w:cs="宋体"/>
                <w:i w:val="0"/>
                <w:color w:val="000000"/>
                <w:kern w:val="0"/>
                <w:sz w:val="22"/>
                <w:szCs w:val="22"/>
                <w:u w:val="none"/>
                <w:lang w:val="en-US" w:eastAsia="zh-CN" w:bidi="ar"/>
              </w:rPr>
              <w:t>时间</w:t>
            </w:r>
          </w:p>
        </w:tc>
      </w:tr>
      <w:tr w14:paraId="32CFB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7C7B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l2br w:val="nil"/>
              <w:tr2bl w:val="nil"/>
            </w:tcBorders>
            <w:shd w:val="clear" w:color="auto" w:fill="auto"/>
            <w:noWrap/>
            <w:tcMar>
              <w:top w:w="15" w:type="dxa"/>
              <w:left w:w="15" w:type="dxa"/>
              <w:right w:w="15" w:type="dxa"/>
            </w:tcMar>
            <w:vAlign w:val="center"/>
          </w:tcPr>
          <w:p w14:paraId="56D83D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38872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1EE5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0E6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46052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3141B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451D9E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33C0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41C3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13BD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 w:type="pct"/>
            <w:tcBorders>
              <w:tl2br w:val="nil"/>
              <w:tr2bl w:val="nil"/>
            </w:tcBorders>
            <w:shd w:val="clear" w:color="auto" w:fill="auto"/>
            <w:noWrap/>
            <w:tcMar>
              <w:top w:w="15" w:type="dxa"/>
              <w:left w:w="15" w:type="dxa"/>
              <w:right w:w="15" w:type="dxa"/>
            </w:tcMar>
            <w:vAlign w:val="center"/>
          </w:tcPr>
          <w:p w14:paraId="45C19D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734D5B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511629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553637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013B7D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2EDB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l2br w:val="nil"/>
              <w:tr2bl w:val="nil"/>
            </w:tcBorders>
            <w:shd w:val="clear" w:color="auto" w:fill="auto"/>
            <w:noWrap/>
            <w:tcMar>
              <w:top w:w="15" w:type="dxa"/>
              <w:left w:w="15" w:type="dxa"/>
              <w:right w:w="15" w:type="dxa"/>
            </w:tcMar>
            <w:vAlign w:val="center"/>
          </w:tcPr>
          <w:p w14:paraId="5F9951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0A13A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4D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38EE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2" w:type="pct"/>
            <w:tcBorders>
              <w:tl2br w:val="nil"/>
              <w:tr2bl w:val="nil"/>
            </w:tcBorders>
            <w:shd w:val="clear" w:color="auto" w:fill="auto"/>
            <w:noWrap/>
            <w:tcMar>
              <w:top w:w="15" w:type="dxa"/>
              <w:left w:w="15" w:type="dxa"/>
              <w:right w:w="15" w:type="dxa"/>
            </w:tcMar>
            <w:vAlign w:val="center"/>
          </w:tcPr>
          <w:p w14:paraId="51D5A5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2FFF70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07BB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6904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74D49A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3374F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5AE7C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A380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D93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5A89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2" w:type="pct"/>
            <w:tcBorders>
              <w:tl2br w:val="nil"/>
              <w:tr2bl w:val="nil"/>
            </w:tcBorders>
            <w:shd w:val="clear" w:color="auto" w:fill="auto"/>
            <w:noWrap/>
            <w:tcMar>
              <w:top w:w="15" w:type="dxa"/>
              <w:left w:w="15" w:type="dxa"/>
              <w:right w:w="15" w:type="dxa"/>
            </w:tcMar>
            <w:vAlign w:val="center"/>
          </w:tcPr>
          <w:p w14:paraId="2BF58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47F38D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61370A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04F30C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5A39DD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543" w:type="pct"/>
            <w:tcBorders>
              <w:tl2br w:val="nil"/>
              <w:tr2bl w:val="nil"/>
            </w:tcBorders>
            <w:shd w:val="clear" w:color="auto" w:fill="auto"/>
            <w:noWrap/>
            <w:tcMar>
              <w:top w:w="15" w:type="dxa"/>
              <w:left w:w="15" w:type="dxa"/>
              <w:right w:w="15" w:type="dxa"/>
            </w:tcMar>
            <w:vAlign w:val="center"/>
          </w:tcPr>
          <w:p w14:paraId="01BC9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75B8A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3F1E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47CF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FED35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2" w:type="pct"/>
            <w:tcBorders>
              <w:tl2br w:val="nil"/>
              <w:tr2bl w:val="nil"/>
            </w:tcBorders>
            <w:shd w:val="clear" w:color="auto" w:fill="auto"/>
            <w:noWrap/>
            <w:tcMar>
              <w:top w:w="15" w:type="dxa"/>
              <w:left w:w="15" w:type="dxa"/>
              <w:right w:w="15" w:type="dxa"/>
            </w:tcMar>
            <w:vAlign w:val="center"/>
          </w:tcPr>
          <w:p w14:paraId="19FD31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21E918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5BEE5C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629E0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687FF3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543" w:type="pct"/>
            <w:tcBorders>
              <w:tl2br w:val="nil"/>
              <w:tr2bl w:val="nil"/>
            </w:tcBorders>
            <w:shd w:val="clear" w:color="auto" w:fill="auto"/>
            <w:noWrap/>
            <w:tcMar>
              <w:top w:w="15" w:type="dxa"/>
              <w:left w:w="15" w:type="dxa"/>
              <w:right w:w="15" w:type="dxa"/>
            </w:tcMar>
            <w:vAlign w:val="center"/>
          </w:tcPr>
          <w:p w14:paraId="3F594D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5C586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9C88B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1F4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8B6E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2" w:type="pct"/>
            <w:tcBorders>
              <w:tl2br w:val="nil"/>
              <w:tr2bl w:val="nil"/>
            </w:tcBorders>
            <w:shd w:val="clear" w:color="auto" w:fill="auto"/>
            <w:noWrap/>
            <w:tcMar>
              <w:top w:w="15" w:type="dxa"/>
              <w:left w:w="15" w:type="dxa"/>
              <w:right w:w="15" w:type="dxa"/>
            </w:tcMar>
            <w:vAlign w:val="center"/>
          </w:tcPr>
          <w:p w14:paraId="5E27D4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3A6AE3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1905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368DD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1FAE0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44257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03315E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EDB1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83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7EEA3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2" w:type="pct"/>
            <w:tcBorders>
              <w:tl2br w:val="nil"/>
              <w:tr2bl w:val="nil"/>
            </w:tcBorders>
            <w:shd w:val="clear" w:color="auto" w:fill="auto"/>
            <w:noWrap/>
            <w:tcMar>
              <w:top w:w="15" w:type="dxa"/>
              <w:left w:w="15" w:type="dxa"/>
              <w:right w:w="15" w:type="dxa"/>
            </w:tcMar>
            <w:vAlign w:val="center"/>
          </w:tcPr>
          <w:p w14:paraId="647ED37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2C0D3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A12D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0131C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CW-30</w:t>
            </w:r>
          </w:p>
        </w:tc>
        <w:tc>
          <w:tcPr>
            <w:tcW w:w="472" w:type="pct"/>
            <w:tcBorders>
              <w:tl2br w:val="nil"/>
              <w:tr2bl w:val="nil"/>
            </w:tcBorders>
            <w:shd w:val="clear" w:color="auto" w:fill="auto"/>
            <w:noWrap/>
            <w:tcMar>
              <w:top w:w="15" w:type="dxa"/>
              <w:left w:w="15" w:type="dxa"/>
              <w:right w:w="15" w:type="dxa"/>
            </w:tcMar>
            <w:vAlign w:val="center"/>
          </w:tcPr>
          <w:p w14:paraId="7D104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5FB12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52EBC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DAC87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7B3F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CEB7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l2br w:val="nil"/>
              <w:tr2bl w:val="nil"/>
            </w:tcBorders>
            <w:shd w:val="clear" w:color="auto" w:fill="auto"/>
            <w:noWrap/>
            <w:tcMar>
              <w:top w:w="15" w:type="dxa"/>
              <w:left w:w="15" w:type="dxa"/>
              <w:right w:w="15" w:type="dxa"/>
            </w:tcMar>
            <w:vAlign w:val="center"/>
          </w:tcPr>
          <w:p w14:paraId="7C50DF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296A0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2458D9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51416E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CW-25</w:t>
            </w:r>
          </w:p>
        </w:tc>
        <w:tc>
          <w:tcPr>
            <w:tcW w:w="472" w:type="pct"/>
            <w:tcBorders>
              <w:tl2br w:val="nil"/>
              <w:tr2bl w:val="nil"/>
            </w:tcBorders>
            <w:shd w:val="clear" w:color="auto" w:fill="auto"/>
            <w:noWrap/>
            <w:tcMar>
              <w:top w:w="15" w:type="dxa"/>
              <w:left w:w="15" w:type="dxa"/>
              <w:right w:w="15" w:type="dxa"/>
            </w:tcMar>
            <w:vAlign w:val="center"/>
          </w:tcPr>
          <w:p w14:paraId="30F42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CE5C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18D9E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52CEB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86F9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7DB9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32" w:type="pct"/>
            <w:tcBorders>
              <w:tl2br w:val="nil"/>
              <w:tr2bl w:val="nil"/>
            </w:tcBorders>
            <w:shd w:val="clear" w:color="auto" w:fill="auto"/>
            <w:noWrap/>
            <w:tcMar>
              <w:top w:w="15" w:type="dxa"/>
              <w:left w:w="15" w:type="dxa"/>
              <w:right w:w="15" w:type="dxa"/>
            </w:tcMar>
            <w:vAlign w:val="center"/>
          </w:tcPr>
          <w:p w14:paraId="2672F3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46EDE9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F368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3A91B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CW-15</w:t>
            </w:r>
          </w:p>
        </w:tc>
        <w:tc>
          <w:tcPr>
            <w:tcW w:w="472" w:type="pct"/>
            <w:tcBorders>
              <w:tl2br w:val="nil"/>
              <w:tr2bl w:val="nil"/>
            </w:tcBorders>
            <w:shd w:val="clear" w:color="auto" w:fill="auto"/>
            <w:noWrap/>
            <w:tcMar>
              <w:top w:w="15" w:type="dxa"/>
              <w:left w:w="15" w:type="dxa"/>
              <w:right w:w="15" w:type="dxa"/>
            </w:tcMar>
            <w:vAlign w:val="center"/>
          </w:tcPr>
          <w:p w14:paraId="498E2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2CCD4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45C5B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55936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8D0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5824A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2" w:type="pct"/>
            <w:tcBorders>
              <w:tl2br w:val="nil"/>
              <w:tr2bl w:val="nil"/>
            </w:tcBorders>
            <w:shd w:val="clear" w:color="auto" w:fill="auto"/>
            <w:noWrap/>
            <w:tcMar>
              <w:top w:w="15" w:type="dxa"/>
              <w:left w:w="15" w:type="dxa"/>
              <w:right w:w="15" w:type="dxa"/>
            </w:tcMar>
            <w:vAlign w:val="center"/>
          </w:tcPr>
          <w:p w14:paraId="7A8EC1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35A5C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3E1278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成都纵横</w:t>
            </w:r>
          </w:p>
        </w:tc>
        <w:tc>
          <w:tcPr>
            <w:tcW w:w="863" w:type="pct"/>
            <w:tcBorders>
              <w:tl2br w:val="nil"/>
              <w:tr2bl w:val="nil"/>
            </w:tcBorders>
            <w:shd w:val="clear" w:color="auto" w:fill="auto"/>
            <w:noWrap/>
            <w:tcMar>
              <w:top w:w="15" w:type="dxa"/>
              <w:left w:w="15" w:type="dxa"/>
              <w:right w:w="15" w:type="dxa"/>
            </w:tcMar>
            <w:vAlign w:val="center"/>
          </w:tcPr>
          <w:p w14:paraId="69997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CW-10</w:t>
            </w:r>
          </w:p>
        </w:tc>
        <w:tc>
          <w:tcPr>
            <w:tcW w:w="472" w:type="pct"/>
            <w:tcBorders>
              <w:tl2br w:val="nil"/>
              <w:tr2bl w:val="nil"/>
            </w:tcBorders>
            <w:shd w:val="clear" w:color="auto" w:fill="auto"/>
            <w:noWrap/>
            <w:tcMar>
              <w:top w:w="15" w:type="dxa"/>
              <w:left w:w="15" w:type="dxa"/>
              <w:right w:w="15" w:type="dxa"/>
            </w:tcMar>
            <w:vAlign w:val="center"/>
          </w:tcPr>
          <w:p w14:paraId="1108C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2C8A7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725D4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4773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F2E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FE82E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2" w:type="pct"/>
            <w:tcBorders>
              <w:tl2br w:val="nil"/>
              <w:tr2bl w:val="nil"/>
            </w:tcBorders>
            <w:shd w:val="clear" w:color="auto" w:fill="auto"/>
            <w:noWrap/>
            <w:tcMar>
              <w:top w:w="15" w:type="dxa"/>
              <w:left w:w="15" w:type="dxa"/>
              <w:right w:w="15" w:type="dxa"/>
            </w:tcMar>
            <w:vAlign w:val="center"/>
          </w:tcPr>
          <w:p w14:paraId="6E358A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22A2D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12BBB5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6CA1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V200</w:t>
            </w:r>
          </w:p>
        </w:tc>
        <w:tc>
          <w:tcPr>
            <w:tcW w:w="472" w:type="pct"/>
            <w:tcBorders>
              <w:tl2br w:val="nil"/>
              <w:tr2bl w:val="nil"/>
            </w:tcBorders>
            <w:shd w:val="clear" w:color="auto" w:fill="auto"/>
            <w:noWrap/>
            <w:tcMar>
              <w:top w:w="15" w:type="dxa"/>
              <w:left w:w="15" w:type="dxa"/>
              <w:right w:w="15" w:type="dxa"/>
            </w:tcMar>
            <w:vAlign w:val="center"/>
          </w:tcPr>
          <w:p w14:paraId="7C164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6657DB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3413E2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0C6E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3CC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1BFA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32" w:type="pct"/>
            <w:tcBorders>
              <w:tl2br w:val="nil"/>
              <w:tr2bl w:val="nil"/>
            </w:tcBorders>
            <w:shd w:val="clear" w:color="auto" w:fill="auto"/>
            <w:noWrap/>
            <w:tcMar>
              <w:top w:w="15" w:type="dxa"/>
              <w:left w:w="15" w:type="dxa"/>
              <w:right w:w="15" w:type="dxa"/>
            </w:tcMar>
            <w:vAlign w:val="center"/>
          </w:tcPr>
          <w:p w14:paraId="276266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val="0"/>
            <w:tcMar>
              <w:top w:w="15" w:type="dxa"/>
              <w:left w:w="15" w:type="dxa"/>
              <w:right w:w="15" w:type="dxa"/>
            </w:tcMar>
            <w:vAlign w:val="center"/>
          </w:tcPr>
          <w:p w14:paraId="2D9613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69F8A2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33FF6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0A71BD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5A050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0D72B8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A4966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1EA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5627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2" w:type="pct"/>
            <w:tcBorders>
              <w:tl2br w:val="nil"/>
              <w:tr2bl w:val="nil"/>
            </w:tcBorders>
            <w:shd w:val="clear" w:color="auto" w:fill="auto"/>
            <w:noWrap/>
            <w:tcMar>
              <w:top w:w="15" w:type="dxa"/>
              <w:left w:w="15" w:type="dxa"/>
              <w:right w:w="15" w:type="dxa"/>
            </w:tcMar>
            <w:vAlign w:val="center"/>
          </w:tcPr>
          <w:p w14:paraId="00CB1D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12C5F1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1BB4B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322B43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1AD29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044EC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53B423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D3587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FCF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CE58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32" w:type="pct"/>
            <w:tcBorders>
              <w:tl2br w:val="nil"/>
              <w:tr2bl w:val="nil"/>
            </w:tcBorders>
            <w:shd w:val="clear" w:color="auto" w:fill="auto"/>
            <w:noWrap/>
            <w:tcMar>
              <w:top w:w="15" w:type="dxa"/>
              <w:left w:w="15" w:type="dxa"/>
              <w:right w:w="15" w:type="dxa"/>
            </w:tcMar>
            <w:vAlign w:val="center"/>
          </w:tcPr>
          <w:p w14:paraId="727A31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314E34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6FCCC9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777EE9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147C1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05D34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E1EB9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8839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543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151B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2" w:type="pct"/>
            <w:tcBorders>
              <w:tl2br w:val="nil"/>
              <w:tr2bl w:val="nil"/>
            </w:tcBorders>
            <w:shd w:val="clear" w:color="auto" w:fill="auto"/>
            <w:noWrap/>
            <w:tcMar>
              <w:top w:w="15" w:type="dxa"/>
              <w:left w:w="15" w:type="dxa"/>
              <w:right w:w="15" w:type="dxa"/>
            </w:tcMar>
            <w:vAlign w:val="center"/>
          </w:tcPr>
          <w:p w14:paraId="54912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1F641F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238AD8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飞思</w:t>
            </w:r>
          </w:p>
        </w:tc>
        <w:tc>
          <w:tcPr>
            <w:tcW w:w="863" w:type="pct"/>
            <w:tcBorders>
              <w:tl2br w:val="nil"/>
              <w:tr2bl w:val="nil"/>
            </w:tcBorders>
            <w:shd w:val="clear" w:color="auto" w:fill="auto"/>
            <w:noWrap/>
            <w:tcMar>
              <w:top w:w="15" w:type="dxa"/>
              <w:left w:w="15" w:type="dxa"/>
              <w:right w:w="15" w:type="dxa"/>
            </w:tcMar>
            <w:vAlign w:val="center"/>
          </w:tcPr>
          <w:p w14:paraId="6388D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IXM-RS150F</w:t>
            </w:r>
          </w:p>
        </w:tc>
        <w:tc>
          <w:tcPr>
            <w:tcW w:w="472" w:type="pct"/>
            <w:tcBorders>
              <w:tl2br w:val="nil"/>
              <w:tr2bl w:val="nil"/>
            </w:tcBorders>
            <w:shd w:val="clear" w:color="auto" w:fill="auto"/>
            <w:noWrap/>
            <w:tcMar>
              <w:top w:w="15" w:type="dxa"/>
              <w:left w:w="15" w:type="dxa"/>
              <w:right w:w="15" w:type="dxa"/>
            </w:tcMar>
            <w:vAlign w:val="center"/>
          </w:tcPr>
          <w:p w14:paraId="66ACF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ED48E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43DA8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1BCE6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7348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C9FED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32" w:type="pct"/>
            <w:tcBorders>
              <w:tl2br w:val="nil"/>
              <w:tr2bl w:val="nil"/>
            </w:tcBorders>
            <w:shd w:val="clear" w:color="auto" w:fill="auto"/>
            <w:noWrap/>
            <w:tcMar>
              <w:top w:w="15" w:type="dxa"/>
              <w:left w:w="15" w:type="dxa"/>
              <w:right w:w="15" w:type="dxa"/>
            </w:tcMar>
            <w:vAlign w:val="center"/>
          </w:tcPr>
          <w:p w14:paraId="60146D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7EACF1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05AA1C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3DC669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DG3</w:t>
            </w:r>
          </w:p>
        </w:tc>
        <w:tc>
          <w:tcPr>
            <w:tcW w:w="472" w:type="pct"/>
            <w:tcBorders>
              <w:tl2br w:val="nil"/>
              <w:tr2bl w:val="nil"/>
            </w:tcBorders>
            <w:shd w:val="clear" w:color="auto" w:fill="auto"/>
            <w:noWrap/>
            <w:tcMar>
              <w:top w:w="15" w:type="dxa"/>
              <w:left w:w="15" w:type="dxa"/>
              <w:right w:w="15" w:type="dxa"/>
            </w:tcMar>
            <w:vAlign w:val="center"/>
          </w:tcPr>
          <w:p w14:paraId="3F5335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2A0481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l2br w:val="nil"/>
              <w:tr2bl w:val="nil"/>
            </w:tcBorders>
            <w:shd w:val="clear" w:color="auto" w:fill="auto"/>
            <w:noWrap/>
            <w:tcMar>
              <w:top w:w="15" w:type="dxa"/>
              <w:left w:w="15" w:type="dxa"/>
              <w:right w:w="15" w:type="dxa"/>
            </w:tcMar>
            <w:vAlign w:val="center"/>
          </w:tcPr>
          <w:p w14:paraId="4A134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67C8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34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C97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32" w:type="pct"/>
            <w:tcBorders>
              <w:tl2br w:val="nil"/>
              <w:tr2bl w:val="nil"/>
            </w:tcBorders>
            <w:shd w:val="clear" w:color="auto" w:fill="auto"/>
            <w:noWrap/>
            <w:tcMar>
              <w:top w:w="15" w:type="dxa"/>
              <w:left w:w="15" w:type="dxa"/>
              <w:right w:w="15" w:type="dxa"/>
            </w:tcMar>
            <w:vAlign w:val="center"/>
          </w:tcPr>
          <w:p w14:paraId="64E580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20C42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59E642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6FED8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w:t>
            </w:r>
          </w:p>
        </w:tc>
        <w:tc>
          <w:tcPr>
            <w:tcW w:w="472" w:type="pct"/>
            <w:tcBorders>
              <w:tl2br w:val="nil"/>
              <w:tr2bl w:val="nil"/>
            </w:tcBorders>
            <w:shd w:val="clear" w:color="auto" w:fill="auto"/>
            <w:noWrap/>
            <w:tcMar>
              <w:top w:w="15" w:type="dxa"/>
              <w:left w:w="15" w:type="dxa"/>
              <w:right w:w="15" w:type="dxa"/>
            </w:tcMar>
            <w:vAlign w:val="center"/>
          </w:tcPr>
          <w:p w14:paraId="3F5D8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C1ED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1D8B41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B05F3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D90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F77E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2" w:type="pct"/>
            <w:tcBorders>
              <w:tl2br w:val="nil"/>
              <w:tr2bl w:val="nil"/>
            </w:tcBorders>
            <w:shd w:val="clear" w:color="auto" w:fill="auto"/>
            <w:noWrap/>
            <w:tcMar>
              <w:top w:w="15" w:type="dxa"/>
              <w:left w:w="15" w:type="dxa"/>
              <w:right w:w="15" w:type="dxa"/>
            </w:tcMar>
            <w:vAlign w:val="center"/>
          </w:tcPr>
          <w:p w14:paraId="70FBE4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7C028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50B275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CA091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w:t>
            </w:r>
          </w:p>
        </w:tc>
        <w:tc>
          <w:tcPr>
            <w:tcW w:w="472" w:type="pct"/>
            <w:tcBorders>
              <w:tl2br w:val="nil"/>
              <w:tr2bl w:val="nil"/>
            </w:tcBorders>
            <w:shd w:val="clear" w:color="auto" w:fill="auto"/>
            <w:noWrap/>
            <w:tcMar>
              <w:top w:w="15" w:type="dxa"/>
              <w:left w:w="15" w:type="dxa"/>
              <w:right w:w="15" w:type="dxa"/>
            </w:tcMar>
            <w:vAlign w:val="center"/>
          </w:tcPr>
          <w:p w14:paraId="7DC761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0E82B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l2br w:val="nil"/>
              <w:tr2bl w:val="nil"/>
            </w:tcBorders>
            <w:shd w:val="clear" w:color="auto" w:fill="auto"/>
            <w:noWrap/>
            <w:tcMar>
              <w:top w:w="15" w:type="dxa"/>
              <w:left w:w="15" w:type="dxa"/>
              <w:right w:w="15" w:type="dxa"/>
            </w:tcMar>
            <w:vAlign w:val="center"/>
          </w:tcPr>
          <w:p w14:paraId="2C764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18F5A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76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684AC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32" w:type="pct"/>
            <w:tcBorders>
              <w:tl2br w:val="nil"/>
              <w:tr2bl w:val="nil"/>
            </w:tcBorders>
            <w:shd w:val="clear" w:color="auto" w:fill="auto"/>
            <w:noWrap/>
            <w:tcMar>
              <w:top w:w="15" w:type="dxa"/>
              <w:left w:w="15" w:type="dxa"/>
              <w:right w:w="15" w:type="dxa"/>
            </w:tcMar>
            <w:vAlign w:val="center"/>
          </w:tcPr>
          <w:p w14:paraId="144C7B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相机</w:t>
            </w:r>
          </w:p>
        </w:tc>
        <w:tc>
          <w:tcPr>
            <w:tcW w:w="754" w:type="pct"/>
            <w:tcBorders>
              <w:tl2br w:val="nil"/>
              <w:tr2bl w:val="nil"/>
            </w:tcBorders>
            <w:shd w:val="clear" w:color="auto" w:fill="auto"/>
            <w:noWrap/>
            <w:tcMar>
              <w:top w:w="15" w:type="dxa"/>
              <w:left w:w="15" w:type="dxa"/>
              <w:right w:w="15" w:type="dxa"/>
            </w:tcMar>
            <w:vAlign w:val="center"/>
          </w:tcPr>
          <w:p w14:paraId="5DAB3E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全画幅相机</w:t>
            </w:r>
          </w:p>
        </w:tc>
        <w:tc>
          <w:tcPr>
            <w:tcW w:w="704" w:type="pct"/>
            <w:tcBorders>
              <w:tl2br w:val="nil"/>
              <w:tr2bl w:val="nil"/>
            </w:tcBorders>
            <w:shd w:val="clear" w:color="auto" w:fill="auto"/>
            <w:noWrap/>
            <w:tcMar>
              <w:top w:w="15" w:type="dxa"/>
              <w:left w:w="15" w:type="dxa"/>
              <w:right w:w="15" w:type="dxa"/>
            </w:tcMar>
            <w:vAlign w:val="center"/>
          </w:tcPr>
          <w:p w14:paraId="15DFE0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736F4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w:t>
            </w:r>
          </w:p>
        </w:tc>
        <w:tc>
          <w:tcPr>
            <w:tcW w:w="472" w:type="pct"/>
            <w:tcBorders>
              <w:tl2br w:val="nil"/>
              <w:tr2bl w:val="nil"/>
            </w:tcBorders>
            <w:shd w:val="clear" w:color="auto" w:fill="auto"/>
            <w:noWrap/>
            <w:tcMar>
              <w:top w:w="15" w:type="dxa"/>
              <w:left w:w="15" w:type="dxa"/>
              <w:right w:w="15" w:type="dxa"/>
            </w:tcMar>
            <w:vAlign w:val="center"/>
          </w:tcPr>
          <w:p w14:paraId="4D5BC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DE002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5A01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DE07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ECEB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257F8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2" w:type="pct"/>
            <w:tcBorders>
              <w:tl2br w:val="nil"/>
              <w:tr2bl w:val="nil"/>
            </w:tcBorders>
            <w:shd w:val="clear" w:color="auto" w:fill="auto"/>
            <w:noWrap/>
            <w:tcMar>
              <w:top w:w="15" w:type="dxa"/>
              <w:left w:w="15" w:type="dxa"/>
              <w:right w:w="15" w:type="dxa"/>
            </w:tcMar>
            <w:vAlign w:val="center"/>
          </w:tcPr>
          <w:p w14:paraId="1B3F5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43C1B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D74E8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2B2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7C956E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64B2F6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6EF8C4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598E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9C3C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5825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32" w:type="pct"/>
            <w:tcBorders>
              <w:tl2br w:val="nil"/>
              <w:tr2bl w:val="nil"/>
            </w:tcBorders>
            <w:shd w:val="clear" w:color="auto" w:fill="auto"/>
            <w:noWrap/>
            <w:tcMar>
              <w:top w:w="15" w:type="dxa"/>
              <w:left w:w="15" w:type="dxa"/>
              <w:right w:w="15" w:type="dxa"/>
            </w:tcMar>
            <w:vAlign w:val="center"/>
          </w:tcPr>
          <w:p w14:paraId="0DDA99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11A72B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D4B5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C141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585139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4F19A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2D3CAE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558ABC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554B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EA96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32" w:type="pct"/>
            <w:tcBorders>
              <w:tl2br w:val="nil"/>
              <w:tr2bl w:val="nil"/>
            </w:tcBorders>
            <w:shd w:val="clear" w:color="auto" w:fill="auto"/>
            <w:noWrap/>
            <w:tcMar>
              <w:top w:w="15" w:type="dxa"/>
              <w:left w:w="15" w:type="dxa"/>
              <w:right w:w="15" w:type="dxa"/>
            </w:tcMar>
            <w:vAlign w:val="center"/>
          </w:tcPr>
          <w:p w14:paraId="25A24D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A5CEB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CE80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41C0D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32F22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3BE4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1AA8B3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993B3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0C6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F2F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32" w:type="pct"/>
            <w:tcBorders>
              <w:tl2br w:val="nil"/>
              <w:tr2bl w:val="nil"/>
            </w:tcBorders>
            <w:shd w:val="clear" w:color="auto" w:fill="auto"/>
            <w:noWrap/>
            <w:tcMar>
              <w:top w:w="15" w:type="dxa"/>
              <w:left w:w="15" w:type="dxa"/>
              <w:right w:w="15" w:type="dxa"/>
            </w:tcMar>
            <w:vAlign w:val="center"/>
          </w:tcPr>
          <w:p w14:paraId="2E5848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77CB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3457A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95945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2A73DB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287AA1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16D9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FC3A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2745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CDE20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32" w:type="pct"/>
            <w:tcBorders>
              <w:tl2br w:val="nil"/>
              <w:tr2bl w:val="nil"/>
            </w:tcBorders>
            <w:shd w:val="clear" w:color="auto" w:fill="auto"/>
            <w:noWrap/>
            <w:tcMar>
              <w:top w:w="15" w:type="dxa"/>
              <w:left w:w="15" w:type="dxa"/>
              <w:right w:w="15" w:type="dxa"/>
            </w:tcMar>
            <w:vAlign w:val="center"/>
          </w:tcPr>
          <w:p w14:paraId="2EDDDF7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274DE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342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F5BA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24BC7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17DF5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45A110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2E97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F140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17EB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2" w:type="pct"/>
            <w:tcBorders>
              <w:tl2br w:val="nil"/>
              <w:tr2bl w:val="nil"/>
            </w:tcBorders>
            <w:shd w:val="clear" w:color="auto" w:fill="auto"/>
            <w:noWrap/>
            <w:tcMar>
              <w:top w:w="15" w:type="dxa"/>
              <w:left w:w="15" w:type="dxa"/>
              <w:right w:w="15" w:type="dxa"/>
            </w:tcMar>
            <w:vAlign w:val="center"/>
          </w:tcPr>
          <w:p w14:paraId="462021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AD824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0D1C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BFB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7543F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5EBC53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15440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4FB3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1E5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F820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32" w:type="pct"/>
            <w:tcBorders>
              <w:tl2br w:val="nil"/>
              <w:tr2bl w:val="nil"/>
            </w:tcBorders>
            <w:shd w:val="clear" w:color="auto" w:fill="auto"/>
            <w:noWrap/>
            <w:tcMar>
              <w:top w:w="15" w:type="dxa"/>
              <w:left w:w="15" w:type="dxa"/>
              <w:right w:w="15" w:type="dxa"/>
            </w:tcMar>
            <w:vAlign w:val="center"/>
          </w:tcPr>
          <w:p w14:paraId="66AF11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E3C43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直升机</w:t>
            </w:r>
          </w:p>
        </w:tc>
        <w:tc>
          <w:tcPr>
            <w:tcW w:w="704" w:type="pct"/>
            <w:tcBorders>
              <w:tl2br w:val="nil"/>
              <w:tr2bl w:val="nil"/>
            </w:tcBorders>
            <w:shd w:val="clear" w:color="auto" w:fill="auto"/>
            <w:noWrap/>
            <w:tcMar>
              <w:top w:w="15" w:type="dxa"/>
              <w:left w:w="15" w:type="dxa"/>
              <w:right w:w="15" w:type="dxa"/>
            </w:tcMar>
            <w:vAlign w:val="center"/>
          </w:tcPr>
          <w:p w14:paraId="327BF6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Dragon</w:t>
            </w:r>
          </w:p>
        </w:tc>
        <w:tc>
          <w:tcPr>
            <w:tcW w:w="863" w:type="pct"/>
            <w:tcBorders>
              <w:tl2br w:val="nil"/>
              <w:tr2bl w:val="nil"/>
            </w:tcBorders>
            <w:shd w:val="clear" w:color="auto" w:fill="auto"/>
            <w:noWrap/>
            <w:tcMar>
              <w:top w:w="15" w:type="dxa"/>
              <w:left w:w="15" w:type="dxa"/>
              <w:right w:w="15" w:type="dxa"/>
            </w:tcMar>
            <w:vAlign w:val="center"/>
          </w:tcPr>
          <w:p w14:paraId="0B805A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Dragon 50</w:t>
            </w:r>
          </w:p>
        </w:tc>
        <w:tc>
          <w:tcPr>
            <w:tcW w:w="472" w:type="pct"/>
            <w:tcBorders>
              <w:tl2br w:val="nil"/>
              <w:tr2bl w:val="nil"/>
            </w:tcBorders>
            <w:shd w:val="clear" w:color="auto" w:fill="auto"/>
            <w:noWrap/>
            <w:tcMar>
              <w:top w:w="15" w:type="dxa"/>
              <w:left w:w="15" w:type="dxa"/>
              <w:right w:w="15" w:type="dxa"/>
            </w:tcMar>
            <w:vAlign w:val="center"/>
          </w:tcPr>
          <w:p w14:paraId="529CD3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0F3FAE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16" w:type="pct"/>
            <w:tcBorders>
              <w:tl2br w:val="nil"/>
              <w:tr2bl w:val="nil"/>
            </w:tcBorders>
            <w:shd w:val="clear" w:color="auto" w:fill="auto"/>
            <w:noWrap/>
            <w:tcMar>
              <w:top w:w="15" w:type="dxa"/>
              <w:left w:w="15" w:type="dxa"/>
              <w:right w:w="15" w:type="dxa"/>
            </w:tcMar>
            <w:vAlign w:val="center"/>
          </w:tcPr>
          <w:p w14:paraId="5916C5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20" w:type="pct"/>
            <w:tcBorders>
              <w:tl2br w:val="nil"/>
              <w:tr2bl w:val="nil"/>
            </w:tcBorders>
            <w:shd w:val="clear" w:color="auto" w:fill="auto"/>
            <w:noWrap/>
            <w:tcMar>
              <w:top w:w="15" w:type="dxa"/>
              <w:left w:w="15" w:type="dxa"/>
              <w:right w:w="15" w:type="dxa"/>
            </w:tcMar>
            <w:vAlign w:val="center"/>
          </w:tcPr>
          <w:p w14:paraId="6E89A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E958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AFAA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32" w:type="pct"/>
            <w:tcBorders>
              <w:tl2br w:val="nil"/>
              <w:tr2bl w:val="nil"/>
            </w:tcBorders>
            <w:shd w:val="clear" w:color="auto" w:fill="auto"/>
            <w:noWrap/>
            <w:tcMar>
              <w:top w:w="15" w:type="dxa"/>
              <w:left w:w="15" w:type="dxa"/>
              <w:right w:w="15" w:type="dxa"/>
            </w:tcMar>
            <w:vAlign w:val="center"/>
          </w:tcPr>
          <w:p w14:paraId="3E8771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AC05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固定翼</w:t>
            </w:r>
          </w:p>
        </w:tc>
        <w:tc>
          <w:tcPr>
            <w:tcW w:w="704" w:type="pct"/>
            <w:tcBorders>
              <w:tl2br w:val="nil"/>
              <w:tr2bl w:val="nil"/>
            </w:tcBorders>
            <w:shd w:val="clear" w:color="auto" w:fill="auto"/>
            <w:noWrap/>
            <w:tcMar>
              <w:top w:w="15" w:type="dxa"/>
              <w:left w:w="15" w:type="dxa"/>
              <w:right w:w="15" w:type="dxa"/>
            </w:tcMar>
            <w:vAlign w:val="center"/>
          </w:tcPr>
          <w:p w14:paraId="41CA87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w:t>
            </w:r>
          </w:p>
        </w:tc>
        <w:tc>
          <w:tcPr>
            <w:tcW w:w="863" w:type="pct"/>
            <w:tcBorders>
              <w:tl2br w:val="nil"/>
              <w:tr2bl w:val="nil"/>
            </w:tcBorders>
            <w:shd w:val="clear" w:color="auto" w:fill="auto"/>
            <w:noWrap/>
            <w:tcMar>
              <w:top w:w="15" w:type="dxa"/>
              <w:left w:w="15" w:type="dxa"/>
              <w:right w:w="15" w:type="dxa"/>
            </w:tcMar>
            <w:vAlign w:val="center"/>
          </w:tcPr>
          <w:p w14:paraId="50B27C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彩虹4</w:t>
            </w:r>
          </w:p>
        </w:tc>
        <w:tc>
          <w:tcPr>
            <w:tcW w:w="472" w:type="pct"/>
            <w:tcBorders>
              <w:tl2br w:val="nil"/>
              <w:tr2bl w:val="nil"/>
            </w:tcBorders>
            <w:shd w:val="clear" w:color="auto" w:fill="auto"/>
            <w:noWrap/>
            <w:tcMar>
              <w:top w:w="15" w:type="dxa"/>
              <w:left w:w="15" w:type="dxa"/>
              <w:right w:w="15" w:type="dxa"/>
            </w:tcMar>
            <w:vAlign w:val="center"/>
          </w:tcPr>
          <w:p w14:paraId="5D48BA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57CB7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16" w:type="pct"/>
            <w:tcBorders>
              <w:tl2br w:val="nil"/>
              <w:tr2bl w:val="nil"/>
            </w:tcBorders>
            <w:shd w:val="clear" w:color="auto" w:fill="auto"/>
            <w:noWrap/>
            <w:tcMar>
              <w:top w:w="15" w:type="dxa"/>
              <w:left w:w="15" w:type="dxa"/>
              <w:right w:w="15" w:type="dxa"/>
            </w:tcMar>
            <w:vAlign w:val="center"/>
          </w:tcPr>
          <w:p w14:paraId="65145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20" w:type="pct"/>
            <w:tcBorders>
              <w:tl2br w:val="nil"/>
              <w:tr2bl w:val="nil"/>
            </w:tcBorders>
            <w:shd w:val="clear" w:color="auto" w:fill="auto"/>
            <w:noWrap/>
            <w:tcMar>
              <w:top w:w="15" w:type="dxa"/>
              <w:left w:w="15" w:type="dxa"/>
              <w:right w:w="15" w:type="dxa"/>
            </w:tcMar>
            <w:vAlign w:val="center"/>
          </w:tcPr>
          <w:p w14:paraId="77AA9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2A58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46E6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32" w:type="pct"/>
            <w:tcBorders>
              <w:tl2br w:val="nil"/>
              <w:tr2bl w:val="nil"/>
            </w:tcBorders>
            <w:shd w:val="clear" w:color="auto" w:fill="auto"/>
            <w:noWrap/>
            <w:tcMar>
              <w:top w:w="15" w:type="dxa"/>
              <w:left w:w="15" w:type="dxa"/>
              <w:right w:w="15" w:type="dxa"/>
            </w:tcMar>
            <w:vAlign w:val="center"/>
          </w:tcPr>
          <w:p w14:paraId="7498A6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tcMar>
              <w:top w:w="15" w:type="dxa"/>
              <w:left w:w="15" w:type="dxa"/>
              <w:right w:w="15" w:type="dxa"/>
            </w:tcMar>
            <w:vAlign w:val="center"/>
          </w:tcPr>
          <w:p w14:paraId="1F6106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7F4F8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w:t>
            </w:r>
          </w:p>
        </w:tc>
        <w:tc>
          <w:tcPr>
            <w:tcW w:w="863" w:type="pct"/>
            <w:tcBorders>
              <w:tl2br w:val="nil"/>
              <w:tr2bl w:val="nil"/>
            </w:tcBorders>
            <w:shd w:val="clear" w:color="auto" w:fill="auto"/>
            <w:noWrap/>
            <w:tcMar>
              <w:top w:w="15" w:type="dxa"/>
              <w:left w:w="15" w:type="dxa"/>
              <w:right w:w="15" w:type="dxa"/>
            </w:tcMar>
            <w:vAlign w:val="center"/>
          </w:tcPr>
          <w:p w14:paraId="4B4B2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徕卡DMCⅢ</w:t>
            </w:r>
          </w:p>
        </w:tc>
        <w:tc>
          <w:tcPr>
            <w:tcW w:w="472" w:type="pct"/>
            <w:tcBorders>
              <w:tl2br w:val="nil"/>
              <w:tr2bl w:val="nil"/>
            </w:tcBorders>
            <w:shd w:val="clear" w:color="auto" w:fill="auto"/>
            <w:noWrap/>
            <w:tcMar>
              <w:top w:w="15" w:type="dxa"/>
              <w:left w:w="15" w:type="dxa"/>
              <w:right w:w="15" w:type="dxa"/>
            </w:tcMar>
            <w:vAlign w:val="center"/>
          </w:tcPr>
          <w:p w14:paraId="31C5B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14ED9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416" w:type="pct"/>
            <w:tcBorders>
              <w:tl2br w:val="nil"/>
              <w:tr2bl w:val="nil"/>
            </w:tcBorders>
            <w:shd w:val="clear" w:color="auto" w:fill="auto"/>
            <w:noWrap/>
            <w:tcMar>
              <w:top w:w="15" w:type="dxa"/>
              <w:left w:w="15" w:type="dxa"/>
              <w:right w:w="15" w:type="dxa"/>
            </w:tcMar>
            <w:vAlign w:val="center"/>
          </w:tcPr>
          <w:p w14:paraId="322D44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DE101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6A0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92" w:type="pct"/>
            <w:tcBorders>
              <w:tl2br w:val="nil"/>
              <w:tr2bl w:val="nil"/>
            </w:tcBorders>
            <w:shd w:val="clear" w:color="auto" w:fill="auto"/>
            <w:noWrap/>
            <w:tcMar>
              <w:top w:w="15" w:type="dxa"/>
              <w:left w:w="15" w:type="dxa"/>
              <w:right w:w="15" w:type="dxa"/>
            </w:tcMar>
            <w:vAlign w:val="center"/>
          </w:tcPr>
          <w:p w14:paraId="2BF940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32" w:type="pct"/>
            <w:tcBorders>
              <w:tl2br w:val="nil"/>
              <w:tr2bl w:val="nil"/>
            </w:tcBorders>
            <w:shd w:val="clear" w:color="auto" w:fill="auto"/>
            <w:noWrap/>
            <w:tcMar>
              <w:top w:w="15" w:type="dxa"/>
              <w:left w:w="15" w:type="dxa"/>
              <w:right w:w="15" w:type="dxa"/>
            </w:tcMar>
            <w:vAlign w:val="center"/>
          </w:tcPr>
          <w:p w14:paraId="75CCD9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tcMar>
              <w:top w:w="15" w:type="dxa"/>
              <w:left w:w="15" w:type="dxa"/>
              <w:right w:w="15" w:type="dxa"/>
            </w:tcMar>
            <w:vAlign w:val="center"/>
          </w:tcPr>
          <w:p w14:paraId="7117D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6891C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徕卡</w:t>
            </w:r>
          </w:p>
        </w:tc>
        <w:tc>
          <w:tcPr>
            <w:tcW w:w="863" w:type="pct"/>
            <w:tcBorders>
              <w:tl2br w:val="nil"/>
              <w:tr2bl w:val="nil"/>
            </w:tcBorders>
            <w:shd w:val="clear" w:color="auto" w:fill="auto"/>
            <w:noWrap/>
            <w:tcMar>
              <w:top w:w="15" w:type="dxa"/>
              <w:left w:w="15" w:type="dxa"/>
              <w:right w:w="15" w:type="dxa"/>
            </w:tcMar>
            <w:vAlign w:val="center"/>
          </w:tcPr>
          <w:p w14:paraId="55E24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CityMapper-2L</w:t>
            </w:r>
          </w:p>
        </w:tc>
        <w:tc>
          <w:tcPr>
            <w:tcW w:w="472" w:type="pct"/>
            <w:tcBorders>
              <w:tl2br w:val="nil"/>
              <w:tr2bl w:val="nil"/>
            </w:tcBorders>
            <w:shd w:val="clear" w:color="auto" w:fill="auto"/>
            <w:noWrap/>
            <w:tcMar>
              <w:top w:w="15" w:type="dxa"/>
              <w:left w:w="15" w:type="dxa"/>
              <w:right w:w="15" w:type="dxa"/>
            </w:tcMar>
            <w:vAlign w:val="center"/>
          </w:tcPr>
          <w:p w14:paraId="5580E5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21ADD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416" w:type="pct"/>
            <w:tcBorders>
              <w:tl2br w:val="nil"/>
              <w:tr2bl w:val="nil"/>
            </w:tcBorders>
            <w:shd w:val="clear" w:color="auto" w:fill="auto"/>
            <w:noWrap/>
            <w:tcMar>
              <w:top w:w="15" w:type="dxa"/>
              <w:left w:w="15" w:type="dxa"/>
              <w:right w:w="15" w:type="dxa"/>
            </w:tcMar>
            <w:vAlign w:val="center"/>
          </w:tcPr>
          <w:p w14:paraId="20E28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5B83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4244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1626D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32" w:type="pct"/>
            <w:tcBorders>
              <w:tl2br w:val="nil"/>
              <w:tr2bl w:val="nil"/>
            </w:tcBorders>
            <w:shd w:val="clear" w:color="auto" w:fill="auto"/>
            <w:noWrap/>
            <w:tcMar>
              <w:top w:w="15" w:type="dxa"/>
              <w:left w:w="15" w:type="dxa"/>
              <w:right w:w="15" w:type="dxa"/>
            </w:tcMar>
            <w:vAlign w:val="center"/>
          </w:tcPr>
          <w:p w14:paraId="17CCCF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val="0"/>
            <w:tcMar>
              <w:top w:w="15" w:type="dxa"/>
              <w:left w:w="15" w:type="dxa"/>
              <w:right w:w="15" w:type="dxa"/>
            </w:tcMar>
            <w:vAlign w:val="center"/>
          </w:tcPr>
          <w:p w14:paraId="2ECE59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有人机</w:t>
            </w:r>
          </w:p>
        </w:tc>
        <w:tc>
          <w:tcPr>
            <w:tcW w:w="704" w:type="pct"/>
            <w:tcBorders>
              <w:tl2br w:val="nil"/>
              <w:tr2bl w:val="nil"/>
            </w:tcBorders>
            <w:shd w:val="clear" w:color="auto" w:fill="auto"/>
            <w:noWrap/>
            <w:tcMar>
              <w:top w:w="15" w:type="dxa"/>
              <w:left w:w="15" w:type="dxa"/>
              <w:right w:w="15" w:type="dxa"/>
            </w:tcMar>
            <w:vAlign w:val="center"/>
          </w:tcPr>
          <w:p w14:paraId="7D0DA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量子星光</w:t>
            </w:r>
          </w:p>
        </w:tc>
        <w:tc>
          <w:tcPr>
            <w:tcW w:w="863" w:type="pct"/>
            <w:tcBorders>
              <w:tl2br w:val="nil"/>
              <w:tr2bl w:val="nil"/>
            </w:tcBorders>
            <w:shd w:val="clear" w:color="auto" w:fill="auto"/>
            <w:noWrap/>
            <w:tcMar>
              <w:top w:w="15" w:type="dxa"/>
              <w:left w:w="15" w:type="dxa"/>
              <w:right w:w="15" w:type="dxa"/>
            </w:tcMar>
            <w:vAlign w:val="center"/>
          </w:tcPr>
          <w:p w14:paraId="1425F4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PAN-U5</w:t>
            </w:r>
          </w:p>
        </w:tc>
        <w:tc>
          <w:tcPr>
            <w:tcW w:w="472" w:type="pct"/>
            <w:tcBorders>
              <w:tl2br w:val="nil"/>
              <w:tr2bl w:val="nil"/>
            </w:tcBorders>
            <w:shd w:val="clear" w:color="auto" w:fill="auto"/>
            <w:noWrap/>
            <w:tcMar>
              <w:top w:w="15" w:type="dxa"/>
              <w:left w:w="15" w:type="dxa"/>
              <w:right w:w="15" w:type="dxa"/>
            </w:tcMar>
            <w:vAlign w:val="center"/>
          </w:tcPr>
          <w:p w14:paraId="35C1E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194FAB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416" w:type="pct"/>
            <w:tcBorders>
              <w:tl2br w:val="nil"/>
              <w:tr2bl w:val="nil"/>
            </w:tcBorders>
            <w:shd w:val="clear" w:color="auto" w:fill="auto"/>
            <w:noWrap/>
            <w:tcMar>
              <w:top w:w="15" w:type="dxa"/>
              <w:left w:w="15" w:type="dxa"/>
              <w:right w:w="15" w:type="dxa"/>
            </w:tcMar>
            <w:vAlign w:val="center"/>
          </w:tcPr>
          <w:p w14:paraId="5C3CE5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0A3AF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1FB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ADE7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32" w:type="pct"/>
            <w:tcBorders>
              <w:tl2br w:val="nil"/>
              <w:tr2bl w:val="nil"/>
            </w:tcBorders>
            <w:shd w:val="clear" w:color="auto" w:fill="auto"/>
            <w:noWrap/>
            <w:tcMar>
              <w:top w:w="15" w:type="dxa"/>
              <w:left w:w="15" w:type="dxa"/>
              <w:right w:w="15" w:type="dxa"/>
            </w:tcMar>
            <w:vAlign w:val="center"/>
          </w:tcPr>
          <w:p w14:paraId="6982E9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7DD0F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277E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029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M300</w:t>
            </w:r>
          </w:p>
        </w:tc>
        <w:tc>
          <w:tcPr>
            <w:tcW w:w="472" w:type="pct"/>
            <w:tcBorders>
              <w:tl2br w:val="nil"/>
              <w:tr2bl w:val="nil"/>
            </w:tcBorders>
            <w:shd w:val="clear" w:color="auto" w:fill="auto"/>
            <w:noWrap/>
            <w:tcMar>
              <w:top w:w="15" w:type="dxa"/>
              <w:left w:w="15" w:type="dxa"/>
              <w:right w:w="15" w:type="dxa"/>
            </w:tcMar>
            <w:vAlign w:val="center"/>
          </w:tcPr>
          <w:p w14:paraId="2AAB05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47329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l2br w:val="nil"/>
              <w:tr2bl w:val="nil"/>
            </w:tcBorders>
            <w:shd w:val="clear" w:color="auto" w:fill="auto"/>
            <w:noWrap/>
            <w:tcMar>
              <w:top w:w="15" w:type="dxa"/>
              <w:left w:w="15" w:type="dxa"/>
              <w:right w:w="15" w:type="dxa"/>
            </w:tcMar>
            <w:vAlign w:val="center"/>
          </w:tcPr>
          <w:p w14:paraId="783751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14669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C72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58F62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32" w:type="pct"/>
            <w:tcBorders>
              <w:tl2br w:val="nil"/>
              <w:tr2bl w:val="nil"/>
            </w:tcBorders>
            <w:shd w:val="clear" w:color="auto" w:fill="auto"/>
            <w:noWrap/>
            <w:tcMar>
              <w:top w:w="15" w:type="dxa"/>
              <w:left w:w="15" w:type="dxa"/>
              <w:right w:w="15" w:type="dxa"/>
            </w:tcMar>
            <w:vAlign w:val="center"/>
          </w:tcPr>
          <w:p w14:paraId="550080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5E3652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B919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2B559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6572C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500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29971C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4106C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B5B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51C7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32" w:type="pct"/>
            <w:tcBorders>
              <w:tl2br w:val="nil"/>
              <w:tr2bl w:val="nil"/>
            </w:tcBorders>
            <w:shd w:val="clear" w:color="auto" w:fill="auto"/>
            <w:noWrap/>
            <w:tcMar>
              <w:top w:w="15" w:type="dxa"/>
              <w:left w:w="15" w:type="dxa"/>
              <w:right w:w="15" w:type="dxa"/>
            </w:tcMar>
            <w:vAlign w:val="center"/>
          </w:tcPr>
          <w:p w14:paraId="18D24D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5EDD3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A16C0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3B68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DG4M</w:t>
            </w:r>
          </w:p>
        </w:tc>
        <w:tc>
          <w:tcPr>
            <w:tcW w:w="472" w:type="pct"/>
            <w:tcBorders>
              <w:tl2br w:val="nil"/>
              <w:tr2bl w:val="nil"/>
            </w:tcBorders>
            <w:shd w:val="clear" w:color="auto" w:fill="auto"/>
            <w:noWrap/>
            <w:tcMar>
              <w:top w:w="15" w:type="dxa"/>
              <w:left w:w="15" w:type="dxa"/>
              <w:right w:w="15" w:type="dxa"/>
            </w:tcMar>
            <w:vAlign w:val="center"/>
          </w:tcPr>
          <w:p w14:paraId="252C88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73AC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6" w:type="pct"/>
            <w:tcBorders>
              <w:tl2br w:val="nil"/>
              <w:tr2bl w:val="nil"/>
            </w:tcBorders>
            <w:shd w:val="clear" w:color="auto" w:fill="auto"/>
            <w:noWrap/>
            <w:tcMar>
              <w:top w:w="15" w:type="dxa"/>
              <w:left w:w="15" w:type="dxa"/>
              <w:right w:w="15" w:type="dxa"/>
            </w:tcMar>
            <w:vAlign w:val="center"/>
          </w:tcPr>
          <w:p w14:paraId="3F2AD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09F3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1F7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785D4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32" w:type="pct"/>
            <w:tcBorders>
              <w:tl2br w:val="nil"/>
              <w:tr2bl w:val="nil"/>
            </w:tcBorders>
            <w:shd w:val="clear" w:color="auto" w:fill="auto"/>
            <w:noWrap/>
            <w:tcMar>
              <w:top w:w="15" w:type="dxa"/>
              <w:left w:w="15" w:type="dxa"/>
              <w:right w:w="15" w:type="dxa"/>
            </w:tcMar>
            <w:vAlign w:val="center"/>
          </w:tcPr>
          <w:p w14:paraId="24FAB5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464BA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6EF4C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0F363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D500</w:t>
            </w:r>
          </w:p>
        </w:tc>
        <w:tc>
          <w:tcPr>
            <w:tcW w:w="472" w:type="pct"/>
            <w:tcBorders>
              <w:tl2br w:val="nil"/>
              <w:tr2bl w:val="nil"/>
            </w:tcBorders>
            <w:shd w:val="clear" w:color="auto" w:fill="auto"/>
            <w:noWrap/>
            <w:tcMar>
              <w:top w:w="15" w:type="dxa"/>
              <w:left w:w="15" w:type="dxa"/>
              <w:right w:w="15" w:type="dxa"/>
            </w:tcMar>
            <w:vAlign w:val="center"/>
          </w:tcPr>
          <w:p w14:paraId="51F612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F6757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443FA4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F9BB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B60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2BFB7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32" w:type="pct"/>
            <w:tcBorders>
              <w:tl2br w:val="nil"/>
              <w:tr2bl w:val="nil"/>
            </w:tcBorders>
            <w:shd w:val="clear" w:color="auto" w:fill="auto"/>
            <w:noWrap/>
            <w:tcMar>
              <w:top w:w="15" w:type="dxa"/>
              <w:left w:w="15" w:type="dxa"/>
              <w:right w:w="15" w:type="dxa"/>
            </w:tcMar>
            <w:vAlign w:val="center"/>
          </w:tcPr>
          <w:p w14:paraId="4CCF8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5D7D47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39B2C9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AFB17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LiDAR500</w:t>
            </w:r>
          </w:p>
        </w:tc>
        <w:tc>
          <w:tcPr>
            <w:tcW w:w="472" w:type="pct"/>
            <w:tcBorders>
              <w:tl2br w:val="nil"/>
              <w:tr2bl w:val="nil"/>
            </w:tcBorders>
            <w:shd w:val="clear" w:color="auto" w:fill="auto"/>
            <w:noWrap/>
            <w:tcMar>
              <w:top w:w="15" w:type="dxa"/>
              <w:left w:w="15" w:type="dxa"/>
              <w:right w:w="15" w:type="dxa"/>
            </w:tcMar>
            <w:vAlign w:val="center"/>
          </w:tcPr>
          <w:p w14:paraId="63348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7659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l2br w:val="nil"/>
              <w:tr2bl w:val="nil"/>
            </w:tcBorders>
            <w:shd w:val="clear" w:color="auto" w:fill="auto"/>
            <w:noWrap/>
            <w:tcMar>
              <w:top w:w="15" w:type="dxa"/>
              <w:left w:w="15" w:type="dxa"/>
              <w:right w:w="15" w:type="dxa"/>
            </w:tcMar>
            <w:vAlign w:val="center"/>
          </w:tcPr>
          <w:p w14:paraId="1583EC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8D6A7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311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15FF4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32" w:type="pct"/>
            <w:tcBorders>
              <w:tl2br w:val="nil"/>
              <w:tr2bl w:val="nil"/>
            </w:tcBorders>
            <w:shd w:val="clear" w:color="auto" w:fill="auto"/>
            <w:noWrap/>
            <w:tcMar>
              <w:top w:w="15" w:type="dxa"/>
              <w:left w:w="15" w:type="dxa"/>
              <w:right w:w="15" w:type="dxa"/>
            </w:tcMar>
            <w:vAlign w:val="center"/>
          </w:tcPr>
          <w:p w14:paraId="2B7D6C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3C3166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2538B1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1636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OP4000</w:t>
            </w:r>
          </w:p>
        </w:tc>
        <w:tc>
          <w:tcPr>
            <w:tcW w:w="472" w:type="pct"/>
            <w:tcBorders>
              <w:tl2br w:val="nil"/>
              <w:tr2bl w:val="nil"/>
            </w:tcBorders>
            <w:shd w:val="clear" w:color="auto" w:fill="auto"/>
            <w:noWrap/>
            <w:tcMar>
              <w:top w:w="15" w:type="dxa"/>
              <w:left w:w="15" w:type="dxa"/>
              <w:right w:w="15" w:type="dxa"/>
            </w:tcMar>
            <w:vAlign w:val="center"/>
          </w:tcPr>
          <w:p w14:paraId="2EC624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2931F6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16" w:type="pct"/>
            <w:tcBorders>
              <w:tl2br w:val="nil"/>
              <w:tr2bl w:val="nil"/>
            </w:tcBorders>
            <w:shd w:val="clear" w:color="auto" w:fill="auto"/>
            <w:noWrap/>
            <w:tcMar>
              <w:top w:w="15" w:type="dxa"/>
              <w:left w:w="15" w:type="dxa"/>
              <w:right w:w="15" w:type="dxa"/>
            </w:tcMar>
            <w:vAlign w:val="center"/>
          </w:tcPr>
          <w:p w14:paraId="7A5EFE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F1E47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E268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14E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32" w:type="pct"/>
            <w:tcBorders>
              <w:tl2br w:val="nil"/>
              <w:tr2bl w:val="nil"/>
            </w:tcBorders>
            <w:shd w:val="clear" w:color="auto" w:fill="auto"/>
            <w:noWrap/>
            <w:tcMar>
              <w:top w:w="15" w:type="dxa"/>
              <w:left w:w="15" w:type="dxa"/>
              <w:right w:w="15" w:type="dxa"/>
            </w:tcMar>
            <w:vAlign w:val="center"/>
          </w:tcPr>
          <w:p w14:paraId="7AA191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71CC0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C425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7CCFB3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w:t>
            </w:r>
          </w:p>
        </w:tc>
        <w:tc>
          <w:tcPr>
            <w:tcW w:w="472" w:type="pct"/>
            <w:tcBorders>
              <w:tl2br w:val="nil"/>
              <w:tr2bl w:val="nil"/>
            </w:tcBorders>
            <w:shd w:val="clear" w:color="auto" w:fill="auto"/>
            <w:noWrap/>
            <w:tcMar>
              <w:top w:w="15" w:type="dxa"/>
              <w:left w:w="15" w:type="dxa"/>
              <w:right w:w="15" w:type="dxa"/>
            </w:tcMar>
            <w:vAlign w:val="center"/>
          </w:tcPr>
          <w:p w14:paraId="066418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55758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5503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A934C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9B5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274FE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32" w:type="pct"/>
            <w:tcBorders>
              <w:tl2br w:val="nil"/>
              <w:tr2bl w:val="nil"/>
            </w:tcBorders>
            <w:shd w:val="clear" w:color="auto" w:fill="auto"/>
            <w:noWrap/>
            <w:tcMar>
              <w:top w:w="15" w:type="dxa"/>
              <w:left w:w="15" w:type="dxa"/>
              <w:right w:w="15" w:type="dxa"/>
            </w:tcMar>
            <w:vAlign w:val="center"/>
          </w:tcPr>
          <w:p w14:paraId="17D402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6C624C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ABDF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95424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405F79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4F9D49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09B1B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6730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58E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F4C0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32" w:type="pct"/>
            <w:tcBorders>
              <w:tl2br w:val="nil"/>
              <w:tr2bl w:val="nil"/>
            </w:tcBorders>
            <w:shd w:val="clear" w:color="auto" w:fill="auto"/>
            <w:noWrap/>
            <w:tcMar>
              <w:top w:w="15" w:type="dxa"/>
              <w:left w:w="15" w:type="dxa"/>
              <w:right w:w="15" w:type="dxa"/>
            </w:tcMar>
            <w:vAlign w:val="center"/>
          </w:tcPr>
          <w:p w14:paraId="069A5D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航摄仪</w:t>
            </w:r>
          </w:p>
        </w:tc>
        <w:tc>
          <w:tcPr>
            <w:tcW w:w="754" w:type="pct"/>
            <w:tcBorders>
              <w:tl2br w:val="nil"/>
              <w:tr2bl w:val="nil"/>
            </w:tcBorders>
            <w:shd w:val="clear" w:color="auto" w:fill="auto"/>
            <w:noWrap w:val="0"/>
            <w:tcMar>
              <w:top w:w="15" w:type="dxa"/>
              <w:left w:w="15" w:type="dxa"/>
              <w:right w:w="15" w:type="dxa"/>
            </w:tcMar>
            <w:vAlign w:val="center"/>
          </w:tcPr>
          <w:p w14:paraId="48E693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771DEA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吉欧</w:t>
            </w:r>
          </w:p>
        </w:tc>
        <w:tc>
          <w:tcPr>
            <w:tcW w:w="863" w:type="pct"/>
            <w:tcBorders>
              <w:tl2br w:val="nil"/>
              <w:tr2bl w:val="nil"/>
            </w:tcBorders>
            <w:shd w:val="clear" w:color="auto" w:fill="auto"/>
            <w:noWrap/>
            <w:tcMar>
              <w:top w:w="15" w:type="dxa"/>
              <w:left w:w="15" w:type="dxa"/>
              <w:right w:w="15" w:type="dxa"/>
            </w:tcMar>
            <w:vAlign w:val="center"/>
          </w:tcPr>
          <w:p w14:paraId="43DD66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GL54</w:t>
            </w:r>
          </w:p>
        </w:tc>
        <w:tc>
          <w:tcPr>
            <w:tcW w:w="472" w:type="pct"/>
            <w:tcBorders>
              <w:tl2br w:val="nil"/>
              <w:tr2bl w:val="nil"/>
            </w:tcBorders>
            <w:shd w:val="clear" w:color="auto" w:fill="auto"/>
            <w:noWrap/>
            <w:tcMar>
              <w:top w:w="15" w:type="dxa"/>
              <w:left w:w="15" w:type="dxa"/>
              <w:right w:w="15" w:type="dxa"/>
            </w:tcMar>
            <w:vAlign w:val="center"/>
          </w:tcPr>
          <w:p w14:paraId="30CC2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543" w:type="pct"/>
            <w:tcBorders>
              <w:tl2br w:val="nil"/>
              <w:tr2bl w:val="nil"/>
            </w:tcBorders>
            <w:shd w:val="clear" w:color="auto" w:fill="auto"/>
            <w:noWrap/>
            <w:tcMar>
              <w:top w:w="15" w:type="dxa"/>
              <w:left w:w="15" w:type="dxa"/>
              <w:right w:w="15" w:type="dxa"/>
            </w:tcMar>
            <w:vAlign w:val="center"/>
          </w:tcPr>
          <w:p w14:paraId="103028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16" w:type="pct"/>
            <w:tcBorders>
              <w:tl2br w:val="nil"/>
              <w:tr2bl w:val="nil"/>
            </w:tcBorders>
            <w:shd w:val="clear" w:color="auto" w:fill="auto"/>
            <w:noWrap/>
            <w:tcMar>
              <w:top w:w="15" w:type="dxa"/>
              <w:left w:w="15" w:type="dxa"/>
              <w:right w:w="15" w:type="dxa"/>
            </w:tcMar>
            <w:vAlign w:val="center"/>
          </w:tcPr>
          <w:p w14:paraId="07259A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44DA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103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D492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32" w:type="pct"/>
            <w:tcBorders>
              <w:tl2br w:val="nil"/>
              <w:tr2bl w:val="nil"/>
            </w:tcBorders>
            <w:shd w:val="clear" w:color="auto" w:fill="auto"/>
            <w:noWrap/>
            <w:tcMar>
              <w:top w:w="15" w:type="dxa"/>
              <w:left w:w="15" w:type="dxa"/>
              <w:right w:w="15" w:type="dxa"/>
            </w:tcMar>
            <w:vAlign w:val="center"/>
          </w:tcPr>
          <w:p w14:paraId="7D2B0E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F18F3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4088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FDE3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708664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143C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E61C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9C727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BE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510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32" w:type="pct"/>
            <w:tcBorders>
              <w:tl2br w:val="nil"/>
              <w:tr2bl w:val="nil"/>
            </w:tcBorders>
            <w:shd w:val="clear" w:color="auto" w:fill="auto"/>
            <w:noWrap/>
            <w:tcMar>
              <w:top w:w="15" w:type="dxa"/>
              <w:left w:w="15" w:type="dxa"/>
              <w:right w:w="15" w:type="dxa"/>
            </w:tcMar>
            <w:vAlign w:val="center"/>
          </w:tcPr>
          <w:p w14:paraId="2AEBA98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2F7333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磁通门探头+探头控制器</w:t>
            </w:r>
          </w:p>
        </w:tc>
        <w:tc>
          <w:tcPr>
            <w:tcW w:w="704" w:type="pct"/>
            <w:tcBorders>
              <w:tl2br w:val="nil"/>
              <w:tr2bl w:val="nil"/>
            </w:tcBorders>
            <w:shd w:val="clear" w:color="auto" w:fill="auto"/>
            <w:noWrap/>
            <w:tcMar>
              <w:top w:w="15" w:type="dxa"/>
              <w:left w:w="15" w:type="dxa"/>
              <w:right w:w="15" w:type="dxa"/>
            </w:tcMar>
            <w:vAlign w:val="center"/>
          </w:tcPr>
          <w:p w14:paraId="1238CDB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巴廷顿</w:t>
            </w:r>
          </w:p>
        </w:tc>
        <w:tc>
          <w:tcPr>
            <w:tcW w:w="863" w:type="pct"/>
            <w:tcBorders>
              <w:tl2br w:val="nil"/>
              <w:tr2bl w:val="nil"/>
            </w:tcBorders>
            <w:shd w:val="clear" w:color="auto" w:fill="auto"/>
            <w:noWrap/>
            <w:tcMar>
              <w:top w:w="15" w:type="dxa"/>
              <w:left w:w="15" w:type="dxa"/>
              <w:right w:w="15" w:type="dxa"/>
            </w:tcMar>
            <w:vAlign w:val="center"/>
          </w:tcPr>
          <w:p w14:paraId="14DC000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MAG-13MSL100</w:t>
            </w:r>
          </w:p>
        </w:tc>
        <w:tc>
          <w:tcPr>
            <w:tcW w:w="472" w:type="pct"/>
            <w:tcBorders>
              <w:tl2br w:val="nil"/>
              <w:tr2bl w:val="nil"/>
            </w:tcBorders>
            <w:shd w:val="clear" w:color="auto" w:fill="auto"/>
            <w:noWrap/>
            <w:tcMar>
              <w:top w:w="15" w:type="dxa"/>
              <w:left w:w="15" w:type="dxa"/>
              <w:right w:w="15" w:type="dxa"/>
            </w:tcMar>
            <w:vAlign w:val="center"/>
          </w:tcPr>
          <w:p w14:paraId="5AAEF7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543" w:type="pct"/>
            <w:tcBorders>
              <w:tl2br w:val="nil"/>
              <w:tr2bl w:val="nil"/>
            </w:tcBorders>
            <w:shd w:val="clear" w:color="auto" w:fill="auto"/>
            <w:noWrap/>
            <w:tcMar>
              <w:top w:w="15" w:type="dxa"/>
              <w:left w:w="15" w:type="dxa"/>
              <w:right w:w="15" w:type="dxa"/>
            </w:tcMar>
            <w:vAlign w:val="center"/>
          </w:tcPr>
          <w:p w14:paraId="33560E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19.575</w:t>
            </w:r>
          </w:p>
        </w:tc>
        <w:tc>
          <w:tcPr>
            <w:tcW w:w="416" w:type="pct"/>
            <w:tcBorders>
              <w:tl2br w:val="nil"/>
              <w:tr2bl w:val="nil"/>
            </w:tcBorders>
            <w:shd w:val="clear" w:color="auto" w:fill="auto"/>
            <w:noWrap/>
            <w:tcMar>
              <w:top w:w="15" w:type="dxa"/>
              <w:left w:w="15" w:type="dxa"/>
              <w:right w:w="15" w:type="dxa"/>
            </w:tcMar>
            <w:vAlign w:val="center"/>
          </w:tcPr>
          <w:p w14:paraId="06F8BF9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BC3754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58DF5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AC6E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32" w:type="pct"/>
            <w:tcBorders>
              <w:tl2br w:val="nil"/>
              <w:tr2bl w:val="nil"/>
            </w:tcBorders>
            <w:shd w:val="clear" w:color="auto" w:fill="auto"/>
            <w:noWrap/>
            <w:tcMar>
              <w:top w:w="15" w:type="dxa"/>
              <w:left w:w="15" w:type="dxa"/>
              <w:right w:w="15" w:type="dxa"/>
            </w:tcMar>
            <w:vAlign w:val="center"/>
          </w:tcPr>
          <w:p w14:paraId="0308F57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0F843E1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光泵标量磁强计</w:t>
            </w:r>
          </w:p>
        </w:tc>
        <w:tc>
          <w:tcPr>
            <w:tcW w:w="704" w:type="pct"/>
            <w:tcBorders>
              <w:tl2br w:val="nil"/>
              <w:tr2bl w:val="nil"/>
            </w:tcBorders>
            <w:shd w:val="clear" w:color="auto" w:fill="auto"/>
            <w:noWrap/>
            <w:tcMar>
              <w:top w:w="15" w:type="dxa"/>
              <w:left w:w="15" w:type="dxa"/>
              <w:right w:w="15" w:type="dxa"/>
            </w:tcMar>
            <w:vAlign w:val="center"/>
          </w:tcPr>
          <w:p w14:paraId="6B4C48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Quspin</w:t>
            </w:r>
          </w:p>
        </w:tc>
        <w:tc>
          <w:tcPr>
            <w:tcW w:w="863" w:type="pct"/>
            <w:tcBorders>
              <w:tl2br w:val="nil"/>
              <w:tr2bl w:val="nil"/>
            </w:tcBorders>
            <w:shd w:val="clear" w:color="auto" w:fill="auto"/>
            <w:noWrap/>
            <w:tcMar>
              <w:top w:w="15" w:type="dxa"/>
              <w:left w:w="15" w:type="dxa"/>
              <w:right w:w="15" w:type="dxa"/>
            </w:tcMar>
            <w:vAlign w:val="center"/>
          </w:tcPr>
          <w:p w14:paraId="5D240B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QTFMGen2</w:t>
            </w:r>
          </w:p>
        </w:tc>
        <w:tc>
          <w:tcPr>
            <w:tcW w:w="472" w:type="pct"/>
            <w:tcBorders>
              <w:tl2br w:val="nil"/>
              <w:tr2bl w:val="nil"/>
            </w:tcBorders>
            <w:shd w:val="clear" w:color="auto" w:fill="auto"/>
            <w:noWrap/>
            <w:tcMar>
              <w:top w:w="15" w:type="dxa"/>
              <w:left w:w="15" w:type="dxa"/>
              <w:right w:w="15" w:type="dxa"/>
            </w:tcMar>
            <w:vAlign w:val="center"/>
          </w:tcPr>
          <w:p w14:paraId="443F7F0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w:t>
            </w:r>
          </w:p>
        </w:tc>
        <w:tc>
          <w:tcPr>
            <w:tcW w:w="543" w:type="pct"/>
            <w:tcBorders>
              <w:tl2br w:val="nil"/>
              <w:tr2bl w:val="nil"/>
            </w:tcBorders>
            <w:shd w:val="clear" w:color="auto" w:fill="auto"/>
            <w:noWrap/>
            <w:tcMar>
              <w:top w:w="15" w:type="dxa"/>
              <w:left w:w="15" w:type="dxa"/>
              <w:right w:w="15" w:type="dxa"/>
            </w:tcMar>
            <w:vAlign w:val="center"/>
          </w:tcPr>
          <w:p w14:paraId="344790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416" w:type="pct"/>
            <w:tcBorders>
              <w:tl2br w:val="nil"/>
              <w:tr2bl w:val="nil"/>
            </w:tcBorders>
            <w:shd w:val="clear" w:color="auto" w:fill="auto"/>
            <w:noWrap/>
            <w:tcMar>
              <w:top w:w="15" w:type="dxa"/>
              <w:left w:w="15" w:type="dxa"/>
              <w:right w:w="15" w:type="dxa"/>
            </w:tcMar>
            <w:vAlign w:val="center"/>
          </w:tcPr>
          <w:p w14:paraId="0EE5D74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109765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6A4F5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176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32" w:type="pct"/>
            <w:tcBorders>
              <w:tl2br w:val="nil"/>
              <w:tr2bl w:val="nil"/>
            </w:tcBorders>
            <w:shd w:val="clear" w:color="auto" w:fill="auto"/>
            <w:noWrap/>
            <w:tcMar>
              <w:top w:w="15" w:type="dxa"/>
              <w:left w:w="15" w:type="dxa"/>
              <w:right w:w="15" w:type="dxa"/>
            </w:tcMar>
            <w:vAlign w:val="center"/>
          </w:tcPr>
          <w:p w14:paraId="3CAA589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79F97E8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iCs w:val="0"/>
                <w:color w:val="auto"/>
                <w:kern w:val="0"/>
                <w:sz w:val="22"/>
                <w:szCs w:val="22"/>
                <w:u w:val="none"/>
                <w:lang w:val="en-US" w:eastAsia="zh-CN" w:bidi="ar"/>
              </w:rPr>
              <w:t>面向地磁导航的惯性导航系统</w:t>
            </w:r>
          </w:p>
        </w:tc>
        <w:tc>
          <w:tcPr>
            <w:tcW w:w="704" w:type="pct"/>
            <w:tcBorders>
              <w:tl2br w:val="nil"/>
              <w:tr2bl w:val="nil"/>
            </w:tcBorders>
            <w:shd w:val="clear" w:color="auto" w:fill="auto"/>
            <w:noWrap/>
            <w:tcMar>
              <w:top w:w="15" w:type="dxa"/>
              <w:left w:w="15" w:type="dxa"/>
              <w:right w:w="15" w:type="dxa"/>
            </w:tcMar>
            <w:vAlign w:val="center"/>
          </w:tcPr>
          <w:p w14:paraId="0639C6B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国防科技大学前沿交叉学科学院</w:t>
            </w:r>
          </w:p>
        </w:tc>
        <w:tc>
          <w:tcPr>
            <w:tcW w:w="863" w:type="pct"/>
            <w:tcBorders>
              <w:tl2br w:val="nil"/>
              <w:tr2bl w:val="nil"/>
            </w:tcBorders>
            <w:shd w:val="clear" w:color="auto" w:fill="auto"/>
            <w:noWrap/>
            <w:tcMar>
              <w:top w:w="15" w:type="dxa"/>
              <w:left w:w="15" w:type="dxa"/>
              <w:right w:w="15" w:type="dxa"/>
            </w:tcMar>
            <w:vAlign w:val="center"/>
          </w:tcPr>
          <w:p w14:paraId="6D286D5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KDJG208-90IMU-ZJ</w:t>
            </w:r>
          </w:p>
        </w:tc>
        <w:tc>
          <w:tcPr>
            <w:tcW w:w="472" w:type="pct"/>
            <w:tcBorders>
              <w:tl2br w:val="nil"/>
              <w:tr2bl w:val="nil"/>
            </w:tcBorders>
            <w:shd w:val="clear" w:color="auto" w:fill="auto"/>
            <w:noWrap/>
            <w:tcMar>
              <w:top w:w="15" w:type="dxa"/>
              <w:left w:w="15" w:type="dxa"/>
              <w:right w:w="15" w:type="dxa"/>
            </w:tcMar>
            <w:vAlign w:val="center"/>
          </w:tcPr>
          <w:p w14:paraId="2CC5C0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FC27A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139.4505</w:t>
            </w:r>
          </w:p>
        </w:tc>
        <w:tc>
          <w:tcPr>
            <w:tcW w:w="416" w:type="pct"/>
            <w:tcBorders>
              <w:tl2br w:val="nil"/>
              <w:tr2bl w:val="nil"/>
            </w:tcBorders>
            <w:shd w:val="clear" w:color="auto" w:fill="auto"/>
            <w:noWrap/>
            <w:tcMar>
              <w:top w:w="15" w:type="dxa"/>
              <w:left w:w="15" w:type="dxa"/>
              <w:right w:w="15" w:type="dxa"/>
            </w:tcMar>
            <w:vAlign w:val="center"/>
          </w:tcPr>
          <w:p w14:paraId="7F270D4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53E243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2025.07.12</w:t>
            </w:r>
          </w:p>
        </w:tc>
      </w:tr>
      <w:tr w14:paraId="63DA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43E80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32" w:type="pct"/>
            <w:tcBorders>
              <w:tl2br w:val="nil"/>
              <w:tr2bl w:val="nil"/>
            </w:tcBorders>
            <w:shd w:val="clear" w:color="auto" w:fill="auto"/>
            <w:noWrap/>
            <w:tcMar>
              <w:top w:w="15" w:type="dxa"/>
              <w:left w:w="15" w:type="dxa"/>
              <w:right w:w="15" w:type="dxa"/>
            </w:tcMar>
            <w:vAlign w:val="center"/>
          </w:tcPr>
          <w:p w14:paraId="287895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1BDB3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8A52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59A2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御3T</w:t>
            </w:r>
          </w:p>
        </w:tc>
        <w:tc>
          <w:tcPr>
            <w:tcW w:w="472" w:type="pct"/>
            <w:tcBorders>
              <w:tl2br w:val="nil"/>
              <w:tr2bl w:val="nil"/>
            </w:tcBorders>
            <w:shd w:val="clear" w:color="auto" w:fill="auto"/>
            <w:noWrap/>
            <w:tcMar>
              <w:top w:w="15" w:type="dxa"/>
              <w:left w:w="15" w:type="dxa"/>
              <w:right w:w="15" w:type="dxa"/>
            </w:tcMar>
            <w:vAlign w:val="center"/>
          </w:tcPr>
          <w:p w14:paraId="07531A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B077F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FB969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E416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A9A6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E9C3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32" w:type="pct"/>
            <w:tcBorders>
              <w:tl2br w:val="nil"/>
              <w:tr2bl w:val="nil"/>
            </w:tcBorders>
            <w:shd w:val="clear" w:color="auto" w:fill="auto"/>
            <w:noWrap/>
            <w:tcMar>
              <w:top w:w="15" w:type="dxa"/>
              <w:left w:w="15" w:type="dxa"/>
              <w:right w:w="15" w:type="dxa"/>
            </w:tcMar>
            <w:vAlign w:val="center"/>
          </w:tcPr>
          <w:p w14:paraId="36FAC1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D4B1B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9367C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E50E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Phantom4 RTK</w:t>
            </w:r>
          </w:p>
        </w:tc>
        <w:tc>
          <w:tcPr>
            <w:tcW w:w="472" w:type="pct"/>
            <w:tcBorders>
              <w:tl2br w:val="nil"/>
              <w:tr2bl w:val="nil"/>
            </w:tcBorders>
            <w:shd w:val="clear" w:color="auto" w:fill="auto"/>
            <w:noWrap/>
            <w:tcMar>
              <w:top w:w="15" w:type="dxa"/>
              <w:left w:w="15" w:type="dxa"/>
              <w:right w:w="15" w:type="dxa"/>
            </w:tcMar>
            <w:vAlign w:val="center"/>
          </w:tcPr>
          <w:p w14:paraId="395D7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2720AD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1ADC4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FD98A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01FA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1673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32" w:type="pct"/>
            <w:tcBorders>
              <w:tl2br w:val="nil"/>
              <w:tr2bl w:val="nil"/>
            </w:tcBorders>
            <w:shd w:val="clear" w:color="auto" w:fill="auto"/>
            <w:noWrap/>
            <w:tcMar>
              <w:top w:w="15" w:type="dxa"/>
              <w:left w:w="15" w:type="dxa"/>
              <w:right w:w="15" w:type="dxa"/>
            </w:tcMar>
            <w:vAlign w:val="center"/>
          </w:tcPr>
          <w:p w14:paraId="19C132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4FC39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0501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4E0026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w:t>
            </w:r>
          </w:p>
        </w:tc>
        <w:tc>
          <w:tcPr>
            <w:tcW w:w="472" w:type="pct"/>
            <w:tcBorders>
              <w:tl2br w:val="nil"/>
              <w:tr2bl w:val="nil"/>
            </w:tcBorders>
            <w:shd w:val="clear" w:color="auto" w:fill="auto"/>
            <w:noWrap/>
            <w:tcMar>
              <w:top w:w="15" w:type="dxa"/>
              <w:left w:w="15" w:type="dxa"/>
              <w:right w:w="15" w:type="dxa"/>
            </w:tcMar>
            <w:vAlign w:val="center"/>
          </w:tcPr>
          <w:p w14:paraId="7BD832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19559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16" w:type="pct"/>
            <w:tcBorders>
              <w:tl2br w:val="nil"/>
              <w:tr2bl w:val="nil"/>
            </w:tcBorders>
            <w:shd w:val="clear" w:color="auto" w:fill="auto"/>
            <w:noWrap/>
            <w:tcMar>
              <w:top w:w="15" w:type="dxa"/>
              <w:left w:w="15" w:type="dxa"/>
              <w:right w:w="15" w:type="dxa"/>
            </w:tcMar>
            <w:vAlign w:val="center"/>
          </w:tcPr>
          <w:p w14:paraId="2E2F1F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98A3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92A5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9EA4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32" w:type="pct"/>
            <w:tcBorders>
              <w:tl2br w:val="nil"/>
              <w:tr2bl w:val="nil"/>
            </w:tcBorders>
            <w:shd w:val="clear" w:color="auto" w:fill="auto"/>
            <w:noWrap/>
            <w:tcMar>
              <w:top w:w="15" w:type="dxa"/>
              <w:left w:w="15" w:type="dxa"/>
              <w:right w:w="15" w:type="dxa"/>
            </w:tcMar>
            <w:vAlign w:val="center"/>
          </w:tcPr>
          <w:p w14:paraId="18187D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0CE71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C4D3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4E34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Air2</w:t>
            </w:r>
          </w:p>
        </w:tc>
        <w:tc>
          <w:tcPr>
            <w:tcW w:w="472" w:type="pct"/>
            <w:tcBorders>
              <w:tl2br w:val="nil"/>
              <w:tr2bl w:val="nil"/>
            </w:tcBorders>
            <w:shd w:val="clear" w:color="auto" w:fill="auto"/>
            <w:noWrap/>
            <w:tcMar>
              <w:top w:w="15" w:type="dxa"/>
              <w:left w:w="15" w:type="dxa"/>
              <w:right w:w="15" w:type="dxa"/>
            </w:tcMar>
            <w:vAlign w:val="center"/>
          </w:tcPr>
          <w:p w14:paraId="72DB3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6F899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16" w:type="pct"/>
            <w:tcBorders>
              <w:tl2br w:val="nil"/>
              <w:tr2bl w:val="nil"/>
            </w:tcBorders>
            <w:shd w:val="clear" w:color="auto" w:fill="auto"/>
            <w:noWrap/>
            <w:tcMar>
              <w:top w:w="15" w:type="dxa"/>
              <w:left w:w="15" w:type="dxa"/>
              <w:right w:w="15" w:type="dxa"/>
            </w:tcMar>
            <w:vAlign w:val="center"/>
          </w:tcPr>
          <w:p w14:paraId="421CA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0ACC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43A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C1FA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32" w:type="pct"/>
            <w:tcBorders>
              <w:tl2br w:val="nil"/>
              <w:tr2bl w:val="nil"/>
            </w:tcBorders>
            <w:shd w:val="clear" w:color="auto" w:fill="auto"/>
            <w:noWrap/>
            <w:tcMar>
              <w:top w:w="15" w:type="dxa"/>
              <w:left w:w="15" w:type="dxa"/>
              <w:right w:w="15" w:type="dxa"/>
            </w:tcMar>
            <w:vAlign w:val="center"/>
          </w:tcPr>
          <w:p w14:paraId="0FC4EC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554095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5A631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3152F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63EE7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20EA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28EC25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96F8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E8D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7210B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32" w:type="pct"/>
            <w:tcBorders>
              <w:tl2br w:val="nil"/>
              <w:tr2bl w:val="nil"/>
            </w:tcBorders>
            <w:shd w:val="clear" w:color="auto" w:fill="auto"/>
            <w:noWrap/>
            <w:tcMar>
              <w:top w:w="15" w:type="dxa"/>
              <w:left w:w="15" w:type="dxa"/>
              <w:right w:w="15" w:type="dxa"/>
            </w:tcMar>
            <w:vAlign w:val="center"/>
          </w:tcPr>
          <w:p w14:paraId="7F1AD98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D1DA5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60F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31603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3DF9F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AABD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09ECAE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2553C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AEA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5AD9B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2" w:type="pct"/>
            <w:tcBorders>
              <w:tl2br w:val="nil"/>
              <w:tr2bl w:val="nil"/>
            </w:tcBorders>
            <w:shd w:val="clear" w:color="auto" w:fill="auto"/>
            <w:noWrap/>
            <w:tcMar>
              <w:top w:w="15" w:type="dxa"/>
              <w:left w:w="15" w:type="dxa"/>
              <w:right w:w="15" w:type="dxa"/>
            </w:tcMar>
            <w:vAlign w:val="center"/>
          </w:tcPr>
          <w:p w14:paraId="2C631E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DB7F0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8CF5E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7212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2A1818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07F55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07E6DC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CB9C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CD9D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06E0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32" w:type="pct"/>
            <w:tcBorders>
              <w:tl2br w:val="nil"/>
              <w:tr2bl w:val="nil"/>
            </w:tcBorders>
            <w:shd w:val="clear" w:color="auto" w:fill="auto"/>
            <w:noWrap/>
            <w:tcMar>
              <w:top w:w="15" w:type="dxa"/>
              <w:left w:w="15" w:type="dxa"/>
              <w:right w:w="15" w:type="dxa"/>
            </w:tcMar>
            <w:vAlign w:val="center"/>
          </w:tcPr>
          <w:p w14:paraId="7E8DA8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EF82C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30393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A3D3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1B7D37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3F36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2027B6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CA5D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C1B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B65E9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32" w:type="pct"/>
            <w:tcBorders>
              <w:tl2br w:val="nil"/>
              <w:tr2bl w:val="nil"/>
            </w:tcBorders>
            <w:shd w:val="clear" w:color="auto" w:fill="auto"/>
            <w:noWrap/>
            <w:tcMar>
              <w:top w:w="15" w:type="dxa"/>
              <w:left w:w="15" w:type="dxa"/>
              <w:right w:w="15" w:type="dxa"/>
            </w:tcMar>
            <w:vAlign w:val="center"/>
          </w:tcPr>
          <w:p w14:paraId="1DA4E0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9B9A7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A4EBA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3C575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5C613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619A5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270E0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10DEF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BDA8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48C05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2" w:type="pct"/>
            <w:tcBorders>
              <w:tl2br w:val="nil"/>
              <w:tr2bl w:val="nil"/>
            </w:tcBorders>
            <w:shd w:val="clear" w:color="auto" w:fill="auto"/>
            <w:noWrap/>
            <w:tcMar>
              <w:top w:w="15" w:type="dxa"/>
              <w:left w:w="15" w:type="dxa"/>
              <w:right w:w="15" w:type="dxa"/>
            </w:tcMar>
            <w:vAlign w:val="center"/>
          </w:tcPr>
          <w:p w14:paraId="771771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576F6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D8133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1B7E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6F514B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6D5AD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27BD1D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018D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04F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2C409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32" w:type="pct"/>
            <w:tcBorders>
              <w:tl2br w:val="nil"/>
              <w:tr2bl w:val="nil"/>
            </w:tcBorders>
            <w:shd w:val="clear" w:color="auto" w:fill="auto"/>
            <w:noWrap/>
            <w:tcMar>
              <w:top w:w="15" w:type="dxa"/>
              <w:left w:w="15" w:type="dxa"/>
              <w:right w:w="15" w:type="dxa"/>
            </w:tcMar>
            <w:vAlign w:val="center"/>
          </w:tcPr>
          <w:p w14:paraId="185511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C92FB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2553D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5D5CF8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32131B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4423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5C2B6F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7C0F0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09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3AC6B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2" w:type="pct"/>
            <w:tcBorders>
              <w:tl2br w:val="nil"/>
              <w:tr2bl w:val="nil"/>
            </w:tcBorders>
            <w:shd w:val="clear" w:color="auto" w:fill="auto"/>
            <w:noWrap/>
            <w:tcMar>
              <w:top w:w="15" w:type="dxa"/>
              <w:left w:w="15" w:type="dxa"/>
              <w:right w:w="15" w:type="dxa"/>
            </w:tcMar>
            <w:vAlign w:val="center"/>
          </w:tcPr>
          <w:p w14:paraId="518D7D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FA3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77D44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7786C9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5280DC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839A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l2br w:val="nil"/>
              <w:tr2bl w:val="nil"/>
            </w:tcBorders>
            <w:shd w:val="clear" w:color="auto" w:fill="auto"/>
            <w:noWrap/>
            <w:tcMar>
              <w:top w:w="15" w:type="dxa"/>
              <w:left w:w="15" w:type="dxa"/>
              <w:right w:w="15" w:type="dxa"/>
            </w:tcMar>
            <w:vAlign w:val="center"/>
          </w:tcPr>
          <w:p w14:paraId="41B00D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CAC46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2672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671C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32" w:type="pct"/>
            <w:tcBorders>
              <w:tl2br w:val="nil"/>
              <w:tr2bl w:val="nil"/>
            </w:tcBorders>
            <w:shd w:val="clear" w:color="auto" w:fill="auto"/>
            <w:noWrap/>
            <w:tcMar>
              <w:top w:w="15" w:type="dxa"/>
              <w:left w:w="15" w:type="dxa"/>
              <w:right w:w="15" w:type="dxa"/>
            </w:tcMar>
            <w:vAlign w:val="center"/>
          </w:tcPr>
          <w:p w14:paraId="3FE35C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580DC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79879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F25A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D-OP3000</w:t>
            </w:r>
          </w:p>
        </w:tc>
        <w:tc>
          <w:tcPr>
            <w:tcW w:w="472" w:type="pct"/>
            <w:tcBorders>
              <w:tl2br w:val="nil"/>
              <w:tr2bl w:val="nil"/>
            </w:tcBorders>
            <w:shd w:val="clear" w:color="auto" w:fill="auto"/>
            <w:noWrap/>
            <w:tcMar>
              <w:top w:w="15" w:type="dxa"/>
              <w:left w:w="15" w:type="dxa"/>
              <w:right w:w="15" w:type="dxa"/>
            </w:tcMar>
            <w:vAlign w:val="center"/>
          </w:tcPr>
          <w:p w14:paraId="7703A4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1E47F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74104A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140D9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60D4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BB8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32" w:type="pct"/>
            <w:tcBorders>
              <w:tl2br w:val="nil"/>
              <w:tr2bl w:val="nil"/>
            </w:tcBorders>
            <w:shd w:val="clear" w:color="auto" w:fill="auto"/>
            <w:noWrap/>
            <w:tcMar>
              <w:top w:w="15" w:type="dxa"/>
              <w:left w:w="15" w:type="dxa"/>
              <w:right w:w="15" w:type="dxa"/>
            </w:tcMar>
            <w:vAlign w:val="center"/>
          </w:tcPr>
          <w:p w14:paraId="57459C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3EB669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4F0BE6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21C8C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D-OP4000</w:t>
            </w:r>
          </w:p>
        </w:tc>
        <w:tc>
          <w:tcPr>
            <w:tcW w:w="472" w:type="pct"/>
            <w:tcBorders>
              <w:tl2br w:val="nil"/>
              <w:tr2bl w:val="nil"/>
            </w:tcBorders>
            <w:shd w:val="clear" w:color="auto" w:fill="auto"/>
            <w:noWrap/>
            <w:tcMar>
              <w:top w:w="15" w:type="dxa"/>
              <w:left w:w="15" w:type="dxa"/>
              <w:right w:w="15" w:type="dxa"/>
            </w:tcMar>
            <w:vAlign w:val="center"/>
          </w:tcPr>
          <w:p w14:paraId="4649F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3D023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34832E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EDA65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53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489AE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32" w:type="pct"/>
            <w:tcBorders>
              <w:tl2br w:val="nil"/>
              <w:tr2bl w:val="nil"/>
            </w:tcBorders>
            <w:shd w:val="clear" w:color="auto" w:fill="auto"/>
            <w:noWrap/>
            <w:tcMar>
              <w:top w:w="15" w:type="dxa"/>
              <w:left w:w="15" w:type="dxa"/>
              <w:right w:w="15" w:type="dxa"/>
            </w:tcMar>
            <w:vAlign w:val="center"/>
          </w:tcPr>
          <w:p w14:paraId="4DFC2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3DA3A7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39318E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78C4A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D-CAM5000</w:t>
            </w:r>
          </w:p>
        </w:tc>
        <w:tc>
          <w:tcPr>
            <w:tcW w:w="472" w:type="pct"/>
            <w:tcBorders>
              <w:tl2br w:val="nil"/>
              <w:tr2bl w:val="nil"/>
            </w:tcBorders>
            <w:shd w:val="clear" w:color="auto" w:fill="auto"/>
            <w:noWrap/>
            <w:tcMar>
              <w:top w:w="15" w:type="dxa"/>
              <w:left w:w="15" w:type="dxa"/>
              <w:right w:w="15" w:type="dxa"/>
            </w:tcMar>
            <w:vAlign w:val="center"/>
          </w:tcPr>
          <w:p w14:paraId="6AACE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206B7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764D1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54D76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A18B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DFD3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32" w:type="pct"/>
            <w:tcBorders>
              <w:tl2br w:val="nil"/>
              <w:tr2bl w:val="nil"/>
            </w:tcBorders>
            <w:shd w:val="clear" w:color="auto" w:fill="auto"/>
            <w:noWrap/>
            <w:tcMar>
              <w:top w:w="15" w:type="dxa"/>
              <w:left w:w="15" w:type="dxa"/>
              <w:right w:w="15" w:type="dxa"/>
            </w:tcMar>
            <w:vAlign w:val="center"/>
          </w:tcPr>
          <w:p w14:paraId="715FC7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2777C2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7BDE9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149C2B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D-CAM2000</w:t>
            </w:r>
          </w:p>
        </w:tc>
        <w:tc>
          <w:tcPr>
            <w:tcW w:w="472" w:type="pct"/>
            <w:tcBorders>
              <w:tl2br w:val="nil"/>
              <w:tr2bl w:val="nil"/>
            </w:tcBorders>
            <w:shd w:val="clear" w:color="auto" w:fill="auto"/>
            <w:noWrap/>
            <w:tcMar>
              <w:top w:w="15" w:type="dxa"/>
              <w:left w:w="15" w:type="dxa"/>
              <w:right w:w="15" w:type="dxa"/>
            </w:tcMar>
            <w:vAlign w:val="center"/>
          </w:tcPr>
          <w:p w14:paraId="25F089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485D7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4DEF3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12E290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CC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8066D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32" w:type="pct"/>
            <w:tcBorders>
              <w:tl2br w:val="nil"/>
              <w:tr2bl w:val="nil"/>
            </w:tcBorders>
            <w:shd w:val="clear" w:color="auto" w:fill="auto"/>
            <w:noWrap/>
            <w:tcMar>
              <w:top w:w="15" w:type="dxa"/>
              <w:left w:w="15" w:type="dxa"/>
              <w:right w:w="15" w:type="dxa"/>
            </w:tcMar>
            <w:vAlign w:val="center"/>
          </w:tcPr>
          <w:p w14:paraId="4CB4AD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1A7FEE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航摄仪</w:t>
            </w:r>
          </w:p>
        </w:tc>
        <w:tc>
          <w:tcPr>
            <w:tcW w:w="704" w:type="pct"/>
            <w:tcBorders>
              <w:tl2br w:val="nil"/>
              <w:tr2bl w:val="nil"/>
            </w:tcBorders>
            <w:shd w:val="clear" w:color="auto" w:fill="auto"/>
            <w:noWrap/>
            <w:tcMar>
              <w:top w:w="15" w:type="dxa"/>
              <w:left w:w="15" w:type="dxa"/>
              <w:right w:w="15" w:type="dxa"/>
            </w:tcMar>
            <w:vAlign w:val="center"/>
          </w:tcPr>
          <w:p w14:paraId="07CD7D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4EEE9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D-CAM2000</w:t>
            </w:r>
          </w:p>
        </w:tc>
        <w:tc>
          <w:tcPr>
            <w:tcW w:w="472" w:type="pct"/>
            <w:tcBorders>
              <w:tl2br w:val="nil"/>
              <w:tr2bl w:val="nil"/>
            </w:tcBorders>
            <w:shd w:val="clear" w:color="auto" w:fill="auto"/>
            <w:noWrap/>
            <w:tcMar>
              <w:top w:w="15" w:type="dxa"/>
              <w:left w:w="15" w:type="dxa"/>
              <w:right w:w="15" w:type="dxa"/>
            </w:tcMar>
            <w:vAlign w:val="center"/>
          </w:tcPr>
          <w:p w14:paraId="046B28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83724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c>
          <w:tcPr>
            <w:tcW w:w="416" w:type="pct"/>
            <w:tcBorders>
              <w:tl2br w:val="nil"/>
              <w:tr2bl w:val="nil"/>
            </w:tcBorders>
            <w:shd w:val="clear" w:color="auto" w:fill="auto"/>
            <w:noWrap/>
            <w:tcMar>
              <w:top w:w="15" w:type="dxa"/>
              <w:left w:w="15" w:type="dxa"/>
              <w:right w:w="15" w:type="dxa"/>
            </w:tcMar>
            <w:vAlign w:val="center"/>
          </w:tcPr>
          <w:p w14:paraId="34BFF7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4C2B9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22B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FF80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32" w:type="pct"/>
            <w:tcBorders>
              <w:tl2br w:val="nil"/>
              <w:tr2bl w:val="nil"/>
            </w:tcBorders>
            <w:shd w:val="clear" w:color="auto" w:fill="auto"/>
            <w:noWrap/>
            <w:tcMar>
              <w:top w:w="15" w:type="dxa"/>
              <w:left w:w="15" w:type="dxa"/>
              <w:right w:w="15" w:type="dxa"/>
            </w:tcMar>
            <w:vAlign w:val="center"/>
          </w:tcPr>
          <w:p w14:paraId="62DB56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F67E5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FD565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5C299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3C7954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0E994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7A37E5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2445A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1A4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51A90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2" w:type="pct"/>
            <w:tcBorders>
              <w:tl2br w:val="nil"/>
              <w:tr2bl w:val="nil"/>
            </w:tcBorders>
            <w:shd w:val="clear" w:color="auto" w:fill="auto"/>
            <w:noWrap/>
            <w:tcMar>
              <w:top w:w="15" w:type="dxa"/>
              <w:left w:w="15" w:type="dxa"/>
              <w:right w:w="15" w:type="dxa"/>
            </w:tcMar>
            <w:vAlign w:val="center"/>
          </w:tcPr>
          <w:p w14:paraId="5AA1CF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5609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A05E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C68DF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40C003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6DE05D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5EF58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2813A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1B3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DB23A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32" w:type="pct"/>
            <w:tcBorders>
              <w:tl2br w:val="nil"/>
              <w:tr2bl w:val="nil"/>
            </w:tcBorders>
            <w:shd w:val="clear" w:color="auto" w:fill="auto"/>
            <w:noWrap/>
            <w:tcMar>
              <w:top w:w="15" w:type="dxa"/>
              <w:left w:w="15" w:type="dxa"/>
              <w:right w:w="15" w:type="dxa"/>
            </w:tcMar>
            <w:vAlign w:val="center"/>
          </w:tcPr>
          <w:p w14:paraId="69972C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6CDC54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48C74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F6C41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23BCF3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6A85A1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c>
          <w:tcPr>
            <w:tcW w:w="416" w:type="pct"/>
            <w:tcBorders>
              <w:tl2br w:val="nil"/>
              <w:tr2bl w:val="nil"/>
            </w:tcBorders>
            <w:shd w:val="clear" w:color="auto" w:fill="auto"/>
            <w:noWrap/>
            <w:tcMar>
              <w:top w:w="15" w:type="dxa"/>
              <w:left w:w="15" w:type="dxa"/>
              <w:right w:w="15" w:type="dxa"/>
            </w:tcMar>
            <w:vAlign w:val="center"/>
          </w:tcPr>
          <w:p w14:paraId="3ADBB1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95C5D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B76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BDB95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32" w:type="pct"/>
            <w:tcBorders>
              <w:tl2br w:val="nil"/>
              <w:tr2bl w:val="nil"/>
            </w:tcBorders>
            <w:shd w:val="clear" w:color="auto" w:fill="auto"/>
            <w:noWrap/>
            <w:tcMar>
              <w:top w:w="15" w:type="dxa"/>
              <w:left w:w="15" w:type="dxa"/>
              <w:right w:w="15" w:type="dxa"/>
            </w:tcMar>
            <w:vAlign w:val="center"/>
          </w:tcPr>
          <w:p w14:paraId="40D34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7CD144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16BC11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4C7DCD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649306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1C948F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648227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D3058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509C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156C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32" w:type="pct"/>
            <w:tcBorders>
              <w:tl2br w:val="nil"/>
              <w:tr2bl w:val="nil"/>
            </w:tcBorders>
            <w:shd w:val="clear" w:color="auto" w:fill="auto"/>
            <w:noWrap/>
            <w:tcMar>
              <w:top w:w="15" w:type="dxa"/>
              <w:left w:w="15" w:type="dxa"/>
              <w:right w:w="15" w:type="dxa"/>
            </w:tcMar>
            <w:vAlign w:val="center"/>
          </w:tcPr>
          <w:p w14:paraId="61ED1C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15D326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2C1B3E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71FE4F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4E5B84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64DAE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40</w:t>
            </w:r>
          </w:p>
        </w:tc>
        <w:tc>
          <w:tcPr>
            <w:tcW w:w="416" w:type="pct"/>
            <w:tcBorders>
              <w:tl2br w:val="nil"/>
              <w:tr2bl w:val="nil"/>
            </w:tcBorders>
            <w:shd w:val="clear" w:color="auto" w:fill="auto"/>
            <w:noWrap/>
            <w:tcMar>
              <w:top w:w="15" w:type="dxa"/>
              <w:left w:w="15" w:type="dxa"/>
              <w:right w:w="15" w:type="dxa"/>
            </w:tcMar>
            <w:vAlign w:val="center"/>
          </w:tcPr>
          <w:p w14:paraId="51659D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8668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EC40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D875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32" w:type="pct"/>
            <w:tcBorders>
              <w:tl2br w:val="nil"/>
              <w:tr2bl w:val="nil"/>
            </w:tcBorders>
            <w:shd w:val="clear" w:color="auto" w:fill="auto"/>
            <w:noWrap/>
            <w:tcMar>
              <w:top w:w="15" w:type="dxa"/>
              <w:left w:w="15" w:type="dxa"/>
              <w:right w:w="15" w:type="dxa"/>
            </w:tcMar>
            <w:vAlign w:val="center"/>
          </w:tcPr>
          <w:p w14:paraId="1226DD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BB1CA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4CFA9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2F558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542589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1E407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435F87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E833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E40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4F6AB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32" w:type="pct"/>
            <w:tcBorders>
              <w:tl2br w:val="nil"/>
              <w:tr2bl w:val="nil"/>
            </w:tcBorders>
            <w:shd w:val="clear" w:color="auto" w:fill="auto"/>
            <w:noWrap/>
            <w:tcMar>
              <w:top w:w="15" w:type="dxa"/>
              <w:left w:w="15" w:type="dxa"/>
              <w:right w:w="15" w:type="dxa"/>
            </w:tcMar>
            <w:vAlign w:val="center"/>
          </w:tcPr>
          <w:p w14:paraId="54F42F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3501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733E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E66E7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2FE1B2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FA3978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7571E6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91594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6ED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A0E0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32" w:type="pct"/>
            <w:tcBorders>
              <w:tl2br w:val="nil"/>
              <w:tr2bl w:val="nil"/>
            </w:tcBorders>
            <w:shd w:val="clear" w:color="auto" w:fill="auto"/>
            <w:noWrap/>
            <w:tcMar>
              <w:top w:w="15" w:type="dxa"/>
              <w:left w:w="15" w:type="dxa"/>
              <w:right w:w="15" w:type="dxa"/>
            </w:tcMar>
            <w:vAlign w:val="center"/>
          </w:tcPr>
          <w:p w14:paraId="0F1891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777E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F1852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4C8F9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418FC5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1D8D7B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DD386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0BA2A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363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11D7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32" w:type="pct"/>
            <w:tcBorders>
              <w:tl2br w:val="nil"/>
              <w:tr2bl w:val="nil"/>
            </w:tcBorders>
            <w:shd w:val="clear" w:color="auto" w:fill="auto"/>
            <w:noWrap/>
            <w:tcMar>
              <w:top w:w="15" w:type="dxa"/>
              <w:left w:w="15" w:type="dxa"/>
              <w:right w:w="15" w:type="dxa"/>
            </w:tcMar>
            <w:vAlign w:val="center"/>
          </w:tcPr>
          <w:p w14:paraId="7C4EA7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9811C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06A1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E631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w:t>
            </w:r>
          </w:p>
        </w:tc>
        <w:tc>
          <w:tcPr>
            <w:tcW w:w="472" w:type="pct"/>
            <w:tcBorders>
              <w:tl2br w:val="nil"/>
              <w:tr2bl w:val="nil"/>
            </w:tcBorders>
            <w:shd w:val="clear" w:color="auto" w:fill="auto"/>
            <w:noWrap/>
            <w:tcMar>
              <w:top w:w="15" w:type="dxa"/>
              <w:left w:w="15" w:type="dxa"/>
              <w:right w:w="15" w:type="dxa"/>
            </w:tcMar>
            <w:vAlign w:val="center"/>
          </w:tcPr>
          <w:p w14:paraId="269A45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91787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488D8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E38A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69F0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F023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32" w:type="pct"/>
            <w:tcBorders>
              <w:tl2br w:val="nil"/>
              <w:tr2bl w:val="nil"/>
            </w:tcBorders>
            <w:shd w:val="clear" w:color="auto" w:fill="auto"/>
            <w:noWrap/>
            <w:tcMar>
              <w:top w:w="15" w:type="dxa"/>
              <w:left w:w="15" w:type="dxa"/>
              <w:right w:w="15" w:type="dxa"/>
            </w:tcMar>
            <w:vAlign w:val="center"/>
          </w:tcPr>
          <w:p w14:paraId="3FF33D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12C94C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7FDB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016BF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w:t>
            </w:r>
          </w:p>
        </w:tc>
        <w:tc>
          <w:tcPr>
            <w:tcW w:w="472" w:type="pct"/>
            <w:tcBorders>
              <w:tl2br w:val="nil"/>
              <w:tr2bl w:val="nil"/>
            </w:tcBorders>
            <w:shd w:val="clear" w:color="auto" w:fill="auto"/>
            <w:noWrap/>
            <w:tcMar>
              <w:top w:w="15" w:type="dxa"/>
              <w:left w:w="15" w:type="dxa"/>
              <w:right w:w="15" w:type="dxa"/>
            </w:tcMar>
            <w:vAlign w:val="center"/>
          </w:tcPr>
          <w:p w14:paraId="5E162B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2B537A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31AA82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C692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945F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CCF73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32" w:type="pct"/>
            <w:tcBorders>
              <w:tl2br w:val="nil"/>
              <w:tr2bl w:val="nil"/>
            </w:tcBorders>
            <w:shd w:val="clear" w:color="auto" w:fill="auto"/>
            <w:noWrap/>
            <w:tcMar>
              <w:top w:w="15" w:type="dxa"/>
              <w:left w:w="15" w:type="dxa"/>
              <w:right w:w="15" w:type="dxa"/>
            </w:tcMar>
            <w:vAlign w:val="center"/>
          </w:tcPr>
          <w:p w14:paraId="20C177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75D78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1F44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F91E8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741D2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844CB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21CE0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2372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C2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77F34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32" w:type="pct"/>
            <w:tcBorders>
              <w:tl2br w:val="nil"/>
              <w:tr2bl w:val="nil"/>
            </w:tcBorders>
            <w:shd w:val="clear" w:color="auto" w:fill="auto"/>
            <w:noWrap/>
            <w:tcMar>
              <w:top w:w="15" w:type="dxa"/>
              <w:left w:w="15" w:type="dxa"/>
              <w:right w:w="15" w:type="dxa"/>
            </w:tcMar>
            <w:vAlign w:val="center"/>
          </w:tcPr>
          <w:p w14:paraId="1E2D75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23C27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6BC7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FCFD0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34CFE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744617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2CAE43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F2958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49D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0B882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32" w:type="pct"/>
            <w:tcBorders>
              <w:tl2br w:val="nil"/>
              <w:tr2bl w:val="nil"/>
            </w:tcBorders>
            <w:shd w:val="clear" w:color="auto" w:fill="auto"/>
            <w:noWrap/>
            <w:tcMar>
              <w:top w:w="15" w:type="dxa"/>
              <w:left w:w="15" w:type="dxa"/>
              <w:right w:w="15" w:type="dxa"/>
            </w:tcMar>
            <w:vAlign w:val="center"/>
          </w:tcPr>
          <w:p w14:paraId="4B4FAC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26FBE1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五镜头</w:t>
            </w:r>
          </w:p>
        </w:tc>
        <w:tc>
          <w:tcPr>
            <w:tcW w:w="704" w:type="pct"/>
            <w:tcBorders>
              <w:tl2br w:val="nil"/>
              <w:tr2bl w:val="nil"/>
            </w:tcBorders>
            <w:shd w:val="clear" w:color="auto" w:fill="auto"/>
            <w:noWrap/>
            <w:tcMar>
              <w:top w:w="15" w:type="dxa"/>
              <w:left w:w="15" w:type="dxa"/>
              <w:right w:w="15" w:type="dxa"/>
            </w:tcMar>
            <w:vAlign w:val="center"/>
          </w:tcPr>
          <w:p w14:paraId="238525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60923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Riy-DG3-Pro</w:t>
            </w:r>
          </w:p>
        </w:tc>
        <w:tc>
          <w:tcPr>
            <w:tcW w:w="472" w:type="pct"/>
            <w:tcBorders>
              <w:tl2br w:val="nil"/>
              <w:tr2bl w:val="nil"/>
            </w:tcBorders>
            <w:shd w:val="clear" w:color="auto" w:fill="auto"/>
            <w:noWrap/>
            <w:tcMar>
              <w:top w:w="15" w:type="dxa"/>
              <w:left w:w="15" w:type="dxa"/>
              <w:right w:w="15" w:type="dxa"/>
            </w:tcMar>
            <w:vAlign w:val="center"/>
          </w:tcPr>
          <w:p w14:paraId="3CD070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543" w:type="pct"/>
            <w:tcBorders>
              <w:tl2br w:val="nil"/>
              <w:tr2bl w:val="nil"/>
            </w:tcBorders>
            <w:shd w:val="clear" w:color="auto" w:fill="auto"/>
            <w:noWrap/>
            <w:tcMar>
              <w:top w:w="15" w:type="dxa"/>
              <w:left w:w="15" w:type="dxa"/>
              <w:right w:w="15" w:type="dxa"/>
            </w:tcMar>
            <w:vAlign w:val="center"/>
          </w:tcPr>
          <w:p w14:paraId="529342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6" w:type="pct"/>
            <w:tcBorders>
              <w:tl2br w:val="nil"/>
              <w:tr2bl w:val="nil"/>
            </w:tcBorders>
            <w:shd w:val="clear" w:color="auto" w:fill="auto"/>
            <w:noWrap/>
            <w:tcMar>
              <w:top w:w="15" w:type="dxa"/>
              <w:left w:w="15" w:type="dxa"/>
              <w:right w:w="15" w:type="dxa"/>
            </w:tcMar>
            <w:vAlign w:val="center"/>
          </w:tcPr>
          <w:p w14:paraId="425027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E86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3643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EB414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32" w:type="pct"/>
            <w:tcBorders>
              <w:tl2br w:val="nil"/>
              <w:tr2bl w:val="nil"/>
            </w:tcBorders>
            <w:shd w:val="clear" w:color="auto" w:fill="auto"/>
            <w:noWrap/>
            <w:tcMar>
              <w:top w:w="15" w:type="dxa"/>
              <w:left w:w="15" w:type="dxa"/>
              <w:right w:w="15" w:type="dxa"/>
            </w:tcMar>
            <w:vAlign w:val="center"/>
          </w:tcPr>
          <w:p w14:paraId="397FD4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6A2D4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C527D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F5C2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70329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3BE71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340B05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5B57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DC6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0B3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32" w:type="pct"/>
            <w:tcBorders>
              <w:tl2br w:val="nil"/>
              <w:tr2bl w:val="nil"/>
            </w:tcBorders>
            <w:shd w:val="clear" w:color="auto" w:fill="auto"/>
            <w:noWrap/>
            <w:tcMar>
              <w:top w:w="15" w:type="dxa"/>
              <w:left w:w="15" w:type="dxa"/>
              <w:right w:w="15" w:type="dxa"/>
            </w:tcMar>
            <w:vAlign w:val="center"/>
          </w:tcPr>
          <w:p w14:paraId="33DD8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0FC76D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五镜头</w:t>
            </w:r>
          </w:p>
        </w:tc>
        <w:tc>
          <w:tcPr>
            <w:tcW w:w="704" w:type="pct"/>
            <w:tcBorders>
              <w:tl2br w:val="nil"/>
              <w:tr2bl w:val="nil"/>
            </w:tcBorders>
            <w:shd w:val="clear" w:color="auto" w:fill="auto"/>
            <w:noWrap/>
            <w:tcMar>
              <w:top w:w="15" w:type="dxa"/>
              <w:left w:w="15" w:type="dxa"/>
              <w:right w:w="15" w:type="dxa"/>
            </w:tcMar>
            <w:vAlign w:val="center"/>
          </w:tcPr>
          <w:p w14:paraId="208E28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01FFB1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Riy-DG3</w:t>
            </w:r>
          </w:p>
        </w:tc>
        <w:tc>
          <w:tcPr>
            <w:tcW w:w="472" w:type="pct"/>
            <w:tcBorders>
              <w:tl2br w:val="nil"/>
              <w:tr2bl w:val="nil"/>
            </w:tcBorders>
            <w:shd w:val="clear" w:color="auto" w:fill="auto"/>
            <w:noWrap/>
            <w:tcMar>
              <w:top w:w="15" w:type="dxa"/>
              <w:left w:w="15" w:type="dxa"/>
              <w:right w:w="15" w:type="dxa"/>
            </w:tcMar>
            <w:vAlign w:val="center"/>
          </w:tcPr>
          <w:p w14:paraId="12A7A1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543" w:type="pct"/>
            <w:tcBorders>
              <w:tl2br w:val="nil"/>
              <w:tr2bl w:val="nil"/>
            </w:tcBorders>
            <w:shd w:val="clear" w:color="auto" w:fill="auto"/>
            <w:noWrap/>
            <w:tcMar>
              <w:top w:w="15" w:type="dxa"/>
              <w:left w:w="15" w:type="dxa"/>
              <w:right w:w="15" w:type="dxa"/>
            </w:tcMar>
            <w:vAlign w:val="center"/>
          </w:tcPr>
          <w:p w14:paraId="4FE4C9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6" w:type="pct"/>
            <w:tcBorders>
              <w:tl2br w:val="nil"/>
              <w:tr2bl w:val="nil"/>
            </w:tcBorders>
            <w:shd w:val="clear" w:color="auto" w:fill="auto"/>
            <w:noWrap/>
            <w:tcMar>
              <w:top w:w="15" w:type="dxa"/>
              <w:left w:w="15" w:type="dxa"/>
              <w:right w:w="15" w:type="dxa"/>
            </w:tcMar>
            <w:vAlign w:val="center"/>
          </w:tcPr>
          <w:p w14:paraId="4BD975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A9E9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BBF9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E7A5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32" w:type="pct"/>
            <w:tcBorders>
              <w:tl2br w:val="nil"/>
              <w:tr2bl w:val="nil"/>
            </w:tcBorders>
            <w:shd w:val="clear" w:color="auto" w:fill="auto"/>
            <w:noWrap/>
            <w:tcMar>
              <w:top w:w="15" w:type="dxa"/>
              <w:left w:w="15" w:type="dxa"/>
              <w:right w:w="15" w:type="dxa"/>
            </w:tcMar>
            <w:vAlign w:val="center"/>
          </w:tcPr>
          <w:p w14:paraId="3C3435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130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79AE5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6D85C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大疆无人机多旋翼经纬M300RTK</w:t>
            </w:r>
          </w:p>
        </w:tc>
        <w:tc>
          <w:tcPr>
            <w:tcW w:w="472" w:type="pct"/>
            <w:tcBorders>
              <w:tl2br w:val="nil"/>
              <w:tr2bl w:val="nil"/>
            </w:tcBorders>
            <w:shd w:val="clear" w:color="auto" w:fill="auto"/>
            <w:noWrap/>
            <w:tcMar>
              <w:top w:w="15" w:type="dxa"/>
              <w:left w:w="15" w:type="dxa"/>
              <w:right w:w="15" w:type="dxa"/>
            </w:tcMar>
            <w:vAlign w:val="center"/>
          </w:tcPr>
          <w:p w14:paraId="24A39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C58E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60B2F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4BE65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C752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DDC4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32" w:type="pct"/>
            <w:tcBorders>
              <w:tl2br w:val="nil"/>
              <w:tr2bl w:val="nil"/>
            </w:tcBorders>
            <w:shd w:val="clear" w:color="auto" w:fill="auto"/>
            <w:noWrap/>
            <w:tcMar>
              <w:top w:w="15" w:type="dxa"/>
              <w:left w:w="15" w:type="dxa"/>
              <w:right w:w="15" w:type="dxa"/>
            </w:tcMar>
            <w:vAlign w:val="center"/>
          </w:tcPr>
          <w:p w14:paraId="5E29FE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9A00D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B4ACF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6E9D8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大疆DJI Mini 3 </w:t>
            </w:r>
          </w:p>
        </w:tc>
        <w:tc>
          <w:tcPr>
            <w:tcW w:w="472" w:type="pct"/>
            <w:tcBorders>
              <w:tl2br w:val="nil"/>
              <w:tr2bl w:val="nil"/>
            </w:tcBorders>
            <w:shd w:val="clear" w:color="auto" w:fill="auto"/>
            <w:noWrap/>
            <w:tcMar>
              <w:top w:w="15" w:type="dxa"/>
              <w:left w:w="15" w:type="dxa"/>
              <w:right w:w="15" w:type="dxa"/>
            </w:tcMar>
            <w:vAlign w:val="center"/>
          </w:tcPr>
          <w:p w14:paraId="48AE03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33DDC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l2br w:val="nil"/>
              <w:tr2bl w:val="nil"/>
            </w:tcBorders>
            <w:shd w:val="clear" w:color="auto" w:fill="auto"/>
            <w:noWrap/>
            <w:tcMar>
              <w:top w:w="15" w:type="dxa"/>
              <w:left w:w="15" w:type="dxa"/>
              <w:right w:w="15" w:type="dxa"/>
            </w:tcMar>
            <w:vAlign w:val="center"/>
          </w:tcPr>
          <w:p w14:paraId="554978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382A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6549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B0CF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32" w:type="pct"/>
            <w:tcBorders>
              <w:tl2br w:val="nil"/>
              <w:tr2bl w:val="nil"/>
            </w:tcBorders>
            <w:shd w:val="clear" w:color="auto" w:fill="auto"/>
            <w:noWrap/>
            <w:tcMar>
              <w:top w:w="15" w:type="dxa"/>
              <w:left w:w="15" w:type="dxa"/>
              <w:right w:w="15" w:type="dxa"/>
            </w:tcMar>
            <w:vAlign w:val="center"/>
          </w:tcPr>
          <w:p w14:paraId="2B5F16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BD798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D4E8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C432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大疆DJI Mini 3 </w:t>
            </w:r>
          </w:p>
        </w:tc>
        <w:tc>
          <w:tcPr>
            <w:tcW w:w="472" w:type="pct"/>
            <w:tcBorders>
              <w:tl2br w:val="nil"/>
              <w:tr2bl w:val="nil"/>
            </w:tcBorders>
            <w:shd w:val="clear" w:color="auto" w:fill="auto"/>
            <w:noWrap/>
            <w:tcMar>
              <w:top w:w="15" w:type="dxa"/>
              <w:left w:w="15" w:type="dxa"/>
              <w:right w:w="15" w:type="dxa"/>
            </w:tcMar>
            <w:vAlign w:val="center"/>
          </w:tcPr>
          <w:p w14:paraId="09B968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1C5F11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l2br w:val="nil"/>
              <w:tr2bl w:val="nil"/>
            </w:tcBorders>
            <w:shd w:val="clear" w:color="auto" w:fill="auto"/>
            <w:noWrap/>
            <w:tcMar>
              <w:top w:w="15" w:type="dxa"/>
              <w:left w:w="15" w:type="dxa"/>
              <w:right w:w="15" w:type="dxa"/>
            </w:tcMar>
            <w:vAlign w:val="center"/>
          </w:tcPr>
          <w:p w14:paraId="50A2A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3E950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D2A2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115B6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32" w:type="pct"/>
            <w:tcBorders>
              <w:tl2br w:val="nil"/>
              <w:tr2bl w:val="nil"/>
            </w:tcBorders>
            <w:shd w:val="clear" w:color="auto" w:fill="auto"/>
            <w:noWrap/>
            <w:tcMar>
              <w:top w:w="15" w:type="dxa"/>
              <w:left w:w="15" w:type="dxa"/>
              <w:right w:w="15" w:type="dxa"/>
            </w:tcMar>
            <w:vAlign w:val="center"/>
          </w:tcPr>
          <w:p w14:paraId="34A7C7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231CE1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D3479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216A6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PHANTOM4RTK </w:t>
            </w:r>
          </w:p>
        </w:tc>
        <w:tc>
          <w:tcPr>
            <w:tcW w:w="472" w:type="pct"/>
            <w:tcBorders>
              <w:tl2br w:val="nil"/>
              <w:tr2bl w:val="nil"/>
            </w:tcBorders>
            <w:shd w:val="clear" w:color="auto" w:fill="auto"/>
            <w:noWrap/>
            <w:tcMar>
              <w:top w:w="15" w:type="dxa"/>
              <w:left w:w="15" w:type="dxa"/>
              <w:right w:w="15" w:type="dxa"/>
            </w:tcMar>
            <w:vAlign w:val="center"/>
          </w:tcPr>
          <w:p w14:paraId="229183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018E2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9ACE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537D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5408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F5409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2" w:type="pct"/>
            <w:tcBorders>
              <w:tl2br w:val="nil"/>
              <w:tr2bl w:val="nil"/>
            </w:tcBorders>
            <w:shd w:val="clear" w:color="auto" w:fill="auto"/>
            <w:noWrap/>
            <w:tcMar>
              <w:top w:w="15" w:type="dxa"/>
              <w:left w:w="15" w:type="dxa"/>
              <w:right w:w="15" w:type="dxa"/>
            </w:tcMar>
            <w:vAlign w:val="center"/>
          </w:tcPr>
          <w:p w14:paraId="07B32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D4D4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26110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CA6BC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PHANTOM4RTK </w:t>
            </w:r>
          </w:p>
        </w:tc>
        <w:tc>
          <w:tcPr>
            <w:tcW w:w="472" w:type="pct"/>
            <w:tcBorders>
              <w:tl2br w:val="nil"/>
              <w:tr2bl w:val="nil"/>
            </w:tcBorders>
            <w:shd w:val="clear" w:color="auto" w:fill="auto"/>
            <w:noWrap/>
            <w:tcMar>
              <w:top w:w="15" w:type="dxa"/>
              <w:left w:w="15" w:type="dxa"/>
              <w:right w:w="15" w:type="dxa"/>
            </w:tcMar>
            <w:vAlign w:val="center"/>
          </w:tcPr>
          <w:p w14:paraId="454AF4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78ABE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7143F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94701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010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D301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32" w:type="pct"/>
            <w:tcBorders>
              <w:tl2br w:val="nil"/>
              <w:tr2bl w:val="nil"/>
            </w:tcBorders>
            <w:shd w:val="clear" w:color="auto" w:fill="auto"/>
            <w:noWrap/>
            <w:tcMar>
              <w:top w:w="15" w:type="dxa"/>
              <w:left w:w="15" w:type="dxa"/>
              <w:right w:w="15" w:type="dxa"/>
            </w:tcMar>
            <w:vAlign w:val="center"/>
          </w:tcPr>
          <w:p w14:paraId="71BBE5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4C0D3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05640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116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M300</w:t>
            </w:r>
          </w:p>
        </w:tc>
        <w:tc>
          <w:tcPr>
            <w:tcW w:w="472" w:type="pct"/>
            <w:tcBorders>
              <w:tl2br w:val="nil"/>
              <w:tr2bl w:val="nil"/>
            </w:tcBorders>
            <w:shd w:val="clear" w:color="auto" w:fill="auto"/>
            <w:noWrap/>
            <w:tcMar>
              <w:top w:w="15" w:type="dxa"/>
              <w:left w:w="15" w:type="dxa"/>
              <w:right w:w="15" w:type="dxa"/>
            </w:tcMar>
            <w:vAlign w:val="center"/>
          </w:tcPr>
          <w:p w14:paraId="6960B4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B306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307BBC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B5E3C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25B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D416F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32" w:type="pct"/>
            <w:tcBorders>
              <w:tl2br w:val="nil"/>
              <w:tr2bl w:val="nil"/>
            </w:tcBorders>
            <w:shd w:val="clear" w:color="auto" w:fill="auto"/>
            <w:noWrap/>
            <w:tcMar>
              <w:top w:w="15" w:type="dxa"/>
              <w:left w:w="15" w:type="dxa"/>
              <w:right w:w="15" w:type="dxa"/>
            </w:tcMar>
            <w:vAlign w:val="center"/>
          </w:tcPr>
          <w:p w14:paraId="1F700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航拍相机</w:t>
            </w:r>
          </w:p>
        </w:tc>
        <w:tc>
          <w:tcPr>
            <w:tcW w:w="754" w:type="pct"/>
            <w:tcBorders>
              <w:tl2br w:val="nil"/>
              <w:tr2bl w:val="nil"/>
            </w:tcBorders>
            <w:shd w:val="clear" w:color="auto" w:fill="auto"/>
            <w:noWrap/>
            <w:tcMar>
              <w:top w:w="15" w:type="dxa"/>
              <w:left w:w="15" w:type="dxa"/>
              <w:right w:w="15" w:type="dxa"/>
            </w:tcMar>
            <w:vAlign w:val="center"/>
          </w:tcPr>
          <w:p w14:paraId="0B0512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倾斜镜头</w:t>
            </w:r>
          </w:p>
        </w:tc>
        <w:tc>
          <w:tcPr>
            <w:tcW w:w="704" w:type="pct"/>
            <w:tcBorders>
              <w:tl2br w:val="nil"/>
              <w:tr2bl w:val="nil"/>
            </w:tcBorders>
            <w:shd w:val="clear" w:color="auto" w:fill="auto"/>
            <w:noWrap/>
            <w:tcMar>
              <w:top w:w="15" w:type="dxa"/>
              <w:left w:w="15" w:type="dxa"/>
              <w:right w:w="15" w:type="dxa"/>
            </w:tcMar>
            <w:vAlign w:val="center"/>
          </w:tcPr>
          <w:p w14:paraId="4511E4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成都睿铂</w:t>
            </w:r>
          </w:p>
        </w:tc>
        <w:tc>
          <w:tcPr>
            <w:tcW w:w="863" w:type="pct"/>
            <w:tcBorders>
              <w:tl2br w:val="nil"/>
              <w:tr2bl w:val="nil"/>
            </w:tcBorders>
            <w:shd w:val="clear" w:color="auto" w:fill="auto"/>
            <w:noWrap/>
            <w:tcMar>
              <w:top w:w="15" w:type="dxa"/>
              <w:left w:w="15" w:type="dxa"/>
              <w:right w:w="15" w:type="dxa"/>
            </w:tcMar>
            <w:vAlign w:val="center"/>
          </w:tcPr>
          <w:p w14:paraId="0CD93D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DG4 PROS</w:t>
            </w:r>
          </w:p>
        </w:tc>
        <w:tc>
          <w:tcPr>
            <w:tcW w:w="472" w:type="pct"/>
            <w:tcBorders>
              <w:tl2br w:val="nil"/>
              <w:tr2bl w:val="nil"/>
            </w:tcBorders>
            <w:shd w:val="clear" w:color="auto" w:fill="auto"/>
            <w:noWrap/>
            <w:tcMar>
              <w:top w:w="15" w:type="dxa"/>
              <w:left w:w="15" w:type="dxa"/>
              <w:right w:w="15" w:type="dxa"/>
            </w:tcMar>
            <w:vAlign w:val="center"/>
          </w:tcPr>
          <w:p w14:paraId="4A548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BA6D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6" w:type="pct"/>
            <w:tcBorders>
              <w:tl2br w:val="nil"/>
              <w:tr2bl w:val="nil"/>
            </w:tcBorders>
            <w:shd w:val="clear" w:color="auto" w:fill="auto"/>
            <w:noWrap/>
            <w:tcMar>
              <w:top w:w="15" w:type="dxa"/>
              <w:left w:w="15" w:type="dxa"/>
              <w:right w:w="15" w:type="dxa"/>
            </w:tcMar>
            <w:vAlign w:val="center"/>
          </w:tcPr>
          <w:p w14:paraId="2A8E3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4BAFF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8484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98B21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32" w:type="pct"/>
            <w:tcBorders>
              <w:tl2br w:val="nil"/>
              <w:tr2bl w:val="nil"/>
            </w:tcBorders>
            <w:shd w:val="clear" w:color="auto" w:fill="auto"/>
            <w:noWrap/>
            <w:tcMar>
              <w:top w:w="15" w:type="dxa"/>
              <w:left w:w="15" w:type="dxa"/>
              <w:right w:w="15" w:type="dxa"/>
            </w:tcMar>
            <w:vAlign w:val="center"/>
          </w:tcPr>
          <w:p w14:paraId="083EE6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758F6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1EF2B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83977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0B65D4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C4262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EE3AB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7077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D722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557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32" w:type="pct"/>
            <w:tcBorders>
              <w:tl2br w:val="nil"/>
              <w:tr2bl w:val="nil"/>
            </w:tcBorders>
            <w:shd w:val="clear" w:color="auto" w:fill="auto"/>
            <w:noWrap/>
            <w:tcMar>
              <w:top w:w="15" w:type="dxa"/>
              <w:left w:w="15" w:type="dxa"/>
              <w:right w:w="15" w:type="dxa"/>
            </w:tcMar>
            <w:vAlign w:val="center"/>
          </w:tcPr>
          <w:p w14:paraId="6556FD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F5E9E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1725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AAADB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2AB1C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CA7A6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606ACD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65E20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929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E64ED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2" w:type="pct"/>
            <w:tcBorders>
              <w:tl2br w:val="nil"/>
              <w:tr2bl w:val="nil"/>
            </w:tcBorders>
            <w:shd w:val="clear" w:color="auto" w:fill="auto"/>
            <w:noWrap/>
            <w:tcMar>
              <w:top w:w="15" w:type="dxa"/>
              <w:left w:w="15" w:type="dxa"/>
              <w:right w:w="15" w:type="dxa"/>
            </w:tcMar>
            <w:vAlign w:val="center"/>
          </w:tcPr>
          <w:p w14:paraId="035E37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ECC1E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24CF0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8B91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4251DE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CDA3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7BF23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06DC9F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07E2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889A1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32" w:type="pct"/>
            <w:tcBorders>
              <w:tl2br w:val="nil"/>
              <w:tr2bl w:val="nil"/>
            </w:tcBorders>
            <w:shd w:val="clear" w:color="auto" w:fill="auto"/>
            <w:noWrap/>
            <w:tcMar>
              <w:top w:w="15" w:type="dxa"/>
              <w:left w:w="15" w:type="dxa"/>
              <w:right w:w="15" w:type="dxa"/>
            </w:tcMar>
            <w:vAlign w:val="center"/>
          </w:tcPr>
          <w:p w14:paraId="3D3653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5279A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FF0D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490D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 RTK</w:t>
            </w:r>
          </w:p>
        </w:tc>
        <w:tc>
          <w:tcPr>
            <w:tcW w:w="472" w:type="pct"/>
            <w:tcBorders>
              <w:tl2br w:val="nil"/>
              <w:tr2bl w:val="nil"/>
            </w:tcBorders>
            <w:shd w:val="clear" w:color="auto" w:fill="auto"/>
            <w:noWrap/>
            <w:tcMar>
              <w:top w:w="15" w:type="dxa"/>
              <w:left w:w="15" w:type="dxa"/>
              <w:right w:w="15" w:type="dxa"/>
            </w:tcMar>
            <w:vAlign w:val="center"/>
          </w:tcPr>
          <w:p w14:paraId="251EEA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05E9D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6" w:type="pct"/>
            <w:tcBorders>
              <w:tl2br w:val="nil"/>
              <w:tr2bl w:val="nil"/>
            </w:tcBorders>
            <w:shd w:val="clear" w:color="auto" w:fill="auto"/>
            <w:noWrap/>
            <w:tcMar>
              <w:top w:w="15" w:type="dxa"/>
              <w:left w:w="15" w:type="dxa"/>
              <w:right w:w="15" w:type="dxa"/>
            </w:tcMar>
            <w:vAlign w:val="center"/>
          </w:tcPr>
          <w:p w14:paraId="018D6E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62AED5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F553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1989C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32" w:type="pct"/>
            <w:tcBorders>
              <w:tl2br w:val="nil"/>
              <w:tr2bl w:val="nil"/>
            </w:tcBorders>
            <w:shd w:val="clear" w:color="auto" w:fill="auto"/>
            <w:noWrap/>
            <w:tcMar>
              <w:top w:w="15" w:type="dxa"/>
              <w:left w:w="15" w:type="dxa"/>
              <w:right w:w="15" w:type="dxa"/>
            </w:tcMar>
            <w:vAlign w:val="center"/>
          </w:tcPr>
          <w:p w14:paraId="2489D6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全画幅相机</w:t>
            </w:r>
          </w:p>
        </w:tc>
        <w:tc>
          <w:tcPr>
            <w:tcW w:w="754" w:type="pct"/>
            <w:tcBorders>
              <w:tl2br w:val="nil"/>
              <w:tr2bl w:val="nil"/>
            </w:tcBorders>
            <w:shd w:val="clear" w:color="auto" w:fill="auto"/>
            <w:noWrap/>
            <w:tcMar>
              <w:top w:w="15" w:type="dxa"/>
              <w:left w:w="15" w:type="dxa"/>
              <w:right w:w="15" w:type="dxa"/>
            </w:tcMar>
            <w:vAlign w:val="center"/>
          </w:tcPr>
          <w:p w14:paraId="3254DA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全画幅</w:t>
            </w:r>
          </w:p>
        </w:tc>
        <w:tc>
          <w:tcPr>
            <w:tcW w:w="704" w:type="pct"/>
            <w:tcBorders>
              <w:tl2br w:val="nil"/>
              <w:tr2bl w:val="nil"/>
            </w:tcBorders>
            <w:shd w:val="clear" w:color="auto" w:fill="auto"/>
            <w:noWrap/>
            <w:tcMar>
              <w:top w:w="15" w:type="dxa"/>
              <w:left w:w="15" w:type="dxa"/>
              <w:right w:w="15" w:type="dxa"/>
            </w:tcMar>
            <w:vAlign w:val="center"/>
          </w:tcPr>
          <w:p w14:paraId="71E89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F8AA7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P1全画幅相机</w:t>
            </w:r>
          </w:p>
        </w:tc>
        <w:tc>
          <w:tcPr>
            <w:tcW w:w="472" w:type="pct"/>
            <w:tcBorders>
              <w:tl2br w:val="nil"/>
              <w:tr2bl w:val="nil"/>
            </w:tcBorders>
            <w:shd w:val="clear" w:color="auto" w:fill="auto"/>
            <w:noWrap/>
            <w:tcMar>
              <w:top w:w="15" w:type="dxa"/>
              <w:left w:w="15" w:type="dxa"/>
              <w:right w:w="15" w:type="dxa"/>
            </w:tcMar>
            <w:vAlign w:val="center"/>
          </w:tcPr>
          <w:p w14:paraId="4EEE4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AD92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6" w:type="pct"/>
            <w:tcBorders>
              <w:tl2br w:val="nil"/>
              <w:tr2bl w:val="nil"/>
            </w:tcBorders>
            <w:shd w:val="clear" w:color="auto" w:fill="auto"/>
            <w:noWrap/>
            <w:tcMar>
              <w:top w:w="15" w:type="dxa"/>
              <w:left w:w="15" w:type="dxa"/>
              <w:right w:w="15" w:type="dxa"/>
            </w:tcMar>
            <w:vAlign w:val="center"/>
          </w:tcPr>
          <w:p w14:paraId="3DF86E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2D51F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614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D3B21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32" w:type="pct"/>
            <w:tcBorders>
              <w:tl2br w:val="nil"/>
              <w:tr2bl w:val="nil"/>
            </w:tcBorders>
            <w:shd w:val="clear" w:color="auto" w:fill="auto"/>
            <w:noWrap/>
            <w:tcMar>
              <w:top w:w="15" w:type="dxa"/>
              <w:left w:w="15" w:type="dxa"/>
              <w:right w:w="15" w:type="dxa"/>
            </w:tcMar>
            <w:vAlign w:val="center"/>
          </w:tcPr>
          <w:p w14:paraId="0120BE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944B3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24DDD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10F1B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御air2</w:t>
            </w:r>
          </w:p>
        </w:tc>
        <w:tc>
          <w:tcPr>
            <w:tcW w:w="472" w:type="pct"/>
            <w:tcBorders>
              <w:tl2br w:val="nil"/>
              <w:tr2bl w:val="nil"/>
            </w:tcBorders>
            <w:shd w:val="clear" w:color="auto" w:fill="auto"/>
            <w:noWrap/>
            <w:tcMar>
              <w:top w:w="15" w:type="dxa"/>
              <w:left w:w="15" w:type="dxa"/>
              <w:right w:w="15" w:type="dxa"/>
            </w:tcMar>
            <w:vAlign w:val="center"/>
          </w:tcPr>
          <w:p w14:paraId="7ACFC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543" w:type="pct"/>
            <w:tcBorders>
              <w:tl2br w:val="nil"/>
              <w:tr2bl w:val="nil"/>
            </w:tcBorders>
            <w:shd w:val="clear" w:color="auto" w:fill="auto"/>
            <w:noWrap/>
            <w:tcMar>
              <w:top w:w="15" w:type="dxa"/>
              <w:left w:w="15" w:type="dxa"/>
              <w:right w:w="15" w:type="dxa"/>
            </w:tcMar>
            <w:vAlign w:val="center"/>
          </w:tcPr>
          <w:p w14:paraId="4807B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16" w:type="pct"/>
            <w:tcBorders>
              <w:tl2br w:val="nil"/>
              <w:tr2bl w:val="nil"/>
            </w:tcBorders>
            <w:shd w:val="clear" w:color="auto" w:fill="auto"/>
            <w:noWrap/>
            <w:tcMar>
              <w:top w:w="15" w:type="dxa"/>
              <w:left w:w="15" w:type="dxa"/>
              <w:right w:w="15" w:type="dxa"/>
            </w:tcMar>
            <w:vAlign w:val="center"/>
          </w:tcPr>
          <w:p w14:paraId="09D661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0B916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A721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70E37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32" w:type="pct"/>
            <w:tcBorders>
              <w:tl2br w:val="nil"/>
              <w:tr2bl w:val="nil"/>
            </w:tcBorders>
            <w:shd w:val="clear" w:color="auto" w:fill="auto"/>
            <w:noWrap/>
            <w:tcMar>
              <w:top w:w="15" w:type="dxa"/>
              <w:left w:w="15" w:type="dxa"/>
              <w:right w:w="15" w:type="dxa"/>
            </w:tcMar>
            <w:vAlign w:val="center"/>
          </w:tcPr>
          <w:p w14:paraId="72007B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A6C22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640E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FC443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精灵4rtk版</w:t>
            </w:r>
          </w:p>
        </w:tc>
        <w:tc>
          <w:tcPr>
            <w:tcW w:w="472" w:type="pct"/>
            <w:tcBorders>
              <w:tl2br w:val="nil"/>
              <w:tr2bl w:val="nil"/>
            </w:tcBorders>
            <w:shd w:val="clear" w:color="auto" w:fill="auto"/>
            <w:noWrap/>
            <w:tcMar>
              <w:top w:w="15" w:type="dxa"/>
              <w:left w:w="15" w:type="dxa"/>
              <w:right w:w="15" w:type="dxa"/>
            </w:tcMar>
            <w:vAlign w:val="center"/>
          </w:tcPr>
          <w:p w14:paraId="6D126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01E6A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E608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3351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41F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10A1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2" w:type="pct"/>
            <w:tcBorders>
              <w:tl2br w:val="nil"/>
              <w:tr2bl w:val="nil"/>
            </w:tcBorders>
            <w:shd w:val="clear" w:color="auto" w:fill="auto"/>
            <w:noWrap/>
            <w:tcMar>
              <w:top w:w="15" w:type="dxa"/>
              <w:left w:w="15" w:type="dxa"/>
              <w:right w:w="15" w:type="dxa"/>
            </w:tcMar>
            <w:vAlign w:val="center"/>
          </w:tcPr>
          <w:p w14:paraId="28D643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8F330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38AE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72C0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49AB3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27B7E9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3C0A42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590957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748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35EB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32" w:type="pct"/>
            <w:tcBorders>
              <w:tl2br w:val="nil"/>
              <w:tr2bl w:val="nil"/>
            </w:tcBorders>
            <w:shd w:val="clear" w:color="auto" w:fill="auto"/>
            <w:noWrap/>
            <w:tcMar>
              <w:top w:w="15" w:type="dxa"/>
              <w:left w:w="15" w:type="dxa"/>
              <w:right w:w="15" w:type="dxa"/>
            </w:tcMar>
            <w:vAlign w:val="center"/>
          </w:tcPr>
          <w:p w14:paraId="1B323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1858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多桨或多轴航空器</w:t>
            </w:r>
          </w:p>
        </w:tc>
        <w:tc>
          <w:tcPr>
            <w:tcW w:w="704" w:type="pct"/>
            <w:tcBorders>
              <w:tl2br w:val="nil"/>
              <w:tr2bl w:val="nil"/>
            </w:tcBorders>
            <w:shd w:val="clear" w:color="auto" w:fill="auto"/>
            <w:noWrap/>
            <w:tcMar>
              <w:top w:w="15" w:type="dxa"/>
              <w:left w:w="15" w:type="dxa"/>
              <w:right w:w="15" w:type="dxa"/>
            </w:tcMar>
            <w:vAlign w:val="center"/>
          </w:tcPr>
          <w:p w14:paraId="2B5720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098F2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5A29CF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56047E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l2br w:val="nil"/>
              <w:tr2bl w:val="nil"/>
            </w:tcBorders>
            <w:shd w:val="clear" w:color="auto" w:fill="auto"/>
            <w:noWrap/>
            <w:tcMar>
              <w:top w:w="15" w:type="dxa"/>
              <w:left w:w="15" w:type="dxa"/>
              <w:right w:w="15" w:type="dxa"/>
            </w:tcMar>
            <w:vAlign w:val="center"/>
          </w:tcPr>
          <w:p w14:paraId="1D449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0E6C4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8C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36DB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32" w:type="pct"/>
            <w:tcBorders>
              <w:tl2br w:val="nil"/>
              <w:tr2bl w:val="nil"/>
            </w:tcBorders>
            <w:shd w:val="clear" w:color="auto" w:fill="auto"/>
            <w:noWrap/>
            <w:tcMar>
              <w:top w:w="15" w:type="dxa"/>
              <w:left w:w="15" w:type="dxa"/>
              <w:right w:w="15" w:type="dxa"/>
            </w:tcMar>
            <w:vAlign w:val="center"/>
          </w:tcPr>
          <w:p w14:paraId="0C59AC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E41E9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多桨或多轴航空器</w:t>
            </w:r>
          </w:p>
        </w:tc>
        <w:tc>
          <w:tcPr>
            <w:tcW w:w="704" w:type="pct"/>
            <w:tcBorders>
              <w:tl2br w:val="nil"/>
              <w:tr2bl w:val="nil"/>
            </w:tcBorders>
            <w:shd w:val="clear" w:color="auto" w:fill="auto"/>
            <w:noWrap/>
            <w:tcMar>
              <w:top w:w="15" w:type="dxa"/>
              <w:left w:w="15" w:type="dxa"/>
              <w:right w:w="15" w:type="dxa"/>
            </w:tcMar>
            <w:vAlign w:val="center"/>
          </w:tcPr>
          <w:p w14:paraId="48D877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3315D6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42541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F67B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6" w:type="pct"/>
            <w:tcBorders>
              <w:tl2br w:val="nil"/>
              <w:tr2bl w:val="nil"/>
            </w:tcBorders>
            <w:shd w:val="clear" w:color="auto" w:fill="auto"/>
            <w:noWrap/>
            <w:tcMar>
              <w:top w:w="15" w:type="dxa"/>
              <w:left w:w="15" w:type="dxa"/>
              <w:right w:w="15" w:type="dxa"/>
            </w:tcMar>
            <w:vAlign w:val="center"/>
          </w:tcPr>
          <w:p w14:paraId="1B234B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76D2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44C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4E62C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32" w:type="pct"/>
            <w:tcBorders>
              <w:tl2br w:val="nil"/>
              <w:tr2bl w:val="nil"/>
            </w:tcBorders>
            <w:shd w:val="clear" w:color="auto" w:fill="auto"/>
            <w:noWrap/>
            <w:tcMar>
              <w:top w:w="15" w:type="dxa"/>
              <w:left w:w="15" w:type="dxa"/>
              <w:right w:w="15" w:type="dxa"/>
            </w:tcMar>
            <w:vAlign w:val="center"/>
          </w:tcPr>
          <w:p w14:paraId="0B8D08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8AD2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6A94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C17C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 2S</w:t>
            </w:r>
          </w:p>
        </w:tc>
        <w:tc>
          <w:tcPr>
            <w:tcW w:w="472" w:type="pct"/>
            <w:tcBorders>
              <w:tl2br w:val="nil"/>
              <w:tr2bl w:val="nil"/>
            </w:tcBorders>
            <w:shd w:val="clear" w:color="auto" w:fill="auto"/>
            <w:noWrap/>
            <w:tcMar>
              <w:top w:w="15" w:type="dxa"/>
              <w:left w:w="15" w:type="dxa"/>
              <w:right w:w="15" w:type="dxa"/>
            </w:tcMar>
            <w:vAlign w:val="center"/>
          </w:tcPr>
          <w:p w14:paraId="0DF74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1A6BC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46E199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6FE2F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6943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06598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32" w:type="pct"/>
            <w:tcBorders>
              <w:tl2br w:val="nil"/>
              <w:tr2bl w:val="nil"/>
            </w:tcBorders>
            <w:shd w:val="clear" w:color="auto" w:fill="auto"/>
            <w:noWrap/>
            <w:tcMar>
              <w:top w:w="15" w:type="dxa"/>
              <w:left w:w="15" w:type="dxa"/>
              <w:right w:w="15" w:type="dxa"/>
            </w:tcMar>
            <w:vAlign w:val="center"/>
          </w:tcPr>
          <w:p w14:paraId="494435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1631D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52C38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F9EE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M3E</w:t>
            </w:r>
          </w:p>
        </w:tc>
        <w:tc>
          <w:tcPr>
            <w:tcW w:w="472" w:type="pct"/>
            <w:tcBorders>
              <w:tl2br w:val="nil"/>
              <w:tr2bl w:val="nil"/>
            </w:tcBorders>
            <w:shd w:val="clear" w:color="auto" w:fill="auto"/>
            <w:noWrap/>
            <w:tcMar>
              <w:top w:w="15" w:type="dxa"/>
              <w:left w:w="15" w:type="dxa"/>
              <w:right w:w="15" w:type="dxa"/>
            </w:tcMar>
            <w:vAlign w:val="center"/>
          </w:tcPr>
          <w:p w14:paraId="0185B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08341C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6A6F0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3C5D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1B68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64BC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l2br w:val="nil"/>
              <w:tr2bl w:val="nil"/>
            </w:tcBorders>
            <w:shd w:val="clear" w:color="auto" w:fill="auto"/>
            <w:noWrap/>
            <w:tcMar>
              <w:top w:w="15" w:type="dxa"/>
              <w:left w:w="15" w:type="dxa"/>
              <w:right w:w="15" w:type="dxa"/>
            </w:tcMar>
            <w:vAlign w:val="center"/>
          </w:tcPr>
          <w:p w14:paraId="4978E2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F9653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1E383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大黄蜂</w:t>
            </w:r>
          </w:p>
        </w:tc>
        <w:tc>
          <w:tcPr>
            <w:tcW w:w="863" w:type="pct"/>
            <w:tcBorders>
              <w:tl2br w:val="nil"/>
              <w:tr2bl w:val="nil"/>
            </w:tcBorders>
            <w:shd w:val="clear" w:color="auto" w:fill="auto"/>
            <w:noWrap/>
            <w:tcMar>
              <w:top w:w="15" w:type="dxa"/>
              <w:left w:w="15" w:type="dxa"/>
              <w:right w:w="15" w:type="dxa"/>
            </w:tcMar>
            <w:vAlign w:val="center"/>
          </w:tcPr>
          <w:p w14:paraId="17C0E3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大黄蜂BB4四炫翼</w:t>
            </w:r>
          </w:p>
        </w:tc>
        <w:tc>
          <w:tcPr>
            <w:tcW w:w="472" w:type="pct"/>
            <w:tcBorders>
              <w:tl2br w:val="nil"/>
              <w:tr2bl w:val="nil"/>
            </w:tcBorders>
            <w:shd w:val="clear" w:color="auto" w:fill="auto"/>
            <w:noWrap/>
            <w:tcMar>
              <w:top w:w="15" w:type="dxa"/>
              <w:left w:w="15" w:type="dxa"/>
              <w:right w:w="15" w:type="dxa"/>
            </w:tcMar>
            <w:vAlign w:val="center"/>
          </w:tcPr>
          <w:p w14:paraId="6B4FD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722D0E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w:t>
            </w:r>
          </w:p>
        </w:tc>
        <w:tc>
          <w:tcPr>
            <w:tcW w:w="416" w:type="pct"/>
            <w:tcBorders>
              <w:tl2br w:val="nil"/>
              <w:tr2bl w:val="nil"/>
            </w:tcBorders>
            <w:shd w:val="clear" w:color="auto" w:fill="auto"/>
            <w:noWrap/>
            <w:tcMar>
              <w:top w:w="15" w:type="dxa"/>
              <w:left w:w="15" w:type="dxa"/>
              <w:right w:w="15" w:type="dxa"/>
            </w:tcMar>
            <w:vAlign w:val="center"/>
          </w:tcPr>
          <w:p w14:paraId="7FBB27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00B06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9CEC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046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32" w:type="pct"/>
            <w:tcBorders>
              <w:tl2br w:val="nil"/>
              <w:tr2bl w:val="nil"/>
            </w:tcBorders>
            <w:shd w:val="clear" w:color="auto" w:fill="auto"/>
            <w:noWrap/>
            <w:tcMar>
              <w:top w:w="15" w:type="dxa"/>
              <w:left w:w="15" w:type="dxa"/>
              <w:right w:w="15" w:type="dxa"/>
            </w:tcMar>
            <w:vAlign w:val="center"/>
          </w:tcPr>
          <w:p w14:paraId="340BD5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激光雷达</w:t>
            </w:r>
          </w:p>
        </w:tc>
        <w:tc>
          <w:tcPr>
            <w:tcW w:w="754" w:type="pct"/>
            <w:tcBorders>
              <w:tl2br w:val="nil"/>
              <w:tr2bl w:val="nil"/>
            </w:tcBorders>
            <w:shd w:val="clear" w:color="auto" w:fill="auto"/>
            <w:noWrap/>
            <w:tcMar>
              <w:top w:w="15" w:type="dxa"/>
              <w:left w:w="15" w:type="dxa"/>
              <w:right w:w="15" w:type="dxa"/>
            </w:tcMar>
            <w:vAlign w:val="center"/>
          </w:tcPr>
          <w:p w14:paraId="08CCB0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激光雷达/镜头</w:t>
            </w:r>
          </w:p>
        </w:tc>
        <w:tc>
          <w:tcPr>
            <w:tcW w:w="704" w:type="pct"/>
            <w:tcBorders>
              <w:tl2br w:val="nil"/>
              <w:tr2bl w:val="nil"/>
            </w:tcBorders>
            <w:shd w:val="clear" w:color="auto" w:fill="auto"/>
            <w:noWrap/>
            <w:tcMar>
              <w:top w:w="15" w:type="dxa"/>
              <w:left w:w="15" w:type="dxa"/>
              <w:right w:w="15" w:type="dxa"/>
            </w:tcMar>
            <w:vAlign w:val="center"/>
          </w:tcPr>
          <w:p w14:paraId="239CE8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华测</w:t>
            </w:r>
          </w:p>
        </w:tc>
        <w:tc>
          <w:tcPr>
            <w:tcW w:w="863" w:type="pct"/>
            <w:tcBorders>
              <w:tl2br w:val="nil"/>
              <w:tr2bl w:val="nil"/>
            </w:tcBorders>
            <w:shd w:val="clear" w:color="auto" w:fill="auto"/>
            <w:noWrap/>
            <w:tcMar>
              <w:top w:w="15" w:type="dxa"/>
              <w:left w:w="15" w:type="dxa"/>
              <w:right w:w="15" w:type="dxa"/>
            </w:tcMar>
            <w:vAlign w:val="center"/>
          </w:tcPr>
          <w:p w14:paraId="281AB3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Au1300/C5</w:t>
            </w:r>
          </w:p>
        </w:tc>
        <w:tc>
          <w:tcPr>
            <w:tcW w:w="472" w:type="pct"/>
            <w:tcBorders>
              <w:tl2br w:val="nil"/>
              <w:tr2bl w:val="nil"/>
            </w:tcBorders>
            <w:shd w:val="clear" w:color="auto" w:fill="auto"/>
            <w:noWrap/>
            <w:tcMar>
              <w:top w:w="15" w:type="dxa"/>
              <w:left w:w="15" w:type="dxa"/>
              <w:right w:w="15" w:type="dxa"/>
            </w:tcMar>
            <w:vAlign w:val="center"/>
          </w:tcPr>
          <w:p w14:paraId="26E8D3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48E820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416" w:type="pct"/>
            <w:tcBorders>
              <w:tl2br w:val="nil"/>
              <w:tr2bl w:val="nil"/>
            </w:tcBorders>
            <w:shd w:val="clear" w:color="auto" w:fill="auto"/>
            <w:noWrap/>
            <w:tcMar>
              <w:top w:w="15" w:type="dxa"/>
              <w:left w:w="15" w:type="dxa"/>
              <w:right w:w="15" w:type="dxa"/>
            </w:tcMar>
            <w:vAlign w:val="center"/>
          </w:tcPr>
          <w:p w14:paraId="66B95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256656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EFD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2E3F3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32" w:type="pct"/>
            <w:tcBorders>
              <w:tl2br w:val="nil"/>
              <w:tr2bl w:val="nil"/>
            </w:tcBorders>
            <w:shd w:val="clear" w:color="auto" w:fill="auto"/>
            <w:noWrap/>
            <w:tcMar>
              <w:top w:w="15" w:type="dxa"/>
              <w:left w:w="15" w:type="dxa"/>
              <w:right w:w="15" w:type="dxa"/>
            </w:tcMar>
            <w:vAlign w:val="center"/>
          </w:tcPr>
          <w:p w14:paraId="68EAAD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9E84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4C0BD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47156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2154CB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6576A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16" w:type="pct"/>
            <w:tcBorders>
              <w:tl2br w:val="nil"/>
              <w:tr2bl w:val="nil"/>
            </w:tcBorders>
            <w:shd w:val="clear" w:color="auto" w:fill="auto"/>
            <w:noWrap/>
            <w:tcMar>
              <w:top w:w="15" w:type="dxa"/>
              <w:left w:w="15" w:type="dxa"/>
              <w:right w:w="15" w:type="dxa"/>
            </w:tcMar>
            <w:vAlign w:val="center"/>
          </w:tcPr>
          <w:p w14:paraId="0E329F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D74D3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2025.12.26</w:t>
            </w:r>
          </w:p>
        </w:tc>
      </w:tr>
      <w:tr w14:paraId="2515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E1C4C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2" w:type="pct"/>
            <w:tcBorders>
              <w:tl2br w:val="nil"/>
              <w:tr2bl w:val="nil"/>
            </w:tcBorders>
            <w:shd w:val="clear" w:color="auto" w:fill="auto"/>
            <w:noWrap/>
            <w:tcMar>
              <w:top w:w="15" w:type="dxa"/>
              <w:left w:w="15" w:type="dxa"/>
              <w:right w:w="15" w:type="dxa"/>
            </w:tcMar>
            <w:vAlign w:val="center"/>
          </w:tcPr>
          <w:p w14:paraId="1E4BCD4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00CAE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416BA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8934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3PRO</w:t>
            </w:r>
          </w:p>
        </w:tc>
        <w:tc>
          <w:tcPr>
            <w:tcW w:w="472" w:type="pct"/>
            <w:tcBorders>
              <w:tl2br w:val="nil"/>
              <w:tr2bl w:val="nil"/>
            </w:tcBorders>
            <w:shd w:val="clear" w:color="auto" w:fill="auto"/>
            <w:noWrap/>
            <w:tcMar>
              <w:top w:w="15" w:type="dxa"/>
              <w:left w:w="15" w:type="dxa"/>
              <w:right w:w="15" w:type="dxa"/>
            </w:tcMar>
            <w:vAlign w:val="center"/>
          </w:tcPr>
          <w:p w14:paraId="74E458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35004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416" w:type="pct"/>
            <w:tcBorders>
              <w:tl2br w:val="nil"/>
              <w:tr2bl w:val="nil"/>
            </w:tcBorders>
            <w:shd w:val="clear" w:color="auto" w:fill="auto"/>
            <w:noWrap/>
            <w:tcMar>
              <w:top w:w="15" w:type="dxa"/>
              <w:left w:w="15" w:type="dxa"/>
              <w:right w:w="15" w:type="dxa"/>
            </w:tcMar>
            <w:vAlign w:val="center"/>
          </w:tcPr>
          <w:p w14:paraId="582A02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F6EF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2026.01.01</w:t>
            </w:r>
          </w:p>
        </w:tc>
      </w:tr>
      <w:tr w14:paraId="287D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8D0C8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32" w:type="pct"/>
            <w:tcBorders>
              <w:tl2br w:val="nil"/>
              <w:tr2bl w:val="nil"/>
            </w:tcBorders>
            <w:shd w:val="clear" w:color="auto" w:fill="auto"/>
            <w:noWrap/>
            <w:tcMar>
              <w:top w:w="15" w:type="dxa"/>
              <w:left w:w="15" w:type="dxa"/>
              <w:right w:w="15" w:type="dxa"/>
            </w:tcMar>
            <w:vAlign w:val="center"/>
          </w:tcPr>
          <w:p w14:paraId="2C310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0DDF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A197C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9049D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MAVIC 3 PRO</w:t>
            </w:r>
          </w:p>
        </w:tc>
        <w:tc>
          <w:tcPr>
            <w:tcW w:w="472" w:type="pct"/>
            <w:tcBorders>
              <w:tl2br w:val="nil"/>
              <w:tr2bl w:val="nil"/>
            </w:tcBorders>
            <w:shd w:val="clear" w:color="auto" w:fill="auto"/>
            <w:noWrap/>
            <w:tcMar>
              <w:top w:w="15" w:type="dxa"/>
              <w:left w:w="15" w:type="dxa"/>
              <w:right w:w="15" w:type="dxa"/>
            </w:tcMar>
            <w:vAlign w:val="center"/>
          </w:tcPr>
          <w:p w14:paraId="233CCC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589A09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00000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1B287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2026.03.25</w:t>
            </w:r>
          </w:p>
        </w:tc>
      </w:tr>
      <w:tr w14:paraId="022A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CB6B5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2" w:type="pct"/>
            <w:tcBorders>
              <w:tl2br w:val="nil"/>
              <w:tr2bl w:val="nil"/>
            </w:tcBorders>
            <w:shd w:val="clear" w:color="auto" w:fill="auto"/>
            <w:noWrap/>
            <w:tcMar>
              <w:top w:w="15" w:type="dxa"/>
              <w:left w:w="15" w:type="dxa"/>
              <w:right w:w="15" w:type="dxa"/>
            </w:tcMar>
            <w:vAlign w:val="center"/>
          </w:tcPr>
          <w:p w14:paraId="5BDEC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5177E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1F3E2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414F0E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DJI MAVIC 3 PRO</w:t>
            </w:r>
          </w:p>
        </w:tc>
        <w:tc>
          <w:tcPr>
            <w:tcW w:w="472" w:type="pct"/>
            <w:tcBorders>
              <w:tl2br w:val="nil"/>
              <w:tr2bl w:val="nil"/>
            </w:tcBorders>
            <w:shd w:val="clear" w:color="auto" w:fill="auto"/>
            <w:noWrap/>
            <w:tcMar>
              <w:top w:w="15" w:type="dxa"/>
              <w:left w:w="15" w:type="dxa"/>
              <w:right w:w="15" w:type="dxa"/>
            </w:tcMar>
            <w:vAlign w:val="center"/>
          </w:tcPr>
          <w:p w14:paraId="42FA3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0394D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F70E3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1D66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2026.03.25</w:t>
            </w:r>
          </w:p>
        </w:tc>
      </w:tr>
      <w:tr w14:paraId="3526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B6B55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32" w:type="pct"/>
            <w:tcBorders>
              <w:tl2br w:val="nil"/>
              <w:tr2bl w:val="nil"/>
            </w:tcBorders>
            <w:shd w:val="clear" w:color="auto" w:fill="auto"/>
            <w:noWrap/>
            <w:tcMar>
              <w:top w:w="15" w:type="dxa"/>
              <w:left w:w="15" w:type="dxa"/>
              <w:right w:w="15" w:type="dxa"/>
            </w:tcMar>
            <w:vAlign w:val="center"/>
          </w:tcPr>
          <w:p w14:paraId="7D7D77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89D87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6F8425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91214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4F52E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85B5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12D53B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A1B6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7267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CC8E9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32" w:type="pct"/>
            <w:tcBorders>
              <w:tl2br w:val="nil"/>
              <w:tr2bl w:val="nil"/>
            </w:tcBorders>
            <w:shd w:val="clear" w:color="auto" w:fill="auto"/>
            <w:noWrap/>
            <w:tcMar>
              <w:top w:w="15" w:type="dxa"/>
              <w:left w:w="15" w:type="dxa"/>
              <w:right w:w="15" w:type="dxa"/>
            </w:tcMar>
            <w:vAlign w:val="center"/>
          </w:tcPr>
          <w:p w14:paraId="7FC1C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891E1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0F805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69729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6C298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8BC6A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498F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5D031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C0D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7632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32" w:type="pct"/>
            <w:tcBorders>
              <w:tl2br w:val="nil"/>
              <w:tr2bl w:val="nil"/>
            </w:tcBorders>
            <w:shd w:val="clear" w:color="auto" w:fill="auto"/>
            <w:noWrap/>
            <w:tcMar>
              <w:top w:w="15" w:type="dxa"/>
              <w:left w:w="15" w:type="dxa"/>
              <w:right w:w="15" w:type="dxa"/>
            </w:tcMar>
            <w:vAlign w:val="center"/>
          </w:tcPr>
          <w:p w14:paraId="689FC9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664191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（含FC6310R相机）</w:t>
            </w:r>
          </w:p>
        </w:tc>
        <w:tc>
          <w:tcPr>
            <w:tcW w:w="704" w:type="pct"/>
            <w:tcBorders>
              <w:tl2br w:val="nil"/>
              <w:tr2bl w:val="nil"/>
            </w:tcBorders>
            <w:shd w:val="clear" w:color="auto" w:fill="auto"/>
            <w:noWrap/>
            <w:tcMar>
              <w:top w:w="15" w:type="dxa"/>
              <w:left w:w="15" w:type="dxa"/>
              <w:right w:w="15" w:type="dxa"/>
            </w:tcMar>
            <w:vAlign w:val="center"/>
          </w:tcPr>
          <w:p w14:paraId="3FAD4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2CCA36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精灵4RTKSE</w:t>
            </w:r>
          </w:p>
        </w:tc>
        <w:tc>
          <w:tcPr>
            <w:tcW w:w="472" w:type="pct"/>
            <w:tcBorders>
              <w:tl2br w:val="nil"/>
              <w:tr2bl w:val="nil"/>
            </w:tcBorders>
            <w:shd w:val="clear" w:color="auto" w:fill="auto"/>
            <w:noWrap/>
            <w:tcMar>
              <w:top w:w="15" w:type="dxa"/>
              <w:left w:w="15" w:type="dxa"/>
              <w:right w:w="15" w:type="dxa"/>
            </w:tcMar>
            <w:vAlign w:val="center"/>
          </w:tcPr>
          <w:p w14:paraId="15D7DF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9DB32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3CCD86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0E447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43C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BEBE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32" w:type="pct"/>
            <w:tcBorders>
              <w:tl2br w:val="nil"/>
              <w:tr2bl w:val="nil"/>
            </w:tcBorders>
            <w:shd w:val="clear" w:color="auto" w:fill="auto"/>
            <w:noWrap/>
            <w:tcMar>
              <w:top w:w="15" w:type="dxa"/>
              <w:left w:w="15" w:type="dxa"/>
              <w:right w:w="15" w:type="dxa"/>
            </w:tcMar>
            <w:vAlign w:val="center"/>
          </w:tcPr>
          <w:p w14:paraId="468E8F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07AD3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0E1A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46C23A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36FCF1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06F0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5FE13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23E3BE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E01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C6425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32" w:type="pct"/>
            <w:tcBorders>
              <w:tl2br w:val="nil"/>
              <w:tr2bl w:val="nil"/>
            </w:tcBorders>
            <w:shd w:val="clear" w:color="auto" w:fill="auto"/>
            <w:noWrap/>
            <w:tcMar>
              <w:top w:w="15" w:type="dxa"/>
              <w:left w:w="15" w:type="dxa"/>
              <w:right w:w="15" w:type="dxa"/>
            </w:tcMar>
            <w:vAlign w:val="center"/>
          </w:tcPr>
          <w:p w14:paraId="7FDC78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43E2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1EEB7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758BA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1CC47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4598D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6AAF90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1B88E2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04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79A1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32" w:type="pct"/>
            <w:tcBorders>
              <w:tl2br w:val="nil"/>
              <w:tr2bl w:val="nil"/>
            </w:tcBorders>
            <w:shd w:val="clear" w:color="auto" w:fill="auto"/>
            <w:noWrap/>
            <w:tcMar>
              <w:top w:w="15" w:type="dxa"/>
              <w:left w:w="15" w:type="dxa"/>
              <w:right w:w="15" w:type="dxa"/>
            </w:tcMar>
            <w:vAlign w:val="center"/>
          </w:tcPr>
          <w:p w14:paraId="4271BE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6A12E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12CC6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36DEB7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5F5379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E377F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26FB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72D91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4A66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643147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32" w:type="pct"/>
            <w:tcBorders>
              <w:tl2br w:val="nil"/>
              <w:tr2bl w:val="nil"/>
            </w:tcBorders>
            <w:shd w:val="clear" w:color="auto" w:fill="auto"/>
            <w:noWrap/>
            <w:tcMar>
              <w:top w:w="15" w:type="dxa"/>
              <w:left w:w="15" w:type="dxa"/>
              <w:right w:w="15" w:type="dxa"/>
            </w:tcMar>
            <w:vAlign w:val="center"/>
          </w:tcPr>
          <w:p w14:paraId="440FA8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A41D1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41BBD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1237B1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御3E</w:t>
            </w:r>
          </w:p>
        </w:tc>
        <w:tc>
          <w:tcPr>
            <w:tcW w:w="472" w:type="pct"/>
            <w:tcBorders>
              <w:tl2br w:val="nil"/>
              <w:tr2bl w:val="nil"/>
            </w:tcBorders>
            <w:shd w:val="clear" w:color="auto" w:fill="auto"/>
            <w:noWrap/>
            <w:tcMar>
              <w:top w:w="15" w:type="dxa"/>
              <w:left w:w="15" w:type="dxa"/>
              <w:right w:w="15" w:type="dxa"/>
            </w:tcMar>
            <w:vAlign w:val="center"/>
          </w:tcPr>
          <w:p w14:paraId="3B999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D828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56749C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579A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BA3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5E3C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32" w:type="pct"/>
            <w:tcBorders>
              <w:tl2br w:val="nil"/>
              <w:tr2bl w:val="nil"/>
            </w:tcBorders>
            <w:shd w:val="clear" w:color="auto" w:fill="auto"/>
            <w:noWrap/>
            <w:tcMar>
              <w:top w:w="15" w:type="dxa"/>
              <w:left w:w="15" w:type="dxa"/>
              <w:right w:w="15" w:type="dxa"/>
            </w:tcMar>
            <w:vAlign w:val="center"/>
          </w:tcPr>
          <w:p w14:paraId="25CF67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6CDF9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9A587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4D8A6D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0153D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10A7C5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123CC7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5CCFC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ED0A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6E0CB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32" w:type="pct"/>
            <w:tcBorders>
              <w:tl2br w:val="nil"/>
              <w:tr2bl w:val="nil"/>
            </w:tcBorders>
            <w:shd w:val="clear" w:color="auto" w:fill="auto"/>
            <w:noWrap/>
            <w:tcMar>
              <w:top w:w="15" w:type="dxa"/>
              <w:left w:w="15" w:type="dxa"/>
              <w:right w:w="15" w:type="dxa"/>
            </w:tcMar>
            <w:vAlign w:val="center"/>
          </w:tcPr>
          <w:p w14:paraId="0D801E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369F5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E0D1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271DC6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626E2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53E7A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2C7105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742A4D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8CD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187580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32" w:type="pct"/>
            <w:tcBorders>
              <w:tl2br w:val="nil"/>
              <w:tr2bl w:val="nil"/>
            </w:tcBorders>
            <w:shd w:val="clear" w:color="auto" w:fill="auto"/>
            <w:noWrap/>
            <w:tcMar>
              <w:top w:w="15" w:type="dxa"/>
              <w:left w:w="15" w:type="dxa"/>
              <w:right w:w="15" w:type="dxa"/>
            </w:tcMar>
            <w:vAlign w:val="center"/>
          </w:tcPr>
          <w:p w14:paraId="65A486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A22DF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E4CA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7BB2C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1A338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3F890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49D98D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4885D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BC28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228C4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32" w:type="pct"/>
            <w:tcBorders>
              <w:tl2br w:val="nil"/>
              <w:tr2bl w:val="nil"/>
            </w:tcBorders>
            <w:shd w:val="clear" w:color="auto" w:fill="auto"/>
            <w:noWrap/>
            <w:tcMar>
              <w:top w:w="15" w:type="dxa"/>
              <w:left w:w="15" w:type="dxa"/>
              <w:right w:w="15" w:type="dxa"/>
            </w:tcMar>
            <w:vAlign w:val="center"/>
          </w:tcPr>
          <w:p w14:paraId="10CD74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46127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2E854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698911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M350RTK</w:t>
            </w:r>
          </w:p>
        </w:tc>
        <w:tc>
          <w:tcPr>
            <w:tcW w:w="472" w:type="pct"/>
            <w:tcBorders>
              <w:tl2br w:val="nil"/>
              <w:tr2bl w:val="nil"/>
            </w:tcBorders>
            <w:shd w:val="clear" w:color="auto" w:fill="auto"/>
            <w:noWrap/>
            <w:tcMar>
              <w:top w:w="15" w:type="dxa"/>
              <w:left w:w="15" w:type="dxa"/>
              <w:right w:w="15" w:type="dxa"/>
            </w:tcMar>
            <w:vAlign w:val="center"/>
          </w:tcPr>
          <w:p w14:paraId="64AD4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E095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6" w:type="pct"/>
            <w:tcBorders>
              <w:tl2br w:val="nil"/>
              <w:tr2bl w:val="nil"/>
            </w:tcBorders>
            <w:shd w:val="clear" w:color="auto" w:fill="auto"/>
            <w:noWrap/>
            <w:tcMar>
              <w:top w:w="15" w:type="dxa"/>
              <w:left w:w="15" w:type="dxa"/>
              <w:right w:w="15" w:type="dxa"/>
            </w:tcMar>
            <w:vAlign w:val="center"/>
          </w:tcPr>
          <w:p w14:paraId="27575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BF70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D42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73B337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32" w:type="pct"/>
            <w:tcBorders>
              <w:tl2br w:val="nil"/>
              <w:tr2bl w:val="nil"/>
            </w:tcBorders>
            <w:shd w:val="clear" w:color="auto" w:fill="auto"/>
            <w:noWrap/>
            <w:tcMar>
              <w:top w:w="15" w:type="dxa"/>
              <w:left w:w="15" w:type="dxa"/>
              <w:right w:w="15" w:type="dxa"/>
            </w:tcMar>
            <w:vAlign w:val="center"/>
          </w:tcPr>
          <w:p w14:paraId="6B9546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0A34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448AA8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157B72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4FCB60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49E13D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7B641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4A25CF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563B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34B8F8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32" w:type="pct"/>
            <w:tcBorders>
              <w:tl2br w:val="nil"/>
              <w:tr2bl w:val="nil"/>
            </w:tcBorders>
            <w:shd w:val="clear" w:color="auto" w:fill="auto"/>
            <w:noWrap/>
            <w:tcMar>
              <w:top w:w="15" w:type="dxa"/>
              <w:left w:w="15" w:type="dxa"/>
              <w:right w:w="15" w:type="dxa"/>
            </w:tcMar>
            <w:vAlign w:val="center"/>
          </w:tcPr>
          <w:p w14:paraId="5FE75A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23D26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2A35B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FBA4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1219A7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2F231D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4AAB76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287BB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8AC5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68040B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32" w:type="pct"/>
            <w:tcBorders>
              <w:tl2br w:val="nil"/>
              <w:tr2bl w:val="nil"/>
            </w:tcBorders>
            <w:shd w:val="clear" w:color="auto" w:fill="auto"/>
            <w:noWrap/>
            <w:tcMar>
              <w:top w:w="15" w:type="dxa"/>
              <w:left w:w="15" w:type="dxa"/>
              <w:right w:w="15" w:type="dxa"/>
            </w:tcMar>
            <w:vAlign w:val="center"/>
          </w:tcPr>
          <w:p w14:paraId="1CB66F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66B00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7AA102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94E4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禅思L1</w:t>
            </w:r>
          </w:p>
        </w:tc>
        <w:tc>
          <w:tcPr>
            <w:tcW w:w="472" w:type="pct"/>
            <w:tcBorders>
              <w:tl2br w:val="nil"/>
              <w:tr2bl w:val="nil"/>
            </w:tcBorders>
            <w:shd w:val="clear" w:color="auto" w:fill="auto"/>
            <w:noWrap/>
            <w:tcMar>
              <w:top w:w="15" w:type="dxa"/>
              <w:left w:w="15" w:type="dxa"/>
              <w:right w:w="15" w:type="dxa"/>
            </w:tcMar>
            <w:vAlign w:val="center"/>
          </w:tcPr>
          <w:p w14:paraId="1E759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31696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16" w:type="pct"/>
            <w:tcBorders>
              <w:tl2br w:val="nil"/>
              <w:tr2bl w:val="nil"/>
            </w:tcBorders>
            <w:shd w:val="clear" w:color="auto" w:fill="auto"/>
            <w:noWrap/>
            <w:tcMar>
              <w:top w:w="15" w:type="dxa"/>
              <w:left w:w="15" w:type="dxa"/>
              <w:right w:w="15" w:type="dxa"/>
            </w:tcMar>
            <w:vAlign w:val="center"/>
          </w:tcPr>
          <w:p w14:paraId="0FA09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C8841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73A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32D4B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32" w:type="pct"/>
            <w:tcBorders>
              <w:tl2br w:val="nil"/>
              <w:tr2bl w:val="nil"/>
            </w:tcBorders>
            <w:shd w:val="clear" w:color="auto" w:fill="auto"/>
            <w:noWrap/>
            <w:tcMar>
              <w:top w:w="15" w:type="dxa"/>
              <w:left w:w="15" w:type="dxa"/>
              <w:right w:w="15" w:type="dxa"/>
            </w:tcMar>
            <w:vAlign w:val="center"/>
          </w:tcPr>
          <w:p w14:paraId="64D8CE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18D878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664083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BE995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禅思P1</w:t>
            </w:r>
          </w:p>
        </w:tc>
        <w:tc>
          <w:tcPr>
            <w:tcW w:w="472" w:type="pct"/>
            <w:tcBorders>
              <w:tl2br w:val="nil"/>
              <w:tr2bl w:val="nil"/>
            </w:tcBorders>
            <w:shd w:val="clear" w:color="auto" w:fill="auto"/>
            <w:noWrap/>
            <w:tcMar>
              <w:top w:w="15" w:type="dxa"/>
              <w:left w:w="15" w:type="dxa"/>
              <w:right w:w="15" w:type="dxa"/>
            </w:tcMar>
            <w:vAlign w:val="center"/>
          </w:tcPr>
          <w:p w14:paraId="6FDF8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0533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6" w:type="pct"/>
            <w:tcBorders>
              <w:tl2br w:val="nil"/>
              <w:tr2bl w:val="nil"/>
            </w:tcBorders>
            <w:shd w:val="clear" w:color="auto" w:fill="auto"/>
            <w:noWrap/>
            <w:tcMar>
              <w:top w:w="15" w:type="dxa"/>
              <w:left w:w="15" w:type="dxa"/>
              <w:right w:w="15" w:type="dxa"/>
            </w:tcMar>
            <w:vAlign w:val="center"/>
          </w:tcPr>
          <w:p w14:paraId="6FA91D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CC308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8312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2" w:type="pct"/>
            <w:tcBorders>
              <w:tl2br w:val="nil"/>
              <w:tr2bl w:val="nil"/>
            </w:tcBorders>
            <w:shd w:val="clear" w:color="auto" w:fill="auto"/>
            <w:noWrap/>
            <w:tcMar>
              <w:top w:w="15" w:type="dxa"/>
              <w:left w:w="15" w:type="dxa"/>
              <w:right w:w="15" w:type="dxa"/>
            </w:tcMar>
            <w:vAlign w:val="center"/>
          </w:tcPr>
          <w:p w14:paraId="7D195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32" w:type="pct"/>
            <w:tcBorders>
              <w:tl2br w:val="nil"/>
              <w:tr2bl w:val="nil"/>
            </w:tcBorders>
            <w:shd w:val="clear" w:color="auto" w:fill="auto"/>
            <w:noWrap/>
            <w:tcMar>
              <w:top w:w="15" w:type="dxa"/>
              <w:left w:w="15" w:type="dxa"/>
              <w:right w:w="15" w:type="dxa"/>
            </w:tcMar>
            <w:vAlign w:val="center"/>
          </w:tcPr>
          <w:p w14:paraId="7EA045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4E7249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7D94EF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长光禹辰</w:t>
            </w:r>
          </w:p>
        </w:tc>
        <w:tc>
          <w:tcPr>
            <w:tcW w:w="863" w:type="pct"/>
            <w:tcBorders>
              <w:tl2br w:val="nil"/>
              <w:tr2bl w:val="nil"/>
            </w:tcBorders>
            <w:shd w:val="clear" w:color="auto" w:fill="auto"/>
            <w:noWrap/>
            <w:tcMar>
              <w:top w:w="15" w:type="dxa"/>
              <w:left w:w="15" w:type="dxa"/>
              <w:right w:w="15" w:type="dxa"/>
            </w:tcMar>
            <w:vAlign w:val="center"/>
          </w:tcPr>
          <w:p w14:paraId="18DF7B9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MS600</w:t>
            </w:r>
          </w:p>
        </w:tc>
        <w:tc>
          <w:tcPr>
            <w:tcW w:w="472" w:type="pct"/>
            <w:tcBorders>
              <w:tl2br w:val="nil"/>
              <w:tr2bl w:val="nil"/>
            </w:tcBorders>
            <w:shd w:val="clear" w:color="auto" w:fill="auto"/>
            <w:noWrap/>
            <w:tcMar>
              <w:top w:w="15" w:type="dxa"/>
              <w:left w:w="15" w:type="dxa"/>
              <w:right w:w="15" w:type="dxa"/>
            </w:tcMar>
            <w:vAlign w:val="center"/>
          </w:tcPr>
          <w:p w14:paraId="2C7B1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027C9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6" w:type="pct"/>
            <w:tcBorders>
              <w:tl2br w:val="nil"/>
              <w:tr2bl w:val="nil"/>
            </w:tcBorders>
            <w:shd w:val="clear" w:color="auto" w:fill="auto"/>
            <w:noWrap/>
            <w:tcMar>
              <w:top w:w="15" w:type="dxa"/>
              <w:left w:w="15" w:type="dxa"/>
              <w:right w:w="15" w:type="dxa"/>
            </w:tcMar>
            <w:vAlign w:val="center"/>
          </w:tcPr>
          <w:p w14:paraId="2FB523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3F9FC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DA6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221DB5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32" w:type="pct"/>
            <w:tcBorders>
              <w:tl2br w:val="nil"/>
              <w:tr2bl w:val="nil"/>
            </w:tcBorders>
            <w:shd w:val="clear" w:color="auto" w:fill="auto"/>
            <w:noWrap/>
            <w:tcMar>
              <w:top w:w="15" w:type="dxa"/>
              <w:left w:w="15" w:type="dxa"/>
              <w:right w:w="15" w:type="dxa"/>
            </w:tcMar>
            <w:vAlign w:val="center"/>
          </w:tcPr>
          <w:p w14:paraId="54BD2A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val="0"/>
            <w:tcMar>
              <w:top w:w="15" w:type="dxa"/>
              <w:left w:w="15" w:type="dxa"/>
              <w:right w:w="15" w:type="dxa"/>
            </w:tcMar>
            <w:vAlign w:val="center"/>
          </w:tcPr>
          <w:p w14:paraId="4AC018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0D3098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D82FA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禅思H20</w:t>
            </w:r>
          </w:p>
        </w:tc>
        <w:tc>
          <w:tcPr>
            <w:tcW w:w="472" w:type="pct"/>
            <w:tcBorders>
              <w:tl2br w:val="nil"/>
              <w:tr2bl w:val="nil"/>
            </w:tcBorders>
            <w:shd w:val="clear" w:color="auto" w:fill="auto"/>
            <w:noWrap/>
            <w:tcMar>
              <w:top w:w="15" w:type="dxa"/>
              <w:left w:w="15" w:type="dxa"/>
              <w:right w:w="15" w:type="dxa"/>
            </w:tcMar>
            <w:vAlign w:val="center"/>
          </w:tcPr>
          <w:p w14:paraId="75507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851A2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l2br w:val="nil"/>
              <w:tr2bl w:val="nil"/>
            </w:tcBorders>
            <w:shd w:val="clear" w:color="auto" w:fill="auto"/>
            <w:noWrap/>
            <w:tcMar>
              <w:top w:w="15" w:type="dxa"/>
              <w:left w:w="15" w:type="dxa"/>
              <w:right w:w="15" w:type="dxa"/>
            </w:tcMar>
            <w:vAlign w:val="center"/>
          </w:tcPr>
          <w:p w14:paraId="422DA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784FC8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7252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1FF464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32" w:type="pct"/>
            <w:tcBorders>
              <w:tl2br w:val="nil"/>
              <w:tr2bl w:val="nil"/>
            </w:tcBorders>
            <w:shd w:val="clear" w:color="auto" w:fill="auto"/>
            <w:noWrap/>
            <w:tcMar>
              <w:top w:w="15" w:type="dxa"/>
              <w:left w:w="15" w:type="dxa"/>
              <w:right w:w="15" w:type="dxa"/>
            </w:tcMar>
            <w:vAlign w:val="center"/>
          </w:tcPr>
          <w:p w14:paraId="727216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75F8B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5BC446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C4892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大疆DJL Matrice 3TD</w:t>
            </w:r>
          </w:p>
        </w:tc>
        <w:tc>
          <w:tcPr>
            <w:tcW w:w="472" w:type="pct"/>
            <w:tcBorders>
              <w:tl2br w:val="nil"/>
              <w:tr2bl w:val="nil"/>
            </w:tcBorders>
            <w:shd w:val="clear" w:color="auto" w:fill="auto"/>
            <w:noWrap/>
            <w:tcMar>
              <w:top w:w="15" w:type="dxa"/>
              <w:left w:w="15" w:type="dxa"/>
              <w:right w:w="15" w:type="dxa"/>
            </w:tcMar>
            <w:vAlign w:val="center"/>
          </w:tcPr>
          <w:p w14:paraId="1ABA6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12D933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1D436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20" w:type="pct"/>
            <w:tcBorders>
              <w:tl2br w:val="nil"/>
              <w:tr2bl w:val="nil"/>
            </w:tcBorders>
            <w:shd w:val="clear" w:color="auto" w:fill="auto"/>
            <w:noWrap/>
            <w:tcMar>
              <w:top w:w="15" w:type="dxa"/>
              <w:left w:w="15" w:type="dxa"/>
              <w:right w:w="15" w:type="dxa"/>
            </w:tcMar>
            <w:vAlign w:val="center"/>
          </w:tcPr>
          <w:p w14:paraId="6CD4C9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48934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92" w:type="pct"/>
            <w:tcBorders>
              <w:tl2br w:val="nil"/>
              <w:tr2bl w:val="nil"/>
            </w:tcBorders>
            <w:shd w:val="clear" w:color="auto" w:fill="auto"/>
            <w:noWrap/>
            <w:tcMar>
              <w:top w:w="15" w:type="dxa"/>
              <w:left w:w="15" w:type="dxa"/>
              <w:right w:w="15" w:type="dxa"/>
            </w:tcMar>
            <w:vAlign w:val="center"/>
          </w:tcPr>
          <w:p w14:paraId="03B0A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32" w:type="pct"/>
            <w:tcBorders>
              <w:tl2br w:val="nil"/>
              <w:tr2bl w:val="nil"/>
            </w:tcBorders>
            <w:shd w:val="clear" w:color="auto" w:fill="auto"/>
            <w:noWrap/>
            <w:tcMar>
              <w:top w:w="15" w:type="dxa"/>
              <w:left w:w="15" w:type="dxa"/>
              <w:right w:w="15" w:type="dxa"/>
            </w:tcMar>
            <w:vAlign w:val="center"/>
          </w:tcPr>
          <w:p w14:paraId="77C19A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val="0"/>
            <w:tcMar>
              <w:top w:w="15" w:type="dxa"/>
              <w:left w:w="15" w:type="dxa"/>
              <w:right w:w="15" w:type="dxa"/>
            </w:tcMar>
            <w:vAlign w:val="center"/>
          </w:tcPr>
          <w:p w14:paraId="0555D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63565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2D992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大疆DJL Matrice 3TD</w:t>
            </w:r>
          </w:p>
        </w:tc>
        <w:tc>
          <w:tcPr>
            <w:tcW w:w="472" w:type="pct"/>
            <w:tcBorders>
              <w:tl2br w:val="nil"/>
              <w:tr2bl w:val="nil"/>
            </w:tcBorders>
            <w:shd w:val="clear" w:color="auto" w:fill="auto"/>
            <w:noWrap/>
            <w:tcMar>
              <w:top w:w="15" w:type="dxa"/>
              <w:left w:w="15" w:type="dxa"/>
              <w:right w:w="15" w:type="dxa"/>
            </w:tcMar>
            <w:vAlign w:val="center"/>
          </w:tcPr>
          <w:p w14:paraId="0F3EE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7C8B7D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6" w:type="pct"/>
            <w:tcBorders>
              <w:tl2br w:val="nil"/>
              <w:tr2bl w:val="nil"/>
            </w:tcBorders>
            <w:shd w:val="clear" w:color="auto" w:fill="auto"/>
            <w:noWrap/>
            <w:tcMar>
              <w:top w:w="15" w:type="dxa"/>
              <w:left w:w="15" w:type="dxa"/>
              <w:right w:w="15" w:type="dxa"/>
            </w:tcMar>
            <w:vAlign w:val="center"/>
          </w:tcPr>
          <w:p w14:paraId="27249D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20" w:type="pct"/>
            <w:tcBorders>
              <w:tl2br w:val="nil"/>
              <w:tr2bl w:val="nil"/>
            </w:tcBorders>
            <w:shd w:val="clear" w:color="auto" w:fill="auto"/>
            <w:noWrap/>
            <w:tcMar>
              <w:top w:w="15" w:type="dxa"/>
              <w:left w:w="15" w:type="dxa"/>
              <w:right w:w="15" w:type="dxa"/>
            </w:tcMar>
            <w:vAlign w:val="center"/>
          </w:tcPr>
          <w:p w14:paraId="75326F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12AE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9CCC8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32" w:type="pct"/>
            <w:tcBorders>
              <w:tl2br w:val="nil"/>
              <w:tr2bl w:val="nil"/>
            </w:tcBorders>
            <w:shd w:val="clear" w:color="auto" w:fill="auto"/>
            <w:noWrap/>
            <w:tcMar>
              <w:top w:w="15" w:type="dxa"/>
              <w:left w:w="15" w:type="dxa"/>
              <w:right w:w="15" w:type="dxa"/>
            </w:tcMar>
            <w:vAlign w:val="center"/>
          </w:tcPr>
          <w:p w14:paraId="2FC539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C5BDA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C3E14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ED3A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大疆DJL Air3s</w:t>
            </w:r>
          </w:p>
        </w:tc>
        <w:tc>
          <w:tcPr>
            <w:tcW w:w="472" w:type="pct"/>
            <w:tcBorders>
              <w:tl2br w:val="nil"/>
              <w:tr2bl w:val="nil"/>
            </w:tcBorders>
            <w:shd w:val="clear" w:color="auto" w:fill="auto"/>
            <w:noWrap/>
            <w:tcMar>
              <w:top w:w="15" w:type="dxa"/>
              <w:left w:w="15" w:type="dxa"/>
              <w:right w:w="15" w:type="dxa"/>
            </w:tcMar>
            <w:vAlign w:val="center"/>
          </w:tcPr>
          <w:p w14:paraId="17F0C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543" w:type="pct"/>
            <w:tcBorders>
              <w:tl2br w:val="nil"/>
              <w:tr2bl w:val="nil"/>
            </w:tcBorders>
            <w:shd w:val="clear" w:color="auto" w:fill="auto"/>
            <w:noWrap/>
            <w:tcMar>
              <w:top w:w="15" w:type="dxa"/>
              <w:left w:w="15" w:type="dxa"/>
              <w:right w:w="15" w:type="dxa"/>
            </w:tcMar>
            <w:vAlign w:val="center"/>
          </w:tcPr>
          <w:p w14:paraId="5F4EF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l2br w:val="nil"/>
              <w:tr2bl w:val="nil"/>
            </w:tcBorders>
            <w:shd w:val="clear" w:color="auto" w:fill="auto"/>
            <w:noWrap/>
            <w:tcMar>
              <w:top w:w="15" w:type="dxa"/>
              <w:left w:w="15" w:type="dxa"/>
              <w:right w:w="15" w:type="dxa"/>
            </w:tcMar>
            <w:vAlign w:val="center"/>
          </w:tcPr>
          <w:p w14:paraId="6A0204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371E6B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2026.02.14</w:t>
            </w:r>
          </w:p>
        </w:tc>
      </w:tr>
      <w:tr w14:paraId="39C08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3629A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32" w:type="pct"/>
            <w:tcBorders>
              <w:tl2br w:val="nil"/>
              <w:tr2bl w:val="nil"/>
            </w:tcBorders>
            <w:shd w:val="clear" w:color="auto" w:fill="auto"/>
            <w:noWrap/>
            <w:tcMar>
              <w:top w:w="15" w:type="dxa"/>
              <w:left w:w="15" w:type="dxa"/>
              <w:right w:w="15" w:type="dxa"/>
            </w:tcMar>
            <w:vAlign w:val="center"/>
          </w:tcPr>
          <w:p w14:paraId="34AEF2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E970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0E37C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7270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mini3pro</w:t>
            </w:r>
          </w:p>
        </w:tc>
        <w:tc>
          <w:tcPr>
            <w:tcW w:w="472" w:type="pct"/>
            <w:tcBorders>
              <w:tl2br w:val="nil"/>
              <w:tr2bl w:val="nil"/>
            </w:tcBorders>
            <w:shd w:val="clear" w:color="auto" w:fill="auto"/>
            <w:noWrap/>
            <w:tcMar>
              <w:top w:w="15" w:type="dxa"/>
              <w:left w:w="15" w:type="dxa"/>
              <w:right w:w="15" w:type="dxa"/>
            </w:tcMar>
            <w:vAlign w:val="center"/>
          </w:tcPr>
          <w:p w14:paraId="3AD614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D2A4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16" w:type="pct"/>
            <w:tcBorders>
              <w:tl2br w:val="nil"/>
              <w:tr2bl w:val="nil"/>
            </w:tcBorders>
            <w:shd w:val="clear" w:color="auto" w:fill="auto"/>
            <w:noWrap/>
            <w:tcMar>
              <w:top w:w="15" w:type="dxa"/>
              <w:left w:w="15" w:type="dxa"/>
              <w:right w:w="15" w:type="dxa"/>
            </w:tcMar>
            <w:vAlign w:val="center"/>
          </w:tcPr>
          <w:p w14:paraId="1DC650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C1F41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1A34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B02C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32" w:type="pct"/>
            <w:tcBorders>
              <w:tl2br w:val="nil"/>
              <w:tr2bl w:val="nil"/>
            </w:tcBorders>
            <w:shd w:val="clear" w:color="auto" w:fill="auto"/>
            <w:noWrap/>
            <w:tcMar>
              <w:top w:w="15" w:type="dxa"/>
              <w:left w:w="15" w:type="dxa"/>
              <w:right w:w="15" w:type="dxa"/>
            </w:tcMar>
            <w:vAlign w:val="center"/>
          </w:tcPr>
          <w:p w14:paraId="7A52A9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5B42D8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E81D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5AB275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mini3pro</w:t>
            </w:r>
          </w:p>
        </w:tc>
        <w:tc>
          <w:tcPr>
            <w:tcW w:w="472" w:type="pct"/>
            <w:tcBorders>
              <w:tl2br w:val="nil"/>
              <w:tr2bl w:val="nil"/>
            </w:tcBorders>
            <w:shd w:val="clear" w:color="auto" w:fill="auto"/>
            <w:noWrap/>
            <w:tcMar>
              <w:top w:w="15" w:type="dxa"/>
              <w:left w:w="15" w:type="dxa"/>
              <w:right w:w="15" w:type="dxa"/>
            </w:tcMar>
            <w:vAlign w:val="center"/>
          </w:tcPr>
          <w:p w14:paraId="4C97D0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AC098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16" w:type="pct"/>
            <w:tcBorders>
              <w:tl2br w:val="nil"/>
              <w:tr2bl w:val="nil"/>
            </w:tcBorders>
            <w:shd w:val="clear" w:color="auto" w:fill="auto"/>
            <w:noWrap/>
            <w:tcMar>
              <w:top w:w="15" w:type="dxa"/>
              <w:left w:w="15" w:type="dxa"/>
              <w:right w:w="15" w:type="dxa"/>
            </w:tcMar>
            <w:vAlign w:val="center"/>
          </w:tcPr>
          <w:p w14:paraId="481C3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74BFF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FA80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06905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32" w:type="pct"/>
            <w:tcBorders>
              <w:tl2br w:val="nil"/>
              <w:tr2bl w:val="nil"/>
            </w:tcBorders>
            <w:shd w:val="clear" w:color="auto" w:fill="auto"/>
            <w:noWrap/>
            <w:tcMar>
              <w:top w:w="15" w:type="dxa"/>
              <w:left w:w="15" w:type="dxa"/>
              <w:right w:w="15" w:type="dxa"/>
            </w:tcMar>
            <w:vAlign w:val="center"/>
          </w:tcPr>
          <w:p w14:paraId="6606F1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248D6E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7B36B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val="0"/>
            <w:tcMar>
              <w:top w:w="15" w:type="dxa"/>
              <w:left w:w="15" w:type="dxa"/>
              <w:right w:w="15" w:type="dxa"/>
            </w:tcMar>
            <w:vAlign w:val="center"/>
          </w:tcPr>
          <w:p w14:paraId="794C76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2BFEB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3D6C6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59E25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285BF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17F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891E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32" w:type="pct"/>
            <w:tcBorders>
              <w:tl2br w:val="nil"/>
              <w:tr2bl w:val="nil"/>
            </w:tcBorders>
            <w:shd w:val="clear" w:color="auto" w:fill="auto"/>
            <w:noWrap/>
            <w:tcMar>
              <w:top w:w="15" w:type="dxa"/>
              <w:left w:w="15" w:type="dxa"/>
              <w:right w:w="15" w:type="dxa"/>
            </w:tcMar>
            <w:vAlign w:val="center"/>
          </w:tcPr>
          <w:p w14:paraId="41B46E3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416A6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3423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5CE76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53986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319F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39E36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2597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EA38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57CC7B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32" w:type="pct"/>
            <w:tcBorders>
              <w:tl2br w:val="nil"/>
              <w:tr2bl w:val="nil"/>
            </w:tcBorders>
            <w:shd w:val="clear" w:color="auto" w:fill="auto"/>
            <w:noWrap/>
            <w:tcMar>
              <w:top w:w="15" w:type="dxa"/>
              <w:left w:w="15" w:type="dxa"/>
              <w:right w:w="15" w:type="dxa"/>
            </w:tcMar>
            <w:vAlign w:val="center"/>
          </w:tcPr>
          <w:p w14:paraId="3B70EC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0CF17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316080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197FAF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Mavic 3E</w:t>
            </w:r>
          </w:p>
        </w:tc>
        <w:tc>
          <w:tcPr>
            <w:tcW w:w="472" w:type="pct"/>
            <w:tcBorders>
              <w:tl2br w:val="nil"/>
              <w:tr2bl w:val="nil"/>
            </w:tcBorders>
            <w:shd w:val="clear" w:color="auto" w:fill="auto"/>
            <w:noWrap/>
            <w:tcMar>
              <w:top w:w="15" w:type="dxa"/>
              <w:left w:w="15" w:type="dxa"/>
              <w:right w:w="15" w:type="dxa"/>
            </w:tcMar>
            <w:vAlign w:val="center"/>
          </w:tcPr>
          <w:p w14:paraId="580713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8600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l2br w:val="nil"/>
              <w:tr2bl w:val="nil"/>
            </w:tcBorders>
            <w:shd w:val="clear" w:color="auto" w:fill="auto"/>
            <w:noWrap/>
            <w:tcMar>
              <w:top w:w="15" w:type="dxa"/>
              <w:left w:w="15" w:type="dxa"/>
              <w:right w:w="15" w:type="dxa"/>
            </w:tcMar>
            <w:vAlign w:val="center"/>
          </w:tcPr>
          <w:p w14:paraId="47739A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DE98D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5FDA7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215132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32" w:type="pct"/>
            <w:tcBorders>
              <w:tl2br w:val="nil"/>
              <w:tr2bl w:val="nil"/>
            </w:tcBorders>
            <w:shd w:val="clear" w:color="auto" w:fill="auto"/>
            <w:noWrap/>
            <w:tcMar>
              <w:top w:w="15" w:type="dxa"/>
              <w:left w:w="15" w:type="dxa"/>
              <w:right w:w="15" w:type="dxa"/>
            </w:tcMar>
            <w:vAlign w:val="center"/>
          </w:tcPr>
          <w:p w14:paraId="66C060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D348B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67F5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51F7A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Avata</w:t>
            </w:r>
          </w:p>
        </w:tc>
        <w:tc>
          <w:tcPr>
            <w:tcW w:w="472" w:type="pct"/>
            <w:tcBorders>
              <w:tl2br w:val="nil"/>
              <w:tr2bl w:val="nil"/>
            </w:tcBorders>
            <w:shd w:val="clear" w:color="auto" w:fill="auto"/>
            <w:noWrap/>
            <w:tcMar>
              <w:top w:w="15" w:type="dxa"/>
              <w:left w:w="15" w:type="dxa"/>
              <w:right w:w="15" w:type="dxa"/>
            </w:tcMar>
            <w:vAlign w:val="center"/>
          </w:tcPr>
          <w:p w14:paraId="647235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694C4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6" w:type="pct"/>
            <w:tcBorders>
              <w:tl2br w:val="nil"/>
              <w:tr2bl w:val="nil"/>
            </w:tcBorders>
            <w:shd w:val="clear" w:color="auto" w:fill="auto"/>
            <w:noWrap/>
            <w:tcMar>
              <w:top w:w="15" w:type="dxa"/>
              <w:left w:w="15" w:type="dxa"/>
              <w:right w:w="15" w:type="dxa"/>
            </w:tcMar>
            <w:vAlign w:val="center"/>
          </w:tcPr>
          <w:p w14:paraId="7C8B4B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6F2EA4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4A465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0049DB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32" w:type="pct"/>
            <w:tcBorders>
              <w:tl2br w:val="nil"/>
              <w:tr2bl w:val="nil"/>
            </w:tcBorders>
            <w:shd w:val="clear" w:color="auto" w:fill="auto"/>
            <w:noWrap/>
            <w:tcMar>
              <w:top w:w="15" w:type="dxa"/>
              <w:left w:w="15" w:type="dxa"/>
              <w:right w:w="15" w:type="dxa"/>
            </w:tcMar>
            <w:vAlign w:val="center"/>
          </w:tcPr>
          <w:p w14:paraId="44A12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3BD72F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5AE42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01D5F5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Avata</w:t>
            </w:r>
          </w:p>
        </w:tc>
        <w:tc>
          <w:tcPr>
            <w:tcW w:w="472" w:type="pct"/>
            <w:tcBorders>
              <w:tl2br w:val="nil"/>
              <w:tr2bl w:val="nil"/>
            </w:tcBorders>
            <w:shd w:val="clear" w:color="auto" w:fill="auto"/>
            <w:noWrap/>
            <w:tcMar>
              <w:top w:w="15" w:type="dxa"/>
              <w:left w:w="15" w:type="dxa"/>
              <w:right w:w="15" w:type="dxa"/>
            </w:tcMar>
            <w:vAlign w:val="center"/>
          </w:tcPr>
          <w:p w14:paraId="41C167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CFE6D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6" w:type="pct"/>
            <w:tcBorders>
              <w:tl2br w:val="nil"/>
              <w:tr2bl w:val="nil"/>
            </w:tcBorders>
            <w:shd w:val="clear" w:color="auto" w:fill="auto"/>
            <w:noWrap/>
            <w:tcMar>
              <w:top w:w="15" w:type="dxa"/>
              <w:left w:w="15" w:type="dxa"/>
              <w:right w:w="15" w:type="dxa"/>
            </w:tcMar>
            <w:vAlign w:val="center"/>
          </w:tcPr>
          <w:p w14:paraId="68E48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20" w:type="pct"/>
            <w:tcBorders>
              <w:tl2br w:val="nil"/>
              <w:tr2bl w:val="nil"/>
            </w:tcBorders>
            <w:shd w:val="clear" w:color="auto" w:fill="auto"/>
            <w:noWrap/>
            <w:tcMar>
              <w:top w:w="15" w:type="dxa"/>
              <w:left w:w="15" w:type="dxa"/>
              <w:right w:w="15" w:type="dxa"/>
            </w:tcMar>
            <w:vAlign w:val="center"/>
          </w:tcPr>
          <w:p w14:paraId="1DE56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68CA5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F72B0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32" w:type="pct"/>
            <w:tcBorders>
              <w:tl2br w:val="nil"/>
              <w:tr2bl w:val="nil"/>
            </w:tcBorders>
            <w:shd w:val="clear" w:color="auto" w:fill="auto"/>
            <w:noWrap/>
            <w:tcMar>
              <w:top w:w="15" w:type="dxa"/>
              <w:left w:w="15" w:type="dxa"/>
              <w:right w:w="15" w:type="dxa"/>
            </w:tcMar>
            <w:vAlign w:val="center"/>
          </w:tcPr>
          <w:p w14:paraId="1CAE7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7B9C87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793D2E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2113DB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048F70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0B544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568193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4AB1D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2E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4CBB78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32" w:type="pct"/>
            <w:tcBorders>
              <w:tl2br w:val="nil"/>
              <w:tr2bl w:val="nil"/>
            </w:tcBorders>
            <w:shd w:val="clear" w:color="auto" w:fill="auto"/>
            <w:noWrap/>
            <w:tcMar>
              <w:top w:w="15" w:type="dxa"/>
              <w:left w:w="15" w:type="dxa"/>
              <w:right w:w="15" w:type="dxa"/>
            </w:tcMar>
            <w:vAlign w:val="center"/>
          </w:tcPr>
          <w:p w14:paraId="4C8948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2D581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4994B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B424A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禅思L1</w:t>
            </w:r>
          </w:p>
        </w:tc>
        <w:tc>
          <w:tcPr>
            <w:tcW w:w="472" w:type="pct"/>
            <w:tcBorders>
              <w:tl2br w:val="nil"/>
              <w:tr2bl w:val="nil"/>
            </w:tcBorders>
            <w:shd w:val="clear" w:color="auto" w:fill="auto"/>
            <w:noWrap/>
            <w:tcMar>
              <w:top w:w="15" w:type="dxa"/>
              <w:left w:w="15" w:type="dxa"/>
              <w:right w:w="15" w:type="dxa"/>
            </w:tcMar>
            <w:vAlign w:val="center"/>
          </w:tcPr>
          <w:p w14:paraId="1737AF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FEEC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16" w:type="pct"/>
            <w:tcBorders>
              <w:tl2br w:val="nil"/>
              <w:tr2bl w:val="nil"/>
            </w:tcBorders>
            <w:shd w:val="clear" w:color="auto" w:fill="auto"/>
            <w:noWrap/>
            <w:tcMar>
              <w:top w:w="15" w:type="dxa"/>
              <w:left w:w="15" w:type="dxa"/>
              <w:right w:w="15" w:type="dxa"/>
            </w:tcMar>
            <w:vAlign w:val="center"/>
          </w:tcPr>
          <w:p w14:paraId="719A13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658B79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AC5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51B90B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32" w:type="pct"/>
            <w:tcBorders>
              <w:tl2br w:val="nil"/>
              <w:tr2bl w:val="nil"/>
            </w:tcBorders>
            <w:shd w:val="clear" w:color="auto" w:fill="auto"/>
            <w:noWrap/>
            <w:tcMar>
              <w:top w:w="15" w:type="dxa"/>
              <w:left w:w="15" w:type="dxa"/>
              <w:right w:w="15" w:type="dxa"/>
            </w:tcMar>
            <w:vAlign w:val="center"/>
          </w:tcPr>
          <w:p w14:paraId="2EB33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ABB8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171CE2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p>
        </w:tc>
        <w:tc>
          <w:tcPr>
            <w:tcW w:w="863" w:type="pct"/>
            <w:tcBorders>
              <w:tl2br w:val="nil"/>
              <w:tr2bl w:val="nil"/>
            </w:tcBorders>
            <w:shd w:val="clear" w:color="auto" w:fill="auto"/>
            <w:noWrap/>
            <w:tcMar>
              <w:top w:w="15" w:type="dxa"/>
              <w:left w:w="15" w:type="dxa"/>
              <w:right w:w="15" w:type="dxa"/>
            </w:tcMar>
            <w:vAlign w:val="center"/>
          </w:tcPr>
          <w:p w14:paraId="6CAD5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M300 RTK</w:t>
            </w:r>
          </w:p>
        </w:tc>
        <w:tc>
          <w:tcPr>
            <w:tcW w:w="472" w:type="pct"/>
            <w:tcBorders>
              <w:tl2br w:val="nil"/>
              <w:tr2bl w:val="nil"/>
            </w:tcBorders>
            <w:shd w:val="clear" w:color="auto" w:fill="auto"/>
            <w:noWrap/>
            <w:tcMar>
              <w:top w:w="15" w:type="dxa"/>
              <w:left w:w="15" w:type="dxa"/>
              <w:right w:w="15" w:type="dxa"/>
            </w:tcMar>
            <w:vAlign w:val="center"/>
          </w:tcPr>
          <w:p w14:paraId="29A45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1BB51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16" w:type="pct"/>
            <w:tcBorders>
              <w:tl2br w:val="nil"/>
              <w:tr2bl w:val="nil"/>
            </w:tcBorders>
            <w:shd w:val="clear" w:color="auto" w:fill="auto"/>
            <w:noWrap/>
            <w:tcMar>
              <w:top w:w="15" w:type="dxa"/>
              <w:left w:w="15" w:type="dxa"/>
              <w:right w:w="15" w:type="dxa"/>
            </w:tcMar>
            <w:vAlign w:val="center"/>
          </w:tcPr>
          <w:p w14:paraId="692D8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6996D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04BE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62EFE0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32" w:type="pct"/>
            <w:tcBorders>
              <w:tl2br w:val="nil"/>
              <w:tr2bl w:val="nil"/>
            </w:tcBorders>
            <w:shd w:val="clear" w:color="auto" w:fill="auto"/>
            <w:noWrap/>
            <w:tcMar>
              <w:top w:w="15" w:type="dxa"/>
              <w:left w:w="15" w:type="dxa"/>
              <w:right w:w="15" w:type="dxa"/>
            </w:tcMar>
            <w:vAlign w:val="center"/>
          </w:tcPr>
          <w:p w14:paraId="27A8EB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684FB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E7D8D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w:t>
            </w:r>
          </w:p>
        </w:tc>
        <w:tc>
          <w:tcPr>
            <w:tcW w:w="863" w:type="pct"/>
            <w:tcBorders>
              <w:tl2br w:val="nil"/>
              <w:tr2bl w:val="nil"/>
            </w:tcBorders>
            <w:shd w:val="clear" w:color="auto" w:fill="auto"/>
            <w:noWrap/>
            <w:tcMar>
              <w:top w:w="15" w:type="dxa"/>
              <w:left w:w="15" w:type="dxa"/>
              <w:right w:w="15" w:type="dxa"/>
            </w:tcMar>
            <w:vAlign w:val="center"/>
          </w:tcPr>
          <w:p w14:paraId="3187F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SF1650</w:t>
            </w:r>
          </w:p>
        </w:tc>
        <w:tc>
          <w:tcPr>
            <w:tcW w:w="472" w:type="pct"/>
            <w:tcBorders>
              <w:tl2br w:val="nil"/>
              <w:tr2bl w:val="nil"/>
            </w:tcBorders>
            <w:shd w:val="clear" w:color="auto" w:fill="auto"/>
            <w:noWrap/>
            <w:tcMar>
              <w:top w:w="15" w:type="dxa"/>
              <w:left w:w="15" w:type="dxa"/>
              <w:right w:w="15" w:type="dxa"/>
            </w:tcMar>
            <w:vAlign w:val="center"/>
          </w:tcPr>
          <w:p w14:paraId="7A2E8E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4A243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416" w:type="pct"/>
            <w:tcBorders>
              <w:tl2br w:val="nil"/>
              <w:tr2bl w:val="nil"/>
            </w:tcBorders>
            <w:shd w:val="clear" w:color="auto" w:fill="auto"/>
            <w:noWrap/>
            <w:tcMar>
              <w:top w:w="15" w:type="dxa"/>
              <w:left w:w="15" w:type="dxa"/>
              <w:right w:w="15" w:type="dxa"/>
            </w:tcMar>
            <w:vAlign w:val="center"/>
          </w:tcPr>
          <w:p w14:paraId="773D7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7CD79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70D9A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460025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32" w:type="pct"/>
            <w:tcBorders>
              <w:tl2br w:val="nil"/>
              <w:tr2bl w:val="nil"/>
            </w:tcBorders>
            <w:shd w:val="clear" w:color="auto" w:fill="auto"/>
            <w:noWrap/>
            <w:tcMar>
              <w:top w:w="15" w:type="dxa"/>
              <w:left w:w="15" w:type="dxa"/>
              <w:right w:w="15" w:type="dxa"/>
            </w:tcMar>
            <w:vAlign w:val="center"/>
          </w:tcPr>
          <w:p w14:paraId="778F2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5F444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激光雷达</w:t>
            </w:r>
          </w:p>
        </w:tc>
        <w:tc>
          <w:tcPr>
            <w:tcW w:w="704" w:type="pct"/>
            <w:tcBorders>
              <w:tl2br w:val="nil"/>
              <w:tr2bl w:val="nil"/>
            </w:tcBorders>
            <w:shd w:val="clear" w:color="auto" w:fill="auto"/>
            <w:noWrap/>
            <w:tcMar>
              <w:top w:w="15" w:type="dxa"/>
              <w:left w:w="15" w:type="dxa"/>
              <w:right w:w="15" w:type="dxa"/>
            </w:tcMar>
            <w:vAlign w:val="center"/>
          </w:tcPr>
          <w:p w14:paraId="4FB9D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南方</w:t>
            </w:r>
          </w:p>
        </w:tc>
        <w:tc>
          <w:tcPr>
            <w:tcW w:w="863" w:type="pct"/>
            <w:tcBorders>
              <w:tl2br w:val="nil"/>
              <w:tr2bl w:val="nil"/>
            </w:tcBorders>
            <w:shd w:val="clear" w:color="auto" w:fill="auto"/>
            <w:noWrap/>
            <w:tcMar>
              <w:top w:w="15" w:type="dxa"/>
              <w:left w:w="15" w:type="dxa"/>
              <w:right w:w="15" w:type="dxa"/>
            </w:tcMar>
            <w:vAlign w:val="center"/>
          </w:tcPr>
          <w:p w14:paraId="03F834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SAL1500</w:t>
            </w:r>
          </w:p>
        </w:tc>
        <w:tc>
          <w:tcPr>
            <w:tcW w:w="472" w:type="pct"/>
            <w:tcBorders>
              <w:tl2br w:val="nil"/>
              <w:tr2bl w:val="nil"/>
            </w:tcBorders>
            <w:shd w:val="clear" w:color="auto" w:fill="auto"/>
            <w:noWrap/>
            <w:tcMar>
              <w:top w:w="15" w:type="dxa"/>
              <w:left w:w="15" w:type="dxa"/>
              <w:right w:w="15" w:type="dxa"/>
            </w:tcMar>
            <w:vAlign w:val="center"/>
          </w:tcPr>
          <w:p w14:paraId="1056B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543" w:type="pct"/>
            <w:tcBorders>
              <w:tl2br w:val="nil"/>
              <w:tr2bl w:val="nil"/>
            </w:tcBorders>
            <w:shd w:val="clear" w:color="auto" w:fill="auto"/>
            <w:noWrap/>
            <w:tcMar>
              <w:top w:w="15" w:type="dxa"/>
              <w:left w:w="15" w:type="dxa"/>
              <w:right w:w="15" w:type="dxa"/>
            </w:tcMar>
            <w:vAlign w:val="center"/>
          </w:tcPr>
          <w:p w14:paraId="37CBD7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416" w:type="pct"/>
            <w:tcBorders>
              <w:tl2br w:val="nil"/>
              <w:tr2bl w:val="nil"/>
            </w:tcBorders>
            <w:shd w:val="clear" w:color="auto" w:fill="auto"/>
            <w:noWrap/>
            <w:tcMar>
              <w:top w:w="15" w:type="dxa"/>
              <w:left w:w="15" w:type="dxa"/>
              <w:right w:w="15" w:type="dxa"/>
            </w:tcMar>
            <w:vAlign w:val="center"/>
          </w:tcPr>
          <w:p w14:paraId="3E2DDB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B92FC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3EF4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92" w:type="pct"/>
            <w:tcBorders>
              <w:tl2br w:val="nil"/>
              <w:tr2bl w:val="nil"/>
            </w:tcBorders>
            <w:shd w:val="clear" w:color="auto" w:fill="auto"/>
            <w:noWrap/>
            <w:tcMar>
              <w:top w:w="15" w:type="dxa"/>
              <w:left w:w="15" w:type="dxa"/>
              <w:right w:w="15" w:type="dxa"/>
            </w:tcMar>
            <w:vAlign w:val="center"/>
          </w:tcPr>
          <w:p w14:paraId="32FA77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32" w:type="pct"/>
            <w:tcBorders>
              <w:tl2br w:val="nil"/>
              <w:tr2bl w:val="nil"/>
            </w:tcBorders>
            <w:shd w:val="clear" w:color="auto" w:fill="auto"/>
            <w:noWrap/>
            <w:tcMar>
              <w:top w:w="15" w:type="dxa"/>
              <w:left w:w="15" w:type="dxa"/>
              <w:right w:w="15" w:type="dxa"/>
            </w:tcMar>
            <w:vAlign w:val="center"/>
          </w:tcPr>
          <w:p w14:paraId="3DB2D5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754" w:type="pct"/>
            <w:tcBorders>
              <w:tl2br w:val="nil"/>
              <w:tr2bl w:val="nil"/>
            </w:tcBorders>
            <w:shd w:val="clear" w:color="auto" w:fill="auto"/>
            <w:noWrap/>
            <w:tcMar>
              <w:top w:w="15" w:type="dxa"/>
              <w:left w:w="15" w:type="dxa"/>
              <w:right w:w="15" w:type="dxa"/>
            </w:tcMar>
            <w:vAlign w:val="center"/>
          </w:tcPr>
          <w:p w14:paraId="41C69F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多旋翼</w:t>
            </w:r>
          </w:p>
        </w:tc>
        <w:tc>
          <w:tcPr>
            <w:tcW w:w="704" w:type="pct"/>
            <w:tcBorders>
              <w:tl2br w:val="nil"/>
              <w:tr2bl w:val="nil"/>
            </w:tcBorders>
            <w:shd w:val="clear" w:color="auto" w:fill="auto"/>
            <w:noWrap/>
            <w:tcMar>
              <w:top w:w="15" w:type="dxa"/>
              <w:left w:w="15" w:type="dxa"/>
              <w:right w:w="15" w:type="dxa"/>
            </w:tcMar>
            <w:vAlign w:val="center"/>
          </w:tcPr>
          <w:p w14:paraId="6571DC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6E6951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D2000S</w:t>
            </w:r>
          </w:p>
        </w:tc>
        <w:tc>
          <w:tcPr>
            <w:tcW w:w="472" w:type="pct"/>
            <w:tcBorders>
              <w:tl2br w:val="nil"/>
              <w:tr2bl w:val="nil"/>
            </w:tcBorders>
            <w:shd w:val="clear" w:color="auto" w:fill="auto"/>
            <w:noWrap/>
            <w:tcMar>
              <w:top w:w="15" w:type="dxa"/>
              <w:left w:w="15" w:type="dxa"/>
              <w:right w:w="15" w:type="dxa"/>
            </w:tcMar>
            <w:vAlign w:val="center"/>
          </w:tcPr>
          <w:p w14:paraId="6C3611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55D18E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416" w:type="pct"/>
            <w:tcBorders>
              <w:tl2br w:val="nil"/>
              <w:tr2bl w:val="nil"/>
            </w:tcBorders>
            <w:shd w:val="clear" w:color="auto" w:fill="auto"/>
            <w:noWrap/>
            <w:tcMar>
              <w:top w:w="15" w:type="dxa"/>
              <w:left w:w="15" w:type="dxa"/>
              <w:right w:w="15" w:type="dxa"/>
            </w:tcMar>
            <w:vAlign w:val="center"/>
          </w:tcPr>
          <w:p w14:paraId="57A15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0" w:type="pct"/>
            <w:tcBorders>
              <w:tl2br w:val="nil"/>
              <w:tr2bl w:val="nil"/>
            </w:tcBorders>
            <w:shd w:val="clear" w:color="auto" w:fill="auto"/>
            <w:noWrap/>
            <w:tcMar>
              <w:top w:w="15" w:type="dxa"/>
              <w:left w:w="15" w:type="dxa"/>
              <w:right w:w="15" w:type="dxa"/>
            </w:tcMar>
            <w:vAlign w:val="center"/>
          </w:tcPr>
          <w:p w14:paraId="3594A5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A7AA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720537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32" w:type="pct"/>
            <w:tcBorders>
              <w:tl2br w:val="nil"/>
              <w:tr2bl w:val="nil"/>
            </w:tcBorders>
            <w:shd w:val="clear" w:color="auto" w:fill="auto"/>
            <w:noWrap/>
            <w:tcMar>
              <w:top w:w="15" w:type="dxa"/>
              <w:left w:w="15" w:type="dxa"/>
              <w:right w:w="15" w:type="dxa"/>
            </w:tcMar>
            <w:vAlign w:val="center"/>
          </w:tcPr>
          <w:p w14:paraId="0B582E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机载设备</w:t>
            </w:r>
          </w:p>
        </w:tc>
        <w:tc>
          <w:tcPr>
            <w:tcW w:w="754" w:type="pct"/>
            <w:tcBorders>
              <w:tl2br w:val="nil"/>
              <w:tr2bl w:val="nil"/>
            </w:tcBorders>
            <w:shd w:val="clear" w:color="auto" w:fill="auto"/>
            <w:noWrap/>
            <w:tcMar>
              <w:top w:w="15" w:type="dxa"/>
              <w:left w:w="15" w:type="dxa"/>
              <w:right w:w="15" w:type="dxa"/>
            </w:tcMar>
            <w:vAlign w:val="center"/>
          </w:tcPr>
          <w:p w14:paraId="7F405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航拍相机</w:t>
            </w:r>
          </w:p>
        </w:tc>
        <w:tc>
          <w:tcPr>
            <w:tcW w:w="704" w:type="pct"/>
            <w:tcBorders>
              <w:tl2br w:val="nil"/>
              <w:tr2bl w:val="nil"/>
            </w:tcBorders>
            <w:shd w:val="clear" w:color="auto" w:fill="auto"/>
            <w:noWrap/>
            <w:tcMar>
              <w:top w:w="15" w:type="dxa"/>
              <w:left w:w="15" w:type="dxa"/>
              <w:right w:w="15" w:type="dxa"/>
            </w:tcMar>
            <w:vAlign w:val="center"/>
          </w:tcPr>
          <w:p w14:paraId="2421F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w:t>
            </w:r>
          </w:p>
        </w:tc>
        <w:tc>
          <w:tcPr>
            <w:tcW w:w="863" w:type="pct"/>
            <w:tcBorders>
              <w:tl2br w:val="nil"/>
              <w:tr2bl w:val="nil"/>
            </w:tcBorders>
            <w:shd w:val="clear" w:color="auto" w:fill="auto"/>
            <w:noWrap/>
            <w:tcMar>
              <w:top w:w="15" w:type="dxa"/>
              <w:left w:w="15" w:type="dxa"/>
              <w:right w:w="15" w:type="dxa"/>
            </w:tcMar>
            <w:vAlign w:val="center"/>
          </w:tcPr>
          <w:p w14:paraId="3A7DE3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OP5000</w:t>
            </w:r>
          </w:p>
        </w:tc>
        <w:tc>
          <w:tcPr>
            <w:tcW w:w="472" w:type="pct"/>
            <w:tcBorders>
              <w:tl2br w:val="nil"/>
              <w:tr2bl w:val="nil"/>
            </w:tcBorders>
            <w:shd w:val="clear" w:color="auto" w:fill="auto"/>
            <w:noWrap/>
            <w:tcMar>
              <w:top w:w="15" w:type="dxa"/>
              <w:left w:w="15" w:type="dxa"/>
              <w:right w:w="15" w:type="dxa"/>
            </w:tcMar>
            <w:vAlign w:val="center"/>
          </w:tcPr>
          <w:p w14:paraId="662F84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543" w:type="pct"/>
            <w:tcBorders>
              <w:tl2br w:val="nil"/>
              <w:tr2bl w:val="nil"/>
            </w:tcBorders>
            <w:shd w:val="clear" w:color="auto" w:fill="auto"/>
            <w:noWrap/>
            <w:tcMar>
              <w:top w:w="15" w:type="dxa"/>
              <w:left w:w="15" w:type="dxa"/>
              <w:right w:w="15" w:type="dxa"/>
            </w:tcMar>
            <w:vAlign w:val="center"/>
          </w:tcPr>
          <w:p w14:paraId="7F7B49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416" w:type="pct"/>
            <w:tcBorders>
              <w:tl2br w:val="nil"/>
              <w:tr2bl w:val="nil"/>
            </w:tcBorders>
            <w:shd w:val="clear" w:color="auto" w:fill="auto"/>
            <w:noWrap/>
            <w:tcMar>
              <w:top w:w="15" w:type="dxa"/>
              <w:left w:w="15" w:type="dxa"/>
              <w:right w:w="15" w:type="dxa"/>
            </w:tcMar>
            <w:vAlign w:val="center"/>
          </w:tcPr>
          <w:p w14:paraId="7A4705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20" w:type="pct"/>
            <w:tcBorders>
              <w:tl2br w:val="nil"/>
              <w:tr2bl w:val="nil"/>
            </w:tcBorders>
            <w:shd w:val="clear" w:color="auto" w:fill="auto"/>
            <w:noWrap/>
            <w:tcMar>
              <w:top w:w="15" w:type="dxa"/>
              <w:left w:w="15" w:type="dxa"/>
              <w:right w:w="15" w:type="dxa"/>
            </w:tcMar>
            <w:vAlign w:val="center"/>
          </w:tcPr>
          <w:p w14:paraId="0FB992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2025.07.12</w:t>
            </w:r>
          </w:p>
        </w:tc>
      </w:tr>
      <w:tr w14:paraId="2865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92" w:type="pct"/>
            <w:tcBorders>
              <w:tl2br w:val="nil"/>
              <w:tr2bl w:val="nil"/>
            </w:tcBorders>
            <w:shd w:val="clear" w:color="auto" w:fill="auto"/>
            <w:noWrap/>
            <w:tcMar>
              <w:top w:w="15" w:type="dxa"/>
              <w:left w:w="15" w:type="dxa"/>
              <w:right w:w="15" w:type="dxa"/>
            </w:tcMar>
            <w:vAlign w:val="center"/>
          </w:tcPr>
          <w:p w14:paraId="320ADFE0">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135</w:t>
            </w:r>
          </w:p>
        </w:tc>
        <w:tc>
          <w:tcPr>
            <w:tcW w:w="332" w:type="pct"/>
            <w:tcBorders>
              <w:tl2br w:val="nil"/>
              <w:tr2bl w:val="nil"/>
            </w:tcBorders>
            <w:shd w:val="clear" w:color="auto" w:fill="auto"/>
            <w:noWrap/>
            <w:tcMar>
              <w:top w:w="15" w:type="dxa"/>
              <w:left w:w="15" w:type="dxa"/>
              <w:right w:w="15" w:type="dxa"/>
            </w:tcMar>
            <w:vAlign w:val="center"/>
          </w:tcPr>
          <w:p w14:paraId="519396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754" w:type="pct"/>
            <w:tcBorders>
              <w:tl2br w:val="nil"/>
              <w:tr2bl w:val="nil"/>
            </w:tcBorders>
            <w:shd w:val="clear" w:color="auto" w:fill="auto"/>
            <w:noWrap/>
            <w:tcMar>
              <w:top w:w="15" w:type="dxa"/>
              <w:left w:w="15" w:type="dxa"/>
              <w:right w:w="15" w:type="dxa"/>
            </w:tcMar>
            <w:vAlign w:val="center"/>
          </w:tcPr>
          <w:p w14:paraId="52F0D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4" w:type="pct"/>
            <w:tcBorders>
              <w:tl2br w:val="nil"/>
              <w:tr2bl w:val="nil"/>
            </w:tcBorders>
            <w:shd w:val="clear" w:color="auto" w:fill="auto"/>
            <w:noWrap/>
            <w:tcMar>
              <w:top w:w="15" w:type="dxa"/>
              <w:left w:w="15" w:type="dxa"/>
              <w:right w:w="15" w:type="dxa"/>
            </w:tcMar>
            <w:vAlign w:val="center"/>
          </w:tcPr>
          <w:p w14:paraId="16962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63" w:type="pct"/>
            <w:tcBorders>
              <w:tl2br w:val="nil"/>
              <w:tr2bl w:val="nil"/>
            </w:tcBorders>
            <w:shd w:val="clear" w:color="auto" w:fill="auto"/>
            <w:noWrap/>
            <w:tcMar>
              <w:top w:w="15" w:type="dxa"/>
              <w:left w:w="15" w:type="dxa"/>
              <w:right w:w="15" w:type="dxa"/>
            </w:tcMar>
            <w:vAlign w:val="center"/>
          </w:tcPr>
          <w:p w14:paraId="0C8E8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72" w:type="pct"/>
            <w:tcBorders>
              <w:tl2br w:val="nil"/>
              <w:tr2bl w:val="nil"/>
            </w:tcBorders>
            <w:shd w:val="clear" w:color="auto" w:fill="auto"/>
            <w:noWrap/>
            <w:tcMar>
              <w:top w:w="15" w:type="dxa"/>
              <w:left w:w="15" w:type="dxa"/>
              <w:right w:w="15" w:type="dxa"/>
            </w:tcMar>
            <w:vAlign w:val="center"/>
          </w:tcPr>
          <w:p w14:paraId="2307D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43" w:type="pct"/>
            <w:tcBorders>
              <w:tl2br w:val="nil"/>
              <w:tr2bl w:val="nil"/>
            </w:tcBorders>
            <w:shd w:val="clear" w:color="auto" w:fill="auto"/>
            <w:noWrap/>
            <w:tcMar>
              <w:top w:w="15" w:type="dxa"/>
              <w:left w:w="15" w:type="dxa"/>
              <w:right w:w="15" w:type="dxa"/>
            </w:tcMar>
            <w:vAlign w:val="center"/>
          </w:tcPr>
          <w:p w14:paraId="7B43B8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6207.01</w:t>
            </w:r>
          </w:p>
        </w:tc>
        <w:tc>
          <w:tcPr>
            <w:tcW w:w="416" w:type="pct"/>
            <w:tcBorders>
              <w:tl2br w:val="nil"/>
              <w:tr2bl w:val="nil"/>
            </w:tcBorders>
            <w:shd w:val="clear" w:color="auto" w:fill="auto"/>
            <w:noWrap/>
            <w:tcMar>
              <w:top w:w="15" w:type="dxa"/>
              <w:left w:w="15" w:type="dxa"/>
              <w:right w:w="15" w:type="dxa"/>
            </w:tcMar>
            <w:vAlign w:val="center"/>
          </w:tcPr>
          <w:p w14:paraId="344D82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9150</w:t>
            </w:r>
          </w:p>
        </w:tc>
        <w:tc>
          <w:tcPr>
            <w:tcW w:w="620" w:type="pct"/>
            <w:tcBorders>
              <w:tl2br w:val="nil"/>
              <w:tr2bl w:val="nil"/>
            </w:tcBorders>
            <w:shd w:val="clear" w:color="auto" w:fill="auto"/>
            <w:noWrap/>
            <w:tcMar>
              <w:top w:w="15" w:type="dxa"/>
              <w:left w:w="15" w:type="dxa"/>
              <w:right w:w="15" w:type="dxa"/>
            </w:tcMar>
            <w:vAlign w:val="center"/>
          </w:tcPr>
          <w:p w14:paraId="5FC80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5CC338A">
      <w:pPr>
        <w:pStyle w:val="35"/>
        <w:bidi w:val="0"/>
        <w:ind w:left="0" w:leftChars="0" w:firstLine="0" w:firstLineChars="0"/>
        <w:rPr>
          <w:rFonts w:hint="default"/>
          <w:lang w:val="en-US" w:eastAsia="zh-CN"/>
        </w:rPr>
      </w:pPr>
      <w:r>
        <w:rPr>
          <w:rFonts w:hint="default"/>
          <w:lang w:val="en-US" w:eastAsia="zh-CN"/>
        </w:rPr>
        <w:t>注：1、序号41、42、43保单到期时间为2025年12月31日，其余保单到期时间均为2026年7月11日。</w:t>
      </w:r>
    </w:p>
    <w:p w14:paraId="2D214450">
      <w:pPr>
        <w:pStyle w:val="35"/>
        <w:bidi w:val="0"/>
        <w:rPr>
          <w:rFonts w:hint="default"/>
          <w:lang w:val="en-US" w:eastAsia="zh-CN"/>
        </w:rPr>
      </w:pPr>
      <w:r>
        <w:rPr>
          <w:rFonts w:hint="default"/>
          <w:lang w:val="en-US" w:eastAsia="zh-CN"/>
        </w:rPr>
        <w:t>2、序号41、42、43设备为所有人为之江实验室新型计算传感与智能处理研究中心，使用方和投保方为浙江省测绘科学技术研究院。</w:t>
      </w:r>
    </w:p>
    <w:p w14:paraId="3963569B">
      <w:pPr>
        <w:numPr>
          <w:ilvl w:val="0"/>
          <w:numId w:val="49"/>
        </w:numPr>
        <w:tabs>
          <w:tab w:val="left" w:pos="1442"/>
        </w:tabs>
        <w:spacing w:after="156" w:afterLines="50" w:line="400" w:lineRule="exact"/>
        <w:ind w:firstLine="0" w:firstLineChars="0"/>
        <w:jc w:val="both"/>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大型无人机投保零备件的详细情况表</w:t>
      </w:r>
    </w:p>
    <w:tbl>
      <w:tblPr>
        <w:tblStyle w:val="24"/>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990"/>
        <w:gridCol w:w="1974"/>
        <w:gridCol w:w="1207"/>
        <w:gridCol w:w="733"/>
        <w:gridCol w:w="1400"/>
        <w:gridCol w:w="1487"/>
      </w:tblGrid>
      <w:tr w14:paraId="55A1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4EA6B861">
            <w:pPr>
              <w:widowControl/>
              <w:snapToGrid w:val="0"/>
              <w:jc w:val="center"/>
              <w:outlineLvl w:val="9"/>
              <w:rPr>
                <w:rFonts w:hint="eastAsia" w:ascii="宋体" w:hAnsi="宋体" w:eastAsia="宋体" w:cs="宋体"/>
                <w:sz w:val="24"/>
                <w:szCs w:val="24"/>
                <w:lang w:val="en-GB"/>
              </w:rPr>
            </w:pPr>
            <w:r>
              <w:rPr>
                <w:rFonts w:hint="eastAsia" w:ascii="宋体" w:hAnsi="宋体" w:eastAsia="宋体" w:cs="宋体"/>
                <w:b/>
                <w:bCs/>
                <w:sz w:val="24"/>
                <w:szCs w:val="24"/>
                <w:lang w:val="en-GB"/>
              </w:rPr>
              <w:t>序号</w:t>
            </w:r>
          </w:p>
        </w:tc>
        <w:tc>
          <w:tcPr>
            <w:tcW w:w="58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74019E1E">
            <w:pPr>
              <w:widowControl/>
              <w:snapToGrid w:val="0"/>
              <w:jc w:val="center"/>
              <w:outlineLvl w:val="9"/>
              <w:rPr>
                <w:rFonts w:hint="eastAsia" w:ascii="宋体" w:hAnsi="宋体" w:eastAsia="宋体" w:cs="宋体"/>
                <w:b/>
                <w:bCs/>
                <w:sz w:val="24"/>
                <w:szCs w:val="24"/>
                <w:lang w:val="en-GB" w:eastAsia="en-GB"/>
              </w:rPr>
            </w:pPr>
            <w:r>
              <w:rPr>
                <w:rFonts w:hint="eastAsia" w:ascii="宋体" w:hAnsi="宋体" w:eastAsia="宋体" w:cs="宋体"/>
                <w:b/>
                <w:bCs/>
                <w:sz w:val="24"/>
                <w:szCs w:val="24"/>
                <w:lang w:val="en-GB" w:eastAsia="en-GB"/>
              </w:rPr>
              <w:t>所属</w:t>
            </w:r>
          </w:p>
          <w:p w14:paraId="1FAE4A21">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无人机</w:t>
            </w:r>
          </w:p>
        </w:tc>
        <w:tc>
          <w:tcPr>
            <w:tcW w:w="115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22FC7091">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eastAsia="en-GB"/>
              </w:rPr>
              <w:t>设备名称</w:t>
            </w:r>
            <w:r>
              <w:rPr>
                <w:rFonts w:hint="eastAsia" w:ascii="宋体" w:hAnsi="宋体" w:eastAsia="宋体" w:cs="宋体"/>
                <w:b/>
                <w:bCs/>
                <w:sz w:val="24"/>
                <w:szCs w:val="24"/>
                <w:lang w:val="en-GB"/>
              </w:rPr>
              <w:t>及型号</w:t>
            </w:r>
          </w:p>
        </w:tc>
        <w:tc>
          <w:tcPr>
            <w:tcW w:w="70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2485DA7A">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重量</w:t>
            </w:r>
          </w:p>
        </w:tc>
        <w:tc>
          <w:tcPr>
            <w:tcW w:w="43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4BCCB603">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eastAsia="en-GB"/>
              </w:rPr>
              <w:t>数量</w:t>
            </w:r>
          </w:p>
        </w:tc>
        <w:tc>
          <w:tcPr>
            <w:tcW w:w="8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center"/>
          </w:tcPr>
          <w:p w14:paraId="7D3F31F9">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保险金额</w:t>
            </w:r>
          </w:p>
          <w:p w14:paraId="5CA952BA">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（重置价值）</w:t>
            </w:r>
          </w:p>
        </w:tc>
        <w:tc>
          <w:tcPr>
            <w:tcW w:w="87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0"/>
            <w:vAlign w:val="top"/>
          </w:tcPr>
          <w:p w14:paraId="7F5D694C">
            <w:pPr>
              <w:widowControl/>
              <w:snapToGrid w:val="0"/>
              <w:jc w:val="center"/>
              <w:outlineLvl w:val="9"/>
              <w:rPr>
                <w:rFonts w:hint="eastAsia" w:ascii="宋体" w:hAnsi="宋体" w:eastAsia="宋体" w:cs="宋体"/>
                <w:b/>
                <w:bCs/>
                <w:sz w:val="24"/>
                <w:szCs w:val="24"/>
                <w:lang w:val="en-GB"/>
              </w:rPr>
            </w:pPr>
            <w:r>
              <w:rPr>
                <w:rFonts w:hint="eastAsia" w:ascii="宋体" w:hAnsi="宋体" w:eastAsia="宋体" w:cs="宋体"/>
                <w:b/>
                <w:bCs/>
                <w:sz w:val="24"/>
                <w:szCs w:val="24"/>
                <w:lang w:val="en-GB"/>
              </w:rPr>
              <w:t>备注</w:t>
            </w:r>
          </w:p>
        </w:tc>
      </w:tr>
      <w:tr w14:paraId="542B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0B6FA52B">
            <w:pPr>
              <w:widowControl/>
              <w:spacing w:line="240" w:lineRule="auto"/>
              <w:jc w:val="center"/>
              <w:textAlignment w:val="center"/>
              <w:outlineLvl w:val="9"/>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5516B75A">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31ED8392">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无人飞行平台</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5AA094B7">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920公斤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7A1A55A6">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3710F9C">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bidi="ar"/>
              </w:rPr>
              <w:t>1064</w:t>
            </w:r>
            <w:r>
              <w:rPr>
                <w:rFonts w:hint="eastAsia" w:ascii="宋体" w:hAnsi="宋体" w:eastAsia="宋体" w:cs="宋体"/>
                <w:color w:val="000000"/>
                <w:kern w:val="0"/>
                <w:sz w:val="24"/>
                <w:szCs w:val="24"/>
                <w:u w:val="none"/>
                <w:lang w:val="en-US" w:bidi="ar"/>
              </w:rPr>
              <w:t>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7B01FC">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r>
              <w:rPr>
                <w:rFonts w:hint="eastAsia" w:ascii="宋体" w:hAnsi="宋体" w:eastAsia="宋体" w:cs="宋体"/>
                <w:color w:val="000000"/>
                <w:kern w:val="0"/>
                <w:sz w:val="24"/>
                <w:szCs w:val="24"/>
                <w:u w:val="none"/>
                <w:lang w:val="en-US" w:bidi="ar"/>
              </w:rPr>
              <w:t>安装磁探设备时，有双机同时飞行情况</w:t>
            </w:r>
          </w:p>
        </w:tc>
      </w:tr>
      <w:tr w14:paraId="797D6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81EE6D5">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0BEE553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6CA8441B">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光学面阵传感器</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898305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9224C1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5FD8D0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125万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A99B69">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1B8A8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2286EAB">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522DB39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6D363033">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光电吊舱</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4426012B">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30公斤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537067C1">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BD08F8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13万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840B529">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52D8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5E3ED157">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76A0026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79E6D6E3">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轻小型SAR</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8B114D8">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A4D50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11D87E6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115万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4029543">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0FA9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26F02DE5">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729B0FDF">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5254FAB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定位定姿系统</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002A15C4">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08743CE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5732656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150万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E73FAF6">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r w14:paraId="356B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426" w:type="pct"/>
            <w:tcBorders>
              <w:top w:val="single" w:color="000000" w:sz="4" w:space="0"/>
              <w:left w:val="single" w:color="000000" w:sz="4" w:space="0"/>
              <w:bottom w:val="single" w:color="000000" w:sz="4" w:space="0"/>
              <w:right w:val="single" w:color="000000" w:sz="4" w:space="0"/>
            </w:tcBorders>
            <w:noWrap w:val="0"/>
            <w:vAlign w:val="center"/>
          </w:tcPr>
          <w:p w14:paraId="6F35580F">
            <w:pPr>
              <w:widowControl/>
              <w:spacing w:line="240" w:lineRule="auto"/>
              <w:jc w:val="center"/>
              <w:textAlignment w:val="center"/>
              <w:outlineLvl w:val="9"/>
              <w:rPr>
                <w:rFonts w:hint="eastAsia" w:ascii="宋体" w:hAnsi="宋体" w:eastAsia="宋体" w:cs="宋体"/>
                <w:color w:val="auto"/>
                <w:kern w:val="0"/>
                <w:sz w:val="24"/>
                <w:szCs w:val="24"/>
                <w:u w:val="none"/>
                <w:lang w:val="en-US" w:bidi="ar"/>
              </w:rPr>
            </w:pPr>
            <w:r>
              <w:rPr>
                <w:rFonts w:hint="eastAsia" w:ascii="宋体" w:hAnsi="宋体" w:eastAsia="宋体" w:cs="宋体"/>
                <w:color w:val="auto"/>
                <w:kern w:val="0"/>
                <w:sz w:val="24"/>
                <w:szCs w:val="24"/>
                <w:u w:val="none"/>
                <w:lang w:val="en-US" w:eastAsia="zh-CN" w:bidi="ar"/>
              </w:rPr>
              <w:t>27</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08CBD06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彩虹4</w:t>
            </w:r>
          </w:p>
        </w:tc>
        <w:tc>
          <w:tcPr>
            <w:tcW w:w="1158" w:type="pct"/>
            <w:tcBorders>
              <w:top w:val="single" w:color="000000" w:sz="4" w:space="0"/>
              <w:left w:val="single" w:color="000000" w:sz="4" w:space="0"/>
              <w:bottom w:val="single" w:color="000000" w:sz="4" w:space="0"/>
              <w:right w:val="single" w:color="000000" w:sz="4" w:space="0"/>
            </w:tcBorders>
            <w:noWrap w:val="0"/>
            <w:vAlign w:val="center"/>
          </w:tcPr>
          <w:p w14:paraId="7DFFC43A">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集成座架</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14:paraId="6970CDD2">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20公斤</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92E218D">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1</w:t>
            </w:r>
          </w:p>
        </w:tc>
        <w:tc>
          <w:tcPr>
            <w:tcW w:w="821" w:type="pct"/>
            <w:tcBorders>
              <w:top w:val="single" w:color="000000" w:sz="4" w:space="0"/>
              <w:left w:val="single" w:color="000000" w:sz="4" w:space="0"/>
              <w:bottom w:val="single" w:color="000000" w:sz="4" w:space="0"/>
              <w:right w:val="single" w:color="000000" w:sz="4" w:space="0"/>
            </w:tcBorders>
            <w:noWrap w:val="0"/>
            <w:vAlign w:val="center"/>
          </w:tcPr>
          <w:p w14:paraId="04260500">
            <w:pPr>
              <w:widowControl/>
              <w:spacing w:line="240" w:lineRule="auto"/>
              <w:jc w:val="center"/>
              <w:textAlignment w:val="center"/>
              <w:outlineLvl w:val="9"/>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bidi="ar"/>
              </w:rPr>
              <w:t>33万</w:t>
            </w: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9A6B1E4">
            <w:pPr>
              <w:widowControl/>
              <w:spacing w:line="240" w:lineRule="auto"/>
              <w:jc w:val="center"/>
              <w:textAlignment w:val="center"/>
              <w:outlineLvl w:val="9"/>
              <w:rPr>
                <w:rFonts w:hint="eastAsia" w:ascii="宋体" w:hAnsi="宋体" w:eastAsia="宋体" w:cs="宋体"/>
                <w:color w:val="000000"/>
                <w:kern w:val="0"/>
                <w:sz w:val="24"/>
                <w:szCs w:val="24"/>
                <w:u w:val="none"/>
                <w:lang w:val="en-US" w:bidi="ar"/>
              </w:rPr>
            </w:pPr>
          </w:p>
        </w:tc>
      </w:tr>
    </w:tbl>
    <w:p w14:paraId="477DE9FB">
      <w:pPr>
        <w:pStyle w:val="35"/>
        <w:numPr>
          <w:ilvl w:val="0"/>
          <w:numId w:val="0"/>
        </w:numPr>
        <w:bidi w:val="0"/>
        <w:rPr>
          <w:rFonts w:hint="eastAsia"/>
        </w:rPr>
      </w:pPr>
    </w:p>
    <w:p w14:paraId="4491E95A">
      <w:pPr>
        <w:pStyle w:val="37"/>
        <w:bidi w:val="0"/>
        <w:rPr>
          <w:rFonts w:hint="eastAsia"/>
        </w:rPr>
      </w:pPr>
      <w:bookmarkStart w:id="58" w:name="_Toc9614"/>
      <w:r>
        <w:rPr>
          <w:rFonts w:hint="eastAsia"/>
        </w:rPr>
        <w:t>商务要求</w:t>
      </w:r>
      <w:bookmarkEnd w:id="58"/>
    </w:p>
    <w:p w14:paraId="2B7450F4">
      <w:pPr>
        <w:pStyle w:val="35"/>
        <w:bidi w:val="0"/>
        <w:rPr>
          <w:rFonts w:hint="default"/>
          <w:lang w:val="en-US" w:eastAsia="zh-CN"/>
        </w:rPr>
      </w:pPr>
      <w:r>
        <w:rPr>
          <w:rFonts w:hint="eastAsia"/>
          <w:lang w:val="en-US" w:eastAsia="zh-CN"/>
        </w:rPr>
        <w:t>保险期限</w:t>
      </w:r>
      <w:r>
        <w:rPr>
          <w:rFonts w:hint="eastAsia"/>
        </w:rPr>
        <w:t>：</w:t>
      </w:r>
      <w:r>
        <w:rPr>
          <w:rFonts w:hint="eastAsia"/>
          <w:lang w:val="en-US" w:eastAsia="zh-CN"/>
        </w:rPr>
        <w:t>自合同签订生效之日起一年</w:t>
      </w:r>
    </w:p>
    <w:p w14:paraId="1E58D7DD">
      <w:pPr>
        <w:pStyle w:val="35"/>
        <w:bidi w:val="0"/>
      </w:pPr>
      <w:r>
        <w:rPr>
          <w:rFonts w:hint="eastAsia"/>
        </w:rPr>
        <w:t>服务地点：</w:t>
      </w:r>
      <w:r>
        <w:rPr>
          <w:rFonts w:hint="eastAsia"/>
          <w:lang w:val="en-US" w:eastAsia="zh-CN"/>
        </w:rPr>
        <w:t>采购人</w:t>
      </w:r>
      <w:r>
        <w:rPr>
          <w:rFonts w:hint="eastAsia"/>
        </w:rPr>
        <w:t>指定地点</w:t>
      </w:r>
    </w:p>
    <w:p w14:paraId="24A80A9F">
      <w:pPr>
        <w:pStyle w:val="37"/>
        <w:bidi w:val="0"/>
      </w:pPr>
      <w:bookmarkStart w:id="59" w:name="_Toc16318"/>
      <w:r>
        <w:rPr>
          <w:rFonts w:hint="eastAsia"/>
        </w:rPr>
        <w:t>验收方式</w:t>
      </w:r>
      <w:bookmarkEnd w:id="59"/>
    </w:p>
    <w:p w14:paraId="68B941B7">
      <w:pPr>
        <w:pStyle w:val="35"/>
        <w:bidi w:val="0"/>
      </w:pPr>
      <w:r>
        <w:rPr>
          <w:rFonts w:hint="eastAsia"/>
        </w:rPr>
        <w:t>1．采购人按照采购合同规定的技术、服务、标准以及中标单位的投标文件、本项目采购文件等要求，组织对供应商履约情况进行验收，并出具验收合格书。</w:t>
      </w:r>
    </w:p>
    <w:p w14:paraId="4D11C269">
      <w:pPr>
        <w:pStyle w:val="35"/>
        <w:bidi w:val="0"/>
      </w:pPr>
      <w:r>
        <w:t>2</w:t>
      </w:r>
      <w:r>
        <w:rPr>
          <w:rFonts w:hint="eastAsia"/>
        </w:rPr>
        <w:t>.验收流程</w:t>
      </w:r>
    </w:p>
    <w:p w14:paraId="693BDCE7">
      <w:pPr>
        <w:pStyle w:val="35"/>
        <w:bidi w:val="0"/>
      </w:pPr>
      <w:r>
        <w:t>2</w:t>
      </w:r>
      <w:r>
        <w:rPr>
          <w:rFonts w:hint="eastAsia"/>
        </w:rPr>
        <w:t>.1采购人可根据项目进展情况，对服务过程进行考核和评价，考核情况和服务效果可作为最终验收的依据。</w:t>
      </w:r>
    </w:p>
    <w:p w14:paraId="2DD57D76">
      <w:pPr>
        <w:pStyle w:val="35"/>
        <w:bidi w:val="0"/>
      </w:pPr>
      <w:r>
        <w:t>3</w:t>
      </w:r>
      <w:r>
        <w:rPr>
          <w:rFonts w:hint="eastAsia"/>
        </w:rPr>
        <w:t>.验收标准</w:t>
      </w:r>
    </w:p>
    <w:p w14:paraId="1C3954B6">
      <w:pPr>
        <w:pStyle w:val="35"/>
        <w:bidi w:val="0"/>
      </w:pPr>
      <w:r>
        <w:t>3</w:t>
      </w:r>
      <w:r>
        <w:rPr>
          <w:rFonts w:hint="eastAsia"/>
        </w:rPr>
        <w:t>.1供应商完成项目的进度符合进度计划；</w:t>
      </w:r>
    </w:p>
    <w:p w14:paraId="32F8E0F4">
      <w:pPr>
        <w:pStyle w:val="35"/>
        <w:bidi w:val="0"/>
      </w:pPr>
      <w:r>
        <w:t>3</w:t>
      </w:r>
      <w:r>
        <w:rPr>
          <w:rFonts w:hint="eastAsia"/>
        </w:rPr>
        <w:t>.2供应商已按《采购文件》要求及合同约定的服务内容提交了工作成果；</w:t>
      </w:r>
    </w:p>
    <w:p w14:paraId="3DD2E243">
      <w:pPr>
        <w:pStyle w:val="35"/>
        <w:bidi w:val="0"/>
      </w:pPr>
      <w:r>
        <w:t>3</w:t>
      </w:r>
      <w:r>
        <w:rPr>
          <w:rFonts w:hint="eastAsia"/>
        </w:rPr>
        <w:t>.3项目负责人、项目团队核心成员与合同约定的人员一致，供应商提供服务的团队人员数量符合合同约定的人数；</w:t>
      </w:r>
    </w:p>
    <w:p w14:paraId="04B8A4D9">
      <w:pPr>
        <w:pStyle w:val="35"/>
        <w:bidi w:val="0"/>
      </w:pPr>
      <w:r>
        <w:t>3</w:t>
      </w:r>
      <w:r>
        <w:rPr>
          <w:rFonts w:hint="eastAsia"/>
        </w:rPr>
        <w:t>.4供应商提供的实际服务符合采购文件要求；</w:t>
      </w:r>
    </w:p>
    <w:p w14:paraId="134E5946">
      <w:pPr>
        <w:pStyle w:val="35"/>
        <w:bidi w:val="0"/>
        <w:rPr>
          <w:rFonts w:ascii="Calibri" w:hAnsi="Calibri" w:eastAsia="仿宋"/>
          <w:color w:val="auto"/>
          <w:kern w:val="0"/>
          <w:highlight w:val="none"/>
        </w:rPr>
      </w:pPr>
      <w:r>
        <w:t>3</w:t>
      </w:r>
      <w:r>
        <w:rPr>
          <w:rFonts w:hint="eastAsia"/>
        </w:rPr>
        <w:t>.5供应商提供的项目成果资料符合《采购文件》及合同约定要求。</w:t>
      </w:r>
    </w:p>
    <w:p w14:paraId="27A5DB76">
      <w:pPr>
        <w:pStyle w:val="37"/>
        <w:bidi w:val="0"/>
        <w:rPr>
          <w:rFonts w:hint="eastAsia"/>
          <w:lang w:val="en-US" w:eastAsia="zh-CN"/>
        </w:rPr>
      </w:pPr>
      <w:bookmarkStart w:id="60" w:name="_Toc12824"/>
      <w:r>
        <w:rPr>
          <w:rFonts w:hint="eastAsia"/>
          <w:lang w:val="en-US" w:eastAsia="zh-CN"/>
        </w:rPr>
        <w:t>付款方式</w:t>
      </w:r>
      <w:bookmarkEnd w:id="60"/>
    </w:p>
    <w:p w14:paraId="2663CAB5">
      <w:pPr>
        <w:pStyle w:val="35"/>
        <w:bidi w:val="0"/>
        <w:rPr>
          <w:rFonts w:hint="eastAsia"/>
          <w:color w:val="auto"/>
          <w:lang w:val="zh-CN" w:eastAsia="zh-CN"/>
        </w:rPr>
      </w:pPr>
      <w:r>
        <w:rPr>
          <w:color w:val="auto"/>
          <w:lang w:val="zh-CN"/>
        </w:rPr>
        <w:t>1.</w:t>
      </w:r>
      <w:r>
        <w:rPr>
          <w:rFonts w:hint="eastAsia"/>
          <w:color w:val="auto"/>
          <w:lang w:val="zh-CN" w:eastAsia="zh-CN"/>
        </w:rPr>
        <w:t>合同签订并且保单提供后7个工作日内，采购人向中标人支付不低于总合同金额的60%作为预付款。</w:t>
      </w:r>
    </w:p>
    <w:p w14:paraId="7750F49B">
      <w:pPr>
        <w:pStyle w:val="35"/>
        <w:bidi w:val="0"/>
        <w:rPr>
          <w:rFonts w:hint="eastAsia"/>
          <w:color w:val="auto"/>
          <w:lang w:val="en-US" w:eastAsia="zh-CN"/>
        </w:rPr>
      </w:pPr>
      <w:r>
        <w:rPr>
          <w:rFonts w:hint="eastAsia"/>
          <w:color w:val="auto"/>
          <w:lang w:val="en-US" w:eastAsia="zh-CN"/>
        </w:rPr>
        <w:t>2.</w:t>
      </w:r>
      <w:r>
        <w:rPr>
          <w:rFonts w:hint="eastAsia"/>
          <w:color w:val="auto"/>
          <w:lang w:val="zh-CN" w:eastAsia="zh-CN"/>
        </w:rPr>
        <w:t>2025年12月，在满足支付条件情况下支付合同余额</w:t>
      </w:r>
    </w:p>
    <w:p w14:paraId="31D7A383">
      <w:pPr>
        <w:pStyle w:val="35"/>
        <w:bidi w:val="0"/>
      </w:pPr>
      <w:bookmarkStart w:id="61" w:name="_Hlk117190814"/>
      <w:r>
        <w:rPr>
          <w:rFonts w:hint="eastAsia"/>
          <w:lang w:val="zh-CN"/>
        </w:rPr>
        <w:t>备注：签订合同时，中标人明确表示无需预付款或者主动要求降低预付款比例的，采购人可不适用前述规定。</w:t>
      </w:r>
    </w:p>
    <w:bookmarkEnd w:id="61"/>
    <w:p w14:paraId="6E62C2E2">
      <w:pPr>
        <w:pStyle w:val="35"/>
        <w:bidi w:val="0"/>
        <w:rPr>
          <w:lang w:val="zh-CN"/>
        </w:rPr>
      </w:pPr>
      <w:r>
        <w:rPr>
          <w:rFonts w:hint="eastAsia"/>
        </w:rPr>
        <w:t>3</w:t>
      </w:r>
      <w:r>
        <w:rPr>
          <w:rFonts w:hint="eastAsia"/>
          <w:lang w:val="en-US" w:eastAsia="zh-CN"/>
        </w:rPr>
        <w:t>.</w:t>
      </w:r>
      <w:r>
        <w:rPr>
          <w:rFonts w:hint="eastAsia"/>
          <w:lang w:val="zh-CN"/>
        </w:rPr>
        <w:t>采购人付款前，中标人须提供正规合法的等额发票，否则采购人有权拒绝付款，且不因此承担任何违约责任。</w:t>
      </w:r>
    </w:p>
    <w:p w14:paraId="64234A87">
      <w:pPr>
        <w:pStyle w:val="37"/>
        <w:bidi w:val="0"/>
      </w:pPr>
      <w:bookmarkStart w:id="62" w:name="_Toc29821"/>
      <w:r>
        <w:rPr>
          <w:rFonts w:hint="eastAsia"/>
        </w:rPr>
        <w:t>特别提示</w:t>
      </w:r>
      <w:bookmarkEnd w:id="62"/>
    </w:p>
    <w:p w14:paraId="33C92136">
      <w:pPr>
        <w:pStyle w:val="35"/>
        <w:bidi w:val="0"/>
        <w:rPr>
          <w:rFonts w:hint="eastAsia" w:eastAsia="宋体"/>
          <w:lang w:eastAsia="zh-CN"/>
        </w:rPr>
      </w:pPr>
      <w:r>
        <w:rPr>
          <w:rFonts w:hint="eastAsia"/>
        </w:rPr>
        <w:t>如采购文件中遗漏了必须具备的内容或服务，请供应商在投标文件中补充，并提出解决方案供采购人参考；中标供应商有义务保证采购人采购项目的完整性</w:t>
      </w:r>
      <w:r>
        <w:rPr>
          <w:rFonts w:hint="eastAsia"/>
          <w:lang w:eastAsia="zh-CN"/>
        </w:rPr>
        <w:t>。</w:t>
      </w:r>
    </w:p>
    <w:p w14:paraId="3E814209">
      <w:r>
        <w:br w:type="page"/>
      </w:r>
    </w:p>
    <w:p w14:paraId="72CF169F">
      <w:pPr>
        <w:pStyle w:val="35"/>
      </w:pPr>
    </w:p>
    <w:p w14:paraId="182502FE">
      <w:pPr>
        <w:pStyle w:val="38"/>
      </w:pPr>
      <w:bookmarkStart w:id="63" w:name="_Toc3169"/>
      <w:r>
        <w:rPr>
          <w:rFonts w:hint="eastAsia"/>
          <w:lang w:eastAsia="zh-CN"/>
        </w:rPr>
        <w:t>合同文本</w:t>
      </w:r>
      <w:bookmarkEnd w:id="63"/>
    </w:p>
    <w:p w14:paraId="3484142A">
      <w:pPr>
        <w:pStyle w:val="35"/>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color w:val="auto"/>
          <w:sz w:val="36"/>
          <w:szCs w:val="36"/>
        </w:rPr>
      </w:pPr>
      <w:r>
        <w:rPr>
          <w:rFonts w:hint="eastAsia" w:ascii="宋体" w:hAnsi="宋体"/>
          <w:color w:val="auto"/>
          <w:sz w:val="36"/>
          <w:szCs w:val="36"/>
          <w:lang w:eastAsia="zh-CN"/>
        </w:rPr>
        <w:t>浙江省测绘科学技术研究院无人机机身及配套设备一切险与第三者责任保险项目（重新招标）</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sz w:val="24"/>
          <w:szCs w:val="24"/>
          <w:u w:val="single"/>
          <w:lang w:eastAsia="zh-CN"/>
        </w:rPr>
        <w:t>浙江省测绘科学技术研究院无人机机身及配套设备一切险与第三者责任保险项目（重新招标）</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甲</w:t>
      </w:r>
      <w:r>
        <w:rPr>
          <w:rFonts w:hint="eastAsia" w:ascii="宋体" w:hAnsi="宋体"/>
          <w:sz w:val="24"/>
          <w:szCs w:val="24"/>
        </w:rPr>
        <w:t xml:space="preserve">  方：</w:t>
      </w:r>
      <w:r>
        <w:rPr>
          <w:rFonts w:hint="eastAsia" w:ascii="宋体" w:hAnsi="宋体"/>
          <w:sz w:val="24"/>
          <w:szCs w:val="24"/>
          <w:u w:val="single"/>
          <w:lang w:eastAsia="zh-CN"/>
        </w:rPr>
        <w:t>浙江省测绘科学技术研究院</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乙</w:t>
      </w:r>
      <w:r>
        <w:rPr>
          <w:rFonts w:hint="eastAsia" w:ascii="宋体" w:hAnsi="宋体"/>
          <w:sz w:val="24"/>
          <w:szCs w:val="24"/>
        </w:rPr>
        <w:t xml:space="preserve">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6BB5B520">
      <w:pPr>
        <w:pStyle w:val="35"/>
        <w:ind w:firstLine="480"/>
        <w:rPr>
          <w:rFonts w:hint="eastAsia" w:ascii="宋体" w:hAnsi="宋体"/>
          <w:sz w:val="24"/>
        </w:rPr>
      </w:pPr>
      <w:r>
        <w:rPr>
          <w:rFonts w:hint="eastAsia" w:ascii="宋体" w:hAnsi="宋体"/>
          <w:sz w:val="24"/>
        </w:rPr>
        <w:t>甲方：(采购人</w:t>
      </w:r>
      <w:r>
        <w:rPr>
          <w:rFonts w:hint="eastAsia" w:ascii="宋体" w:hAnsi="宋体"/>
          <w:sz w:val="24"/>
          <w:u w:val="single"/>
        </w:rPr>
        <w:t>)</w:t>
      </w:r>
      <w:r>
        <w:rPr>
          <w:rFonts w:hint="eastAsia" w:ascii="宋体" w:hAnsi="宋体"/>
          <w:sz w:val="24"/>
          <w:u w:val="single"/>
        </w:rPr>
        <w:tab/>
      </w:r>
      <w:r>
        <w:rPr>
          <w:rFonts w:hint="eastAsia" w:ascii="宋体" w:hAnsi="宋体"/>
          <w:sz w:val="24"/>
          <w:u w:val="single"/>
        </w:rPr>
        <w:t xml:space="preserve">              </w:t>
      </w:r>
    </w:p>
    <w:p w14:paraId="2D8DA0B9">
      <w:pPr>
        <w:pStyle w:val="35"/>
        <w:ind w:firstLine="480"/>
        <w:rPr>
          <w:rFonts w:hint="eastAsia" w:ascii="宋体" w:hAnsi="宋体"/>
          <w:sz w:val="24"/>
        </w:rPr>
      </w:pPr>
      <w:r>
        <w:rPr>
          <w:rFonts w:hint="eastAsia" w:ascii="宋体" w:hAnsi="宋体"/>
          <w:sz w:val="24"/>
        </w:rPr>
        <w:t>乙方：(中标人)</w:t>
      </w:r>
      <w:r>
        <w:rPr>
          <w:rFonts w:hint="eastAsia" w:ascii="宋体" w:hAnsi="宋体"/>
          <w:sz w:val="24"/>
          <w:u w:val="single"/>
        </w:rPr>
        <w:t xml:space="preserve">              </w:t>
      </w:r>
    </w:p>
    <w:p w14:paraId="5F34BD4B">
      <w:pPr>
        <w:pStyle w:val="35"/>
        <w:ind w:firstLine="480"/>
        <w:rPr>
          <w:rFonts w:hint="eastAsia" w:ascii="宋体" w:hAnsi="宋体"/>
          <w:sz w:val="24"/>
        </w:rPr>
      </w:pPr>
      <w:r>
        <w:rPr>
          <w:rFonts w:hint="eastAsia" w:ascii="宋体" w:hAnsi="宋体"/>
          <w:sz w:val="24"/>
        </w:rPr>
        <w:t>根据《中华人民共和国民法典》和</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项目</w:t>
      </w:r>
      <w:r>
        <w:rPr>
          <w:rFonts w:hint="eastAsia" w:ascii="宋体" w:hAnsi="宋体"/>
          <w:sz w:val="24"/>
        </w:rPr>
        <w:t>的公开招标结果，甲乙双方本着平等、自愿、互利和共同发展的原则签署本合同。</w:t>
      </w:r>
    </w:p>
    <w:p w14:paraId="05C0E68B">
      <w:pPr>
        <w:pStyle w:val="35"/>
        <w:ind w:firstLine="480"/>
        <w:rPr>
          <w:rFonts w:hint="eastAsia" w:ascii="宋体" w:hAnsi="宋体"/>
          <w:sz w:val="24"/>
        </w:rPr>
      </w:pPr>
      <w:r>
        <w:rPr>
          <w:rFonts w:hint="eastAsia" w:ascii="宋体" w:hAnsi="宋体"/>
          <w:sz w:val="24"/>
        </w:rPr>
        <w:t>为保障浙江省测绘科学技术研究院所拥有的无人机等设备财产的安全，实施风险管理，充分发挥经济效益，根据《中华人民共和国</w:t>
      </w:r>
      <w:r>
        <w:rPr>
          <w:rFonts w:hint="eastAsia" w:ascii="宋体" w:hAnsi="宋体"/>
          <w:sz w:val="24"/>
          <w:lang w:val="en-US" w:eastAsia="zh-CN"/>
        </w:rPr>
        <w:t>民法典</w:t>
      </w:r>
      <w:r>
        <w:rPr>
          <w:rFonts w:hint="eastAsia" w:ascii="宋体" w:hAnsi="宋体"/>
          <w:sz w:val="24"/>
        </w:rPr>
        <w:t>》和《中华人民共和国保险法》的有关规定，各方经友好协商，就有关保险事宜达成本合同如下：</w:t>
      </w:r>
    </w:p>
    <w:p w14:paraId="14A3CE17">
      <w:pPr>
        <w:pStyle w:val="35"/>
        <w:ind w:firstLine="480"/>
        <w:rPr>
          <w:rFonts w:hint="eastAsia" w:ascii="宋体" w:hAnsi="宋体"/>
          <w:sz w:val="24"/>
        </w:rPr>
      </w:pPr>
      <w:r>
        <w:rPr>
          <w:rFonts w:hint="eastAsia" w:ascii="宋体" w:hAnsi="宋体"/>
          <w:sz w:val="24"/>
        </w:rPr>
        <w:t>本合同中的主险条款和扩展条款有冲突的，优先适用附加条款；扩展条款和当事人之间的约定条款有冲突的，优先适用当事人之间的约定条款；扩展条款之间或当事人约定条款之间有冲突的，优先适用有利于被保险人的条款。</w:t>
      </w:r>
    </w:p>
    <w:p w14:paraId="028E7213">
      <w:pPr>
        <w:pStyle w:val="35"/>
        <w:ind w:firstLine="480"/>
        <w:rPr>
          <w:rFonts w:hint="eastAsia" w:ascii="宋体" w:hAnsi="宋体"/>
          <w:b/>
          <w:bCs/>
          <w:sz w:val="24"/>
        </w:rPr>
      </w:pPr>
      <w:r>
        <w:rPr>
          <w:rFonts w:hint="eastAsia" w:ascii="宋体" w:hAnsi="宋体"/>
          <w:b/>
          <w:bCs/>
          <w:sz w:val="24"/>
        </w:rPr>
        <w:t>一、协议组成</w:t>
      </w:r>
    </w:p>
    <w:p w14:paraId="1D82CFF2">
      <w:pPr>
        <w:pStyle w:val="35"/>
        <w:ind w:firstLine="480"/>
        <w:rPr>
          <w:rFonts w:hint="eastAsia" w:ascii="宋体" w:hAnsi="宋体"/>
          <w:sz w:val="24"/>
        </w:rPr>
      </w:pPr>
      <w:r>
        <w:rPr>
          <w:rFonts w:hint="eastAsia" w:ascii="宋体" w:hAnsi="宋体"/>
          <w:sz w:val="24"/>
        </w:rPr>
        <w:t>（一）下列文件(若有)应作为本</w:t>
      </w:r>
      <w:r>
        <w:rPr>
          <w:rFonts w:hint="eastAsia" w:ascii="宋体" w:hAnsi="宋体"/>
          <w:sz w:val="24"/>
          <w:lang w:val="en-US" w:eastAsia="zh-CN"/>
        </w:rPr>
        <w:t>合同</w:t>
      </w:r>
      <w:r>
        <w:rPr>
          <w:rFonts w:hint="eastAsia" w:ascii="宋体" w:hAnsi="宋体"/>
          <w:sz w:val="24"/>
        </w:rPr>
        <w:t>的组成部分</w:t>
      </w:r>
    </w:p>
    <w:p w14:paraId="0C4D391E">
      <w:pPr>
        <w:pStyle w:val="35"/>
        <w:ind w:firstLine="480"/>
        <w:rPr>
          <w:rFonts w:hint="eastAsia" w:ascii="宋体" w:hAnsi="宋体"/>
          <w:sz w:val="24"/>
        </w:rPr>
      </w:pPr>
      <w:r>
        <w:rPr>
          <w:rFonts w:hint="eastAsia" w:ascii="宋体" w:hAnsi="宋体"/>
          <w:sz w:val="24"/>
        </w:rPr>
        <w:t>1.批单及补充协议；</w:t>
      </w:r>
    </w:p>
    <w:p w14:paraId="693B0FDB">
      <w:pPr>
        <w:pStyle w:val="35"/>
        <w:ind w:firstLine="480"/>
        <w:rPr>
          <w:rFonts w:hint="eastAsia" w:ascii="宋体" w:hAnsi="宋体"/>
          <w:sz w:val="24"/>
        </w:rPr>
      </w:pPr>
      <w:r>
        <w:rPr>
          <w:rFonts w:hint="eastAsia" w:ascii="宋体" w:hAnsi="宋体"/>
          <w:sz w:val="24"/>
        </w:rPr>
        <w:t>2.保险协议书；</w:t>
      </w:r>
    </w:p>
    <w:p w14:paraId="57C5EA42">
      <w:pPr>
        <w:pStyle w:val="35"/>
        <w:ind w:firstLine="480"/>
        <w:rPr>
          <w:rFonts w:hint="eastAsia" w:ascii="宋体" w:hAnsi="宋体"/>
          <w:sz w:val="24"/>
        </w:rPr>
      </w:pPr>
      <w:r>
        <w:rPr>
          <w:rFonts w:hint="eastAsia" w:ascii="宋体" w:hAnsi="宋体"/>
          <w:sz w:val="24"/>
        </w:rPr>
        <w:t>3.保险单</w:t>
      </w:r>
      <w:r>
        <w:rPr>
          <w:rFonts w:hint="eastAsia" w:ascii="宋体" w:hAnsi="宋体"/>
          <w:sz w:val="24"/>
          <w:lang w:val="en-US" w:eastAsia="zh-CN"/>
        </w:rPr>
        <w:t>或批单</w:t>
      </w:r>
      <w:r>
        <w:rPr>
          <w:rFonts w:hint="eastAsia" w:ascii="宋体" w:hAnsi="宋体"/>
          <w:sz w:val="24"/>
        </w:rPr>
        <w:t>；</w:t>
      </w:r>
    </w:p>
    <w:p w14:paraId="239EBC56">
      <w:pPr>
        <w:pStyle w:val="35"/>
        <w:ind w:firstLine="480"/>
        <w:rPr>
          <w:rFonts w:hint="eastAsia" w:ascii="宋体" w:hAnsi="宋体"/>
          <w:sz w:val="24"/>
        </w:rPr>
      </w:pPr>
      <w:r>
        <w:rPr>
          <w:rFonts w:hint="eastAsia" w:ascii="宋体" w:hAnsi="宋体"/>
          <w:sz w:val="24"/>
        </w:rPr>
        <w:t>4.中标通知书；</w:t>
      </w:r>
    </w:p>
    <w:p w14:paraId="26F17EDF">
      <w:pPr>
        <w:pStyle w:val="35"/>
        <w:ind w:firstLine="480"/>
        <w:rPr>
          <w:rFonts w:hint="eastAsia" w:ascii="宋体" w:hAnsi="宋体"/>
          <w:sz w:val="24"/>
        </w:rPr>
      </w:pPr>
      <w:r>
        <w:rPr>
          <w:rFonts w:hint="eastAsia" w:ascii="宋体" w:hAnsi="宋体"/>
          <w:sz w:val="24"/>
        </w:rPr>
        <w:t>5.</w:t>
      </w:r>
      <w:r>
        <w:rPr>
          <w:rFonts w:hint="eastAsia" w:ascii="宋体" w:hAnsi="宋体"/>
          <w:sz w:val="24"/>
          <w:lang w:val="en-US" w:eastAsia="zh-CN"/>
        </w:rPr>
        <w:t>采购</w:t>
      </w:r>
      <w:r>
        <w:rPr>
          <w:rFonts w:hint="eastAsia" w:ascii="宋体" w:hAnsi="宋体"/>
          <w:sz w:val="24"/>
        </w:rPr>
        <w:t>文件答疑及</w:t>
      </w:r>
      <w:r>
        <w:rPr>
          <w:rFonts w:hint="eastAsia" w:ascii="宋体" w:hAnsi="宋体"/>
          <w:sz w:val="24"/>
          <w:lang w:val="en-US" w:eastAsia="zh-CN"/>
        </w:rPr>
        <w:t>采购</w:t>
      </w:r>
      <w:r>
        <w:rPr>
          <w:rFonts w:hint="eastAsia" w:ascii="宋体" w:hAnsi="宋体"/>
          <w:sz w:val="24"/>
        </w:rPr>
        <w:t>文件；</w:t>
      </w:r>
    </w:p>
    <w:p w14:paraId="2D7D84E9">
      <w:pPr>
        <w:pStyle w:val="35"/>
        <w:ind w:firstLine="480"/>
        <w:rPr>
          <w:rFonts w:hint="eastAsia" w:ascii="宋体" w:hAnsi="宋体"/>
          <w:sz w:val="24"/>
        </w:rPr>
      </w:pPr>
      <w:r>
        <w:rPr>
          <w:rFonts w:hint="eastAsia" w:ascii="宋体" w:hAnsi="宋体"/>
          <w:sz w:val="24"/>
        </w:rPr>
        <w:t>6.投标文件澄清及承诺；</w:t>
      </w:r>
    </w:p>
    <w:p w14:paraId="39A86C0D">
      <w:pPr>
        <w:pStyle w:val="35"/>
        <w:ind w:firstLine="480"/>
        <w:rPr>
          <w:rFonts w:hint="eastAsia" w:ascii="宋体" w:hAnsi="宋体"/>
          <w:sz w:val="24"/>
        </w:rPr>
      </w:pPr>
      <w:r>
        <w:rPr>
          <w:rFonts w:hint="eastAsia" w:ascii="宋体" w:hAnsi="宋体"/>
          <w:sz w:val="24"/>
        </w:rPr>
        <w:t>7.投标文件；</w:t>
      </w:r>
    </w:p>
    <w:p w14:paraId="52C4C694">
      <w:pPr>
        <w:pStyle w:val="35"/>
        <w:ind w:firstLine="480"/>
        <w:rPr>
          <w:rFonts w:hint="eastAsia" w:ascii="宋体" w:hAnsi="宋体"/>
          <w:sz w:val="24"/>
        </w:rPr>
      </w:pPr>
      <w:r>
        <w:rPr>
          <w:rFonts w:hint="eastAsia" w:ascii="宋体" w:hAnsi="宋体"/>
          <w:sz w:val="24"/>
        </w:rPr>
        <w:t>8.形成合同的其他有关文件。</w:t>
      </w:r>
    </w:p>
    <w:p w14:paraId="171795C0">
      <w:pPr>
        <w:pStyle w:val="35"/>
        <w:ind w:firstLine="480"/>
        <w:rPr>
          <w:rFonts w:hint="eastAsia" w:ascii="宋体" w:hAnsi="宋体"/>
          <w:sz w:val="24"/>
        </w:rPr>
      </w:pPr>
      <w:r>
        <w:rPr>
          <w:rFonts w:hint="eastAsia" w:ascii="宋体" w:hAnsi="宋体"/>
          <w:sz w:val="24"/>
        </w:rPr>
        <w:t>（二）文件效力</w:t>
      </w:r>
    </w:p>
    <w:p w14:paraId="5C2D20B3">
      <w:pPr>
        <w:pStyle w:val="35"/>
        <w:ind w:firstLine="480"/>
        <w:rPr>
          <w:rFonts w:hint="eastAsia" w:ascii="宋体" w:hAnsi="宋体"/>
          <w:sz w:val="24"/>
        </w:rPr>
      </w:pPr>
      <w:r>
        <w:rPr>
          <w:rFonts w:hint="eastAsia" w:ascii="宋体" w:hAnsi="宋体"/>
          <w:sz w:val="24"/>
        </w:rPr>
        <w:t>上述文件应互为补充和解释，如有不清或互相矛盾之处，以上面所列顺序在前的为准。</w:t>
      </w:r>
    </w:p>
    <w:p w14:paraId="5EA83487">
      <w:pPr>
        <w:pStyle w:val="35"/>
        <w:ind w:firstLine="480"/>
        <w:rPr>
          <w:rFonts w:hint="eastAsia" w:ascii="宋体" w:hAnsi="宋体"/>
          <w:b/>
          <w:bCs/>
          <w:sz w:val="24"/>
        </w:rPr>
      </w:pPr>
      <w:r>
        <w:rPr>
          <w:rFonts w:hint="eastAsia" w:ascii="宋体" w:hAnsi="宋体"/>
          <w:b/>
          <w:bCs/>
          <w:sz w:val="24"/>
        </w:rPr>
        <w:t>二、保险出单</w:t>
      </w:r>
    </w:p>
    <w:p w14:paraId="31202088">
      <w:pPr>
        <w:pStyle w:val="35"/>
        <w:ind w:firstLine="480"/>
        <w:rPr>
          <w:rFonts w:hint="eastAsia" w:ascii="宋体" w:hAnsi="宋体"/>
          <w:sz w:val="24"/>
        </w:rPr>
      </w:pPr>
      <w:r>
        <w:rPr>
          <w:rFonts w:hint="eastAsia" w:ascii="宋体" w:hAnsi="宋体"/>
          <w:sz w:val="24"/>
        </w:rPr>
        <w:t>乙方按“附件一、保险方案明细及条款措辞”承保本项目，向甲方出具正式保险单，并出具保费专用增值税发票。</w:t>
      </w:r>
    </w:p>
    <w:p w14:paraId="2792EDBB">
      <w:pPr>
        <w:pStyle w:val="35"/>
        <w:ind w:firstLine="480"/>
        <w:rPr>
          <w:rFonts w:hint="eastAsia" w:ascii="宋体" w:hAnsi="宋体"/>
          <w:b/>
          <w:bCs/>
          <w:sz w:val="24"/>
        </w:rPr>
      </w:pPr>
      <w:r>
        <w:rPr>
          <w:rFonts w:hint="eastAsia" w:ascii="宋体" w:hAnsi="宋体"/>
          <w:b/>
          <w:bCs/>
          <w:sz w:val="24"/>
        </w:rPr>
        <w:t>三、期内服务：</w:t>
      </w:r>
    </w:p>
    <w:p w14:paraId="4411895E">
      <w:pPr>
        <w:pStyle w:val="35"/>
        <w:ind w:firstLine="480"/>
        <w:rPr>
          <w:rFonts w:hint="eastAsia" w:ascii="宋体" w:hAnsi="宋体"/>
          <w:sz w:val="24"/>
        </w:rPr>
      </w:pPr>
      <w:r>
        <w:rPr>
          <w:rFonts w:hint="eastAsia"/>
          <w:sz w:val="24"/>
          <w:lang w:val="en-US" w:eastAsia="zh-CN"/>
        </w:rPr>
        <w:t>（一）</w:t>
      </w:r>
      <w:r>
        <w:rPr>
          <w:rFonts w:hint="eastAsia" w:ascii="宋体" w:hAnsi="宋体"/>
          <w:sz w:val="24"/>
        </w:rPr>
        <w:t>项目服务小组</w:t>
      </w:r>
    </w:p>
    <w:p w14:paraId="54677638">
      <w:pPr>
        <w:pStyle w:val="35"/>
        <w:ind w:firstLine="480"/>
        <w:rPr>
          <w:rFonts w:hint="eastAsia" w:ascii="宋体" w:hAnsi="宋体"/>
          <w:sz w:val="24"/>
        </w:rPr>
      </w:pPr>
      <w:r>
        <w:rPr>
          <w:rFonts w:hint="eastAsia" w:ascii="宋体" w:hAnsi="宋体"/>
          <w:sz w:val="24"/>
        </w:rPr>
        <w:t>乙方应专项成立“保险服务小组”，服务小组成员包含“分公司+出单机构”的各层级分管副总及核保、理赔部门负责人，同时明确第一联系人，在本协议生效后立即投入运营，负责处理保险期间的服务事宜。</w:t>
      </w:r>
    </w:p>
    <w:p w14:paraId="09FD6BFF">
      <w:pPr>
        <w:pStyle w:val="35"/>
        <w:ind w:firstLine="480"/>
        <w:rPr>
          <w:rFonts w:hint="eastAsia" w:ascii="宋体" w:hAnsi="宋体"/>
          <w:sz w:val="24"/>
        </w:rPr>
      </w:pPr>
      <w:r>
        <w:rPr>
          <w:rFonts w:hint="eastAsia" w:ascii="宋体" w:hAnsi="宋体"/>
          <w:sz w:val="24"/>
        </w:rPr>
        <w:t>保险服务小组成员变动须提前7天与甲方协商确定，如果必须更换，则接替人员必须为同行业工作3年以上人员，且经甲方认可。甲方有权对于项目服务小组成员的服务进行评价，如果服务小组成员不能尽职尽责的为甲方提供服务，甲方有权要求更换小组服务人员。乙方需在10个工作日内完成不称职的服务人员更换，否则视为乙方违约，按人员不到位计取违约金，违约金标准为RMB500元/人次/日。</w:t>
      </w:r>
    </w:p>
    <w:p w14:paraId="66B1A469">
      <w:pPr>
        <w:pStyle w:val="35"/>
        <w:ind w:firstLine="480"/>
        <w:rPr>
          <w:rFonts w:hint="eastAsia" w:ascii="宋体" w:hAnsi="宋体"/>
          <w:sz w:val="24"/>
        </w:rPr>
      </w:pPr>
      <w:r>
        <w:rPr>
          <w:rFonts w:hint="eastAsia" w:ascii="宋体" w:hAnsi="宋体"/>
          <w:sz w:val="24"/>
        </w:rPr>
        <w:t>小组名单及联系方式如下：</w:t>
      </w:r>
    </w:p>
    <w:tbl>
      <w:tblPr>
        <w:tblStyle w:val="24"/>
        <w:tblW w:w="0" w:type="auto"/>
        <w:tblInd w:w="307" w:type="dxa"/>
        <w:tblLayout w:type="fixed"/>
        <w:tblCellMar>
          <w:top w:w="0" w:type="dxa"/>
          <w:left w:w="10" w:type="dxa"/>
          <w:bottom w:w="0" w:type="dxa"/>
          <w:right w:w="10" w:type="dxa"/>
        </w:tblCellMar>
      </w:tblPr>
      <w:tblGrid>
        <w:gridCol w:w="1214"/>
        <w:gridCol w:w="1445"/>
        <w:gridCol w:w="1596"/>
        <w:gridCol w:w="1514"/>
        <w:gridCol w:w="2446"/>
      </w:tblGrid>
      <w:tr w14:paraId="3DBA6554">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B627BBF">
            <w:pPr>
              <w:pStyle w:val="35"/>
              <w:ind w:left="0" w:leftChars="0" w:firstLine="0" w:firstLineChars="0"/>
              <w:jc w:val="center"/>
              <w:rPr>
                <w:rFonts w:hint="eastAsia" w:ascii="宋体" w:hAnsi="宋体"/>
                <w:sz w:val="24"/>
              </w:rPr>
            </w:pPr>
            <w:r>
              <w:rPr>
                <w:rFonts w:hint="eastAsia" w:ascii="宋体" w:hAnsi="宋体"/>
                <w:sz w:val="24"/>
              </w:rPr>
              <w:t>成员</w:t>
            </w: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FB2A31B">
            <w:pPr>
              <w:pStyle w:val="35"/>
              <w:ind w:left="0" w:leftChars="0" w:firstLine="0" w:firstLineChars="0"/>
              <w:jc w:val="center"/>
              <w:rPr>
                <w:rFonts w:hint="eastAsia" w:ascii="宋体" w:hAnsi="宋体"/>
                <w:sz w:val="24"/>
              </w:rPr>
            </w:pPr>
            <w:r>
              <w:rPr>
                <w:rFonts w:hint="eastAsia" w:ascii="宋体" w:hAnsi="宋体"/>
                <w:sz w:val="24"/>
              </w:rPr>
              <w:t>姓名</w:t>
            </w: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79A1692">
            <w:pPr>
              <w:pStyle w:val="35"/>
              <w:ind w:left="0" w:leftChars="0" w:firstLine="0" w:firstLineChars="0"/>
              <w:jc w:val="center"/>
              <w:rPr>
                <w:rFonts w:hint="eastAsia" w:ascii="宋体" w:hAnsi="宋体"/>
                <w:sz w:val="24"/>
              </w:rPr>
            </w:pPr>
            <w:r>
              <w:rPr>
                <w:rFonts w:hint="eastAsia" w:ascii="宋体" w:hAnsi="宋体"/>
                <w:sz w:val="24"/>
              </w:rPr>
              <w:t>职 务</w:t>
            </w: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0BC8DFF">
            <w:pPr>
              <w:pStyle w:val="35"/>
              <w:ind w:left="0" w:leftChars="0" w:firstLine="0" w:firstLineChars="0"/>
              <w:jc w:val="center"/>
              <w:rPr>
                <w:rFonts w:hint="eastAsia" w:ascii="宋体" w:hAnsi="宋体"/>
                <w:sz w:val="24"/>
              </w:rPr>
            </w:pPr>
            <w:r>
              <w:rPr>
                <w:rFonts w:hint="eastAsia" w:ascii="宋体" w:hAnsi="宋体"/>
                <w:sz w:val="24"/>
              </w:rPr>
              <w:t>电 话</w:t>
            </w: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1CB2CC5">
            <w:pPr>
              <w:pStyle w:val="35"/>
              <w:ind w:left="0" w:leftChars="0" w:firstLine="0" w:firstLineChars="0"/>
              <w:jc w:val="center"/>
              <w:rPr>
                <w:rFonts w:hint="eastAsia" w:ascii="宋体" w:hAnsi="宋体"/>
                <w:sz w:val="24"/>
              </w:rPr>
            </w:pPr>
            <w:r>
              <w:rPr>
                <w:rFonts w:hint="eastAsia" w:ascii="宋体" w:hAnsi="宋体"/>
                <w:sz w:val="24"/>
              </w:rPr>
              <w:t>职  能</w:t>
            </w:r>
          </w:p>
        </w:tc>
      </w:tr>
      <w:tr w14:paraId="55B65CD6">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70FB0D1">
            <w:pPr>
              <w:pStyle w:val="35"/>
              <w:ind w:firstLine="480"/>
              <w:rPr>
                <w:rFonts w:hint="eastAsia" w:ascii="宋体" w:hAnsi="宋体"/>
                <w:sz w:val="24"/>
              </w:rPr>
            </w:pP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97176A5">
            <w:pPr>
              <w:pStyle w:val="35"/>
              <w:ind w:firstLine="480"/>
              <w:rPr>
                <w:rFonts w:hint="eastAsia" w:ascii="宋体" w:hAnsi="宋体"/>
                <w:sz w:val="24"/>
              </w:rPr>
            </w:pP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C6E53DB">
            <w:pPr>
              <w:pStyle w:val="35"/>
              <w:ind w:firstLine="480"/>
              <w:rPr>
                <w:rFonts w:hint="eastAsia" w:ascii="宋体" w:hAnsi="宋体"/>
                <w:sz w:val="24"/>
              </w:rPr>
            </w:pP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0DBE886">
            <w:pPr>
              <w:pStyle w:val="35"/>
              <w:ind w:firstLine="480"/>
              <w:rPr>
                <w:rFonts w:hint="eastAsia" w:ascii="宋体" w:hAnsi="宋体"/>
                <w:sz w:val="24"/>
              </w:rPr>
            </w:pP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5AB7929">
            <w:pPr>
              <w:pStyle w:val="35"/>
              <w:ind w:firstLine="480"/>
              <w:rPr>
                <w:rFonts w:hint="eastAsia" w:ascii="宋体" w:hAnsi="宋体"/>
                <w:sz w:val="24"/>
              </w:rPr>
            </w:pPr>
          </w:p>
        </w:tc>
      </w:tr>
      <w:tr w14:paraId="42602105">
        <w:tblPrEx>
          <w:tblCellMar>
            <w:top w:w="0" w:type="dxa"/>
            <w:left w:w="10" w:type="dxa"/>
            <w:bottom w:w="0" w:type="dxa"/>
            <w:right w:w="10" w:type="dxa"/>
          </w:tblCellMar>
        </w:tblPrEx>
        <w:tc>
          <w:tcPr>
            <w:tcW w:w="12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956B66C">
            <w:pPr>
              <w:pStyle w:val="35"/>
              <w:ind w:firstLine="480"/>
              <w:rPr>
                <w:rFonts w:hint="eastAsia" w:ascii="宋体" w:hAnsi="宋体"/>
                <w:sz w:val="24"/>
              </w:rPr>
            </w:pPr>
          </w:p>
        </w:tc>
        <w:tc>
          <w:tcPr>
            <w:tcW w:w="144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F1CA371">
            <w:pPr>
              <w:pStyle w:val="35"/>
              <w:ind w:firstLine="480"/>
              <w:rPr>
                <w:rFonts w:hint="eastAsia" w:ascii="宋体" w:hAnsi="宋体"/>
                <w:sz w:val="24"/>
              </w:rPr>
            </w:pPr>
          </w:p>
        </w:tc>
        <w:tc>
          <w:tcPr>
            <w:tcW w:w="159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C4FFE84">
            <w:pPr>
              <w:pStyle w:val="35"/>
              <w:ind w:firstLine="480"/>
              <w:rPr>
                <w:rFonts w:hint="eastAsia" w:ascii="宋体" w:hAnsi="宋体"/>
                <w:sz w:val="24"/>
              </w:rPr>
            </w:pPr>
          </w:p>
        </w:tc>
        <w:tc>
          <w:tcPr>
            <w:tcW w:w="15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C6DBC4F">
            <w:pPr>
              <w:pStyle w:val="35"/>
              <w:ind w:firstLine="480"/>
              <w:rPr>
                <w:rFonts w:hint="eastAsia" w:ascii="宋体" w:hAnsi="宋体"/>
                <w:sz w:val="24"/>
              </w:rPr>
            </w:pPr>
          </w:p>
        </w:tc>
        <w:tc>
          <w:tcPr>
            <w:tcW w:w="244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DBE8AD3">
            <w:pPr>
              <w:pStyle w:val="35"/>
              <w:ind w:firstLine="480"/>
              <w:rPr>
                <w:rFonts w:hint="eastAsia" w:ascii="宋体" w:hAnsi="宋体"/>
                <w:sz w:val="24"/>
              </w:rPr>
            </w:pPr>
          </w:p>
        </w:tc>
      </w:tr>
    </w:tbl>
    <w:p w14:paraId="589A3648">
      <w:pPr>
        <w:pStyle w:val="35"/>
        <w:ind w:firstLine="480"/>
        <w:rPr>
          <w:rFonts w:hint="eastAsia" w:ascii="宋体" w:hAnsi="宋体"/>
          <w:sz w:val="24"/>
        </w:rPr>
      </w:pPr>
      <w:r>
        <w:rPr>
          <w:rFonts w:hint="eastAsia"/>
          <w:sz w:val="24"/>
          <w:lang w:eastAsia="zh-CN"/>
        </w:rPr>
        <w:t>（</w:t>
      </w:r>
      <w:r>
        <w:rPr>
          <w:rFonts w:hint="eastAsia"/>
          <w:sz w:val="24"/>
          <w:lang w:val="en-US" w:eastAsia="zh-CN"/>
        </w:rPr>
        <w:t>二</w:t>
      </w:r>
      <w:r>
        <w:rPr>
          <w:rFonts w:hint="eastAsia"/>
          <w:sz w:val="24"/>
          <w:lang w:eastAsia="zh-CN"/>
        </w:rPr>
        <w:t>）</w:t>
      </w:r>
      <w:r>
        <w:rPr>
          <w:rFonts w:hint="eastAsia" w:ascii="宋体" w:hAnsi="宋体"/>
          <w:sz w:val="24"/>
        </w:rPr>
        <w:t>培训服务</w:t>
      </w:r>
    </w:p>
    <w:p w14:paraId="61212C6F">
      <w:pPr>
        <w:pStyle w:val="35"/>
        <w:ind w:firstLine="480"/>
        <w:rPr>
          <w:rFonts w:hint="eastAsia" w:ascii="宋体" w:hAnsi="宋体"/>
          <w:sz w:val="24"/>
        </w:rPr>
      </w:pPr>
      <w:r>
        <w:rPr>
          <w:rFonts w:hint="eastAsia" w:ascii="宋体" w:hAnsi="宋体"/>
          <w:sz w:val="24"/>
        </w:rPr>
        <w:t>（1）保险协议培训</w:t>
      </w:r>
    </w:p>
    <w:p w14:paraId="47A2C2FB">
      <w:pPr>
        <w:pStyle w:val="35"/>
        <w:ind w:firstLine="480"/>
        <w:rPr>
          <w:rFonts w:hint="eastAsia" w:ascii="宋体" w:hAnsi="宋体"/>
          <w:sz w:val="24"/>
        </w:rPr>
      </w:pPr>
      <w:r>
        <w:rPr>
          <w:rFonts w:hint="eastAsia" w:ascii="宋体" w:hAnsi="宋体"/>
          <w:sz w:val="24"/>
        </w:rPr>
        <w:t>在签订本协议保单出具后的30日内，乙方组织专业人员针对本保险协议内容，为甲方相关人员进行培训。</w:t>
      </w:r>
    </w:p>
    <w:p w14:paraId="22C42BDD">
      <w:pPr>
        <w:pStyle w:val="35"/>
        <w:ind w:firstLine="480"/>
        <w:rPr>
          <w:rFonts w:hint="eastAsia" w:ascii="宋体" w:hAnsi="宋体"/>
          <w:sz w:val="24"/>
        </w:rPr>
      </w:pPr>
      <w:r>
        <w:rPr>
          <w:rFonts w:hint="eastAsia" w:ascii="宋体" w:hAnsi="宋体"/>
          <w:sz w:val="24"/>
        </w:rPr>
        <w:t>(2)防灾防损培训</w:t>
      </w:r>
    </w:p>
    <w:p w14:paraId="1DD0E596">
      <w:pPr>
        <w:pStyle w:val="35"/>
        <w:ind w:firstLine="480"/>
        <w:rPr>
          <w:rFonts w:hint="eastAsia" w:ascii="宋体" w:hAnsi="宋体"/>
          <w:sz w:val="24"/>
          <w:lang w:eastAsia="zh-CN"/>
        </w:rPr>
      </w:pPr>
      <w:r>
        <w:rPr>
          <w:rFonts w:hint="eastAsia" w:ascii="宋体" w:hAnsi="宋体"/>
          <w:sz w:val="24"/>
        </w:rPr>
        <w:t>乙方在协议期内承诺为了加强本项目的全面风险管理工作，降低保险责任事故的发生，减少保险赔款的支出，</w:t>
      </w:r>
      <w:r>
        <w:rPr>
          <w:rFonts w:hint="eastAsia" w:ascii="宋体" w:hAnsi="宋体"/>
          <w:sz w:val="24"/>
          <w:lang w:eastAsia="zh-CN"/>
        </w:rPr>
        <w:t>须开展</w:t>
      </w:r>
      <w:r>
        <w:rPr>
          <w:rFonts w:hint="eastAsia" w:ascii="宋体" w:hAnsi="宋体"/>
          <w:sz w:val="24"/>
        </w:rPr>
        <w:t>防灾防损活动</w:t>
      </w:r>
      <w:r>
        <w:rPr>
          <w:rFonts w:hint="eastAsia" w:ascii="宋体" w:hAnsi="宋体"/>
          <w:sz w:val="24"/>
          <w:lang w:eastAsia="zh-CN"/>
        </w:rPr>
        <w:t>。</w:t>
      </w:r>
    </w:p>
    <w:p w14:paraId="0EC6E1B7">
      <w:pPr>
        <w:pStyle w:val="35"/>
        <w:ind w:firstLine="480"/>
        <w:rPr>
          <w:rFonts w:hint="eastAsia" w:ascii="宋体" w:hAnsi="宋体"/>
          <w:sz w:val="24"/>
        </w:rPr>
      </w:pPr>
      <w:r>
        <w:rPr>
          <w:rFonts w:hint="eastAsia"/>
          <w:sz w:val="24"/>
          <w:lang w:eastAsia="zh-CN"/>
        </w:rPr>
        <w:t>（</w:t>
      </w:r>
      <w:r>
        <w:rPr>
          <w:rFonts w:hint="eastAsia"/>
          <w:sz w:val="24"/>
          <w:lang w:val="en-US" w:eastAsia="zh-CN"/>
        </w:rPr>
        <w:t>三</w:t>
      </w:r>
      <w:r>
        <w:rPr>
          <w:rFonts w:hint="eastAsia"/>
          <w:sz w:val="24"/>
          <w:lang w:eastAsia="zh-CN"/>
        </w:rPr>
        <w:t>）</w:t>
      </w:r>
      <w:r>
        <w:rPr>
          <w:rFonts w:hint="eastAsia" w:ascii="宋体" w:hAnsi="宋体"/>
          <w:sz w:val="24"/>
        </w:rPr>
        <w:t>防灾防损服务</w:t>
      </w:r>
    </w:p>
    <w:p w14:paraId="7A9F9A47">
      <w:pPr>
        <w:pStyle w:val="35"/>
        <w:ind w:firstLine="480"/>
        <w:rPr>
          <w:rFonts w:hint="eastAsia" w:ascii="宋体" w:hAnsi="宋体"/>
          <w:sz w:val="24"/>
        </w:rPr>
      </w:pPr>
      <w:r>
        <w:rPr>
          <w:rFonts w:hint="eastAsia" w:ascii="宋体" w:hAnsi="宋体"/>
          <w:sz w:val="24"/>
        </w:rPr>
        <w:t>防灾防损主要服务内容如下：</w:t>
      </w:r>
    </w:p>
    <w:p w14:paraId="3AE3BE4B">
      <w:pPr>
        <w:pStyle w:val="35"/>
        <w:ind w:firstLine="480"/>
        <w:rPr>
          <w:rFonts w:hint="eastAsia" w:ascii="宋体" w:hAnsi="宋体"/>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sz w:val="24"/>
        </w:rPr>
        <w:t>风险评估服务</w:t>
      </w:r>
    </w:p>
    <w:p w14:paraId="2CADF3EA">
      <w:pPr>
        <w:pStyle w:val="35"/>
        <w:ind w:firstLine="480"/>
        <w:rPr>
          <w:rFonts w:hint="eastAsia" w:ascii="宋体" w:hAnsi="宋体"/>
          <w:sz w:val="24"/>
        </w:rPr>
      </w:pPr>
      <w:r>
        <w:rPr>
          <w:rFonts w:hint="eastAsia" w:ascii="宋体" w:hAnsi="宋体"/>
          <w:sz w:val="24"/>
        </w:rPr>
        <w:t>乙方组织对项目全面风险进行初步评估，主要是针对保险标的起飞前的准备、起飞现场风险源、飞行过程可能存在的风险等，提出相应的防灾防损建议及相关措施。</w:t>
      </w:r>
    </w:p>
    <w:p w14:paraId="0BD67373">
      <w:pPr>
        <w:pStyle w:val="35"/>
        <w:ind w:firstLine="480"/>
        <w:rPr>
          <w:rFonts w:hint="eastAsia" w:ascii="宋体" w:hAnsi="宋体"/>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sz w:val="24"/>
        </w:rPr>
        <w:t>风险巡查</w:t>
      </w:r>
    </w:p>
    <w:p w14:paraId="7433586D">
      <w:pPr>
        <w:pStyle w:val="35"/>
        <w:ind w:firstLine="480"/>
        <w:rPr>
          <w:rFonts w:hint="eastAsia" w:ascii="宋体" w:hAnsi="宋体"/>
          <w:sz w:val="24"/>
        </w:rPr>
      </w:pPr>
      <w:r>
        <w:rPr>
          <w:rFonts w:hint="eastAsia" w:ascii="宋体" w:hAnsi="宋体"/>
          <w:sz w:val="24"/>
        </w:rPr>
        <w:t>在重大的飞行节点或自然灾害来临前，结合甲方需求，乙方派专业人员协助甲方进行起飞现场安全巡查，提出防灾防损建议。</w:t>
      </w:r>
    </w:p>
    <w:p w14:paraId="4D07F6F9">
      <w:pPr>
        <w:pStyle w:val="35"/>
        <w:ind w:firstLine="480"/>
        <w:rPr>
          <w:rFonts w:hint="eastAsia" w:ascii="宋体" w:hAnsi="宋体"/>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sz w:val="24"/>
        </w:rPr>
        <w:t>提供防灾防损用品</w:t>
      </w:r>
    </w:p>
    <w:p w14:paraId="7CA67156">
      <w:pPr>
        <w:pStyle w:val="35"/>
        <w:ind w:firstLine="480"/>
        <w:rPr>
          <w:rFonts w:hint="eastAsia" w:ascii="宋体" w:hAnsi="宋体"/>
          <w:sz w:val="24"/>
        </w:rPr>
      </w:pPr>
      <w:r>
        <w:rPr>
          <w:rFonts w:hint="eastAsia" w:ascii="宋体" w:hAnsi="宋体"/>
          <w:sz w:val="24"/>
        </w:rPr>
        <w:t>结合甲方需求，购置防灾防损设备、器材用于加强防灾防损工作。</w:t>
      </w:r>
    </w:p>
    <w:p w14:paraId="4A88884B">
      <w:pPr>
        <w:pStyle w:val="35"/>
        <w:ind w:firstLine="480"/>
        <w:rPr>
          <w:rFonts w:hint="eastAsia" w:ascii="宋体" w:hAnsi="宋体"/>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sz w:val="24"/>
        </w:rPr>
        <w:t>甲方保险培训</w:t>
      </w:r>
    </w:p>
    <w:p w14:paraId="2CDA1653">
      <w:pPr>
        <w:pStyle w:val="35"/>
        <w:ind w:firstLine="480"/>
        <w:rPr>
          <w:rFonts w:hint="eastAsia" w:ascii="宋体" w:hAnsi="宋体"/>
          <w:sz w:val="24"/>
        </w:rPr>
      </w:pPr>
      <w:r>
        <w:rPr>
          <w:rFonts w:hint="eastAsia" w:ascii="宋体" w:hAnsi="宋体"/>
          <w:sz w:val="24"/>
        </w:rPr>
        <w:t>结合甲方需要，协助甲方开展保险培训。</w:t>
      </w:r>
    </w:p>
    <w:p w14:paraId="2D3443E0">
      <w:pPr>
        <w:pStyle w:val="35"/>
        <w:ind w:firstLine="480"/>
        <w:rPr>
          <w:rFonts w:hint="eastAsia" w:ascii="宋体" w:hAnsi="宋体"/>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ascii="宋体" w:hAnsi="宋体"/>
          <w:sz w:val="24"/>
        </w:rPr>
        <w:t>其他经甲方书面同意的服务。</w:t>
      </w:r>
    </w:p>
    <w:p w14:paraId="439892FF">
      <w:pPr>
        <w:pStyle w:val="35"/>
        <w:ind w:firstLine="480"/>
        <w:rPr>
          <w:rFonts w:hint="eastAsia" w:ascii="宋体" w:hAnsi="宋体"/>
          <w:b/>
          <w:bCs/>
          <w:sz w:val="24"/>
        </w:rPr>
      </w:pPr>
      <w:r>
        <w:rPr>
          <w:rFonts w:hint="eastAsia" w:ascii="宋体" w:hAnsi="宋体"/>
          <w:b/>
          <w:bCs/>
          <w:sz w:val="24"/>
        </w:rPr>
        <w:t>四、赔偿办法及理赔流程约定：</w:t>
      </w:r>
    </w:p>
    <w:p w14:paraId="77305D93">
      <w:pPr>
        <w:pStyle w:val="35"/>
        <w:ind w:firstLine="480"/>
        <w:rPr>
          <w:rFonts w:hint="eastAsia" w:ascii="宋体" w:hAnsi="宋体"/>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宋体" w:hAnsi="宋体"/>
          <w:sz w:val="24"/>
        </w:rPr>
        <w:t>出险通知</w:t>
      </w:r>
    </w:p>
    <w:p w14:paraId="3BB98454">
      <w:pPr>
        <w:pStyle w:val="35"/>
        <w:ind w:firstLine="480"/>
        <w:rPr>
          <w:rFonts w:hint="eastAsia" w:ascii="宋体" w:hAnsi="宋体"/>
          <w:sz w:val="24"/>
        </w:rPr>
      </w:pPr>
      <w:r>
        <w:rPr>
          <w:rFonts w:hint="eastAsia" w:ascii="宋体" w:hAnsi="宋体"/>
          <w:sz w:val="24"/>
        </w:rPr>
        <w:t>甲方在获悉发生损失后，应在事故发生后</w:t>
      </w:r>
      <w:r>
        <w:rPr>
          <w:rFonts w:hint="eastAsia" w:ascii="宋体" w:hAnsi="宋体"/>
          <w:sz w:val="24"/>
          <w:lang w:val="en-US" w:eastAsia="zh-CN"/>
        </w:rPr>
        <w:t>48</w:t>
      </w:r>
      <w:r>
        <w:rPr>
          <w:rFonts w:hint="eastAsia" w:ascii="宋体" w:hAnsi="宋体"/>
          <w:sz w:val="24"/>
        </w:rPr>
        <w:t>小时内以电话或书面形式通知乙方</w:t>
      </w:r>
      <w:r>
        <w:rPr>
          <w:rFonts w:hint="eastAsia" w:ascii="宋体" w:hAnsi="宋体"/>
          <w:sz w:val="24"/>
          <w:lang w:eastAsia="zh-CN"/>
        </w:rPr>
        <w:t>和</w:t>
      </w:r>
      <w:r>
        <w:rPr>
          <w:rFonts w:hint="eastAsia" w:ascii="宋体" w:hAnsi="宋体"/>
          <w:sz w:val="24"/>
        </w:rPr>
        <w:t>保险经纪人，同时尽可能采取合理措施防止损失扩大，乙方24小时系统报案电话：           。</w:t>
      </w:r>
    </w:p>
    <w:p w14:paraId="52142DC9">
      <w:pPr>
        <w:pStyle w:val="35"/>
        <w:ind w:firstLine="480"/>
        <w:rPr>
          <w:rFonts w:hint="eastAsia" w:ascii="宋体" w:hAnsi="宋体"/>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sz w:val="24"/>
        </w:rPr>
        <w:t>现场查勘时限</w:t>
      </w:r>
    </w:p>
    <w:p w14:paraId="4F752BFC">
      <w:pPr>
        <w:pStyle w:val="35"/>
        <w:ind w:firstLine="480"/>
        <w:rPr>
          <w:rFonts w:hint="eastAsia" w:ascii="宋体" w:hAnsi="宋体"/>
          <w:sz w:val="24"/>
        </w:rPr>
      </w:pPr>
      <w:r>
        <w:rPr>
          <w:rFonts w:hint="eastAsia" w:ascii="宋体" w:hAnsi="宋体"/>
          <w:sz w:val="24"/>
        </w:rPr>
        <w:t>2.1乙方在接到报案后，</w:t>
      </w:r>
      <w:r>
        <w:rPr>
          <w:rFonts w:hint="eastAsia" w:ascii="宋体" w:hAnsi="宋体"/>
          <w:sz w:val="24"/>
          <w:lang w:eastAsia="zh-CN"/>
        </w:rPr>
        <w:t>须</w:t>
      </w:r>
      <w:r>
        <w:rPr>
          <w:rFonts w:hint="eastAsia" w:ascii="宋体" w:hAnsi="宋体"/>
          <w:sz w:val="24"/>
        </w:rPr>
        <w:t>在4小时内以书面（邮件）、网络或其他双方认可的方式及时向甲方出险单位提出处理意见，如不进行现场查勘，乙方同意以甲方出险单位提供的索赔材料作为理赔依据。</w:t>
      </w:r>
    </w:p>
    <w:p w14:paraId="252BF566">
      <w:pPr>
        <w:pStyle w:val="35"/>
        <w:ind w:firstLine="480"/>
        <w:rPr>
          <w:rFonts w:hint="eastAsia" w:ascii="宋体" w:hAnsi="宋体"/>
          <w:sz w:val="24"/>
        </w:rPr>
      </w:pPr>
      <w:r>
        <w:rPr>
          <w:rFonts w:hint="eastAsia" w:ascii="宋体" w:hAnsi="宋体"/>
          <w:sz w:val="24"/>
        </w:rPr>
        <w:t>2.2如进行现场查勘，乙方应明确告知甲方出险单位查勘人员到达事故现场的时间，并安排查勘人员在承诺时间内到达（不晚于报案后</w:t>
      </w:r>
      <w:r>
        <w:rPr>
          <w:rFonts w:hint="eastAsia" w:ascii="宋体" w:hAnsi="宋体"/>
          <w:sz w:val="24"/>
          <w:lang w:val="en-US" w:eastAsia="zh-CN"/>
        </w:rPr>
        <w:t>48</w:t>
      </w:r>
      <w:r>
        <w:rPr>
          <w:rFonts w:hint="eastAsia" w:ascii="宋体" w:hAnsi="宋体"/>
          <w:sz w:val="24"/>
        </w:rPr>
        <w:t>小时），否则，甲方出险单位有权自行处理事故现场，只保留事故现场的有关照片及有关实物证据。</w:t>
      </w:r>
    </w:p>
    <w:p w14:paraId="4B4CE632">
      <w:pPr>
        <w:pStyle w:val="35"/>
        <w:ind w:firstLine="480"/>
        <w:rPr>
          <w:rFonts w:hint="eastAsia" w:ascii="宋体" w:hAnsi="宋体"/>
          <w:sz w:val="24"/>
        </w:rPr>
      </w:pPr>
      <w:r>
        <w:rPr>
          <w:rFonts w:hint="eastAsia" w:ascii="宋体" w:hAnsi="宋体"/>
          <w:sz w:val="24"/>
        </w:rPr>
        <w:t>2.3乙方同意在进行现场查勘前，因情况紧急必须尽快恢复运营的，甲方出险单位可以先行进行施救、修复或救治。</w:t>
      </w:r>
    </w:p>
    <w:p w14:paraId="62295EE2">
      <w:pPr>
        <w:pStyle w:val="35"/>
        <w:ind w:firstLine="480"/>
        <w:rPr>
          <w:rFonts w:hint="eastAsia" w:ascii="宋体" w:hAnsi="宋体"/>
          <w:sz w:val="24"/>
        </w:rPr>
      </w:pPr>
      <w:r>
        <w:rPr>
          <w:rFonts w:hint="eastAsia" w:ascii="宋体" w:hAnsi="宋体"/>
          <w:sz w:val="24"/>
        </w:rPr>
        <w:t>2.4乙方（或其委托代查勘机构）查勘人员到达现场后，应立即开展查勘工作，并配合甲方作好必要的施救工作，作好受损财产的保护和整理工作。</w:t>
      </w:r>
    </w:p>
    <w:p w14:paraId="6DB097AD">
      <w:pPr>
        <w:pStyle w:val="35"/>
        <w:ind w:firstLine="480"/>
        <w:rPr>
          <w:rFonts w:hint="eastAsia" w:ascii="宋体" w:hAnsi="宋体"/>
          <w:sz w:val="24"/>
        </w:rPr>
      </w:pPr>
      <w:r>
        <w:rPr>
          <w:rFonts w:hint="eastAsia" w:ascii="宋体" w:hAnsi="宋体"/>
          <w:sz w:val="24"/>
        </w:rPr>
        <w:t>2.5查勘人员现场查勘后，应出具现场查勘记录，对责任和损失进行初步判定、对事故现场给出明确的后续处理方案、提供索赔所需证明材料列表，对于确属无法提供的资料，协商解决方案。现场查勘记录应经保险双方代表签字确认。</w:t>
      </w:r>
    </w:p>
    <w:p w14:paraId="526D13C7">
      <w:pPr>
        <w:pStyle w:val="35"/>
        <w:ind w:firstLine="480"/>
        <w:rPr>
          <w:rFonts w:hint="eastAsia" w:ascii="宋体" w:hAnsi="宋体"/>
          <w:sz w:val="24"/>
        </w:rPr>
      </w:pPr>
      <w:r>
        <w:rPr>
          <w:rFonts w:hint="eastAsia" w:ascii="宋体" w:hAnsi="宋体"/>
          <w:sz w:val="24"/>
        </w:rPr>
        <w:t>2.6需要多次复勘确定损失程度或修复费用的，如保险公司或委托公估人未能及时复勘的，应以甲方提供损失资料为准。</w:t>
      </w:r>
    </w:p>
    <w:p w14:paraId="1ADC21DA">
      <w:pPr>
        <w:pStyle w:val="35"/>
        <w:ind w:firstLine="480"/>
        <w:rPr>
          <w:rFonts w:hint="eastAsia" w:ascii="宋体" w:hAnsi="宋体"/>
          <w:sz w:val="24"/>
        </w:rPr>
      </w:pPr>
      <w:r>
        <w:rPr>
          <w:rFonts w:hint="eastAsia" w:ascii="宋体" w:hAnsi="宋体"/>
          <w:sz w:val="24"/>
        </w:rPr>
        <w:t>2.7发生第三者人身伤害事故后，乙方坚持救治第一的原则，对于需要进行急救、包扎、输血、转移、疏散等抢救行为的事故，因时间紧急，甲方可以不等待现场查勘而先行处理，现场要进行拍照、摄像和记录，作为乙方进行事故认定的依据。</w:t>
      </w:r>
    </w:p>
    <w:p w14:paraId="7945063D">
      <w:pPr>
        <w:pStyle w:val="35"/>
        <w:ind w:firstLine="480"/>
        <w:rPr>
          <w:rFonts w:hint="eastAsia" w:ascii="宋体" w:hAnsi="宋体"/>
          <w:sz w:val="24"/>
        </w:rPr>
      </w:pPr>
      <w:r>
        <w:rPr>
          <w:rFonts w:hint="eastAsia" w:ascii="宋体" w:hAnsi="宋体"/>
          <w:sz w:val="24"/>
        </w:rPr>
        <w:t>2.8聘请公估公司及其费用</w:t>
      </w:r>
    </w:p>
    <w:p w14:paraId="076D6A60">
      <w:pPr>
        <w:pStyle w:val="35"/>
        <w:ind w:firstLine="480"/>
        <w:rPr>
          <w:rFonts w:hint="eastAsia" w:ascii="宋体" w:hAnsi="宋体"/>
          <w:sz w:val="24"/>
        </w:rPr>
      </w:pPr>
      <w:r>
        <w:rPr>
          <w:rFonts w:hint="eastAsia" w:ascii="宋体" w:hAnsi="宋体"/>
          <w:sz w:val="24"/>
        </w:rPr>
        <w:t>如需要委托公估公司的，由业主根据保险方案中“指定公估人条款”之约定选派，由甲方负责通知选定的公估公司，公估公司需在24小时内赶到现场进行查勘。</w:t>
      </w:r>
    </w:p>
    <w:p w14:paraId="033098F8">
      <w:pPr>
        <w:pStyle w:val="35"/>
        <w:ind w:firstLine="480"/>
        <w:rPr>
          <w:rFonts w:hint="eastAsia" w:ascii="宋体" w:hAnsi="宋体"/>
          <w:sz w:val="24"/>
        </w:rPr>
      </w:pPr>
      <w:r>
        <w:rPr>
          <w:rFonts w:hint="eastAsia" w:ascii="宋体" w:hAnsi="宋体"/>
          <w:sz w:val="24"/>
        </w:rPr>
        <w:t>由甲方、保险经纪人、出险事故单位和乙方根据公估公司每次赔案处理情况，从赔案处理态度、处理技能、赔偿额度和处理速度四个方面进行综合评价，评价得分决定公估公司能否连续/继续/停止服务本项目。</w:t>
      </w:r>
    </w:p>
    <w:p w14:paraId="6CF2EBF4">
      <w:pPr>
        <w:pStyle w:val="35"/>
        <w:ind w:firstLine="480"/>
        <w:rPr>
          <w:rFonts w:hint="eastAsia" w:ascii="宋体" w:hAnsi="宋体"/>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ascii="宋体" w:hAnsi="宋体"/>
          <w:sz w:val="24"/>
        </w:rPr>
        <w:t>取证鉴定和定损</w:t>
      </w:r>
    </w:p>
    <w:p w14:paraId="15DEAF9D">
      <w:pPr>
        <w:pStyle w:val="35"/>
        <w:ind w:firstLine="480"/>
        <w:rPr>
          <w:rFonts w:hint="eastAsia" w:ascii="宋体" w:hAnsi="宋体"/>
          <w:sz w:val="24"/>
        </w:rPr>
      </w:pPr>
      <w:r>
        <w:rPr>
          <w:rFonts w:hint="eastAsia" w:ascii="宋体" w:hAnsi="宋体"/>
          <w:sz w:val="24"/>
        </w:rPr>
        <w:t>3.1甲方应根据</w:t>
      </w:r>
      <w:r>
        <w:rPr>
          <w:rFonts w:hint="eastAsia" w:ascii="宋体" w:hAnsi="宋体"/>
          <w:sz w:val="24"/>
          <w:lang w:eastAsia="zh-CN"/>
        </w:rPr>
        <w:t>合同内容</w:t>
      </w:r>
      <w:r>
        <w:rPr>
          <w:rFonts w:hint="eastAsia" w:ascii="宋体" w:hAnsi="宋体"/>
          <w:sz w:val="24"/>
        </w:rPr>
        <w:t>准备各项索赔单证。</w:t>
      </w:r>
    </w:p>
    <w:p w14:paraId="5E0AB176">
      <w:pPr>
        <w:pStyle w:val="35"/>
        <w:ind w:firstLine="480"/>
        <w:rPr>
          <w:rFonts w:hint="eastAsia" w:ascii="宋体" w:hAnsi="宋体"/>
          <w:sz w:val="24"/>
        </w:rPr>
      </w:pPr>
      <w:r>
        <w:rPr>
          <w:rFonts w:hint="eastAsia" w:ascii="宋体" w:hAnsi="宋体"/>
          <w:sz w:val="24"/>
        </w:rPr>
        <w:t>3.2对于保险事故是否属于保险责任范围较难确定或各方对保险责任有严重分歧时，甲方和乙方双方可共同聘请一家评估机构进行鉴定。鉴定费用由乙方承担，鉴定结果对各方均具有约束力；对于损失计算各方存有严重分歧时，可以聘请一家甲方和乙方都认可的审计机构进行鉴定。鉴定费用由乙方承担，鉴定结果对各方具有约束力。</w:t>
      </w:r>
    </w:p>
    <w:p w14:paraId="3840A1C7">
      <w:pPr>
        <w:pStyle w:val="35"/>
        <w:ind w:firstLine="480"/>
        <w:rPr>
          <w:rFonts w:hint="eastAsia" w:ascii="宋体" w:hAnsi="宋体"/>
          <w:sz w:val="24"/>
        </w:rPr>
      </w:pPr>
      <w:r>
        <w:rPr>
          <w:rFonts w:hint="eastAsia" w:ascii="宋体" w:hAnsi="宋体"/>
          <w:sz w:val="24"/>
        </w:rPr>
        <w:t>3.3保险标的发生全损，</w:t>
      </w:r>
      <w:r>
        <w:rPr>
          <w:rFonts w:hint="eastAsia" w:ascii="宋体" w:hAnsi="宋体"/>
          <w:sz w:val="24"/>
          <w:lang w:eastAsia="zh-CN"/>
        </w:rPr>
        <w:t>按保单约定保额</w:t>
      </w:r>
      <w:r>
        <w:rPr>
          <w:rFonts w:hint="eastAsia" w:ascii="宋体" w:hAnsi="宋体"/>
          <w:sz w:val="24"/>
          <w:lang w:val="en-US" w:eastAsia="zh-CN"/>
        </w:rPr>
        <w:t>处理</w:t>
      </w:r>
      <w:r>
        <w:rPr>
          <w:rFonts w:hint="eastAsia" w:ascii="宋体" w:hAnsi="宋体"/>
          <w:sz w:val="24"/>
        </w:rPr>
        <w:t>；保险设备发生部分损失需要修复，该设备原则上应送原供应厂家修理，修复后应恢复到该设备的原有性能状态（进口设备如果外商同意在国内修复，则可以在国内找厂家修理），受损金额按修理厂家最终报价确定。</w:t>
      </w:r>
    </w:p>
    <w:p w14:paraId="41A667BC">
      <w:pPr>
        <w:pStyle w:val="35"/>
        <w:ind w:firstLine="480"/>
        <w:rPr>
          <w:rFonts w:hint="eastAsia" w:ascii="宋体" w:hAnsi="宋体"/>
          <w:sz w:val="24"/>
        </w:rPr>
      </w:pPr>
      <w:r>
        <w:rPr>
          <w:rFonts w:hint="eastAsia" w:ascii="宋体" w:hAnsi="宋体"/>
          <w:sz w:val="24"/>
        </w:rPr>
        <w:t>3.4保险设备发生部分损失,需要修理或进行更换,应根据被保险设备原有的标准进行修理、更换和赔付。</w:t>
      </w:r>
    </w:p>
    <w:p w14:paraId="03F105D7">
      <w:pPr>
        <w:pStyle w:val="35"/>
        <w:ind w:firstLine="480"/>
        <w:rPr>
          <w:rFonts w:hint="eastAsia" w:ascii="宋体" w:hAnsi="宋体"/>
          <w:sz w:val="24"/>
        </w:rPr>
      </w:pPr>
      <w:r>
        <w:rPr>
          <w:rFonts w:hint="eastAsia" w:ascii="宋体" w:hAnsi="宋体"/>
          <w:sz w:val="24"/>
        </w:rPr>
        <w:t>3.5保险事故发生后，如有涉及第三者责任的，甲方有义务尽其最大努力配合乙方行使对第三者代位请求赔偿的权利。</w:t>
      </w:r>
    </w:p>
    <w:p w14:paraId="79CC3775">
      <w:pPr>
        <w:pStyle w:val="35"/>
        <w:ind w:firstLine="480"/>
        <w:rPr>
          <w:rFonts w:hint="eastAsia" w:ascii="宋体" w:hAnsi="宋体"/>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ascii="宋体" w:hAnsi="宋体"/>
          <w:sz w:val="24"/>
        </w:rPr>
        <w:t>索赔程序</w:t>
      </w:r>
    </w:p>
    <w:p w14:paraId="604B40E2">
      <w:pPr>
        <w:pStyle w:val="35"/>
        <w:ind w:firstLine="480"/>
        <w:rPr>
          <w:rFonts w:hint="eastAsia" w:ascii="宋体" w:hAnsi="宋体"/>
          <w:sz w:val="24"/>
        </w:rPr>
      </w:pPr>
      <w:r>
        <w:rPr>
          <w:rFonts w:hint="eastAsia" w:ascii="宋体" w:hAnsi="宋体"/>
          <w:sz w:val="24"/>
        </w:rPr>
        <w:t>4.1 乙方有义务就有关损失索赔处理提出建议和要求，并与乙方或损失理算人协调，以维护甲方的最大合法权益。</w:t>
      </w:r>
    </w:p>
    <w:p w14:paraId="5139619A">
      <w:pPr>
        <w:pStyle w:val="35"/>
        <w:ind w:firstLine="480"/>
        <w:rPr>
          <w:rFonts w:hint="eastAsia" w:ascii="宋体" w:hAnsi="宋体"/>
          <w:sz w:val="24"/>
        </w:rPr>
      </w:pPr>
      <w:r>
        <w:rPr>
          <w:rFonts w:hint="eastAsia" w:ascii="宋体" w:hAnsi="宋体"/>
          <w:sz w:val="24"/>
        </w:rPr>
        <w:t>4.2 乙方应指导甲方准备索赔文件，甲方</w:t>
      </w:r>
      <w:r>
        <w:rPr>
          <w:rFonts w:hint="eastAsia" w:ascii="宋体" w:hAnsi="宋体"/>
          <w:sz w:val="24"/>
          <w:lang w:eastAsia="zh-CN"/>
        </w:rPr>
        <w:t>准备好</w:t>
      </w:r>
      <w:r>
        <w:rPr>
          <w:rFonts w:hint="eastAsia" w:ascii="宋体" w:hAnsi="宋体"/>
          <w:sz w:val="24"/>
        </w:rPr>
        <w:t>索赔资料后，交乙方索赔。</w:t>
      </w:r>
    </w:p>
    <w:p w14:paraId="6267DC2D">
      <w:pPr>
        <w:pStyle w:val="35"/>
        <w:ind w:firstLine="480"/>
        <w:rPr>
          <w:rFonts w:hint="eastAsia" w:ascii="宋体" w:hAnsi="宋体"/>
          <w:sz w:val="24"/>
        </w:rPr>
      </w:pPr>
      <w:r>
        <w:rPr>
          <w:rFonts w:hint="eastAsia" w:ascii="宋体" w:hAnsi="宋体"/>
          <w:sz w:val="24"/>
        </w:rPr>
        <w:t>4.3 乙方负责安排理赔进程，在承诺</w:t>
      </w:r>
      <w:r>
        <w:rPr>
          <w:rFonts w:hint="eastAsia" w:ascii="宋体" w:hAnsi="宋体"/>
          <w:sz w:val="24"/>
          <w:lang w:eastAsia="zh-CN"/>
        </w:rPr>
        <w:t>的理赔时效</w:t>
      </w:r>
      <w:r>
        <w:rPr>
          <w:rFonts w:hint="eastAsia" w:ascii="宋体" w:hAnsi="宋体"/>
          <w:sz w:val="24"/>
        </w:rPr>
        <w:t>内支付。</w:t>
      </w:r>
    </w:p>
    <w:p w14:paraId="77EB08D3">
      <w:pPr>
        <w:pStyle w:val="35"/>
        <w:ind w:firstLine="480"/>
        <w:rPr>
          <w:rFonts w:hint="eastAsia" w:ascii="宋体" w:hAnsi="宋体"/>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ascii="宋体" w:hAnsi="宋体"/>
          <w:sz w:val="24"/>
        </w:rPr>
        <w:t>理赔</w:t>
      </w:r>
      <w:r>
        <w:rPr>
          <w:rFonts w:hint="eastAsia" w:ascii="宋体" w:hAnsi="宋体"/>
          <w:sz w:val="24"/>
          <w:lang w:val="en-US" w:eastAsia="zh-CN"/>
        </w:rPr>
        <w:t>时效</w:t>
      </w:r>
    </w:p>
    <w:p w14:paraId="43A1F11D">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.1乙方在接到甲方的索赔单证后，应出具索赔单证签收单，并且必须在三个工作日内根据案情和已提供相关单证一次性提出索赔单证是否齐全。如果在三个工作日内乙方未提出异议，视同默认</w:t>
      </w:r>
      <w:r>
        <w:rPr>
          <w:rFonts w:hint="eastAsia" w:ascii="宋体" w:hAnsi="宋体"/>
          <w:sz w:val="24"/>
          <w:lang w:val="en-US" w:eastAsia="zh-CN"/>
        </w:rPr>
        <w:t>资料齐全，</w:t>
      </w:r>
      <w:r>
        <w:rPr>
          <w:rFonts w:hint="eastAsia" w:ascii="宋体" w:hAnsi="宋体"/>
          <w:sz w:val="24"/>
        </w:rPr>
        <w:t>在以后的理赔处理中，乙方不得以索赔单证不齐全为由提出拒赔或要求延长理赔期限。</w:t>
      </w:r>
    </w:p>
    <w:p w14:paraId="6219BC35">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.2乙方不得以甲方资料不全而拒绝或延迟进行索赔处理，如甲方确实因</w:t>
      </w:r>
      <w:r>
        <w:rPr>
          <w:rFonts w:hint="eastAsia" w:ascii="宋体" w:hAnsi="宋体"/>
          <w:sz w:val="24"/>
          <w:lang w:val="en-US" w:eastAsia="zh-CN"/>
        </w:rPr>
        <w:t>重大</w:t>
      </w:r>
      <w:r>
        <w:rPr>
          <w:rFonts w:hint="eastAsia" w:ascii="宋体" w:hAnsi="宋体"/>
          <w:sz w:val="24"/>
        </w:rPr>
        <w:t>疏忽或客观条件不允许而缺少某些索赔资料的，乙方同样不得拒绝或延迟进行索赔处理。</w:t>
      </w:r>
    </w:p>
    <w:p w14:paraId="4A2532A6">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.3乙方在收到甲方提供齐全的索赔单证后，对属于保险责任范围内的赔款，乙方必须按以下时限要求将赔付意见向甲方反馈。</w:t>
      </w:r>
    </w:p>
    <w:p w14:paraId="10DBA06F">
      <w:pPr>
        <w:pStyle w:val="35"/>
        <w:ind w:firstLine="480"/>
        <w:rPr>
          <w:rFonts w:hint="eastAsia" w:ascii="宋体" w:hAnsi="宋体"/>
          <w:sz w:val="24"/>
        </w:rPr>
      </w:pPr>
      <w:r>
        <w:rPr>
          <w:rFonts w:hint="eastAsia" w:ascii="宋体" w:hAnsi="宋体"/>
          <w:sz w:val="24"/>
        </w:rPr>
        <w:t>估损金额在RMB50万元以下（含）的案件，3个工作日做出核定；</w:t>
      </w:r>
    </w:p>
    <w:p w14:paraId="0EE3ED6F">
      <w:pPr>
        <w:pStyle w:val="35"/>
        <w:ind w:firstLine="480"/>
        <w:rPr>
          <w:rFonts w:hint="eastAsia" w:ascii="宋体" w:hAnsi="宋体"/>
          <w:sz w:val="24"/>
        </w:rPr>
      </w:pPr>
      <w:r>
        <w:rPr>
          <w:rFonts w:hint="eastAsia" w:ascii="宋体" w:hAnsi="宋体"/>
          <w:sz w:val="24"/>
        </w:rPr>
        <w:t>估损金额在RMB50万元-100万元内的案件，5个工作日做出核定；</w:t>
      </w:r>
    </w:p>
    <w:p w14:paraId="03482051">
      <w:pPr>
        <w:pStyle w:val="35"/>
        <w:ind w:firstLine="480"/>
        <w:rPr>
          <w:rFonts w:hint="eastAsia" w:ascii="宋体" w:hAnsi="宋体"/>
          <w:sz w:val="24"/>
        </w:rPr>
      </w:pPr>
      <w:r>
        <w:rPr>
          <w:rFonts w:hint="eastAsia" w:ascii="宋体" w:hAnsi="宋体"/>
          <w:sz w:val="24"/>
        </w:rPr>
        <w:t>估损金额在RMB100万元以上的案件，10个工作日做出核定；</w:t>
      </w:r>
    </w:p>
    <w:p w14:paraId="5E64DB72">
      <w:pPr>
        <w:pStyle w:val="35"/>
        <w:ind w:firstLine="480"/>
        <w:rPr>
          <w:rFonts w:hint="eastAsia" w:ascii="宋体" w:hAnsi="宋体"/>
          <w:sz w:val="24"/>
        </w:rPr>
      </w:pPr>
      <w:r>
        <w:rPr>
          <w:rFonts w:hint="eastAsia" w:ascii="宋体" w:hAnsi="宋体"/>
          <w:sz w:val="24"/>
        </w:rPr>
        <w:t>情形复杂的，应当在30天内做出核定，并将核定结果通知甲方；</w:t>
      </w:r>
    </w:p>
    <w:p w14:paraId="4E07B8AD">
      <w:pPr>
        <w:pStyle w:val="35"/>
        <w:ind w:firstLine="480"/>
        <w:rPr>
          <w:rFonts w:hint="eastAsia" w:ascii="宋体" w:hAnsi="宋体"/>
          <w:sz w:val="24"/>
        </w:rPr>
      </w:pPr>
      <w:r>
        <w:rPr>
          <w:rFonts w:hint="eastAsia" w:ascii="宋体" w:hAnsi="宋体"/>
          <w:sz w:val="24"/>
        </w:rPr>
        <w:t>对不属于保险责任的，应当自做出核定之日起3天内发出拒赔通知书并说明理由。未在上述时间内做出核定或予以回复的，视为</w:t>
      </w:r>
      <w:r>
        <w:rPr>
          <w:rFonts w:hint="eastAsia" w:ascii="宋体" w:hAnsi="宋体"/>
          <w:sz w:val="24"/>
          <w:lang w:val="en-US" w:eastAsia="zh-CN"/>
        </w:rPr>
        <w:t>属于保险责任范围，应当予以赔偿。</w:t>
      </w:r>
    </w:p>
    <w:p w14:paraId="05360353">
      <w:pPr>
        <w:pStyle w:val="35"/>
        <w:ind w:firstLine="480"/>
        <w:rPr>
          <w:rFonts w:hint="eastAsia" w:ascii="宋体" w:hAnsi="宋体"/>
          <w:sz w:val="24"/>
        </w:rPr>
      </w:pPr>
      <w:r>
        <w:rPr>
          <w:rFonts w:hint="eastAsia" w:ascii="宋体" w:hAnsi="宋体"/>
          <w:sz w:val="24"/>
        </w:rPr>
        <w:t>在甲方或其他甲方和乙方达成赔偿协议后，赔款（扣除免赔额之后）应按照以下时限分别支付给甲方或其指定受益人。</w:t>
      </w:r>
    </w:p>
    <w:tbl>
      <w:tblPr>
        <w:tblStyle w:val="24"/>
        <w:tblW w:w="0" w:type="auto"/>
        <w:jc w:val="center"/>
        <w:tblLayout w:type="fixed"/>
        <w:tblCellMar>
          <w:top w:w="0" w:type="dxa"/>
          <w:left w:w="0" w:type="dxa"/>
          <w:bottom w:w="0" w:type="dxa"/>
          <w:right w:w="0" w:type="dxa"/>
        </w:tblCellMar>
      </w:tblPr>
      <w:tblGrid>
        <w:gridCol w:w="4261"/>
        <w:gridCol w:w="4261"/>
      </w:tblGrid>
      <w:tr w14:paraId="0B9E52A9">
        <w:tblPrEx>
          <w:tblCellMar>
            <w:top w:w="0" w:type="dxa"/>
            <w:left w:w="0" w:type="dxa"/>
            <w:bottom w:w="0" w:type="dxa"/>
            <w:right w:w="0" w:type="dxa"/>
          </w:tblCellMar>
        </w:tblPrEx>
        <w:trPr>
          <w:jc w:val="center"/>
        </w:trPr>
        <w:tc>
          <w:tcPr>
            <w:tcW w:w="4261" w:type="dxa"/>
            <w:tcBorders>
              <w:top w:val="single" w:color="auto" w:sz="8" w:space="0"/>
              <w:left w:val="single" w:color="auto" w:sz="8" w:space="0"/>
              <w:bottom w:val="single" w:color="auto" w:sz="8" w:space="0"/>
              <w:right w:val="single" w:color="auto" w:sz="8" w:space="0"/>
            </w:tcBorders>
            <w:shd w:val="clear" w:color="auto" w:fill="E6E6E6"/>
            <w:noWrap w:val="0"/>
            <w:tcMar>
              <w:top w:w="0" w:type="dxa"/>
              <w:left w:w="108" w:type="dxa"/>
              <w:bottom w:w="0" w:type="dxa"/>
              <w:right w:w="108" w:type="dxa"/>
            </w:tcMar>
            <w:vAlign w:val="top"/>
          </w:tcPr>
          <w:p w14:paraId="17A53B99">
            <w:pPr>
              <w:pStyle w:val="35"/>
              <w:ind w:left="0" w:leftChars="0" w:firstLine="0" w:firstLineChars="0"/>
              <w:jc w:val="center"/>
              <w:rPr>
                <w:rFonts w:hint="eastAsia" w:ascii="宋体" w:hAnsi="宋体"/>
                <w:sz w:val="24"/>
              </w:rPr>
            </w:pPr>
            <w:r>
              <w:rPr>
                <w:rFonts w:hint="eastAsia" w:ascii="宋体" w:hAnsi="宋体"/>
                <w:sz w:val="24"/>
              </w:rPr>
              <w:t>赔款金额</w:t>
            </w:r>
          </w:p>
        </w:tc>
        <w:tc>
          <w:tcPr>
            <w:tcW w:w="4261" w:type="dxa"/>
            <w:tcBorders>
              <w:top w:val="single" w:color="auto" w:sz="8" w:space="0"/>
              <w:left w:val="nil"/>
              <w:bottom w:val="single" w:color="auto" w:sz="8" w:space="0"/>
              <w:right w:val="single" w:color="auto" w:sz="8" w:space="0"/>
            </w:tcBorders>
            <w:shd w:val="clear" w:color="auto" w:fill="E6E6E6"/>
            <w:noWrap w:val="0"/>
            <w:tcMar>
              <w:top w:w="0" w:type="dxa"/>
              <w:left w:w="108" w:type="dxa"/>
              <w:bottom w:w="0" w:type="dxa"/>
              <w:right w:w="108" w:type="dxa"/>
            </w:tcMar>
            <w:vAlign w:val="top"/>
          </w:tcPr>
          <w:p w14:paraId="1551FCD1">
            <w:pPr>
              <w:pStyle w:val="35"/>
              <w:ind w:left="0" w:leftChars="0" w:firstLine="0" w:firstLineChars="0"/>
              <w:jc w:val="center"/>
              <w:rPr>
                <w:rFonts w:hint="eastAsia" w:ascii="宋体" w:hAnsi="宋体"/>
                <w:sz w:val="24"/>
              </w:rPr>
            </w:pPr>
            <w:r>
              <w:rPr>
                <w:rFonts w:hint="eastAsia" w:ascii="宋体" w:hAnsi="宋体"/>
                <w:sz w:val="24"/>
              </w:rPr>
              <w:t>支付时限</w:t>
            </w:r>
          </w:p>
        </w:tc>
      </w:tr>
      <w:tr w14:paraId="587F2DBB">
        <w:tblPrEx>
          <w:tblCellMar>
            <w:top w:w="0" w:type="dxa"/>
            <w:left w:w="0" w:type="dxa"/>
            <w:bottom w:w="0" w:type="dxa"/>
            <w:right w:w="0" w:type="dxa"/>
          </w:tblCellMar>
        </w:tblPrEx>
        <w:trPr>
          <w:jc w:val="center"/>
        </w:trPr>
        <w:tc>
          <w:tcPr>
            <w:tcW w:w="42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5B18FD7">
            <w:pPr>
              <w:pStyle w:val="35"/>
              <w:ind w:left="0" w:leftChars="0" w:firstLine="0" w:firstLineChars="0"/>
              <w:rPr>
                <w:rFonts w:hint="eastAsia" w:ascii="宋体" w:hAnsi="宋体"/>
                <w:sz w:val="24"/>
              </w:rPr>
            </w:pPr>
            <w:r>
              <w:rPr>
                <w:rFonts w:hint="eastAsia" w:ascii="宋体" w:hAnsi="宋体"/>
                <w:sz w:val="24"/>
              </w:rPr>
              <w:t>RMB50万元以内赔案</w:t>
            </w:r>
          </w:p>
        </w:tc>
        <w:tc>
          <w:tcPr>
            <w:tcW w:w="42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61C227D1">
            <w:pPr>
              <w:pStyle w:val="35"/>
              <w:ind w:firstLine="480"/>
              <w:rPr>
                <w:rFonts w:hint="eastAsia" w:ascii="宋体" w:hAnsi="宋体"/>
                <w:sz w:val="24"/>
              </w:rPr>
            </w:pPr>
            <w:r>
              <w:rPr>
                <w:rFonts w:hint="eastAsia" w:ascii="宋体" w:hAnsi="宋体"/>
                <w:sz w:val="24"/>
              </w:rPr>
              <w:t>2个工作日内支付</w:t>
            </w:r>
          </w:p>
        </w:tc>
      </w:tr>
      <w:tr w14:paraId="79881180">
        <w:tblPrEx>
          <w:tblCellMar>
            <w:top w:w="0" w:type="dxa"/>
            <w:left w:w="0" w:type="dxa"/>
            <w:bottom w:w="0" w:type="dxa"/>
            <w:right w:w="0" w:type="dxa"/>
          </w:tblCellMar>
        </w:tblPrEx>
        <w:trPr>
          <w:jc w:val="center"/>
        </w:trPr>
        <w:tc>
          <w:tcPr>
            <w:tcW w:w="42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7FC2D08">
            <w:pPr>
              <w:pStyle w:val="35"/>
              <w:ind w:left="0" w:leftChars="0" w:firstLine="0" w:firstLineChars="0"/>
              <w:rPr>
                <w:rFonts w:hint="eastAsia" w:ascii="宋体" w:hAnsi="宋体"/>
                <w:sz w:val="24"/>
              </w:rPr>
            </w:pPr>
            <w:r>
              <w:rPr>
                <w:rFonts w:hint="eastAsia" w:ascii="宋体" w:hAnsi="宋体"/>
                <w:sz w:val="24"/>
              </w:rPr>
              <w:t>RMB50万元至RMB100万元以内赔案</w:t>
            </w:r>
          </w:p>
        </w:tc>
        <w:tc>
          <w:tcPr>
            <w:tcW w:w="426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046E2A">
            <w:pPr>
              <w:pStyle w:val="35"/>
              <w:ind w:firstLine="480"/>
              <w:rPr>
                <w:rFonts w:hint="eastAsia" w:ascii="宋体" w:hAnsi="宋体"/>
                <w:sz w:val="24"/>
              </w:rPr>
            </w:pPr>
            <w:r>
              <w:rPr>
                <w:rFonts w:hint="eastAsia" w:ascii="宋体" w:hAnsi="宋体"/>
                <w:sz w:val="24"/>
              </w:rPr>
              <w:t>5个工作日内支付</w:t>
            </w:r>
          </w:p>
        </w:tc>
      </w:tr>
      <w:tr w14:paraId="70358C90">
        <w:tblPrEx>
          <w:tblCellMar>
            <w:top w:w="0" w:type="dxa"/>
            <w:left w:w="0" w:type="dxa"/>
            <w:bottom w:w="0" w:type="dxa"/>
            <w:right w:w="0" w:type="dxa"/>
          </w:tblCellMar>
        </w:tblPrEx>
        <w:trPr>
          <w:jc w:val="center"/>
        </w:trPr>
        <w:tc>
          <w:tcPr>
            <w:tcW w:w="426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845C1BC">
            <w:pPr>
              <w:pStyle w:val="35"/>
              <w:ind w:left="0" w:leftChars="0" w:firstLine="0" w:firstLineChars="0"/>
              <w:rPr>
                <w:rFonts w:hint="eastAsia" w:ascii="宋体" w:hAnsi="宋体"/>
                <w:sz w:val="24"/>
              </w:rPr>
            </w:pPr>
            <w:r>
              <w:rPr>
                <w:rFonts w:hint="eastAsia" w:ascii="宋体" w:hAnsi="宋体"/>
                <w:sz w:val="24"/>
              </w:rPr>
              <w:t>大于RMB100万元赔案</w:t>
            </w:r>
          </w:p>
        </w:tc>
        <w:tc>
          <w:tcPr>
            <w:tcW w:w="4261"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11BFA8E">
            <w:pPr>
              <w:pStyle w:val="35"/>
              <w:ind w:firstLine="480"/>
              <w:rPr>
                <w:rFonts w:hint="eastAsia" w:ascii="宋体" w:hAnsi="宋体"/>
                <w:sz w:val="24"/>
              </w:rPr>
            </w:pPr>
            <w:r>
              <w:rPr>
                <w:rFonts w:hint="eastAsia" w:ascii="宋体" w:hAnsi="宋体"/>
                <w:sz w:val="24"/>
              </w:rPr>
              <w:t>10个工作日内支付</w:t>
            </w:r>
          </w:p>
        </w:tc>
      </w:tr>
    </w:tbl>
    <w:p w14:paraId="25D4630C">
      <w:pPr>
        <w:pStyle w:val="35"/>
        <w:ind w:firstLine="480"/>
        <w:rPr>
          <w:rFonts w:hint="eastAsia" w:ascii="宋体" w:hAnsi="宋体"/>
          <w:sz w:val="24"/>
        </w:rPr>
      </w:pPr>
      <w:r>
        <w:rPr>
          <w:rFonts w:hint="eastAsia" w:ascii="宋体" w:hAnsi="宋体"/>
          <w:sz w:val="24"/>
        </w:rPr>
        <w:t>如乙方未能在上述约定的期限内履行赔付义务，则</w:t>
      </w:r>
      <w:r>
        <w:rPr>
          <w:rFonts w:hint="eastAsia" w:ascii="宋体" w:hAnsi="宋体"/>
          <w:sz w:val="24"/>
          <w:lang w:eastAsia="zh-CN"/>
        </w:rPr>
        <w:t>乙方须</w:t>
      </w:r>
      <w:r>
        <w:rPr>
          <w:rFonts w:hint="eastAsia" w:ascii="宋体" w:hAnsi="宋体"/>
          <w:sz w:val="24"/>
        </w:rPr>
        <w:t>按照赔款金额的</w:t>
      </w:r>
      <w:r>
        <w:rPr>
          <w:rFonts w:hint="eastAsia" w:ascii="宋体" w:hAnsi="宋体"/>
          <w:sz w:val="24"/>
          <w:lang w:eastAsia="zh-CN"/>
        </w:rPr>
        <w:t>一定比例向甲方支付</w:t>
      </w:r>
      <w:r>
        <w:rPr>
          <w:rFonts w:hint="eastAsia" w:ascii="宋体" w:hAnsi="宋体"/>
          <w:sz w:val="24"/>
        </w:rPr>
        <w:t>违约金，具体比例为每延迟一天收取赔款金额万分之五的违约金。</w:t>
      </w:r>
    </w:p>
    <w:p w14:paraId="4D7D447E">
      <w:pPr>
        <w:pStyle w:val="35"/>
        <w:ind w:firstLine="480"/>
        <w:rPr>
          <w:rFonts w:hint="eastAsia" w:ascii="宋体" w:hAnsi="宋体"/>
          <w:sz w:val="24"/>
        </w:rPr>
      </w:pPr>
      <w:r>
        <w:rPr>
          <w:rFonts w:hint="eastAsia" w:ascii="宋体" w:hAnsi="宋体"/>
          <w:sz w:val="24"/>
          <w:lang w:eastAsia="zh-CN"/>
        </w:rPr>
        <w:t>5</w:t>
      </w:r>
      <w:r>
        <w:rPr>
          <w:rFonts w:hint="eastAsia" w:ascii="宋体" w:hAnsi="宋体"/>
          <w:sz w:val="24"/>
        </w:rPr>
        <w:t>.4预付赔款</w:t>
      </w:r>
    </w:p>
    <w:p w14:paraId="1A4467E8">
      <w:pPr>
        <w:pStyle w:val="35"/>
        <w:ind w:firstLine="480"/>
        <w:rPr>
          <w:rFonts w:hint="eastAsia" w:ascii="宋体" w:hAnsi="宋体"/>
          <w:sz w:val="24"/>
        </w:rPr>
      </w:pPr>
      <w:r>
        <w:rPr>
          <w:rFonts w:hint="eastAsia" w:ascii="宋体" w:hAnsi="宋体"/>
          <w:sz w:val="24"/>
        </w:rPr>
        <w:t>如保险标的发生保险责任范围内的损失，在无法迅速确定损失金额的情况下，则在发生损失后30日内，乙方</w:t>
      </w:r>
      <w:r>
        <w:rPr>
          <w:rFonts w:hint="eastAsia" w:ascii="宋体" w:hAnsi="宋体"/>
          <w:sz w:val="24"/>
          <w:lang w:eastAsia="zh-CN"/>
        </w:rPr>
        <w:t>须</w:t>
      </w:r>
      <w:r>
        <w:rPr>
          <w:rFonts w:hint="eastAsia" w:ascii="宋体" w:hAnsi="宋体"/>
          <w:sz w:val="24"/>
        </w:rPr>
        <w:t>对于已确定的损失部分进行全额预先赔付；对于未确定的损失部分，按双方初步商定的估损金额的50%进行预先赔付。预付赔款金额若在相应扣除免赔额后超过RMB100万元，乙方应在接到书面申请后10个工作日内预付赔偿金。全部损失确定后，乙方立即完成有关索赔及理赔手续。</w:t>
      </w:r>
    </w:p>
    <w:p w14:paraId="43037EB9">
      <w:pPr>
        <w:pStyle w:val="35"/>
        <w:ind w:firstLine="480"/>
        <w:rPr>
          <w:rFonts w:hint="eastAsia" w:ascii="宋体" w:hAnsi="宋体"/>
          <w:sz w:val="24"/>
        </w:rPr>
      </w:pPr>
      <w:r>
        <w:rPr>
          <w:rFonts w:hint="eastAsia" w:ascii="宋体" w:hAnsi="宋体"/>
          <w:sz w:val="24"/>
        </w:rPr>
        <w:t>如预付部分，未能满足恢复日常需要，则乙方</w:t>
      </w:r>
      <w:r>
        <w:rPr>
          <w:rFonts w:hint="eastAsia" w:ascii="宋体" w:hAnsi="宋体"/>
          <w:sz w:val="24"/>
          <w:lang w:eastAsia="zh-CN"/>
        </w:rPr>
        <w:t>需</w:t>
      </w:r>
      <w:r>
        <w:rPr>
          <w:rFonts w:hint="eastAsia" w:ascii="宋体" w:hAnsi="宋体"/>
          <w:sz w:val="24"/>
        </w:rPr>
        <w:t>安排第二次预付。</w:t>
      </w:r>
    </w:p>
    <w:p w14:paraId="6F068BC0">
      <w:pPr>
        <w:pStyle w:val="35"/>
        <w:ind w:firstLine="480"/>
        <w:rPr>
          <w:rFonts w:hint="eastAsia" w:ascii="宋体" w:hAnsi="宋体"/>
          <w:sz w:val="24"/>
        </w:rPr>
      </w:pPr>
      <w:r>
        <w:rPr>
          <w:rFonts w:hint="eastAsia" w:ascii="宋体" w:hAnsi="宋体"/>
          <w:sz w:val="24"/>
        </w:rPr>
        <w:t>双方达成有关赔偿协议后，乙方在15个工作日内履行赔付。</w:t>
      </w:r>
    </w:p>
    <w:p w14:paraId="60C54A43">
      <w:pPr>
        <w:pStyle w:val="35"/>
        <w:ind w:firstLine="480"/>
        <w:rPr>
          <w:rFonts w:hint="eastAsia" w:ascii="宋体" w:hAnsi="宋体"/>
          <w:b/>
          <w:bCs/>
          <w:sz w:val="24"/>
        </w:rPr>
      </w:pPr>
      <w:r>
        <w:rPr>
          <w:rFonts w:hint="eastAsia" w:ascii="宋体" w:hAnsi="宋体"/>
          <w:b/>
          <w:bCs/>
          <w:sz w:val="24"/>
        </w:rPr>
        <w:t>五、其它</w:t>
      </w:r>
    </w:p>
    <w:p w14:paraId="2A57B0CB">
      <w:pPr>
        <w:pStyle w:val="35"/>
        <w:ind w:firstLine="480"/>
        <w:rPr>
          <w:rFonts w:hint="eastAsia" w:ascii="宋体" w:hAnsi="宋体"/>
          <w:sz w:val="24"/>
        </w:rPr>
      </w:pPr>
      <w:r>
        <w:rPr>
          <w:rFonts w:hint="eastAsia" w:ascii="宋体" w:hAnsi="宋体"/>
          <w:sz w:val="24"/>
        </w:rPr>
        <w:t>（一）司法管辖：</w:t>
      </w:r>
    </w:p>
    <w:p w14:paraId="686C720A">
      <w:pPr>
        <w:pStyle w:val="35"/>
        <w:ind w:firstLine="480"/>
        <w:rPr>
          <w:rFonts w:hint="eastAsia" w:ascii="宋体" w:hAnsi="宋体"/>
          <w:sz w:val="24"/>
        </w:rPr>
      </w:pPr>
      <w:r>
        <w:rPr>
          <w:rFonts w:hint="eastAsia" w:ascii="宋体" w:hAnsi="宋体"/>
          <w:sz w:val="24"/>
        </w:rPr>
        <w:t>中华人民共和国司法管辖（除港、澳、台地区）</w:t>
      </w:r>
    </w:p>
    <w:p w14:paraId="5EC206F7">
      <w:pPr>
        <w:pStyle w:val="35"/>
        <w:ind w:firstLine="480"/>
        <w:rPr>
          <w:rFonts w:hint="eastAsia" w:ascii="宋体" w:hAnsi="宋体"/>
          <w:sz w:val="24"/>
        </w:rPr>
      </w:pPr>
      <w:r>
        <w:rPr>
          <w:rFonts w:hint="eastAsia" w:ascii="宋体" w:hAnsi="宋体"/>
          <w:sz w:val="24"/>
        </w:rPr>
        <w:t>（二）争议处理：</w:t>
      </w:r>
    </w:p>
    <w:p w14:paraId="54A3E1A3">
      <w:pPr>
        <w:pStyle w:val="35"/>
        <w:ind w:firstLine="480"/>
        <w:rPr>
          <w:rFonts w:hint="eastAsia" w:ascii="宋体" w:hAnsi="宋体"/>
          <w:sz w:val="24"/>
        </w:rPr>
      </w:pPr>
      <w:r>
        <w:rPr>
          <w:rFonts w:hint="eastAsia" w:ascii="宋体" w:hAnsi="宋体"/>
          <w:sz w:val="24"/>
        </w:rPr>
        <w:t>如发生保险纠纷，双方</w:t>
      </w:r>
      <w:r>
        <w:rPr>
          <w:rFonts w:hint="eastAsia" w:ascii="宋体" w:hAnsi="宋体"/>
          <w:sz w:val="24"/>
          <w:lang w:eastAsia="zh-CN"/>
        </w:rPr>
        <w:t>应</w:t>
      </w:r>
      <w:r>
        <w:rPr>
          <w:rFonts w:hint="eastAsia" w:ascii="宋体" w:hAnsi="宋体"/>
          <w:sz w:val="24"/>
        </w:rPr>
        <w:t>友好协商解决。如协商不成，可向甲方所在地有管辖权的人民法院提起诉讼。</w:t>
      </w:r>
    </w:p>
    <w:p w14:paraId="675B4781">
      <w:pPr>
        <w:pStyle w:val="35"/>
        <w:ind w:firstLine="480"/>
        <w:rPr>
          <w:rFonts w:hint="eastAsia" w:ascii="宋体" w:hAnsi="宋体"/>
          <w:sz w:val="24"/>
        </w:rPr>
      </w:pPr>
      <w:r>
        <w:rPr>
          <w:rFonts w:hint="eastAsia" w:ascii="宋体" w:hAnsi="宋体"/>
          <w:sz w:val="24"/>
        </w:rPr>
        <w:t>（三）协议的调整和取消</w:t>
      </w:r>
      <w:r>
        <w:rPr>
          <w:rFonts w:hint="eastAsia" w:ascii="宋体" w:hAnsi="宋体"/>
          <w:sz w:val="24"/>
        </w:rPr>
        <w:tab/>
      </w:r>
    </w:p>
    <w:p w14:paraId="6C48A50E">
      <w:pPr>
        <w:pStyle w:val="35"/>
        <w:ind w:firstLine="480"/>
        <w:rPr>
          <w:rFonts w:hint="eastAsia" w:ascii="宋体" w:hAnsi="宋体"/>
          <w:sz w:val="24"/>
        </w:rPr>
      </w:pPr>
      <w:r>
        <w:rPr>
          <w:rFonts w:hint="eastAsia" w:ascii="宋体" w:hAnsi="宋体"/>
          <w:sz w:val="24"/>
        </w:rPr>
        <w:t>在本协议正常执行期间，协议内容的任何修改、变更、取消，经由甲方和乙方一致书面同意确认即可履行。</w:t>
      </w:r>
    </w:p>
    <w:p w14:paraId="4E5973EC">
      <w:pPr>
        <w:pStyle w:val="35"/>
        <w:ind w:firstLine="480"/>
        <w:rPr>
          <w:rFonts w:hint="eastAsia" w:ascii="宋体" w:hAnsi="宋体"/>
          <w:sz w:val="24"/>
        </w:rPr>
      </w:pPr>
      <w:r>
        <w:rPr>
          <w:rFonts w:hint="eastAsia" w:ascii="宋体" w:hAnsi="宋体"/>
          <w:sz w:val="24"/>
        </w:rPr>
        <w:t>在本协议有效期内，如乙方未能履行本协议或保险单义务，或违反本协议规定的，甲方有权提出修改</w:t>
      </w:r>
      <w:r>
        <w:rPr>
          <w:rFonts w:hint="eastAsia" w:ascii="宋体" w:hAnsi="宋体"/>
          <w:sz w:val="24"/>
          <w:lang w:eastAsia="zh-CN"/>
        </w:rPr>
        <w:t>或终止</w:t>
      </w:r>
      <w:r>
        <w:rPr>
          <w:rFonts w:hint="eastAsia" w:ascii="宋体" w:hAnsi="宋体"/>
          <w:sz w:val="24"/>
        </w:rPr>
        <w:t>本协议，同时甲方有权不再继续支付乙方应付未付的保险款项，并按本协议对乙方进行经济处罚。</w:t>
      </w:r>
    </w:p>
    <w:p w14:paraId="20EDE732">
      <w:pPr>
        <w:pStyle w:val="35"/>
        <w:ind w:firstLine="480"/>
        <w:rPr>
          <w:rFonts w:hint="eastAsia" w:ascii="宋体" w:hAnsi="宋体"/>
          <w:sz w:val="24"/>
        </w:rPr>
      </w:pPr>
      <w:r>
        <w:rPr>
          <w:rFonts w:hint="eastAsia" w:ascii="宋体" w:hAnsi="宋体"/>
          <w:sz w:val="24"/>
        </w:rPr>
        <w:t>协议有效期</w:t>
      </w:r>
    </w:p>
    <w:p w14:paraId="2FCC9645">
      <w:pPr>
        <w:pStyle w:val="35"/>
        <w:ind w:firstLine="480"/>
        <w:rPr>
          <w:rFonts w:hint="eastAsia" w:ascii="宋体" w:hAnsi="宋体"/>
          <w:sz w:val="24"/>
        </w:rPr>
      </w:pPr>
      <w:r>
        <w:rPr>
          <w:rFonts w:hint="eastAsia" w:ascii="宋体" w:hAnsi="宋体"/>
          <w:sz w:val="24"/>
        </w:rPr>
        <w:t>本协议自    年    月    日起正式生效，并在保险单有效期内持续有效。</w:t>
      </w:r>
    </w:p>
    <w:p w14:paraId="59FEF2C1">
      <w:pPr>
        <w:pStyle w:val="35"/>
        <w:ind w:firstLine="480"/>
        <w:rPr>
          <w:rFonts w:hint="eastAsia" w:ascii="宋体" w:hAnsi="宋体"/>
          <w:sz w:val="24"/>
        </w:rPr>
      </w:pPr>
      <w:r>
        <w:rPr>
          <w:rFonts w:hint="eastAsia" w:ascii="宋体" w:hAnsi="宋体"/>
          <w:sz w:val="24"/>
        </w:rPr>
        <w:t>如果该类保单结束后存在遗留案件，则本协议将持续有效，至保单涉及各项遗留事宜最终处理完毕时为止。</w:t>
      </w:r>
    </w:p>
    <w:p w14:paraId="7D9939BA">
      <w:pPr>
        <w:pStyle w:val="35"/>
        <w:ind w:firstLine="480"/>
        <w:rPr>
          <w:rFonts w:hint="eastAsia" w:ascii="宋体" w:hAnsi="宋体"/>
          <w:sz w:val="24"/>
        </w:rPr>
      </w:pPr>
      <w:r>
        <w:rPr>
          <w:rFonts w:hint="eastAsia" w:ascii="宋体" w:hAnsi="宋体"/>
          <w:sz w:val="24"/>
        </w:rPr>
        <w:t>转包或分包</w:t>
      </w:r>
    </w:p>
    <w:p w14:paraId="2A2D7182">
      <w:pPr>
        <w:pStyle w:val="35"/>
        <w:ind w:firstLine="480"/>
        <w:rPr>
          <w:rFonts w:hint="eastAsia" w:ascii="宋体" w:hAnsi="宋体"/>
          <w:sz w:val="24"/>
        </w:rPr>
      </w:pPr>
      <w:r>
        <w:rPr>
          <w:rFonts w:hint="eastAsia" w:ascii="宋体" w:hAnsi="宋体"/>
          <w:sz w:val="24"/>
        </w:rPr>
        <w:t>不允许转包。</w:t>
      </w:r>
    </w:p>
    <w:p w14:paraId="55371429">
      <w:pPr>
        <w:pStyle w:val="35"/>
        <w:ind w:firstLine="480"/>
        <w:rPr>
          <w:rFonts w:hint="eastAsia" w:ascii="宋体" w:hAnsi="宋体"/>
          <w:sz w:val="24"/>
        </w:rPr>
      </w:pPr>
      <w:r>
        <w:rPr>
          <w:rFonts w:hint="eastAsia" w:ascii="宋体" w:hAnsi="宋体"/>
          <w:sz w:val="24"/>
        </w:rPr>
        <w:t xml:space="preserve">允许分包部分 </w:t>
      </w:r>
      <w:r>
        <w:rPr>
          <w:rFonts w:hint="eastAsia" w:ascii="宋体" w:hAnsi="宋体"/>
          <w:sz w:val="24"/>
          <w:lang w:val="en-US" w:eastAsia="zh-CN"/>
        </w:rPr>
        <w:t>-----</w:t>
      </w:r>
      <w:r>
        <w:rPr>
          <w:rFonts w:hint="eastAsia" w:ascii="宋体" w:hAnsi="宋体"/>
          <w:sz w:val="24"/>
        </w:rPr>
        <w:t>。</w:t>
      </w:r>
    </w:p>
    <w:p w14:paraId="712FE8C3">
      <w:pPr>
        <w:pStyle w:val="35"/>
        <w:ind w:firstLine="480"/>
        <w:rPr>
          <w:rFonts w:hint="eastAsia" w:ascii="宋体" w:hAnsi="宋体"/>
          <w:sz w:val="24"/>
        </w:rPr>
      </w:pPr>
      <w:r>
        <w:rPr>
          <w:rFonts w:hint="eastAsia" w:ascii="宋体" w:hAnsi="宋体"/>
          <w:sz w:val="24"/>
        </w:rPr>
        <w:t>如乙方将项目转包或将不允许分包部分就行了分包，甲方有权解除合同，并追究乙方的违约责任。</w:t>
      </w:r>
    </w:p>
    <w:p w14:paraId="1F29A2F6">
      <w:pPr>
        <w:pStyle w:val="35"/>
        <w:ind w:firstLine="480"/>
        <w:rPr>
          <w:rFonts w:hint="eastAsia" w:ascii="宋体" w:hAnsi="宋体"/>
          <w:sz w:val="24"/>
        </w:rPr>
      </w:pPr>
      <w:r>
        <w:rPr>
          <w:rFonts w:hint="eastAsia" w:ascii="宋体" w:hAnsi="宋体"/>
          <w:sz w:val="24"/>
        </w:rPr>
        <w:t>保密义务：</w:t>
      </w:r>
    </w:p>
    <w:p w14:paraId="6D4B81BD">
      <w:pPr>
        <w:pStyle w:val="35"/>
        <w:ind w:firstLine="480"/>
        <w:rPr>
          <w:rFonts w:hint="eastAsia" w:ascii="宋体" w:hAnsi="宋体"/>
          <w:sz w:val="24"/>
        </w:rPr>
      </w:pPr>
      <w:r>
        <w:rPr>
          <w:rFonts w:hint="eastAsia" w:ascii="宋体" w:hAnsi="宋体"/>
          <w:sz w:val="24"/>
        </w:rPr>
        <w:t>除非下列情况，自本合同生效之日起，乙方不得将本合同涉及的所有有形、无形的信息及资料（包括但不限于各方的往来书面文字文件、电子邮件及信息、电子资料等）泄露给其他团体或个人：</w:t>
      </w:r>
    </w:p>
    <w:p w14:paraId="0BEDD58D">
      <w:pPr>
        <w:pStyle w:val="35"/>
        <w:ind w:firstLine="480"/>
        <w:rPr>
          <w:rFonts w:hint="eastAsia" w:ascii="宋体" w:hAnsi="宋体"/>
          <w:sz w:val="24"/>
        </w:rPr>
      </w:pPr>
      <w:r>
        <w:rPr>
          <w:rFonts w:hint="eastAsia" w:ascii="宋体" w:hAnsi="宋体"/>
          <w:sz w:val="24"/>
        </w:rPr>
        <w:t>提供给与执行本合同服务内容有关的雇员或保险顾问；</w:t>
      </w:r>
    </w:p>
    <w:p w14:paraId="436DF149">
      <w:pPr>
        <w:pStyle w:val="35"/>
        <w:ind w:firstLine="480"/>
        <w:rPr>
          <w:rFonts w:hint="eastAsia" w:ascii="宋体" w:hAnsi="宋体"/>
          <w:sz w:val="24"/>
        </w:rPr>
      </w:pPr>
      <w:r>
        <w:rPr>
          <w:rFonts w:hint="eastAsia" w:ascii="宋体" w:hAnsi="宋体"/>
          <w:sz w:val="24"/>
        </w:rPr>
        <w:t>2、应法律或司法管辖要求而提供；</w:t>
      </w:r>
    </w:p>
    <w:p w14:paraId="5E58C4F0">
      <w:pPr>
        <w:pStyle w:val="35"/>
        <w:ind w:firstLine="480"/>
        <w:rPr>
          <w:rFonts w:hint="eastAsia" w:ascii="宋体" w:hAnsi="宋体"/>
          <w:sz w:val="24"/>
        </w:rPr>
      </w:pPr>
      <w:r>
        <w:rPr>
          <w:rFonts w:hint="eastAsia" w:ascii="宋体" w:hAnsi="宋体"/>
          <w:sz w:val="24"/>
        </w:rPr>
        <w:t>3、经甲方或甲方的委托代理人书面同意。</w:t>
      </w:r>
    </w:p>
    <w:p w14:paraId="28DDACF2">
      <w:pPr>
        <w:pStyle w:val="35"/>
        <w:ind w:firstLine="480"/>
        <w:rPr>
          <w:rFonts w:hint="eastAsia" w:ascii="宋体" w:hAnsi="宋体"/>
          <w:sz w:val="24"/>
        </w:rPr>
      </w:pPr>
      <w:r>
        <w:rPr>
          <w:rFonts w:hint="eastAsia" w:ascii="宋体" w:hAnsi="宋体"/>
          <w:sz w:val="24"/>
        </w:rPr>
        <w:t>本合同一方因过错造成泄密而给其他方造成损失的，过错一方承担经济赔偿责任。本合同终止时本保密条款继续有效一年。</w:t>
      </w:r>
    </w:p>
    <w:p w14:paraId="0E96809B">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七</w:t>
      </w:r>
      <w:r>
        <w:rPr>
          <w:rFonts w:hint="eastAsia" w:ascii="宋体" w:hAnsi="宋体"/>
          <w:sz w:val="24"/>
        </w:rPr>
        <w:t>）合同份数：</w:t>
      </w:r>
    </w:p>
    <w:p w14:paraId="5EA5C3A1">
      <w:pPr>
        <w:pStyle w:val="35"/>
        <w:ind w:firstLine="480"/>
        <w:rPr>
          <w:rFonts w:hint="eastAsia" w:ascii="宋体" w:hAnsi="宋体"/>
          <w:sz w:val="24"/>
        </w:rPr>
      </w:pPr>
      <w:r>
        <w:rPr>
          <w:rFonts w:hint="eastAsia" w:ascii="宋体" w:hAnsi="宋体"/>
          <w:sz w:val="24"/>
        </w:rPr>
        <w:t xml:space="preserve">本合同共 </w:t>
      </w:r>
      <w:r>
        <w:rPr>
          <w:rFonts w:hint="eastAsia" w:ascii="宋体" w:hAnsi="宋体"/>
          <w:sz w:val="24"/>
          <w:lang w:val="en-US" w:eastAsia="zh-CN"/>
        </w:rPr>
        <w:t>肆</w:t>
      </w:r>
      <w:r>
        <w:rPr>
          <w:rFonts w:hint="eastAsia" w:ascii="宋体" w:hAnsi="宋体"/>
          <w:sz w:val="24"/>
        </w:rPr>
        <w:t xml:space="preserve"> 份、其中甲方执 贰 份，乙方执 贰 份。  </w:t>
      </w:r>
    </w:p>
    <w:p w14:paraId="2B49D5CC">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八</w:t>
      </w:r>
      <w:r>
        <w:rPr>
          <w:rFonts w:hint="eastAsia" w:ascii="宋体" w:hAnsi="宋体"/>
          <w:sz w:val="24"/>
        </w:rPr>
        <w:t xml:space="preserve">）违约责任 </w:t>
      </w:r>
    </w:p>
    <w:p w14:paraId="77CBA10A">
      <w:pPr>
        <w:pStyle w:val="35"/>
        <w:ind w:firstLine="480"/>
        <w:rPr>
          <w:rFonts w:hint="eastAsia" w:ascii="宋体" w:hAnsi="宋体"/>
          <w:sz w:val="24"/>
        </w:rPr>
      </w:pPr>
      <w:r>
        <w:rPr>
          <w:rFonts w:hint="eastAsia" w:ascii="宋体" w:hAnsi="宋体"/>
          <w:sz w:val="24"/>
        </w:rPr>
        <w:t>由于本协议任何一方当事人的过错，造成本协议不能履行或者不能完全履行的，由有过错的一方依法承担违约责任；如属各方当事人的过错，则根据各方当事人过错的实际情况，由各方当事人分别承担各自应负的违约责任；</w:t>
      </w:r>
    </w:p>
    <w:p w14:paraId="09112341">
      <w:pPr>
        <w:pStyle w:val="35"/>
        <w:ind w:firstLine="480"/>
        <w:rPr>
          <w:rFonts w:hint="eastAsia" w:ascii="宋体" w:hAnsi="宋体"/>
          <w:sz w:val="24"/>
        </w:rPr>
      </w:pPr>
      <w:r>
        <w:rPr>
          <w:rFonts w:hint="eastAsia" w:ascii="宋体" w:hAnsi="宋体"/>
          <w:sz w:val="24"/>
        </w:rPr>
        <w:t>若发生违约情形，违约方依法依约承担其相应法律责任后，除非守约方同意终止本协议的，本协议仍须继续履行。</w:t>
      </w:r>
    </w:p>
    <w:p w14:paraId="0DE2178E">
      <w:pPr>
        <w:pStyle w:val="35"/>
        <w:ind w:firstLine="480"/>
        <w:rPr>
          <w:rFonts w:hint="eastAsia" w:ascii="宋体" w:hAnsi="宋体"/>
          <w:b/>
          <w:bCs/>
          <w:sz w:val="24"/>
        </w:rPr>
      </w:pPr>
      <w:r>
        <w:rPr>
          <w:rFonts w:hint="eastAsia" w:ascii="宋体" w:hAnsi="宋体"/>
          <w:b/>
          <w:bCs/>
          <w:sz w:val="24"/>
        </w:rPr>
        <w:t>六、合同附件：</w:t>
      </w:r>
    </w:p>
    <w:p w14:paraId="1C67B20E">
      <w:pPr>
        <w:pStyle w:val="35"/>
        <w:ind w:firstLine="480"/>
        <w:rPr>
          <w:rFonts w:hint="eastAsia" w:ascii="宋体" w:hAnsi="宋体"/>
          <w:sz w:val="24"/>
        </w:rPr>
      </w:pPr>
      <w:bookmarkStart w:id="64" w:name="_Toc13640_WPSOffice_Level1"/>
      <w:r>
        <w:rPr>
          <w:rFonts w:hint="eastAsia" w:ascii="宋体" w:hAnsi="宋体"/>
          <w:sz w:val="24"/>
        </w:rPr>
        <w:t>附件1、保险方案明细及条款措辞</w:t>
      </w:r>
      <w:bookmarkEnd w:id="64"/>
    </w:p>
    <w:p w14:paraId="04F1EEFB">
      <w:pPr>
        <w:pStyle w:val="35"/>
        <w:ind w:firstLine="480"/>
        <w:rPr>
          <w:rFonts w:hint="eastAsia" w:ascii="宋体" w:hAnsi="宋体"/>
          <w:sz w:val="24"/>
        </w:rPr>
      </w:pPr>
      <w:bookmarkStart w:id="65" w:name="_Toc7016_WPSOffice_Level1"/>
      <w:r>
        <w:rPr>
          <w:rFonts w:hint="eastAsia" w:ascii="宋体" w:hAnsi="宋体"/>
          <w:sz w:val="24"/>
        </w:rPr>
        <w:t>附件2、廉政协议书</w:t>
      </w:r>
      <w:bookmarkEnd w:id="65"/>
    </w:p>
    <w:p w14:paraId="76446ACA">
      <w:pPr>
        <w:pStyle w:val="35"/>
        <w:ind w:firstLine="480"/>
        <w:rPr>
          <w:rFonts w:hint="eastAsia" w:ascii="宋体" w:hAnsi="宋体"/>
          <w:sz w:val="24"/>
        </w:rPr>
      </w:pPr>
      <w:r>
        <w:rPr>
          <w:rFonts w:hint="eastAsia" w:ascii="宋体" w:hAnsi="宋体"/>
          <w:sz w:val="24"/>
        </w:rPr>
        <w:t>（本页无正文）</w:t>
      </w:r>
    </w:p>
    <w:p w14:paraId="16BFE6FF">
      <w:pPr>
        <w:pStyle w:val="35"/>
        <w:ind w:firstLine="480"/>
        <w:rPr>
          <w:rFonts w:hint="eastAsia" w:ascii="宋体" w:hAnsi="宋体"/>
          <w:sz w:val="24"/>
        </w:rPr>
      </w:pPr>
      <w:bookmarkStart w:id="66" w:name="_Toc17173_WPSOffice_Level2"/>
      <w:r>
        <w:rPr>
          <w:rFonts w:hint="eastAsia" w:ascii="宋体" w:hAnsi="宋体"/>
          <w:sz w:val="24"/>
        </w:rPr>
        <w:t>甲方：                 （盖章）</w:t>
      </w:r>
      <w:bookmarkEnd w:id="66"/>
    </w:p>
    <w:p w14:paraId="271576BA">
      <w:pPr>
        <w:pStyle w:val="35"/>
        <w:ind w:firstLine="480"/>
        <w:rPr>
          <w:rFonts w:hint="eastAsia" w:ascii="宋体" w:hAnsi="宋体"/>
          <w:sz w:val="24"/>
        </w:rPr>
      </w:pPr>
      <w:bookmarkStart w:id="67" w:name="_Toc18132_WPSOffice_Level2"/>
      <w:r>
        <w:rPr>
          <w:rFonts w:hint="eastAsia" w:ascii="宋体" w:hAnsi="宋体"/>
          <w:sz w:val="24"/>
        </w:rPr>
        <w:t>法定代表人（或负责人）：              （签字）</w:t>
      </w:r>
      <w:bookmarkEnd w:id="67"/>
    </w:p>
    <w:p w14:paraId="13A9CCA8">
      <w:pPr>
        <w:pStyle w:val="35"/>
        <w:ind w:firstLine="480"/>
        <w:rPr>
          <w:rFonts w:hint="eastAsia" w:ascii="宋体" w:hAnsi="宋体"/>
          <w:sz w:val="24"/>
          <w:lang w:val="en-US" w:eastAsia="zh-CN"/>
        </w:rPr>
      </w:pPr>
      <w:bookmarkStart w:id="68" w:name="_Toc30450_WPSOffice_Level2"/>
      <w:r>
        <w:rPr>
          <w:rFonts w:hint="eastAsia" w:ascii="宋体" w:hAnsi="宋体"/>
          <w:sz w:val="24"/>
          <w:lang w:val="en-US" w:eastAsia="zh-CN"/>
        </w:rPr>
        <w:t>经办人：</w:t>
      </w:r>
    </w:p>
    <w:p w14:paraId="39D47F33">
      <w:pPr>
        <w:pStyle w:val="35"/>
        <w:ind w:firstLine="480"/>
        <w:rPr>
          <w:rFonts w:hint="eastAsia" w:ascii="宋体" w:hAnsi="宋体"/>
          <w:sz w:val="24"/>
        </w:rPr>
      </w:pPr>
      <w:r>
        <w:rPr>
          <w:rFonts w:hint="eastAsia" w:ascii="宋体" w:hAnsi="宋体"/>
          <w:sz w:val="24"/>
        </w:rPr>
        <w:t>日期：</w:t>
      </w:r>
      <w:bookmarkEnd w:id="68"/>
      <w:r>
        <w:rPr>
          <w:rFonts w:hint="eastAsia" w:ascii="宋体" w:hAnsi="宋体"/>
          <w:sz w:val="24"/>
        </w:rPr>
        <w:t xml:space="preserve">     年     月    日</w:t>
      </w:r>
    </w:p>
    <w:p w14:paraId="3DEA8EB2">
      <w:pPr>
        <w:pStyle w:val="35"/>
        <w:ind w:firstLine="480"/>
        <w:rPr>
          <w:rFonts w:hint="eastAsia" w:ascii="宋体" w:hAnsi="宋体"/>
          <w:sz w:val="24"/>
        </w:rPr>
      </w:pPr>
      <w:bookmarkStart w:id="69" w:name="_Toc11322_WPSOffice_Level2"/>
      <w:r>
        <w:rPr>
          <w:rFonts w:hint="eastAsia" w:ascii="宋体" w:hAnsi="宋体"/>
          <w:sz w:val="24"/>
        </w:rPr>
        <w:t>乙方：            （盖章）</w:t>
      </w:r>
      <w:bookmarkEnd w:id="69"/>
    </w:p>
    <w:p w14:paraId="5BC264A0">
      <w:pPr>
        <w:pStyle w:val="35"/>
        <w:ind w:firstLine="480"/>
        <w:rPr>
          <w:rFonts w:hint="eastAsia" w:ascii="宋体" w:hAnsi="宋体"/>
          <w:sz w:val="24"/>
        </w:rPr>
      </w:pPr>
      <w:bookmarkStart w:id="70" w:name="_Toc5228_WPSOffice_Level2"/>
      <w:r>
        <w:rPr>
          <w:rFonts w:hint="eastAsia" w:ascii="宋体" w:hAnsi="宋体"/>
          <w:sz w:val="24"/>
        </w:rPr>
        <w:t>法定代表人（或负责人）：               （签字）</w:t>
      </w:r>
      <w:bookmarkEnd w:id="70"/>
    </w:p>
    <w:p w14:paraId="0A619487">
      <w:pPr>
        <w:pStyle w:val="35"/>
        <w:ind w:firstLine="480"/>
        <w:rPr>
          <w:rFonts w:hint="eastAsia" w:ascii="宋体" w:hAnsi="宋体"/>
          <w:sz w:val="24"/>
        </w:rPr>
      </w:pPr>
      <w:bookmarkStart w:id="71" w:name="_Toc30948_WPSOffice_Level2"/>
      <w:r>
        <w:rPr>
          <w:rFonts w:hint="eastAsia" w:ascii="宋体" w:hAnsi="宋体"/>
          <w:sz w:val="24"/>
        </w:rPr>
        <w:t>日期：</w:t>
      </w:r>
      <w:bookmarkEnd w:id="71"/>
      <w:r>
        <w:rPr>
          <w:rFonts w:hint="eastAsia" w:ascii="宋体" w:hAnsi="宋体"/>
          <w:sz w:val="24"/>
        </w:rPr>
        <w:t xml:space="preserve">     年     月    日</w:t>
      </w:r>
    </w:p>
    <w:p w14:paraId="37A572B6">
      <w:pPr>
        <w:pStyle w:val="35"/>
        <w:ind w:firstLine="480"/>
        <w:rPr>
          <w:rFonts w:hint="eastAsia" w:ascii="宋体" w:hAnsi="宋体"/>
          <w:b/>
          <w:bCs/>
          <w:sz w:val="24"/>
        </w:rPr>
      </w:pPr>
      <w:r>
        <w:rPr>
          <w:rFonts w:hint="eastAsia" w:ascii="宋体" w:hAnsi="宋体"/>
          <w:sz w:val="24"/>
        </w:rPr>
        <w:br w:type="page"/>
      </w:r>
      <w:r>
        <w:rPr>
          <w:rFonts w:hint="eastAsia" w:ascii="宋体" w:hAnsi="宋体"/>
          <w:b/>
          <w:bCs/>
          <w:sz w:val="24"/>
        </w:rPr>
        <w:t>附件1、保险方案明细及条款措辞</w:t>
      </w:r>
    </w:p>
    <w:p w14:paraId="3F7271F6">
      <w:pPr>
        <w:pStyle w:val="35"/>
        <w:ind w:left="0" w:leftChars="0" w:firstLine="0" w:firstLineChars="0"/>
        <w:rPr>
          <w:rFonts w:hint="eastAsia" w:ascii="宋体" w:hAnsi="宋体"/>
          <w:b/>
          <w:bCs/>
          <w:sz w:val="24"/>
        </w:rPr>
      </w:pPr>
      <w:bookmarkStart w:id="72" w:name="_Toc12401_WPSOffice_Level1"/>
      <w:r>
        <w:rPr>
          <w:rFonts w:hint="eastAsia" w:ascii="宋体" w:hAnsi="宋体"/>
          <w:b/>
          <w:bCs/>
          <w:sz w:val="24"/>
        </w:rPr>
        <w:t>一、投保人、被保险人名称及地址：</w:t>
      </w:r>
      <w:bookmarkEnd w:id="72"/>
    </w:p>
    <w:p w14:paraId="538B5014">
      <w:pPr>
        <w:pStyle w:val="35"/>
        <w:ind w:firstLine="480"/>
        <w:rPr>
          <w:rFonts w:hint="eastAsia" w:ascii="宋体" w:hAnsi="宋体"/>
          <w:b/>
          <w:bCs/>
          <w:sz w:val="24"/>
        </w:rPr>
      </w:pPr>
      <w:r>
        <w:rPr>
          <w:rFonts w:hint="eastAsia" w:ascii="宋体" w:hAnsi="宋体"/>
          <w:b/>
          <w:bCs/>
          <w:sz w:val="24"/>
        </w:rPr>
        <w:t>投保人、被保险人名称：浙江省测绘科学技术研究院</w:t>
      </w:r>
    </w:p>
    <w:p w14:paraId="73A55C78">
      <w:pPr>
        <w:pStyle w:val="35"/>
        <w:ind w:firstLine="480"/>
        <w:rPr>
          <w:rFonts w:hint="eastAsia" w:ascii="宋体" w:hAnsi="宋体"/>
          <w:b/>
          <w:bCs/>
          <w:sz w:val="24"/>
          <w:lang w:val="en-US"/>
        </w:rPr>
      </w:pPr>
      <w:r>
        <w:rPr>
          <w:rFonts w:hint="eastAsia" w:ascii="宋体" w:hAnsi="宋体"/>
          <w:b/>
          <w:bCs/>
          <w:sz w:val="24"/>
          <w:lang w:val="en-US"/>
        </w:rPr>
        <w:t>地</w:t>
      </w:r>
      <w:r>
        <w:rPr>
          <w:rFonts w:hint="eastAsia" w:ascii="宋体" w:hAnsi="宋体"/>
          <w:b/>
          <w:bCs/>
          <w:sz w:val="24"/>
          <w:lang w:val="en-US" w:eastAsia="zh-CN"/>
        </w:rPr>
        <w:t xml:space="preserve">  </w:t>
      </w:r>
      <w:r>
        <w:rPr>
          <w:rFonts w:hint="eastAsia" w:ascii="宋体" w:hAnsi="宋体"/>
          <w:b/>
          <w:bCs/>
          <w:sz w:val="24"/>
          <w:lang w:val="en-US"/>
        </w:rPr>
        <w:t>址：浙江省杭州市余杭区地信路2号</w:t>
      </w:r>
      <w:bookmarkStart w:id="73" w:name="_Toc11318845"/>
      <w:bookmarkStart w:id="74" w:name="_Toc50638453"/>
      <w:bookmarkStart w:id="75" w:name="_Toc6076"/>
      <w:bookmarkStart w:id="76" w:name="_Toc17062"/>
      <w:bookmarkStart w:id="77" w:name="_Toc24962"/>
    </w:p>
    <w:p w14:paraId="5B49705C">
      <w:pPr>
        <w:pStyle w:val="35"/>
        <w:ind w:left="0" w:leftChars="0" w:firstLine="0" w:firstLineChars="0"/>
        <w:rPr>
          <w:rFonts w:hint="eastAsia" w:ascii="宋体" w:hAnsi="宋体"/>
          <w:b/>
          <w:bCs/>
          <w:sz w:val="24"/>
        </w:rPr>
      </w:pPr>
      <w:r>
        <w:rPr>
          <w:rFonts w:hint="eastAsia" w:ascii="宋体" w:hAnsi="宋体"/>
          <w:b/>
          <w:bCs/>
          <w:sz w:val="24"/>
        </w:rPr>
        <w:t>二、保险人名称及地址</w:t>
      </w:r>
      <w:bookmarkEnd w:id="73"/>
      <w:bookmarkEnd w:id="74"/>
      <w:bookmarkEnd w:id="75"/>
      <w:bookmarkEnd w:id="76"/>
      <w:bookmarkEnd w:id="77"/>
    </w:p>
    <w:p w14:paraId="379B7420">
      <w:pPr>
        <w:pStyle w:val="35"/>
        <w:ind w:firstLine="480"/>
        <w:rPr>
          <w:rFonts w:hint="eastAsia" w:ascii="宋体" w:hAnsi="宋体"/>
          <w:b/>
          <w:bCs/>
          <w:sz w:val="24"/>
          <w:lang w:val="en-US"/>
        </w:rPr>
      </w:pPr>
      <w:r>
        <w:rPr>
          <w:rFonts w:hint="eastAsia" w:ascii="宋体" w:hAnsi="宋体"/>
          <w:b/>
          <w:bCs/>
          <w:sz w:val="24"/>
          <w:lang w:val="en-US"/>
        </w:rPr>
        <w:t>保险人名称：</w:t>
      </w:r>
    </w:p>
    <w:p w14:paraId="29CB8618">
      <w:pPr>
        <w:pStyle w:val="35"/>
        <w:ind w:firstLine="480"/>
        <w:rPr>
          <w:rFonts w:hint="eastAsia" w:ascii="宋体" w:hAnsi="宋体"/>
          <w:b/>
          <w:bCs/>
          <w:sz w:val="24"/>
        </w:rPr>
      </w:pPr>
      <w:r>
        <w:rPr>
          <w:rFonts w:hint="eastAsia" w:ascii="宋体" w:hAnsi="宋体"/>
          <w:b/>
          <w:bCs/>
          <w:sz w:val="24"/>
        </w:rPr>
        <w:t>保险人地址：</w:t>
      </w:r>
    </w:p>
    <w:p w14:paraId="4739433F">
      <w:pPr>
        <w:pStyle w:val="35"/>
        <w:ind w:left="0" w:leftChars="0" w:firstLine="0" w:firstLineChars="0"/>
        <w:rPr>
          <w:rFonts w:hint="eastAsia" w:ascii="宋体" w:hAnsi="宋体"/>
          <w:b/>
          <w:bCs/>
          <w:sz w:val="24"/>
        </w:rPr>
      </w:pPr>
      <w:bookmarkStart w:id="78" w:name="_Toc50638455"/>
      <w:bookmarkStart w:id="79" w:name="_Toc32625"/>
      <w:bookmarkStart w:id="80" w:name="_Toc11318847"/>
      <w:r>
        <w:rPr>
          <w:rFonts w:hint="eastAsia" w:ascii="宋体" w:hAnsi="宋体"/>
          <w:b/>
          <w:bCs/>
          <w:sz w:val="24"/>
          <w:lang w:val="en-US" w:eastAsia="zh-CN"/>
        </w:rPr>
        <w:t>三</w:t>
      </w:r>
      <w:r>
        <w:rPr>
          <w:rFonts w:hint="eastAsia" w:ascii="宋体" w:hAnsi="宋体"/>
          <w:b/>
          <w:bCs/>
          <w:sz w:val="24"/>
        </w:rPr>
        <w:t>、</w:t>
      </w:r>
      <w:bookmarkEnd w:id="78"/>
      <w:bookmarkEnd w:id="79"/>
      <w:bookmarkEnd w:id="80"/>
      <w:r>
        <w:rPr>
          <w:rFonts w:hint="eastAsia" w:ascii="宋体" w:hAnsi="宋体"/>
          <w:b/>
          <w:bCs/>
          <w:sz w:val="24"/>
        </w:rPr>
        <w:t>项目名称及投保险种</w:t>
      </w:r>
    </w:p>
    <w:p w14:paraId="5FC0AE0D">
      <w:pPr>
        <w:pStyle w:val="35"/>
        <w:ind w:firstLine="480"/>
        <w:rPr>
          <w:rFonts w:hint="eastAsia" w:ascii="宋体" w:hAnsi="宋体"/>
          <w:b/>
          <w:bCs/>
          <w:sz w:val="24"/>
        </w:rPr>
      </w:pPr>
      <w:r>
        <w:rPr>
          <w:rFonts w:hint="eastAsia" w:ascii="宋体" w:hAnsi="宋体"/>
          <w:b/>
          <w:bCs/>
          <w:sz w:val="24"/>
        </w:rPr>
        <w:t>项目名称：无人机机身</w:t>
      </w:r>
      <w:r>
        <w:rPr>
          <w:rFonts w:hint="eastAsia" w:ascii="宋体" w:hAnsi="宋体"/>
          <w:b/>
          <w:bCs/>
          <w:sz w:val="24"/>
          <w:lang w:val="en-US" w:eastAsia="zh-CN"/>
        </w:rPr>
        <w:t>及配套设备</w:t>
      </w:r>
      <w:r>
        <w:rPr>
          <w:rFonts w:hint="eastAsia" w:ascii="宋体" w:hAnsi="宋体"/>
          <w:b/>
          <w:bCs/>
          <w:sz w:val="24"/>
        </w:rPr>
        <w:t>一切险</w:t>
      </w:r>
      <w:r>
        <w:rPr>
          <w:rFonts w:hint="eastAsia" w:ascii="宋体" w:hAnsi="宋体"/>
          <w:b/>
          <w:bCs/>
          <w:sz w:val="24"/>
          <w:lang w:val="en-US" w:eastAsia="zh-CN"/>
        </w:rPr>
        <w:t>与</w:t>
      </w:r>
      <w:r>
        <w:rPr>
          <w:rFonts w:hint="eastAsia" w:ascii="宋体" w:hAnsi="宋体"/>
          <w:b/>
          <w:bCs/>
          <w:sz w:val="24"/>
        </w:rPr>
        <w:t>第三者责任</w:t>
      </w:r>
      <w:r>
        <w:rPr>
          <w:rFonts w:hint="eastAsia" w:ascii="宋体" w:hAnsi="宋体"/>
          <w:b/>
          <w:bCs/>
          <w:sz w:val="24"/>
          <w:lang w:val="en-US" w:eastAsia="zh-CN"/>
        </w:rPr>
        <w:t>保</w:t>
      </w:r>
      <w:r>
        <w:rPr>
          <w:rFonts w:hint="eastAsia" w:ascii="宋体" w:hAnsi="宋体"/>
          <w:b/>
          <w:bCs/>
          <w:sz w:val="24"/>
        </w:rPr>
        <w:t>险</w:t>
      </w:r>
    </w:p>
    <w:p w14:paraId="2F6D4613">
      <w:pPr>
        <w:pStyle w:val="35"/>
        <w:ind w:firstLine="480"/>
        <w:rPr>
          <w:rFonts w:hint="eastAsia" w:ascii="宋体" w:hAnsi="宋体"/>
          <w:b/>
          <w:bCs/>
          <w:sz w:val="24"/>
        </w:rPr>
      </w:pPr>
      <w:r>
        <w:rPr>
          <w:rFonts w:hint="eastAsia" w:ascii="宋体" w:hAnsi="宋体"/>
          <w:b/>
          <w:bCs/>
          <w:sz w:val="24"/>
        </w:rPr>
        <w:t>投保险种：机身</w:t>
      </w:r>
      <w:r>
        <w:rPr>
          <w:rFonts w:hint="eastAsia" w:ascii="宋体" w:hAnsi="宋体"/>
          <w:b/>
          <w:bCs/>
          <w:sz w:val="24"/>
          <w:lang w:val="en-US" w:eastAsia="zh-CN"/>
        </w:rPr>
        <w:t>及配套设备</w:t>
      </w:r>
      <w:r>
        <w:rPr>
          <w:rFonts w:hint="eastAsia" w:ascii="宋体" w:hAnsi="宋体"/>
          <w:b/>
          <w:bCs/>
          <w:sz w:val="24"/>
        </w:rPr>
        <w:t>一切险+第三者责任险</w:t>
      </w:r>
    </w:p>
    <w:p w14:paraId="6016B8BF">
      <w:pPr>
        <w:pStyle w:val="35"/>
        <w:ind w:left="0" w:leftChars="0" w:firstLine="0" w:firstLineChars="0"/>
        <w:rPr>
          <w:rFonts w:hint="eastAsia" w:ascii="宋体" w:hAnsi="宋体"/>
          <w:b/>
          <w:bCs/>
          <w:sz w:val="24"/>
        </w:rPr>
      </w:pPr>
      <w:bookmarkStart w:id="81" w:name="_Toc50638457"/>
      <w:bookmarkStart w:id="82" w:name="_Toc11318849"/>
      <w:bookmarkStart w:id="83" w:name="_Toc28939"/>
      <w:r>
        <w:rPr>
          <w:rFonts w:hint="eastAsia" w:ascii="宋体" w:hAnsi="宋体"/>
          <w:b/>
          <w:bCs/>
          <w:sz w:val="24"/>
          <w:lang w:eastAsia="zh-CN"/>
        </w:rPr>
        <w:t>四</w:t>
      </w:r>
      <w:r>
        <w:rPr>
          <w:rFonts w:hint="eastAsia" w:ascii="宋体" w:hAnsi="宋体"/>
          <w:b/>
          <w:bCs/>
          <w:sz w:val="24"/>
        </w:rPr>
        <w:t>、保险责任范围</w:t>
      </w:r>
    </w:p>
    <w:p w14:paraId="5E308633">
      <w:pPr>
        <w:pStyle w:val="35"/>
        <w:ind w:firstLine="480"/>
        <w:rPr>
          <w:rFonts w:hint="eastAsia" w:ascii="宋体" w:hAnsi="宋体"/>
          <w:b/>
          <w:bCs/>
          <w:sz w:val="24"/>
        </w:rPr>
      </w:pPr>
      <w:r>
        <w:rPr>
          <w:rFonts w:hint="eastAsia" w:ascii="宋体" w:hAnsi="宋体"/>
          <w:b/>
          <w:bCs/>
          <w:sz w:val="24"/>
        </w:rPr>
        <w:t>一、承保方案</w:t>
      </w:r>
    </w:p>
    <w:p w14:paraId="2F7280C6">
      <w:pPr>
        <w:pStyle w:val="35"/>
        <w:ind w:firstLine="480"/>
        <w:rPr>
          <w:rFonts w:hint="eastAsia" w:ascii="宋体" w:hAnsi="宋体"/>
          <w:b/>
          <w:bCs/>
          <w:sz w:val="24"/>
        </w:rPr>
      </w:pPr>
      <w:r>
        <w:rPr>
          <w:rFonts w:hint="eastAsia" w:ascii="宋体" w:hAnsi="宋体"/>
          <w:b/>
          <w:bCs/>
          <w:sz w:val="24"/>
        </w:rPr>
        <w:t>（一）承保范围及险种</w:t>
      </w:r>
    </w:p>
    <w:p w14:paraId="3BADD19B">
      <w:pPr>
        <w:pStyle w:val="35"/>
        <w:ind w:firstLine="480"/>
        <w:rPr>
          <w:rFonts w:hint="eastAsia" w:ascii="宋体" w:hAnsi="宋体"/>
          <w:b/>
          <w:bCs/>
          <w:sz w:val="24"/>
        </w:rPr>
      </w:pPr>
      <w:r>
        <w:rPr>
          <w:rFonts w:hint="eastAsia" w:ascii="宋体" w:hAnsi="宋体"/>
          <w:b/>
          <w:bCs/>
          <w:sz w:val="24"/>
        </w:rPr>
        <w:t>保险标的：浙江省测绘科学技术研究院</w:t>
      </w:r>
      <w:r>
        <w:rPr>
          <w:rFonts w:hint="eastAsia" w:ascii="宋体" w:hAnsi="宋体"/>
          <w:b/>
          <w:bCs/>
          <w:sz w:val="24"/>
          <w:lang w:eastAsia="zh-CN"/>
        </w:rPr>
        <w:t>无人机机身及配套设备一切险与第三者责任保险</w:t>
      </w:r>
      <w:r>
        <w:rPr>
          <w:rFonts w:hint="eastAsia" w:ascii="宋体" w:hAnsi="宋体"/>
          <w:b/>
          <w:bCs/>
          <w:sz w:val="24"/>
        </w:rPr>
        <w:t>；</w:t>
      </w:r>
    </w:p>
    <w:p w14:paraId="5FA6F252">
      <w:pPr>
        <w:pStyle w:val="35"/>
        <w:ind w:firstLine="480"/>
        <w:rPr>
          <w:rFonts w:hint="eastAsia" w:ascii="宋体" w:hAnsi="宋体"/>
          <w:b/>
          <w:bCs/>
          <w:sz w:val="24"/>
        </w:rPr>
      </w:pPr>
      <w:r>
        <w:rPr>
          <w:rFonts w:hint="eastAsia" w:ascii="宋体" w:hAnsi="宋体"/>
          <w:b/>
          <w:bCs/>
          <w:sz w:val="24"/>
        </w:rPr>
        <w:t>承保险种：</w:t>
      </w:r>
    </w:p>
    <w:p w14:paraId="5B41FF02">
      <w:pPr>
        <w:pStyle w:val="35"/>
        <w:ind w:firstLine="480"/>
        <w:rPr>
          <w:rFonts w:hint="eastAsia" w:ascii="宋体" w:hAnsi="宋体"/>
          <w:b/>
          <w:bCs/>
          <w:sz w:val="24"/>
        </w:rPr>
      </w:pPr>
      <w:r>
        <w:rPr>
          <w:rFonts w:hint="eastAsia" w:ascii="宋体" w:hAnsi="宋体"/>
          <w:b/>
          <w:bCs/>
          <w:sz w:val="24"/>
        </w:rPr>
        <w:t>无人机机身及配套设备一切险责任介绍：</w:t>
      </w:r>
    </w:p>
    <w:p w14:paraId="340228ED">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rPr>
        <w:t>在保险期间内，由于保险单明细表所列保险标的发生意外事故造成保险标的的损失，保险人依本保险合同约定负责赔偿。</w:t>
      </w:r>
    </w:p>
    <w:p w14:paraId="4D76CEF3">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rPr>
        <w:t>保险事故发生后，被保险人为防止或减少保险标的的损失所支付的必要的、合理的费用，保险人按照本保险合同的约定也负责赔偿。</w:t>
      </w:r>
    </w:p>
    <w:p w14:paraId="76D59D6D">
      <w:pPr>
        <w:pStyle w:val="35"/>
        <w:ind w:firstLine="480"/>
        <w:rPr>
          <w:rFonts w:hint="eastAsia" w:ascii="宋体" w:hAnsi="宋体"/>
          <w:b/>
          <w:bCs/>
          <w:sz w:val="24"/>
        </w:rPr>
      </w:pPr>
      <w:r>
        <w:rPr>
          <w:rFonts w:hint="eastAsia" w:ascii="宋体" w:hAnsi="宋体"/>
          <w:b/>
          <w:bCs/>
          <w:sz w:val="24"/>
        </w:rPr>
        <w:t>无人机第三者责任保险责任介绍：</w:t>
      </w:r>
    </w:p>
    <w:p w14:paraId="37165475">
      <w:pPr>
        <w:pStyle w:val="35"/>
        <w:ind w:firstLine="480"/>
        <w:rPr>
          <w:rFonts w:hint="eastAsia" w:ascii="宋体" w:hAnsi="宋体"/>
          <w:b/>
          <w:bCs/>
          <w:sz w:val="24"/>
        </w:rPr>
      </w:pPr>
      <w:r>
        <w:rPr>
          <w:rFonts w:hint="eastAsia" w:ascii="宋体" w:hAnsi="宋体"/>
          <w:b/>
          <w:bCs/>
          <w:sz w:val="24"/>
          <w:lang w:eastAsia="zh-CN"/>
        </w:rPr>
        <w:t>（</w:t>
      </w:r>
      <w:r>
        <w:rPr>
          <w:rFonts w:hint="eastAsia" w:ascii="宋体" w:hAnsi="宋体"/>
          <w:b/>
          <w:bCs/>
          <w:sz w:val="24"/>
          <w:lang w:val="en-US" w:eastAsia="zh-CN"/>
        </w:rPr>
        <w:t>1）</w:t>
      </w:r>
      <w:r>
        <w:rPr>
          <w:rFonts w:hint="eastAsia" w:ascii="宋体" w:hAnsi="宋体"/>
          <w:b/>
          <w:bCs/>
          <w:sz w:val="24"/>
        </w:rPr>
        <w:t>在保险期间内，被保险人使用、操控保险单明细表所列航空无人机过程中，无人机发生意外事故，对于由无人机或从无人机上坠落的任何物品</w:t>
      </w:r>
      <w:r>
        <w:rPr>
          <w:rFonts w:hint="eastAsia" w:ascii="宋体" w:hAnsi="宋体"/>
          <w:b/>
          <w:bCs/>
          <w:sz w:val="24"/>
          <w:lang w:eastAsia="zh-CN"/>
        </w:rPr>
        <w:t>（含附属设备）</w:t>
      </w:r>
      <w:r>
        <w:rPr>
          <w:rFonts w:hint="eastAsia" w:ascii="宋体" w:hAnsi="宋体"/>
          <w:b/>
          <w:bCs/>
          <w:sz w:val="24"/>
        </w:rPr>
        <w:t>对第三者（不包括无人机操作人员）造成的人身伤亡或财产损失，而依照中华人民共和国法律（不包括港、澳、台地区法律）应由被保险人承担的经济赔偿责任，保险人依本保险合同约定负责赔偿。</w:t>
      </w:r>
    </w:p>
    <w:p w14:paraId="74581133">
      <w:pPr>
        <w:pStyle w:val="35"/>
        <w:ind w:firstLine="480"/>
        <w:rPr>
          <w:rFonts w:hint="eastAsia" w:ascii="宋体" w:hAnsi="宋体"/>
          <w:sz w:val="24"/>
        </w:rPr>
      </w:pPr>
      <w:r>
        <w:rPr>
          <w:rFonts w:hint="eastAsia" w:ascii="宋体" w:hAnsi="宋体"/>
          <w:b/>
          <w:bCs/>
          <w:sz w:val="24"/>
          <w:lang w:eastAsia="zh-CN"/>
        </w:rPr>
        <w:t>（</w:t>
      </w:r>
      <w:r>
        <w:rPr>
          <w:rFonts w:hint="eastAsia" w:ascii="宋体" w:hAnsi="宋体"/>
          <w:b/>
          <w:bCs/>
          <w:sz w:val="24"/>
          <w:lang w:val="en-US" w:eastAsia="zh-CN"/>
        </w:rPr>
        <w:t>2）</w:t>
      </w:r>
      <w:r>
        <w:rPr>
          <w:rFonts w:hint="eastAsia" w:ascii="宋体" w:hAnsi="宋体"/>
          <w:b/>
          <w:bCs/>
          <w:sz w:val="24"/>
        </w:rPr>
        <w:t>保险事故发生后，被保险人因保险事故而被提起仲裁或者诉讼的，对应由被保险人支付的仲裁或诉讼费用以及其它必要的、合理的法律费用（以下简称“法律费用”），由保险人承担。</w:t>
      </w:r>
    </w:p>
    <w:bookmarkEnd w:id="81"/>
    <w:bookmarkEnd w:id="82"/>
    <w:bookmarkEnd w:id="83"/>
    <w:p w14:paraId="6414A807">
      <w:pPr>
        <w:pStyle w:val="35"/>
        <w:ind w:left="0" w:leftChars="0" w:firstLine="0" w:firstLineChars="0"/>
        <w:rPr>
          <w:rFonts w:hint="eastAsia" w:ascii="宋体" w:hAnsi="宋体"/>
          <w:b/>
          <w:bCs/>
          <w:sz w:val="24"/>
          <w:lang w:eastAsia="zh-CN"/>
        </w:rPr>
      </w:pPr>
      <w:bookmarkStart w:id="84" w:name="_Toc11949"/>
      <w:bookmarkStart w:id="85" w:name="_Toc50638458"/>
      <w:bookmarkStart w:id="86" w:name="_Toc11318850"/>
      <w:bookmarkStart w:id="87" w:name="_Toc19027"/>
      <w:r>
        <w:rPr>
          <w:rFonts w:hint="eastAsia" w:ascii="宋体" w:hAnsi="宋体"/>
          <w:b/>
          <w:bCs/>
          <w:sz w:val="24"/>
          <w:lang w:eastAsia="zh-CN"/>
        </w:rPr>
        <w:t>五、保险项目及保险金额</w:t>
      </w:r>
      <w:bookmarkEnd w:id="84"/>
      <w:r>
        <w:rPr>
          <w:rFonts w:hint="eastAsia" w:ascii="宋体" w:hAnsi="宋体"/>
          <w:b/>
          <w:bCs/>
          <w:sz w:val="24"/>
          <w:lang w:eastAsia="zh-CN"/>
        </w:rPr>
        <w:t>（赔偿限额）</w:t>
      </w:r>
      <w:bookmarkEnd w:id="85"/>
      <w:bookmarkEnd w:id="86"/>
      <w:bookmarkEnd w:id="87"/>
    </w:p>
    <w:p w14:paraId="5908B50D">
      <w:pPr>
        <w:pStyle w:val="35"/>
        <w:ind w:firstLine="480"/>
        <w:rPr>
          <w:rFonts w:hint="eastAsia" w:ascii="宋体" w:hAnsi="宋体"/>
          <w:sz w:val="24"/>
          <w:lang w:eastAsia="zh-CN"/>
        </w:rPr>
      </w:pPr>
      <w:bookmarkStart w:id="88" w:name="_Toc17566"/>
      <w:bookmarkStart w:id="89" w:name="_Toc9351063"/>
      <w:bookmarkStart w:id="90" w:name="_Toc3543688"/>
      <w:bookmarkStart w:id="91" w:name="_Toc11318851"/>
      <w:bookmarkStart w:id="92" w:name="_Toc27537"/>
      <w:bookmarkStart w:id="93" w:name="_Toc7589"/>
      <w:r>
        <w:rPr>
          <w:rFonts w:hint="eastAsia" w:ascii="宋体" w:hAnsi="宋体"/>
          <w:sz w:val="24"/>
        </w:rPr>
        <w:t>一、无人机保额：</w:t>
      </w:r>
      <w:r>
        <w:rPr>
          <w:rFonts w:hint="eastAsia" w:ascii="宋体" w:hAnsi="宋体"/>
          <w:sz w:val="24"/>
          <w:lang w:eastAsia="zh-CN"/>
        </w:rPr>
        <w:t>详见无人机及设备报价清单</w:t>
      </w:r>
    </w:p>
    <w:p w14:paraId="0FB89465">
      <w:pPr>
        <w:pStyle w:val="35"/>
        <w:ind w:firstLine="480"/>
        <w:rPr>
          <w:rFonts w:hint="eastAsia" w:ascii="宋体" w:hAnsi="宋体"/>
          <w:sz w:val="24"/>
        </w:rPr>
      </w:pPr>
      <w:r>
        <w:rPr>
          <w:rFonts w:hint="eastAsia" w:ascii="宋体" w:hAnsi="宋体"/>
          <w:sz w:val="24"/>
        </w:rPr>
        <w:t>二、第三者责任险：</w:t>
      </w:r>
      <w:r>
        <w:rPr>
          <w:rFonts w:hint="eastAsia" w:ascii="宋体" w:hAnsi="宋体"/>
          <w:sz w:val="24"/>
          <w:lang w:eastAsia="zh-CN"/>
        </w:rPr>
        <w:t>详见无人机及设备报价清单</w:t>
      </w:r>
    </w:p>
    <w:p w14:paraId="0221FFA3">
      <w:pPr>
        <w:pStyle w:val="35"/>
        <w:ind w:left="0" w:leftChars="0" w:firstLine="0" w:firstLineChars="0"/>
        <w:rPr>
          <w:rFonts w:hint="eastAsia" w:ascii="宋体" w:hAnsi="宋体"/>
          <w:b/>
          <w:bCs/>
          <w:sz w:val="24"/>
          <w:lang w:eastAsia="zh-CN"/>
        </w:rPr>
      </w:pPr>
      <w:bookmarkStart w:id="94" w:name="_Toc50638459"/>
      <w:r>
        <w:rPr>
          <w:rFonts w:hint="eastAsia" w:ascii="宋体" w:hAnsi="宋体"/>
          <w:b/>
          <w:bCs/>
          <w:sz w:val="24"/>
          <w:lang w:eastAsia="zh-CN"/>
        </w:rPr>
        <w:t>六、免赔额</w:t>
      </w:r>
      <w:bookmarkEnd w:id="88"/>
      <w:bookmarkEnd w:id="89"/>
      <w:bookmarkEnd w:id="90"/>
      <w:bookmarkEnd w:id="91"/>
      <w:bookmarkEnd w:id="92"/>
      <w:bookmarkEnd w:id="93"/>
      <w:bookmarkEnd w:id="94"/>
    </w:p>
    <w:p w14:paraId="42B4A728">
      <w:pPr>
        <w:pStyle w:val="35"/>
        <w:ind w:firstLine="480"/>
        <w:rPr>
          <w:rFonts w:hint="eastAsia" w:ascii="宋体" w:hAnsi="宋体"/>
          <w:sz w:val="24"/>
        </w:rPr>
      </w:pPr>
      <w:bookmarkStart w:id="95" w:name="_Toc4195"/>
      <w:bookmarkStart w:id="96" w:name="_Toc11318852"/>
      <w:bookmarkStart w:id="97" w:name="_Toc23365"/>
      <w:r>
        <w:rPr>
          <w:rFonts w:hint="eastAsia" w:ascii="宋体" w:hAnsi="宋体"/>
          <w:sz w:val="24"/>
          <w:lang w:eastAsia="zh-CN"/>
        </w:rPr>
        <w:t>详见无人机及设备报价清单</w:t>
      </w:r>
    </w:p>
    <w:p w14:paraId="552C1447">
      <w:pPr>
        <w:pStyle w:val="35"/>
        <w:ind w:left="0" w:leftChars="0" w:firstLine="0" w:firstLineChars="0"/>
        <w:rPr>
          <w:rFonts w:hint="eastAsia" w:ascii="宋体" w:hAnsi="宋体"/>
          <w:b/>
          <w:bCs/>
          <w:sz w:val="24"/>
          <w:lang w:eastAsia="zh-CN"/>
        </w:rPr>
      </w:pPr>
      <w:bookmarkStart w:id="98" w:name="_Toc50638460"/>
      <w:r>
        <w:rPr>
          <w:rFonts w:hint="eastAsia" w:ascii="宋体" w:hAnsi="宋体"/>
          <w:b/>
          <w:bCs/>
          <w:sz w:val="24"/>
          <w:lang w:eastAsia="zh-CN"/>
        </w:rPr>
        <w:t>七、保险费</w:t>
      </w:r>
      <w:bookmarkEnd w:id="95"/>
      <w:bookmarkEnd w:id="96"/>
      <w:bookmarkEnd w:id="97"/>
      <w:bookmarkEnd w:id="98"/>
    </w:p>
    <w:p w14:paraId="6D536619">
      <w:pPr>
        <w:pStyle w:val="35"/>
        <w:ind w:firstLine="480"/>
        <w:rPr>
          <w:rFonts w:hint="eastAsia" w:ascii="宋体" w:hAnsi="宋体"/>
          <w:sz w:val="24"/>
        </w:rPr>
      </w:pPr>
      <w:r>
        <w:rPr>
          <w:rFonts w:hint="eastAsia" w:ascii="宋体" w:hAnsi="宋体"/>
          <w:sz w:val="24"/>
        </w:rPr>
        <w:t xml:space="preserve"> 本合同签订时保险费总计为RMB  </w:t>
      </w:r>
      <w:r>
        <w:rPr>
          <w:rFonts w:hint="eastAsia" w:ascii="宋体" w:hAnsi="宋体"/>
          <w:sz w:val="24"/>
          <w:lang w:val="en-US" w:eastAsia="zh-CN"/>
        </w:rPr>
        <w:t xml:space="preserve">    </w:t>
      </w:r>
      <w:r>
        <w:rPr>
          <w:rFonts w:hint="eastAsia" w:ascii="宋体" w:hAnsi="宋体"/>
          <w:sz w:val="24"/>
        </w:rPr>
        <w:t xml:space="preserve">  元，分项如下：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1"/>
        <w:gridCol w:w="3206"/>
        <w:gridCol w:w="4537"/>
      </w:tblGrid>
      <w:tr w14:paraId="3F3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52907BD9">
            <w:pPr>
              <w:pStyle w:val="35"/>
              <w:ind w:left="0" w:leftChars="0" w:firstLine="0" w:firstLineChars="0"/>
              <w:jc w:val="center"/>
              <w:rPr>
                <w:rFonts w:hint="eastAsia" w:ascii="宋体" w:hAnsi="宋体"/>
                <w:sz w:val="24"/>
              </w:rPr>
            </w:pPr>
            <w:r>
              <w:rPr>
                <w:rFonts w:hint="eastAsia" w:ascii="宋体" w:hAnsi="宋体"/>
                <w:sz w:val="24"/>
              </w:rPr>
              <w:t>序号</w:t>
            </w:r>
          </w:p>
        </w:tc>
        <w:tc>
          <w:tcPr>
            <w:tcW w:w="3206" w:type="dxa"/>
            <w:shd w:val="clear" w:color="auto" w:fill="auto"/>
            <w:noWrap w:val="0"/>
            <w:vAlign w:val="center"/>
          </w:tcPr>
          <w:p w14:paraId="43492EB5">
            <w:pPr>
              <w:pStyle w:val="35"/>
              <w:ind w:firstLine="480"/>
              <w:rPr>
                <w:rFonts w:hint="eastAsia" w:ascii="宋体" w:hAnsi="宋体"/>
                <w:sz w:val="24"/>
              </w:rPr>
            </w:pPr>
            <w:r>
              <w:rPr>
                <w:rFonts w:hint="eastAsia" w:ascii="宋体" w:hAnsi="宋体"/>
                <w:sz w:val="24"/>
              </w:rPr>
              <w:t>保险险种</w:t>
            </w:r>
          </w:p>
        </w:tc>
        <w:tc>
          <w:tcPr>
            <w:tcW w:w="4537" w:type="dxa"/>
            <w:shd w:val="clear" w:color="auto" w:fill="auto"/>
            <w:noWrap w:val="0"/>
            <w:vAlign w:val="center"/>
          </w:tcPr>
          <w:p w14:paraId="538C45E8">
            <w:pPr>
              <w:pStyle w:val="35"/>
              <w:ind w:firstLine="480"/>
              <w:rPr>
                <w:rFonts w:hint="eastAsia" w:ascii="宋体" w:hAnsi="宋体"/>
                <w:sz w:val="24"/>
              </w:rPr>
            </w:pPr>
            <w:r>
              <w:rPr>
                <w:rFonts w:hint="eastAsia" w:ascii="宋体" w:hAnsi="宋体"/>
                <w:sz w:val="24"/>
              </w:rPr>
              <w:t>保险费（单位：元）</w:t>
            </w:r>
          </w:p>
        </w:tc>
      </w:tr>
      <w:tr w14:paraId="69E7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53EEB921">
            <w:pPr>
              <w:pStyle w:val="35"/>
              <w:ind w:firstLine="480"/>
              <w:rPr>
                <w:rFonts w:hint="eastAsia" w:ascii="宋体" w:hAnsi="宋体"/>
                <w:sz w:val="24"/>
              </w:rPr>
            </w:pPr>
            <w:r>
              <w:rPr>
                <w:rFonts w:hint="eastAsia" w:ascii="宋体" w:hAnsi="宋体"/>
                <w:sz w:val="24"/>
              </w:rPr>
              <w:t>1</w:t>
            </w:r>
          </w:p>
        </w:tc>
        <w:tc>
          <w:tcPr>
            <w:tcW w:w="3206" w:type="dxa"/>
            <w:shd w:val="clear" w:color="auto" w:fill="auto"/>
            <w:noWrap w:val="0"/>
            <w:vAlign w:val="center"/>
          </w:tcPr>
          <w:p w14:paraId="0FE475D2">
            <w:pPr>
              <w:pStyle w:val="35"/>
              <w:ind w:firstLine="480"/>
              <w:rPr>
                <w:rFonts w:hint="eastAsia" w:ascii="宋体" w:hAnsi="宋体"/>
                <w:sz w:val="24"/>
              </w:rPr>
            </w:pPr>
            <w:r>
              <w:rPr>
                <w:rFonts w:hint="eastAsia" w:ascii="宋体" w:hAnsi="宋体"/>
                <w:sz w:val="24"/>
              </w:rPr>
              <w:t>机身一切险</w:t>
            </w:r>
          </w:p>
        </w:tc>
        <w:tc>
          <w:tcPr>
            <w:tcW w:w="4537" w:type="dxa"/>
            <w:shd w:val="clear" w:color="auto" w:fill="auto"/>
            <w:noWrap w:val="0"/>
            <w:vAlign w:val="center"/>
          </w:tcPr>
          <w:p w14:paraId="2272718E">
            <w:pPr>
              <w:pStyle w:val="35"/>
              <w:ind w:firstLine="480"/>
              <w:rPr>
                <w:rFonts w:hint="eastAsia" w:ascii="宋体" w:hAnsi="宋体"/>
                <w:sz w:val="24"/>
              </w:rPr>
            </w:pPr>
            <w:r>
              <w:rPr>
                <w:rFonts w:hint="eastAsia" w:ascii="宋体" w:hAnsi="宋体"/>
                <w:sz w:val="24"/>
              </w:rPr>
              <w:t xml:space="preserve">               </w:t>
            </w:r>
          </w:p>
        </w:tc>
      </w:tr>
      <w:tr w14:paraId="6C01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41" w:type="dxa"/>
            <w:shd w:val="clear" w:color="auto" w:fill="auto"/>
            <w:noWrap w:val="0"/>
            <w:vAlign w:val="center"/>
          </w:tcPr>
          <w:p w14:paraId="3F365A98">
            <w:pPr>
              <w:pStyle w:val="35"/>
              <w:ind w:firstLine="480"/>
              <w:rPr>
                <w:rFonts w:hint="eastAsia" w:ascii="宋体" w:hAnsi="宋体"/>
                <w:sz w:val="24"/>
              </w:rPr>
            </w:pPr>
            <w:r>
              <w:rPr>
                <w:rFonts w:hint="eastAsia" w:ascii="宋体" w:hAnsi="宋体"/>
                <w:sz w:val="24"/>
              </w:rPr>
              <w:t>2</w:t>
            </w:r>
          </w:p>
        </w:tc>
        <w:tc>
          <w:tcPr>
            <w:tcW w:w="3206" w:type="dxa"/>
            <w:shd w:val="clear" w:color="auto" w:fill="auto"/>
            <w:noWrap w:val="0"/>
            <w:vAlign w:val="center"/>
          </w:tcPr>
          <w:p w14:paraId="7655A8A2">
            <w:pPr>
              <w:pStyle w:val="35"/>
              <w:ind w:firstLine="480"/>
              <w:rPr>
                <w:rFonts w:hint="eastAsia" w:ascii="宋体" w:hAnsi="宋体"/>
                <w:sz w:val="24"/>
              </w:rPr>
            </w:pPr>
            <w:r>
              <w:rPr>
                <w:rFonts w:hint="eastAsia" w:ascii="宋体" w:hAnsi="宋体"/>
                <w:sz w:val="24"/>
              </w:rPr>
              <w:t>第三者责任险</w:t>
            </w:r>
          </w:p>
        </w:tc>
        <w:tc>
          <w:tcPr>
            <w:tcW w:w="4537" w:type="dxa"/>
            <w:shd w:val="clear" w:color="auto" w:fill="auto"/>
            <w:noWrap w:val="0"/>
            <w:vAlign w:val="center"/>
          </w:tcPr>
          <w:p w14:paraId="45829F7B">
            <w:pPr>
              <w:pStyle w:val="35"/>
              <w:ind w:firstLine="480"/>
              <w:rPr>
                <w:rFonts w:hint="eastAsia" w:ascii="宋体" w:hAnsi="宋体"/>
                <w:sz w:val="24"/>
              </w:rPr>
            </w:pPr>
            <w:r>
              <w:rPr>
                <w:rFonts w:hint="eastAsia" w:ascii="宋体" w:hAnsi="宋体"/>
                <w:sz w:val="24"/>
              </w:rPr>
              <w:t xml:space="preserve">               </w:t>
            </w:r>
          </w:p>
        </w:tc>
      </w:tr>
      <w:tr w14:paraId="1E0E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147" w:type="dxa"/>
            <w:gridSpan w:val="2"/>
            <w:shd w:val="clear" w:color="auto" w:fill="auto"/>
            <w:noWrap w:val="0"/>
            <w:vAlign w:val="center"/>
          </w:tcPr>
          <w:p w14:paraId="7794E677">
            <w:pPr>
              <w:pStyle w:val="35"/>
              <w:ind w:firstLine="480"/>
              <w:rPr>
                <w:rFonts w:hint="eastAsia" w:ascii="宋体" w:hAnsi="宋体"/>
                <w:sz w:val="24"/>
              </w:rPr>
            </w:pPr>
            <w:r>
              <w:rPr>
                <w:rFonts w:hint="eastAsia" w:ascii="宋体" w:hAnsi="宋体"/>
                <w:sz w:val="24"/>
              </w:rPr>
              <w:t>总计</w:t>
            </w:r>
          </w:p>
        </w:tc>
        <w:tc>
          <w:tcPr>
            <w:tcW w:w="4537" w:type="dxa"/>
            <w:shd w:val="clear" w:color="auto" w:fill="auto"/>
            <w:noWrap w:val="0"/>
            <w:vAlign w:val="center"/>
          </w:tcPr>
          <w:p w14:paraId="1DB02FFB">
            <w:pPr>
              <w:pStyle w:val="35"/>
              <w:ind w:firstLine="480"/>
              <w:rPr>
                <w:rFonts w:hint="eastAsia" w:ascii="宋体" w:hAnsi="宋体"/>
                <w:sz w:val="24"/>
              </w:rPr>
            </w:pPr>
            <w:r>
              <w:rPr>
                <w:rFonts w:hint="eastAsia" w:ascii="宋体" w:hAnsi="宋体"/>
                <w:sz w:val="24"/>
              </w:rPr>
              <w:t xml:space="preserve">               </w:t>
            </w:r>
          </w:p>
        </w:tc>
      </w:tr>
      <w:tr w14:paraId="6271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684" w:type="dxa"/>
            <w:gridSpan w:val="3"/>
            <w:shd w:val="clear" w:color="auto" w:fill="auto"/>
            <w:noWrap w:val="0"/>
            <w:vAlign w:val="center"/>
          </w:tcPr>
          <w:p w14:paraId="4D537617">
            <w:pPr>
              <w:pStyle w:val="35"/>
              <w:ind w:firstLine="480"/>
              <w:rPr>
                <w:rFonts w:hint="eastAsia" w:ascii="宋体" w:hAnsi="宋体"/>
                <w:sz w:val="24"/>
              </w:rPr>
            </w:pPr>
            <w:r>
              <w:rPr>
                <w:rFonts w:hint="eastAsia" w:ascii="宋体" w:hAnsi="宋体"/>
                <w:sz w:val="24"/>
              </w:rPr>
              <w:t xml:space="preserve">大写：                                               </w:t>
            </w:r>
          </w:p>
        </w:tc>
      </w:tr>
    </w:tbl>
    <w:p w14:paraId="6A17E539">
      <w:pPr>
        <w:pStyle w:val="35"/>
        <w:ind w:left="0" w:leftChars="0" w:firstLine="0" w:firstLineChars="0"/>
        <w:rPr>
          <w:rFonts w:hint="eastAsia" w:ascii="宋体" w:hAnsi="宋体"/>
          <w:b/>
          <w:bCs/>
          <w:sz w:val="24"/>
          <w:lang w:eastAsia="zh-CN"/>
        </w:rPr>
      </w:pPr>
      <w:bookmarkStart w:id="99" w:name="_Toc11318853"/>
      <w:bookmarkStart w:id="100" w:name="_Toc23835"/>
      <w:bookmarkStart w:id="101" w:name="_Toc50638461"/>
      <w:bookmarkStart w:id="102" w:name="_Toc16855"/>
      <w:r>
        <w:rPr>
          <w:rFonts w:hint="eastAsia" w:ascii="宋体" w:hAnsi="宋体"/>
          <w:b/>
          <w:bCs/>
          <w:sz w:val="24"/>
          <w:lang w:eastAsia="zh-CN"/>
        </w:rPr>
        <w:t>八、保险期限</w:t>
      </w:r>
    </w:p>
    <w:p w14:paraId="5412922E">
      <w:pPr>
        <w:pStyle w:val="35"/>
        <w:ind w:firstLine="480"/>
        <w:rPr>
          <w:rFonts w:hint="eastAsia" w:ascii="宋体" w:hAnsi="宋体"/>
          <w:color w:val="auto"/>
          <w:sz w:val="24"/>
        </w:rPr>
      </w:pPr>
      <w:r>
        <w:rPr>
          <w:rFonts w:hint="eastAsia"/>
          <w:color w:val="auto"/>
          <w:sz w:val="24"/>
          <w:lang w:eastAsia="zh-CN"/>
        </w:rPr>
        <w:t>自合同签订生效之日起一年</w:t>
      </w:r>
      <w:r>
        <w:rPr>
          <w:rFonts w:hint="eastAsia" w:ascii="宋体" w:hAnsi="宋体"/>
          <w:color w:val="auto"/>
          <w:sz w:val="24"/>
        </w:rPr>
        <w:t>，</w:t>
      </w:r>
      <w:r>
        <w:rPr>
          <w:rFonts w:hint="eastAsia" w:ascii="宋体" w:hAnsi="宋体"/>
          <w:color w:val="auto"/>
          <w:sz w:val="24"/>
          <w:lang w:eastAsia="zh-CN"/>
        </w:rPr>
        <w:t>具体按设备清单时间为准</w:t>
      </w:r>
      <w:r>
        <w:rPr>
          <w:rFonts w:hint="eastAsia" w:ascii="宋体" w:hAnsi="宋体"/>
          <w:color w:val="auto"/>
          <w:sz w:val="24"/>
        </w:rPr>
        <w:t>。</w:t>
      </w:r>
    </w:p>
    <w:p w14:paraId="00F78A14">
      <w:pPr>
        <w:pStyle w:val="35"/>
        <w:ind w:left="0" w:leftChars="0" w:firstLine="0" w:firstLineChars="0"/>
        <w:rPr>
          <w:rFonts w:hint="eastAsia" w:ascii="宋体" w:hAnsi="宋体"/>
          <w:color w:val="auto"/>
          <w:sz w:val="24"/>
          <w:lang w:eastAsia="zh-CN"/>
        </w:rPr>
      </w:pPr>
      <w:r>
        <w:rPr>
          <w:rFonts w:hint="eastAsia" w:ascii="宋体" w:hAnsi="宋体"/>
          <w:b/>
          <w:bCs/>
          <w:color w:val="auto"/>
          <w:sz w:val="24"/>
          <w:lang w:eastAsia="zh-CN"/>
        </w:rPr>
        <w:t>九、保险费</w:t>
      </w:r>
      <w:bookmarkEnd w:id="99"/>
      <w:bookmarkEnd w:id="100"/>
      <w:bookmarkEnd w:id="101"/>
      <w:bookmarkEnd w:id="102"/>
      <w:r>
        <w:rPr>
          <w:rFonts w:hint="eastAsia" w:ascii="宋体" w:hAnsi="宋体"/>
          <w:b/>
          <w:bCs/>
          <w:color w:val="auto"/>
          <w:sz w:val="24"/>
          <w:lang w:eastAsia="zh-CN"/>
        </w:rPr>
        <w:t>缴纳方式</w:t>
      </w:r>
    </w:p>
    <w:p w14:paraId="53B320BF">
      <w:pPr>
        <w:pStyle w:val="35"/>
        <w:ind w:firstLine="480"/>
        <w:rPr>
          <w:rFonts w:hint="eastAsia" w:ascii="宋体" w:hAnsi="宋体"/>
          <w:color w:val="auto"/>
          <w:sz w:val="24"/>
          <w:lang w:eastAsia="zh-CN"/>
        </w:rPr>
      </w:pPr>
      <w:bookmarkStart w:id="103" w:name="_Toc11318854"/>
      <w:bookmarkStart w:id="104" w:name="_Toc7494"/>
      <w:bookmarkStart w:id="105" w:name="_Toc30432"/>
      <w:bookmarkStart w:id="106" w:name="_Toc50638462"/>
      <w:r>
        <w:rPr>
          <w:rFonts w:hint="eastAsia" w:ascii="宋体" w:hAnsi="宋体"/>
          <w:color w:val="auto"/>
          <w:sz w:val="24"/>
          <w:lang w:eastAsia="zh-CN"/>
        </w:rPr>
        <w:t>保费分</w:t>
      </w:r>
      <w:r>
        <w:rPr>
          <w:rFonts w:hint="eastAsia" w:ascii="宋体" w:hAnsi="宋体"/>
          <w:color w:val="auto"/>
          <w:sz w:val="24"/>
          <w:lang w:val="en-US" w:eastAsia="zh-CN"/>
        </w:rPr>
        <w:t>二</w:t>
      </w:r>
      <w:r>
        <w:rPr>
          <w:rFonts w:hint="eastAsia" w:ascii="宋体" w:hAnsi="宋体"/>
          <w:color w:val="auto"/>
          <w:sz w:val="24"/>
          <w:lang w:eastAsia="zh-CN"/>
        </w:rPr>
        <w:t>期支付，具体如下：</w:t>
      </w:r>
      <w:r>
        <w:rPr>
          <w:rFonts w:hint="eastAsia" w:ascii="宋体" w:hAnsi="宋体"/>
          <w:color w:val="auto"/>
          <w:sz w:val="24"/>
          <w:lang w:val="en-US" w:eastAsia="zh-CN"/>
        </w:rPr>
        <w:t>2025年7月支付</w:t>
      </w:r>
      <w:r>
        <w:rPr>
          <w:rFonts w:hint="eastAsia" w:ascii="宋体" w:hAnsi="宋体"/>
          <w:color w:val="auto"/>
          <w:sz w:val="24"/>
          <w:lang w:eastAsia="zh-CN"/>
        </w:rPr>
        <w:t>第一笔为</w:t>
      </w:r>
      <w:r>
        <w:rPr>
          <w:rFonts w:hint="eastAsia"/>
          <w:color w:val="auto"/>
          <w:sz w:val="24"/>
          <w:lang w:val="en-US" w:eastAsia="zh-CN"/>
        </w:rPr>
        <w:t>……</w:t>
      </w:r>
      <w:r>
        <w:rPr>
          <w:rFonts w:hint="eastAsia" w:ascii="宋体" w:hAnsi="宋体"/>
          <w:color w:val="auto"/>
          <w:sz w:val="24"/>
          <w:lang w:val="en-US" w:eastAsia="zh-CN"/>
        </w:rPr>
        <w:t>万元，2025年12月支付第二笔合同余额。</w:t>
      </w:r>
    </w:p>
    <w:p w14:paraId="0C37C23F">
      <w:pPr>
        <w:pStyle w:val="35"/>
        <w:ind w:left="0" w:leftChars="0" w:firstLine="0" w:firstLineChars="0"/>
        <w:rPr>
          <w:rFonts w:hint="eastAsia" w:ascii="宋体" w:hAnsi="宋体"/>
          <w:b/>
          <w:bCs/>
          <w:color w:val="auto"/>
          <w:sz w:val="24"/>
          <w:lang w:eastAsia="zh-CN"/>
        </w:rPr>
      </w:pPr>
      <w:r>
        <w:rPr>
          <w:rFonts w:hint="eastAsia" w:ascii="宋体" w:hAnsi="宋体"/>
          <w:b/>
          <w:bCs/>
          <w:color w:val="auto"/>
          <w:sz w:val="24"/>
          <w:lang w:eastAsia="zh-CN"/>
        </w:rPr>
        <w:t>十、</w:t>
      </w:r>
      <w:bookmarkEnd w:id="103"/>
      <w:bookmarkEnd w:id="104"/>
      <w:bookmarkEnd w:id="105"/>
      <w:bookmarkEnd w:id="106"/>
      <w:r>
        <w:rPr>
          <w:rFonts w:hint="eastAsia" w:ascii="宋体" w:hAnsi="宋体"/>
          <w:b/>
          <w:bCs/>
          <w:color w:val="auto"/>
          <w:sz w:val="24"/>
          <w:lang w:eastAsia="zh-CN"/>
        </w:rPr>
        <w:t>承保服务机制</w:t>
      </w:r>
    </w:p>
    <w:p w14:paraId="17D96D7C">
      <w:pPr>
        <w:pStyle w:val="35"/>
        <w:ind w:firstLine="480"/>
        <w:rPr>
          <w:rFonts w:hint="eastAsia" w:ascii="宋体" w:hAnsi="宋体"/>
          <w:sz w:val="24"/>
        </w:rPr>
      </w:pPr>
      <w:r>
        <w:rPr>
          <w:rFonts w:hint="eastAsia" w:ascii="宋体" w:hAnsi="宋体"/>
          <w:sz w:val="24"/>
        </w:rPr>
        <w:t>（一）成立服务小组（专人服务，从承保到结案）</w:t>
      </w:r>
    </w:p>
    <w:p w14:paraId="70C1FA52">
      <w:pPr>
        <w:pStyle w:val="35"/>
        <w:ind w:firstLine="480"/>
        <w:rPr>
          <w:rFonts w:hint="eastAsia" w:ascii="宋体" w:hAnsi="宋体"/>
          <w:sz w:val="24"/>
        </w:rPr>
      </w:pPr>
      <w:r>
        <w:rPr>
          <w:rFonts w:hint="eastAsia" w:ascii="宋体" w:hAnsi="宋体"/>
          <w:sz w:val="24"/>
        </w:rPr>
        <w:t>乙方</w:t>
      </w:r>
      <w:r>
        <w:rPr>
          <w:rFonts w:hint="eastAsia" w:ascii="宋体" w:hAnsi="宋体"/>
          <w:sz w:val="24"/>
          <w:lang w:eastAsia="zh-CN"/>
        </w:rPr>
        <w:t>须</w:t>
      </w:r>
      <w:r>
        <w:rPr>
          <w:rFonts w:hint="eastAsia" w:ascii="宋体" w:hAnsi="宋体"/>
          <w:sz w:val="24"/>
        </w:rPr>
        <w:t>承诺为甲方设立专业的服务小组，为甲方提供无人机保险咨询，保险方案制定，保险理赔服务，无人机风险管控等服务。</w:t>
      </w:r>
    </w:p>
    <w:p w14:paraId="60F7E208">
      <w:pPr>
        <w:pStyle w:val="35"/>
        <w:ind w:firstLine="480"/>
        <w:rPr>
          <w:rFonts w:hint="eastAsia" w:ascii="宋体" w:hAnsi="宋体"/>
          <w:sz w:val="24"/>
          <w:lang w:val="en-US" w:eastAsia="zh-CN"/>
        </w:rPr>
      </w:pPr>
      <w:r>
        <w:rPr>
          <w:rFonts w:hint="eastAsia" w:ascii="宋体" w:hAnsi="宋体"/>
          <w:sz w:val="24"/>
        </w:rPr>
        <w:t>乙方</w:t>
      </w:r>
      <w:r>
        <w:rPr>
          <w:rFonts w:hint="eastAsia" w:ascii="宋体" w:hAnsi="宋体"/>
          <w:sz w:val="24"/>
          <w:lang w:eastAsia="zh-CN"/>
        </w:rPr>
        <w:t>须</w:t>
      </w:r>
      <w:r>
        <w:rPr>
          <w:rFonts w:hint="eastAsia" w:ascii="宋体" w:hAnsi="宋体"/>
          <w:sz w:val="24"/>
        </w:rPr>
        <w:t>承诺为甲方设立出单服务小组进行出单统筹协调，在接到甲方</w:t>
      </w:r>
      <w:r>
        <w:rPr>
          <w:rFonts w:hint="eastAsia" w:ascii="宋体" w:hAnsi="宋体"/>
          <w:sz w:val="24"/>
          <w:lang w:eastAsia="zh-CN"/>
        </w:rPr>
        <w:t>或其经纪人</w:t>
      </w:r>
      <w:r>
        <w:rPr>
          <w:rFonts w:hint="eastAsia" w:ascii="宋体" w:hAnsi="宋体"/>
          <w:sz w:val="24"/>
        </w:rPr>
        <w:t>投保或变更通知后，乙方出单机构负责在1个工作日内完成出单、批改、退保等手续</w:t>
      </w:r>
      <w:r>
        <w:rPr>
          <w:rFonts w:hint="eastAsia" w:ascii="宋体" w:hAnsi="宋体"/>
          <w:sz w:val="24"/>
          <w:lang w:eastAsia="zh-CN"/>
        </w:rPr>
        <w:t>【</w:t>
      </w:r>
      <w:r>
        <w:rPr>
          <w:rFonts w:hint="eastAsia" w:ascii="宋体" w:hAnsi="宋体"/>
          <w:sz w:val="24"/>
          <w:lang w:val="en-US" w:eastAsia="zh-CN"/>
        </w:rPr>
        <w:t>申请资料需甲方用印的，乙方同意甲方可后补】</w:t>
      </w:r>
      <w:r>
        <w:rPr>
          <w:rFonts w:hint="eastAsia" w:ascii="宋体" w:hAnsi="宋体"/>
          <w:sz w:val="24"/>
        </w:rPr>
        <w:t>，并按要求将单证资料及时送达甲方</w:t>
      </w:r>
      <w:r>
        <w:rPr>
          <w:rFonts w:hint="eastAsia" w:ascii="宋体" w:hAnsi="宋体"/>
          <w:sz w:val="24"/>
          <w:lang w:val="en-US" w:eastAsia="zh-CN"/>
        </w:rPr>
        <w:t>及经纪人</w:t>
      </w:r>
      <w:r>
        <w:rPr>
          <w:rFonts w:hint="eastAsia" w:ascii="宋体" w:hAnsi="宋体"/>
          <w:sz w:val="24"/>
        </w:rPr>
        <w:t>相关人员,保证承保工作的高效完成。</w:t>
      </w:r>
      <w:r>
        <w:rPr>
          <w:rFonts w:hint="eastAsia" w:ascii="宋体" w:hAnsi="宋体"/>
          <w:sz w:val="24"/>
          <w:lang w:eastAsia="zh-CN"/>
        </w:rPr>
        <w:t>如未在</w:t>
      </w:r>
      <w:r>
        <w:rPr>
          <w:rFonts w:hint="eastAsia" w:ascii="宋体" w:hAnsi="宋体"/>
          <w:sz w:val="24"/>
          <w:lang w:val="en-US" w:eastAsia="zh-CN"/>
        </w:rPr>
        <w:t>1个工作日回复审批意见，视同甲方默认投保变更行为有效，甲方同意承担相关保险责任。</w:t>
      </w:r>
    </w:p>
    <w:p w14:paraId="7CF2AA76">
      <w:pPr>
        <w:pStyle w:val="35"/>
        <w:ind w:firstLine="480"/>
        <w:rPr>
          <w:rFonts w:hint="eastAsia" w:ascii="宋体" w:hAnsi="宋体"/>
          <w:sz w:val="24"/>
        </w:rPr>
      </w:pPr>
      <w:r>
        <w:rPr>
          <w:rFonts w:hint="eastAsia" w:ascii="宋体" w:hAnsi="宋体"/>
          <w:sz w:val="24"/>
        </w:rPr>
        <w:t>（二）定期联络机制</w:t>
      </w:r>
    </w:p>
    <w:p w14:paraId="5B8414E7">
      <w:pPr>
        <w:pStyle w:val="35"/>
        <w:ind w:firstLine="480"/>
        <w:rPr>
          <w:rFonts w:hint="eastAsia" w:ascii="宋体" w:hAnsi="宋体"/>
          <w:sz w:val="24"/>
        </w:rPr>
      </w:pPr>
      <w:r>
        <w:rPr>
          <w:rFonts w:hint="eastAsia" w:ascii="宋体" w:hAnsi="宋体"/>
          <w:sz w:val="24"/>
        </w:rPr>
        <w:t>1、定期联络机制：甲乙双方一致同意建立定期联络沟通机制，涉及具体保险合作领域的专项业务协商会议原则上每半年不小于1次，由甲乙双方合作团队确定。</w:t>
      </w:r>
    </w:p>
    <w:p w14:paraId="25DCD15E">
      <w:pPr>
        <w:pStyle w:val="35"/>
        <w:ind w:firstLine="480"/>
        <w:rPr>
          <w:rFonts w:hint="eastAsia" w:ascii="宋体" w:hAnsi="宋体"/>
          <w:sz w:val="24"/>
        </w:rPr>
      </w:pPr>
      <w:r>
        <w:rPr>
          <w:rFonts w:hint="eastAsia" w:ascii="宋体" w:hAnsi="宋体"/>
          <w:sz w:val="24"/>
        </w:rPr>
        <w:t>2、乙方协助甲方建立保险档案，便于保险情况查询及资金划拨，并不定期向甲方提供理赔情况的书面报告。</w:t>
      </w:r>
    </w:p>
    <w:p w14:paraId="049332AE">
      <w:pPr>
        <w:pStyle w:val="35"/>
        <w:ind w:firstLine="480"/>
        <w:rPr>
          <w:rFonts w:hint="eastAsia" w:ascii="宋体" w:hAnsi="宋体"/>
          <w:sz w:val="24"/>
        </w:rPr>
      </w:pPr>
      <w:r>
        <w:rPr>
          <w:rFonts w:hint="eastAsia" w:ascii="宋体" w:hAnsi="宋体"/>
          <w:sz w:val="24"/>
        </w:rPr>
        <w:t>（</w:t>
      </w:r>
      <w:r>
        <w:rPr>
          <w:rFonts w:hint="eastAsia" w:ascii="宋体" w:hAnsi="宋体"/>
          <w:sz w:val="24"/>
          <w:lang w:eastAsia="zh-CN"/>
        </w:rPr>
        <w:t>三</w:t>
      </w:r>
      <w:r>
        <w:rPr>
          <w:rFonts w:hint="eastAsia" w:ascii="宋体" w:hAnsi="宋体"/>
          <w:sz w:val="24"/>
        </w:rPr>
        <w:t>）</w:t>
      </w:r>
      <w:r>
        <w:rPr>
          <w:rFonts w:hint="eastAsia" w:ascii="宋体" w:hAnsi="宋体"/>
          <w:sz w:val="24"/>
          <w:lang w:eastAsia="zh-CN"/>
        </w:rPr>
        <w:t>理赔核算机制</w:t>
      </w:r>
    </w:p>
    <w:p w14:paraId="4F491EBA">
      <w:pPr>
        <w:pStyle w:val="35"/>
        <w:ind w:firstLine="480"/>
        <w:rPr>
          <w:rFonts w:hint="eastAsia" w:ascii="宋体" w:hAnsi="宋体"/>
          <w:b/>
          <w:bCs/>
          <w:sz w:val="24"/>
        </w:rPr>
      </w:pPr>
      <w:r>
        <w:rPr>
          <w:rFonts w:hint="eastAsia" w:ascii="宋体" w:hAnsi="宋体"/>
          <w:b/>
          <w:bCs/>
          <w:sz w:val="24"/>
        </w:rPr>
        <w:t>修复跟踪和定损理算</w:t>
      </w:r>
    </w:p>
    <w:p w14:paraId="329CBC52">
      <w:pPr>
        <w:pStyle w:val="35"/>
        <w:ind w:firstLine="480"/>
        <w:rPr>
          <w:rFonts w:hint="eastAsia" w:ascii="宋体" w:hAnsi="宋体"/>
          <w:sz w:val="24"/>
        </w:rPr>
      </w:pPr>
      <w:r>
        <w:rPr>
          <w:rFonts w:hint="eastAsia" w:ascii="宋体" w:hAnsi="宋体"/>
          <w:sz w:val="24"/>
        </w:rPr>
        <w:t>1）跟踪修复方案的论证及实施过程；</w:t>
      </w:r>
    </w:p>
    <w:p w14:paraId="575DF3AD">
      <w:pPr>
        <w:pStyle w:val="35"/>
        <w:ind w:firstLine="480"/>
        <w:rPr>
          <w:rFonts w:hint="eastAsia" w:ascii="宋体" w:hAnsi="宋体"/>
          <w:sz w:val="24"/>
        </w:rPr>
      </w:pPr>
      <w:r>
        <w:rPr>
          <w:rFonts w:hint="eastAsia" w:ascii="宋体" w:hAnsi="宋体"/>
          <w:sz w:val="24"/>
        </w:rPr>
        <w:t>2）搜集整理和修复相关的费用合同和单证；</w:t>
      </w:r>
    </w:p>
    <w:p w14:paraId="3184D777">
      <w:pPr>
        <w:pStyle w:val="35"/>
        <w:ind w:firstLine="480"/>
        <w:rPr>
          <w:rFonts w:hint="eastAsia" w:ascii="宋体" w:hAnsi="宋体"/>
          <w:sz w:val="24"/>
        </w:rPr>
      </w:pPr>
      <w:r>
        <w:rPr>
          <w:rFonts w:hint="eastAsia" w:ascii="宋体" w:hAnsi="宋体"/>
          <w:sz w:val="24"/>
        </w:rPr>
        <w:t>3）定损中应扣除与事故无关的维修项目费用；</w:t>
      </w:r>
    </w:p>
    <w:p w14:paraId="72E1418E">
      <w:pPr>
        <w:pStyle w:val="35"/>
        <w:ind w:firstLine="480"/>
        <w:rPr>
          <w:rFonts w:hint="eastAsia" w:ascii="宋体" w:hAnsi="宋体"/>
          <w:sz w:val="24"/>
        </w:rPr>
      </w:pPr>
      <w:r>
        <w:rPr>
          <w:rFonts w:hint="eastAsia" w:ascii="宋体" w:hAnsi="宋体"/>
          <w:sz w:val="24"/>
        </w:rPr>
        <w:t>4）对于加急调用的航材，应按正常维修费用予以核损；</w:t>
      </w:r>
    </w:p>
    <w:p w14:paraId="76F90549">
      <w:pPr>
        <w:pStyle w:val="35"/>
        <w:ind w:firstLine="480"/>
        <w:rPr>
          <w:rFonts w:hint="eastAsia" w:ascii="宋体" w:hAnsi="宋体"/>
          <w:sz w:val="24"/>
        </w:rPr>
      </w:pPr>
      <w:r>
        <w:rPr>
          <w:rFonts w:hint="eastAsia" w:ascii="宋体" w:hAnsi="宋体"/>
          <w:sz w:val="24"/>
        </w:rPr>
        <w:t>5）根据最新的税制改革，维修涉及的增值税应予以扣除。</w:t>
      </w:r>
    </w:p>
    <w:p w14:paraId="71C12347">
      <w:pPr>
        <w:pStyle w:val="35"/>
        <w:ind w:firstLine="480"/>
        <w:rPr>
          <w:rFonts w:hint="eastAsia" w:ascii="宋体" w:hAnsi="宋体"/>
          <w:sz w:val="24"/>
        </w:rPr>
      </w:pPr>
      <w:r>
        <w:rPr>
          <w:rFonts w:hint="eastAsia" w:ascii="宋体" w:hAnsi="宋体"/>
          <w:sz w:val="24"/>
        </w:rPr>
        <w:t>6）甲乙双方约定:</w:t>
      </w:r>
    </w:p>
    <w:p w14:paraId="400FC13C">
      <w:pPr>
        <w:pStyle w:val="35"/>
        <w:ind w:firstLine="480"/>
        <w:rPr>
          <w:rFonts w:hint="eastAsia" w:ascii="宋体" w:hAnsi="宋体"/>
          <w:sz w:val="24"/>
        </w:rPr>
      </w:pPr>
      <w:r>
        <w:rPr>
          <w:rFonts w:hint="eastAsia" w:ascii="宋体" w:hAnsi="宋体"/>
          <w:sz w:val="24"/>
        </w:rPr>
        <w:t>赔付金额=定损金额-免赔金额</w:t>
      </w:r>
    </w:p>
    <w:p w14:paraId="44DC5089">
      <w:pPr>
        <w:pStyle w:val="35"/>
        <w:ind w:firstLine="480"/>
        <w:rPr>
          <w:rFonts w:hint="eastAsia" w:ascii="宋体" w:hAnsi="宋体"/>
          <w:sz w:val="24"/>
        </w:rPr>
      </w:pPr>
      <w:r>
        <w:rPr>
          <w:rFonts w:hint="eastAsia" w:ascii="宋体" w:hAnsi="宋体"/>
          <w:sz w:val="24"/>
        </w:rPr>
        <w:t>释义：</w:t>
      </w:r>
    </w:p>
    <w:p w14:paraId="12571EAF">
      <w:pPr>
        <w:pStyle w:val="35"/>
        <w:ind w:firstLine="480"/>
        <w:rPr>
          <w:rFonts w:hint="eastAsia" w:ascii="宋体" w:hAnsi="宋体"/>
          <w:sz w:val="24"/>
          <w:lang w:val="en-US" w:eastAsia="zh-CN"/>
        </w:rPr>
      </w:pPr>
      <w:r>
        <w:rPr>
          <w:rFonts w:hint="eastAsia" w:ascii="宋体" w:hAnsi="宋体"/>
          <w:sz w:val="24"/>
        </w:rPr>
        <w:t>定损金额：</w:t>
      </w:r>
      <w:r>
        <w:rPr>
          <w:rFonts w:hint="eastAsia" w:ascii="宋体" w:hAnsi="宋体"/>
          <w:sz w:val="24"/>
          <w:lang w:val="en-US" w:eastAsia="zh-CN"/>
        </w:rPr>
        <w:t>以投保额为准,</w:t>
      </w:r>
      <w:r>
        <w:rPr>
          <w:rFonts w:hint="eastAsia" w:ascii="宋体" w:hAnsi="宋体"/>
          <w:sz w:val="24"/>
        </w:rPr>
        <w:t>客户进行报损，保险人核定损失</w:t>
      </w:r>
      <w:r>
        <w:rPr>
          <w:rFonts w:hint="eastAsia" w:ascii="宋体" w:hAnsi="宋体"/>
          <w:sz w:val="24"/>
          <w:lang w:val="en-US" w:eastAsia="zh-CN"/>
        </w:rPr>
        <w:t>,不应以设备使用年限作为折旧依据。</w:t>
      </w:r>
    </w:p>
    <w:p w14:paraId="3A63CC4D">
      <w:pPr>
        <w:pStyle w:val="35"/>
        <w:ind w:firstLine="480"/>
        <w:rPr>
          <w:rFonts w:hint="eastAsia" w:ascii="宋体" w:hAnsi="宋体"/>
          <w:sz w:val="24"/>
        </w:rPr>
      </w:pPr>
      <w:r>
        <w:rPr>
          <w:rFonts w:hint="eastAsia" w:ascii="宋体" w:hAnsi="宋体"/>
          <w:sz w:val="24"/>
        </w:rPr>
        <w:t>免赔额/免赔率：</w:t>
      </w:r>
      <w:r>
        <w:rPr>
          <w:rFonts w:hint="eastAsia" w:ascii="宋体" w:hAnsi="宋体"/>
          <w:sz w:val="24"/>
          <w:lang w:val="en-US" w:eastAsia="zh-CN"/>
        </w:rPr>
        <w:t>详见投标响应文件</w:t>
      </w:r>
    </w:p>
    <w:p w14:paraId="1E43BAEA">
      <w:pPr>
        <w:pStyle w:val="35"/>
        <w:ind w:firstLine="480"/>
        <w:rPr>
          <w:rFonts w:hint="eastAsia" w:ascii="宋体" w:hAnsi="宋体"/>
          <w:b/>
          <w:bCs/>
          <w:sz w:val="24"/>
        </w:rPr>
      </w:pPr>
      <w:r>
        <w:rPr>
          <w:rFonts w:hint="eastAsia" w:ascii="宋体" w:hAnsi="宋体"/>
          <w:b/>
          <w:bCs/>
          <w:sz w:val="24"/>
        </w:rPr>
        <w:t>十八、保险条款</w:t>
      </w:r>
    </w:p>
    <w:p w14:paraId="1CB60CD5">
      <w:pPr>
        <w:pStyle w:val="35"/>
        <w:ind w:firstLine="480"/>
        <w:jc w:val="center"/>
        <w:rPr>
          <w:rFonts w:hint="eastAsia" w:ascii="宋体" w:hAnsi="宋体"/>
          <w:b/>
          <w:bCs/>
          <w:sz w:val="24"/>
        </w:rPr>
      </w:pPr>
      <w:r>
        <w:rPr>
          <w:rFonts w:hint="eastAsia" w:ascii="宋体" w:hAnsi="宋体"/>
          <w:b/>
          <w:bCs/>
          <w:sz w:val="24"/>
        </w:rPr>
        <w:t>基本条款</w:t>
      </w:r>
    </w:p>
    <w:p w14:paraId="3B0CBABC">
      <w:pPr>
        <w:pStyle w:val="35"/>
        <w:ind w:firstLine="480"/>
        <w:jc w:val="center"/>
        <w:rPr>
          <w:rFonts w:hint="eastAsia" w:ascii="宋体" w:hAnsi="宋体"/>
          <w:b/>
          <w:bCs/>
          <w:sz w:val="24"/>
        </w:rPr>
      </w:pPr>
      <w:r>
        <w:rPr>
          <w:rFonts w:hint="eastAsia" w:ascii="宋体" w:hAnsi="宋体"/>
          <w:b/>
          <w:bCs/>
          <w:sz w:val="24"/>
        </w:rPr>
        <w:t>无人机机身及配套设备</w:t>
      </w:r>
      <w:r>
        <w:rPr>
          <w:rFonts w:hint="eastAsia" w:ascii="宋体" w:hAnsi="宋体"/>
          <w:b/>
          <w:bCs/>
          <w:sz w:val="24"/>
          <w:lang w:val="en-US" w:eastAsia="zh-CN"/>
        </w:rPr>
        <w:t>一切险</w:t>
      </w:r>
      <w:r>
        <w:rPr>
          <w:rFonts w:hint="eastAsia" w:ascii="宋体" w:hAnsi="宋体"/>
          <w:b/>
          <w:bCs/>
          <w:sz w:val="24"/>
        </w:rPr>
        <w:t>保险条款</w:t>
      </w:r>
    </w:p>
    <w:p w14:paraId="2E529764">
      <w:pPr>
        <w:pStyle w:val="35"/>
        <w:ind w:firstLine="480"/>
        <w:rPr>
          <w:rFonts w:hint="eastAsia" w:ascii="宋体" w:hAnsi="宋体"/>
          <w:sz w:val="24"/>
        </w:rPr>
      </w:pPr>
    </w:p>
    <w:p w14:paraId="0894FFBD">
      <w:pPr>
        <w:pStyle w:val="35"/>
        <w:ind w:left="0" w:leftChars="0" w:firstLine="0" w:firstLineChars="0"/>
        <w:rPr>
          <w:rFonts w:hint="eastAsia" w:ascii="宋体" w:hAnsi="宋体"/>
          <w:b/>
          <w:bCs/>
          <w:sz w:val="24"/>
        </w:rPr>
      </w:pPr>
      <w:r>
        <w:rPr>
          <w:rFonts w:hint="eastAsia"/>
          <w:b/>
          <w:bCs/>
          <w:sz w:val="24"/>
          <w:lang w:val="en-US" w:eastAsia="zh-CN"/>
        </w:rPr>
        <w:t>1.1</w:t>
      </w:r>
      <w:r>
        <w:rPr>
          <w:rFonts w:hint="eastAsia" w:ascii="宋体" w:hAnsi="宋体"/>
          <w:b/>
          <w:bCs/>
          <w:sz w:val="24"/>
        </w:rPr>
        <w:t>保障范围</w:t>
      </w:r>
    </w:p>
    <w:p w14:paraId="076371F0">
      <w:pPr>
        <w:pStyle w:val="35"/>
        <w:ind w:firstLine="480"/>
        <w:rPr>
          <w:rFonts w:hint="eastAsia" w:ascii="宋体" w:hAnsi="宋体"/>
          <w:sz w:val="24"/>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在保险期间内，由于保险单明细表所列保险标的发生意外事故造成保险标的的损失，保险人依本保险合同约定负责赔偿。</w:t>
      </w:r>
    </w:p>
    <w:p w14:paraId="3D21A38D">
      <w:pPr>
        <w:pStyle w:val="35"/>
        <w:ind w:firstLine="480"/>
        <w:rPr>
          <w:rFonts w:hint="eastAsia" w:ascii="宋体" w:hAnsi="宋体"/>
          <w:sz w:val="24"/>
        </w:rPr>
      </w:pPr>
      <w:r>
        <w:rPr>
          <w:rFonts w:hint="eastAsia" w:ascii="宋体" w:hAnsi="宋体"/>
          <w:sz w:val="24"/>
        </w:rPr>
        <w:t>保险事故发生后，被保险人为防止或减少保险标的的损失所支付的必要的、合理的费用，保险人按照本保险合同的约定也负责赔偿。</w:t>
      </w:r>
    </w:p>
    <w:p w14:paraId="3F527BB5">
      <w:pPr>
        <w:pStyle w:val="35"/>
        <w:ind w:left="0" w:leftChars="0" w:firstLine="0" w:firstLineChars="0"/>
        <w:rPr>
          <w:rFonts w:hint="eastAsia" w:ascii="宋体" w:hAnsi="宋体"/>
          <w:b/>
          <w:bCs/>
          <w:sz w:val="24"/>
        </w:rPr>
      </w:pPr>
      <w:r>
        <w:rPr>
          <w:rFonts w:hint="eastAsia"/>
          <w:b/>
          <w:bCs/>
          <w:sz w:val="24"/>
          <w:lang w:val="en-US" w:eastAsia="zh-CN"/>
        </w:rPr>
        <w:t>1.2</w:t>
      </w:r>
      <w:r>
        <w:rPr>
          <w:rFonts w:hint="eastAsia" w:ascii="宋体" w:hAnsi="宋体"/>
          <w:b/>
          <w:bCs/>
          <w:sz w:val="24"/>
        </w:rPr>
        <w:t>责任</w:t>
      </w:r>
      <w:r>
        <w:rPr>
          <w:rFonts w:hint="eastAsia" w:ascii="宋体" w:hAnsi="宋体"/>
          <w:b/>
          <w:bCs/>
          <w:sz w:val="24"/>
          <w:lang w:val="en-US" w:eastAsia="zh-CN"/>
        </w:rPr>
        <w:t>免除</w:t>
      </w:r>
    </w:p>
    <w:p w14:paraId="75B0D698">
      <w:pPr>
        <w:pStyle w:val="35"/>
        <w:ind w:firstLine="480"/>
        <w:rPr>
          <w:rFonts w:hint="eastAsia" w:ascii="宋体" w:hAnsi="宋体"/>
          <w:sz w:val="24"/>
        </w:rPr>
      </w:pPr>
      <w:r>
        <w:rPr>
          <w:rFonts w:hint="eastAsia" w:ascii="宋体" w:hAnsi="宋体"/>
          <w:sz w:val="24"/>
        </w:rPr>
        <w:t>下列原因造成的损失、费用，保险人不负责赔偿：</w:t>
      </w:r>
    </w:p>
    <w:p w14:paraId="4D4DAA1A">
      <w:pPr>
        <w:pStyle w:val="35"/>
        <w:ind w:firstLine="480"/>
        <w:rPr>
          <w:rFonts w:hint="eastAsia" w:ascii="宋体" w:hAnsi="宋体"/>
          <w:sz w:val="24"/>
        </w:rPr>
      </w:pPr>
      <w:r>
        <w:rPr>
          <w:rFonts w:hint="eastAsia" w:ascii="宋体" w:hAnsi="宋体"/>
          <w:sz w:val="24"/>
        </w:rPr>
        <w:t>（一）保险标的任何单元的自然磨损、渐进损坏、机械故障、内在缺陷或失灵；</w:t>
      </w:r>
    </w:p>
    <w:p w14:paraId="7FC78BF4">
      <w:pPr>
        <w:pStyle w:val="35"/>
        <w:ind w:firstLine="480"/>
        <w:rPr>
          <w:rFonts w:hint="eastAsia" w:ascii="宋体" w:hAnsi="宋体"/>
          <w:sz w:val="24"/>
        </w:rPr>
      </w:pPr>
      <w:r>
        <w:rPr>
          <w:rFonts w:hint="eastAsia" w:ascii="宋体" w:hAnsi="宋体"/>
          <w:sz w:val="24"/>
        </w:rPr>
        <w:t>（二）违反无人机的适航要求；</w:t>
      </w:r>
    </w:p>
    <w:p w14:paraId="2EAB8092">
      <w:pPr>
        <w:pStyle w:val="35"/>
        <w:ind w:firstLine="480"/>
        <w:rPr>
          <w:rFonts w:hint="eastAsia" w:ascii="宋体" w:hAnsi="宋体"/>
          <w:sz w:val="24"/>
        </w:rPr>
      </w:pPr>
      <w:r>
        <w:rPr>
          <w:rFonts w:hint="eastAsia" w:ascii="宋体" w:hAnsi="宋体"/>
          <w:sz w:val="24"/>
        </w:rPr>
        <w:t>（三）在未达到产品说明书所要求的飞行环境（包括但不限于气象、水文环境）及相关要求下使用、操控保险标的；</w:t>
      </w:r>
    </w:p>
    <w:p w14:paraId="74F50BC9">
      <w:pPr>
        <w:pStyle w:val="35"/>
        <w:ind w:firstLine="480"/>
        <w:rPr>
          <w:rFonts w:hint="eastAsia" w:ascii="宋体" w:hAnsi="宋体"/>
          <w:sz w:val="24"/>
        </w:rPr>
      </w:pPr>
      <w:r>
        <w:rPr>
          <w:rFonts w:hint="eastAsia" w:ascii="宋体" w:hAnsi="宋体"/>
          <w:sz w:val="24"/>
        </w:rPr>
        <w:t>（四）投保人、被保险人及其代表的故意、重大过失或犯罪行为；</w:t>
      </w:r>
    </w:p>
    <w:p w14:paraId="4EB8F79E">
      <w:pPr>
        <w:pStyle w:val="35"/>
        <w:ind w:firstLine="480"/>
        <w:rPr>
          <w:rFonts w:hint="eastAsia" w:ascii="宋体" w:hAnsi="宋体"/>
          <w:sz w:val="24"/>
        </w:rPr>
      </w:pPr>
      <w:r>
        <w:rPr>
          <w:rFonts w:hint="eastAsia" w:ascii="宋体" w:hAnsi="宋体"/>
          <w:sz w:val="24"/>
        </w:rPr>
        <w:t>（五）战争、敌对行动、军事行为、武装冲突、罢工、骚乱、暴动、恐怖活动；</w:t>
      </w:r>
    </w:p>
    <w:p w14:paraId="622DC785">
      <w:pPr>
        <w:pStyle w:val="35"/>
        <w:ind w:firstLine="480"/>
        <w:rPr>
          <w:rFonts w:hint="eastAsia" w:ascii="宋体" w:hAnsi="宋体"/>
          <w:sz w:val="24"/>
        </w:rPr>
      </w:pPr>
      <w:r>
        <w:rPr>
          <w:rFonts w:hint="eastAsia" w:ascii="宋体" w:hAnsi="宋体"/>
          <w:sz w:val="24"/>
        </w:rPr>
        <w:t>（六）核辐射、核爆炸、核污染及其他放射性污染；</w:t>
      </w:r>
    </w:p>
    <w:p w14:paraId="538A5A4D">
      <w:pPr>
        <w:pStyle w:val="35"/>
        <w:ind w:firstLine="480"/>
        <w:rPr>
          <w:rFonts w:hint="eastAsia" w:ascii="宋体" w:hAnsi="宋体"/>
          <w:sz w:val="24"/>
        </w:rPr>
      </w:pPr>
      <w:r>
        <w:rPr>
          <w:rFonts w:hint="eastAsia" w:ascii="宋体" w:hAnsi="宋体"/>
          <w:sz w:val="24"/>
        </w:rPr>
        <w:t>（七）噪音（不论人耳是否能听到）、振动、音震及其它相关现象，电子或电磁干扰；</w:t>
      </w:r>
    </w:p>
    <w:p w14:paraId="0870124F">
      <w:pPr>
        <w:pStyle w:val="35"/>
        <w:ind w:firstLine="480"/>
        <w:rPr>
          <w:rFonts w:hint="eastAsia" w:ascii="宋体" w:hAnsi="宋体"/>
          <w:sz w:val="24"/>
        </w:rPr>
      </w:pPr>
      <w:r>
        <w:rPr>
          <w:rFonts w:hint="eastAsia" w:ascii="宋体" w:hAnsi="宋体"/>
          <w:sz w:val="24"/>
        </w:rPr>
        <w:t>（八）实际的、宣称的有任何形式的石棉存在，或有任何其它含有或宣称含有石棉的物质或产品存在；</w:t>
      </w:r>
    </w:p>
    <w:p w14:paraId="28C6898D">
      <w:pPr>
        <w:pStyle w:val="35"/>
        <w:ind w:firstLine="480"/>
        <w:rPr>
          <w:rFonts w:hint="eastAsia" w:ascii="宋体" w:hAnsi="宋体"/>
          <w:sz w:val="24"/>
        </w:rPr>
      </w:pPr>
      <w:r>
        <w:rPr>
          <w:rFonts w:hint="eastAsia" w:ascii="宋体" w:hAnsi="宋体"/>
          <w:sz w:val="24"/>
        </w:rPr>
        <w:t>（九）任何计算机硬件、软件、集成电路、芯片或信息技术设备或系统（无论为被保险人还是第三方所有）不能准确或完全处理、交换或传输与任何年份、日期或时间变更有关的数据或信息。</w:t>
      </w:r>
    </w:p>
    <w:p w14:paraId="22A2CE21">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w:t>
      </w:r>
      <w:r>
        <w:rPr>
          <w:rFonts w:hint="eastAsia" w:ascii="宋体" w:hAnsi="宋体"/>
          <w:sz w:val="24"/>
        </w:rPr>
        <w:t>）在进行维修、检查或维护保养保险标的过程中或因任何后期改装保险标的造成保险标的的损失；</w:t>
      </w:r>
    </w:p>
    <w:p w14:paraId="4E676F96">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十一</w:t>
      </w:r>
      <w:r>
        <w:rPr>
          <w:rFonts w:hint="eastAsia" w:ascii="宋体" w:hAnsi="宋体"/>
          <w:sz w:val="24"/>
        </w:rPr>
        <w:t>）对于任何被修复或更换的单元，其大修费用与该单元已使用时间占该单元大修寿命的比例相乘，乘法计算结果所得的部分；</w:t>
      </w:r>
    </w:p>
    <w:p w14:paraId="32FFB1C7">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十二</w:t>
      </w:r>
      <w:r>
        <w:rPr>
          <w:rFonts w:hint="eastAsia" w:ascii="宋体" w:hAnsi="宋体"/>
          <w:sz w:val="24"/>
        </w:rPr>
        <w:t>）被保险人的间接损失；</w:t>
      </w:r>
    </w:p>
    <w:p w14:paraId="38B2A98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十三</w:t>
      </w:r>
      <w:r>
        <w:rPr>
          <w:rFonts w:hint="eastAsia" w:ascii="宋体" w:hAnsi="宋体"/>
          <w:sz w:val="24"/>
        </w:rPr>
        <w:t>）被保险人可以在其它保险合同项下获得赔付的索赔；</w:t>
      </w:r>
    </w:p>
    <w:p w14:paraId="65921C2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十四</w:t>
      </w:r>
      <w:r>
        <w:rPr>
          <w:rFonts w:hint="eastAsia" w:ascii="宋体" w:hAnsi="宋体"/>
          <w:sz w:val="24"/>
        </w:rPr>
        <w:t>）行政行为或司法行为造成的损失；</w:t>
      </w:r>
    </w:p>
    <w:p w14:paraId="28A23F80">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十五</w:t>
      </w:r>
      <w:r>
        <w:rPr>
          <w:rFonts w:hint="eastAsia" w:ascii="宋体" w:hAnsi="宋体"/>
          <w:sz w:val="24"/>
        </w:rPr>
        <w:t>）本保险单中载明的免赔额，或按本保险单中载明的免赔率计算的免赔额。</w:t>
      </w:r>
    </w:p>
    <w:p w14:paraId="5B7B452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十六</w:t>
      </w:r>
      <w:r>
        <w:rPr>
          <w:rFonts w:hint="eastAsia" w:ascii="宋体" w:hAnsi="宋体"/>
          <w:sz w:val="24"/>
        </w:rPr>
        <w:t>）保险标的由任何运送工具进行运输；</w:t>
      </w:r>
    </w:p>
    <w:p w14:paraId="587560E1">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十七</w:t>
      </w:r>
      <w:r>
        <w:rPr>
          <w:rFonts w:hint="eastAsia" w:ascii="宋体" w:hAnsi="宋体"/>
          <w:sz w:val="24"/>
        </w:rPr>
        <w:t>）保险标的失踪和丢失；</w:t>
      </w:r>
    </w:p>
    <w:p w14:paraId="7B2EB2FE">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十八</w:t>
      </w:r>
      <w:r>
        <w:rPr>
          <w:rFonts w:hint="eastAsia" w:ascii="宋体" w:hAnsi="宋体"/>
          <w:sz w:val="24"/>
        </w:rPr>
        <w:t>） 利用保险标的从事违法或违规活动，或用于保险单明细表声明用途之外的目的，造成保险标的的损失；</w:t>
      </w:r>
    </w:p>
    <w:p w14:paraId="4FB67547">
      <w:pPr>
        <w:pStyle w:val="35"/>
        <w:ind w:left="0" w:leftChars="0" w:firstLine="0" w:firstLineChars="0"/>
        <w:rPr>
          <w:rFonts w:hint="eastAsia" w:ascii="宋体" w:hAnsi="宋体"/>
          <w:sz w:val="24"/>
        </w:rPr>
      </w:pPr>
      <w:r>
        <w:rPr>
          <w:rFonts w:hint="eastAsia"/>
          <w:b/>
          <w:bCs/>
          <w:sz w:val="24"/>
          <w:lang w:val="en-US" w:eastAsia="zh-CN"/>
        </w:rPr>
        <w:t>1.3</w:t>
      </w:r>
      <w:r>
        <w:rPr>
          <w:rFonts w:hint="eastAsia" w:ascii="宋体" w:hAnsi="宋体"/>
          <w:b/>
          <w:bCs/>
          <w:sz w:val="24"/>
        </w:rPr>
        <w:t>免赔额（率）</w:t>
      </w:r>
      <w:r>
        <w:rPr>
          <w:rFonts w:hint="eastAsia" w:ascii="宋体" w:hAnsi="宋体"/>
          <w:sz w:val="24"/>
        </w:rPr>
        <w:t xml:space="preserve"> </w:t>
      </w:r>
    </w:p>
    <w:p w14:paraId="539994D4">
      <w:pPr>
        <w:pStyle w:val="35"/>
        <w:ind w:firstLine="480"/>
        <w:rPr>
          <w:rFonts w:hint="eastAsia" w:ascii="宋体" w:hAnsi="宋体"/>
          <w:sz w:val="24"/>
        </w:rPr>
      </w:pPr>
      <w:r>
        <w:rPr>
          <w:rFonts w:hint="eastAsia" w:ascii="宋体" w:hAnsi="宋体"/>
          <w:sz w:val="24"/>
        </w:rPr>
        <w:t>免赔额（率）由投保人与保险人在订立保险合同时协商确定，并在保险单中载明。</w:t>
      </w:r>
    </w:p>
    <w:p w14:paraId="6119BF87">
      <w:pPr>
        <w:pStyle w:val="35"/>
        <w:ind w:left="0" w:leftChars="0" w:firstLine="0" w:firstLineChars="0"/>
        <w:jc w:val="center"/>
        <w:rPr>
          <w:rFonts w:hint="eastAsia" w:ascii="宋体" w:hAnsi="宋体"/>
          <w:b/>
          <w:bCs/>
          <w:sz w:val="24"/>
        </w:rPr>
      </w:pPr>
      <w:r>
        <w:rPr>
          <w:rFonts w:hint="eastAsia" w:ascii="宋体" w:hAnsi="宋体"/>
          <w:b/>
          <w:bCs/>
          <w:sz w:val="24"/>
        </w:rPr>
        <w:t>无人机第三者责任保险条款</w:t>
      </w:r>
    </w:p>
    <w:p w14:paraId="645A9776">
      <w:pPr>
        <w:pStyle w:val="35"/>
        <w:ind w:left="0" w:leftChars="0" w:firstLine="0" w:firstLineChars="0"/>
        <w:rPr>
          <w:rFonts w:hint="eastAsia" w:ascii="宋体" w:hAnsi="宋体"/>
          <w:b/>
          <w:bCs/>
          <w:sz w:val="24"/>
        </w:rPr>
      </w:pPr>
      <w:r>
        <w:rPr>
          <w:rFonts w:hint="eastAsia" w:ascii="宋体" w:hAnsi="宋体"/>
          <w:b/>
          <w:bCs/>
          <w:sz w:val="24"/>
          <w:lang w:val="en-US" w:eastAsia="zh-CN"/>
        </w:rPr>
        <w:t>2.1</w:t>
      </w:r>
      <w:r>
        <w:rPr>
          <w:rFonts w:hint="eastAsia" w:ascii="宋体" w:hAnsi="宋体"/>
          <w:b/>
          <w:bCs/>
          <w:sz w:val="24"/>
        </w:rPr>
        <w:t>保障范围</w:t>
      </w:r>
    </w:p>
    <w:p w14:paraId="4BC62009">
      <w:pPr>
        <w:pStyle w:val="35"/>
        <w:ind w:firstLine="480"/>
        <w:rPr>
          <w:rFonts w:hint="eastAsia" w:ascii="宋体" w:hAnsi="宋体"/>
          <w:sz w:val="24"/>
        </w:rPr>
      </w:pPr>
      <w:r>
        <w:rPr>
          <w:rFonts w:hint="eastAsia" w:ascii="宋体" w:hAnsi="宋体"/>
          <w:sz w:val="24"/>
        </w:rPr>
        <w:t>在保险期间内，被保险人使用、操控保险单明细表所列航空无人机过程中，无人机发生意外事故，对于由无人机或从无人机上坠落的任何物品对第三者（不包括无人机操作人员）造成的人身伤亡或财产损失，而依照中华人民共和国法律（不包括港、澳、台地区法律）应由被保险人承担的经济赔偿责任，保险人依本保险合同约定负责赔偿。</w:t>
      </w:r>
    </w:p>
    <w:p w14:paraId="4B5F9977">
      <w:pPr>
        <w:pStyle w:val="35"/>
        <w:ind w:firstLine="480"/>
        <w:rPr>
          <w:rFonts w:hint="eastAsia" w:ascii="宋体" w:hAnsi="宋体"/>
          <w:sz w:val="24"/>
        </w:rPr>
      </w:pPr>
      <w:r>
        <w:rPr>
          <w:rFonts w:hint="eastAsia" w:ascii="宋体" w:hAnsi="宋体"/>
          <w:sz w:val="24"/>
        </w:rPr>
        <w:t>保险事故发生后，被保险人因保险事故而被提起仲裁或者诉讼的，对应由被保险人支付的仲裁或诉讼费用以及其它必要的、合理的法律费用（以下简称“法律费用”），由保险人承担。</w:t>
      </w:r>
    </w:p>
    <w:p w14:paraId="1EB028C4">
      <w:pPr>
        <w:pStyle w:val="35"/>
        <w:ind w:left="0" w:leftChars="0" w:firstLine="0" w:firstLineChars="0"/>
        <w:rPr>
          <w:rFonts w:hint="eastAsia" w:ascii="宋体" w:hAnsi="宋体"/>
          <w:b/>
          <w:bCs/>
          <w:sz w:val="24"/>
        </w:rPr>
      </w:pPr>
      <w:r>
        <w:rPr>
          <w:rFonts w:hint="eastAsia" w:ascii="宋体" w:hAnsi="宋体"/>
          <w:b/>
          <w:bCs/>
          <w:sz w:val="24"/>
          <w:lang w:val="en-US" w:eastAsia="zh-CN"/>
        </w:rPr>
        <w:t>2.2</w:t>
      </w:r>
      <w:r>
        <w:rPr>
          <w:rFonts w:hint="eastAsia" w:ascii="宋体" w:hAnsi="宋体"/>
          <w:b/>
          <w:bCs/>
          <w:sz w:val="24"/>
        </w:rPr>
        <w:t>责任免除</w:t>
      </w:r>
    </w:p>
    <w:p w14:paraId="5220486F">
      <w:pPr>
        <w:pStyle w:val="35"/>
        <w:ind w:firstLine="480"/>
        <w:rPr>
          <w:rFonts w:hint="eastAsia" w:ascii="宋体" w:hAnsi="宋体"/>
          <w:sz w:val="24"/>
        </w:rPr>
      </w:pPr>
      <w:r>
        <w:rPr>
          <w:rFonts w:hint="eastAsia" w:ascii="宋体" w:hAnsi="宋体"/>
          <w:sz w:val="24"/>
        </w:rPr>
        <w:t>下列原因造成的损失、费用和责任，保险人不负责赔偿：</w:t>
      </w:r>
    </w:p>
    <w:p w14:paraId="48664F1C">
      <w:pPr>
        <w:pStyle w:val="35"/>
        <w:ind w:firstLine="480"/>
        <w:rPr>
          <w:rFonts w:hint="eastAsia" w:ascii="宋体" w:hAnsi="宋体"/>
          <w:sz w:val="24"/>
        </w:rPr>
      </w:pPr>
      <w:r>
        <w:rPr>
          <w:rFonts w:hint="eastAsia" w:ascii="宋体" w:hAnsi="宋体"/>
          <w:sz w:val="24"/>
        </w:rPr>
        <w:t>（一）自然灾害；</w:t>
      </w:r>
    </w:p>
    <w:p w14:paraId="47FCF6AE">
      <w:pPr>
        <w:pStyle w:val="35"/>
        <w:ind w:firstLine="480"/>
        <w:rPr>
          <w:rFonts w:hint="eastAsia" w:ascii="宋体" w:hAnsi="宋体"/>
          <w:sz w:val="24"/>
        </w:rPr>
      </w:pPr>
      <w:r>
        <w:rPr>
          <w:rFonts w:hint="eastAsia" w:ascii="宋体" w:hAnsi="宋体"/>
          <w:sz w:val="24"/>
        </w:rPr>
        <w:t>（二）违反无人机的适航要求；</w:t>
      </w:r>
    </w:p>
    <w:p w14:paraId="5770CB01">
      <w:pPr>
        <w:pStyle w:val="35"/>
        <w:ind w:firstLine="480"/>
        <w:rPr>
          <w:rFonts w:hint="eastAsia" w:ascii="宋体" w:hAnsi="宋体"/>
          <w:sz w:val="24"/>
        </w:rPr>
      </w:pPr>
      <w:r>
        <w:rPr>
          <w:rFonts w:hint="eastAsia" w:ascii="宋体" w:hAnsi="宋体"/>
          <w:sz w:val="24"/>
        </w:rPr>
        <w:t>（三）利用保险飞行器从事违法或违规活动，或用于保险单明细表声明用途之外的目的；</w:t>
      </w:r>
    </w:p>
    <w:p w14:paraId="2730CC22">
      <w:pPr>
        <w:pStyle w:val="35"/>
        <w:ind w:firstLine="480"/>
        <w:rPr>
          <w:rFonts w:hint="eastAsia" w:ascii="宋体" w:hAnsi="宋体"/>
          <w:sz w:val="24"/>
        </w:rPr>
      </w:pPr>
      <w:r>
        <w:rPr>
          <w:rFonts w:hint="eastAsia" w:ascii="宋体" w:hAnsi="宋体"/>
          <w:sz w:val="24"/>
        </w:rPr>
        <w:t>（四）在未达到产品说明书所要求的飞行环境（包括但不限于气象、水文环境）及相关要求下使用、操控无人机；</w:t>
      </w:r>
    </w:p>
    <w:p w14:paraId="3BCCE107">
      <w:pPr>
        <w:pStyle w:val="35"/>
        <w:ind w:firstLine="480"/>
        <w:rPr>
          <w:rFonts w:hint="eastAsia" w:ascii="宋体" w:hAnsi="宋体"/>
          <w:sz w:val="24"/>
        </w:rPr>
      </w:pPr>
      <w:r>
        <w:rPr>
          <w:rFonts w:hint="eastAsia" w:ascii="宋体" w:hAnsi="宋体"/>
          <w:sz w:val="24"/>
        </w:rPr>
        <w:t>（五）投保人、被保险人及其代表的故意、重大过失或犯罪行为；</w:t>
      </w:r>
    </w:p>
    <w:p w14:paraId="7EF1FB07">
      <w:pPr>
        <w:pStyle w:val="35"/>
        <w:ind w:firstLine="480"/>
        <w:rPr>
          <w:rFonts w:hint="eastAsia" w:ascii="宋体" w:hAnsi="宋体"/>
          <w:sz w:val="24"/>
        </w:rPr>
      </w:pPr>
      <w:r>
        <w:rPr>
          <w:rFonts w:hint="eastAsia" w:ascii="宋体" w:hAnsi="宋体"/>
          <w:sz w:val="24"/>
        </w:rPr>
        <w:t>（六）战争、敌对行动、军事行为、武装冲突、罢工、骚乱、暴动、恐怖活动；</w:t>
      </w:r>
    </w:p>
    <w:p w14:paraId="1A408CCC">
      <w:pPr>
        <w:pStyle w:val="35"/>
        <w:ind w:firstLine="480"/>
        <w:rPr>
          <w:rFonts w:hint="eastAsia" w:ascii="宋体" w:hAnsi="宋体"/>
          <w:sz w:val="24"/>
        </w:rPr>
      </w:pPr>
      <w:r>
        <w:rPr>
          <w:rFonts w:hint="eastAsia" w:ascii="宋体" w:hAnsi="宋体"/>
          <w:sz w:val="24"/>
        </w:rPr>
        <w:t>（七）核辐射、核爆炸、核污染及其他放射性污染；</w:t>
      </w:r>
    </w:p>
    <w:p w14:paraId="22181E2E">
      <w:pPr>
        <w:pStyle w:val="35"/>
        <w:ind w:firstLine="480"/>
        <w:rPr>
          <w:rFonts w:hint="eastAsia" w:ascii="宋体" w:hAnsi="宋体"/>
          <w:sz w:val="24"/>
        </w:rPr>
      </w:pPr>
      <w:r>
        <w:rPr>
          <w:rFonts w:hint="eastAsia" w:ascii="宋体" w:hAnsi="宋体"/>
          <w:sz w:val="24"/>
        </w:rPr>
        <w:t>（八）噪音（不论人耳是否能听到）、振动、音震及其它相关现象，电子或电磁干扰；</w:t>
      </w:r>
    </w:p>
    <w:p w14:paraId="27796113">
      <w:pPr>
        <w:pStyle w:val="35"/>
        <w:ind w:firstLine="480"/>
        <w:rPr>
          <w:rFonts w:hint="eastAsia" w:ascii="宋体" w:hAnsi="宋体"/>
          <w:sz w:val="24"/>
        </w:rPr>
      </w:pPr>
      <w:r>
        <w:rPr>
          <w:rFonts w:hint="eastAsia" w:ascii="宋体" w:hAnsi="宋体"/>
          <w:sz w:val="24"/>
        </w:rPr>
        <w:t>（九）实际的、宣称的或威胁的有任何形式的石棉存在，或有任何其它含有或宣称含有石棉的物质或产品存在；</w:t>
      </w:r>
    </w:p>
    <w:p w14:paraId="0D4670C6">
      <w:pPr>
        <w:pStyle w:val="35"/>
        <w:ind w:firstLine="480"/>
        <w:rPr>
          <w:rFonts w:hint="eastAsia" w:ascii="宋体" w:hAnsi="宋体"/>
          <w:sz w:val="24"/>
        </w:rPr>
      </w:pPr>
      <w:r>
        <w:rPr>
          <w:rFonts w:hint="eastAsia" w:ascii="宋体" w:hAnsi="宋体"/>
          <w:sz w:val="24"/>
        </w:rPr>
        <w:t>（十）任何计算机硬件、软件、集成电路、芯片或信息技术设备或系统（无论为被保险人还是第三方所有）不能准确或完全处理、交换或传输与任何年份、日期或时间变更有关的数据或信息，不论该种情况是在该年份、日期或时间变更之前、之中还是之后。</w:t>
      </w:r>
    </w:p>
    <w:p w14:paraId="23897BB0">
      <w:pPr>
        <w:pStyle w:val="35"/>
        <w:ind w:firstLine="480"/>
        <w:rPr>
          <w:rFonts w:hint="eastAsia" w:ascii="宋体" w:hAnsi="宋体"/>
          <w:sz w:val="24"/>
        </w:rPr>
      </w:pPr>
      <w:r>
        <w:rPr>
          <w:rFonts w:hint="eastAsia" w:ascii="宋体" w:hAnsi="宋体"/>
          <w:sz w:val="24"/>
        </w:rPr>
        <w:t>（十一）被保险人或其业务合作伙伴的任何董事或雇员在其为被保险人工作或履行职责的期间所遭受的人身伤亡或财产损失；</w:t>
      </w:r>
    </w:p>
    <w:p w14:paraId="4120EDB2">
      <w:pPr>
        <w:pStyle w:val="35"/>
        <w:ind w:firstLine="480"/>
        <w:rPr>
          <w:rFonts w:hint="eastAsia" w:ascii="宋体" w:hAnsi="宋体"/>
          <w:sz w:val="24"/>
        </w:rPr>
      </w:pPr>
      <w:r>
        <w:rPr>
          <w:rFonts w:hint="eastAsia" w:ascii="宋体" w:hAnsi="宋体"/>
          <w:sz w:val="24"/>
        </w:rPr>
        <w:t>（十二）任何参与保险标的操作、飞行的人员所遭受的人身伤亡或财产损失；</w:t>
      </w:r>
    </w:p>
    <w:p w14:paraId="57487FDF">
      <w:pPr>
        <w:pStyle w:val="35"/>
        <w:ind w:firstLine="480"/>
        <w:rPr>
          <w:rFonts w:hint="eastAsia" w:ascii="宋体" w:hAnsi="宋体"/>
          <w:sz w:val="24"/>
        </w:rPr>
      </w:pPr>
      <w:r>
        <w:rPr>
          <w:rFonts w:hint="eastAsia" w:ascii="宋体" w:hAnsi="宋体"/>
          <w:sz w:val="24"/>
        </w:rPr>
        <w:t>（十三）被保险人拥有或由被保险人照看、保管或控制的财产损失或毁坏；</w:t>
      </w:r>
    </w:p>
    <w:p w14:paraId="2D7E71B8">
      <w:pPr>
        <w:pStyle w:val="35"/>
        <w:ind w:firstLine="480"/>
        <w:rPr>
          <w:rFonts w:hint="eastAsia" w:ascii="宋体" w:hAnsi="宋体"/>
          <w:sz w:val="24"/>
        </w:rPr>
      </w:pPr>
      <w:r>
        <w:rPr>
          <w:rFonts w:hint="eastAsia" w:ascii="宋体" w:hAnsi="宋体"/>
          <w:sz w:val="24"/>
        </w:rPr>
        <w:t>（十四）无人机在进行喷洒或空投作业时，喷洒物对第三者造成的人身伤亡和财产损失；</w:t>
      </w:r>
    </w:p>
    <w:p w14:paraId="17ABFEED">
      <w:pPr>
        <w:pStyle w:val="35"/>
        <w:ind w:firstLine="480"/>
        <w:rPr>
          <w:rFonts w:hint="eastAsia" w:ascii="宋体" w:hAnsi="宋体"/>
          <w:sz w:val="24"/>
        </w:rPr>
      </w:pPr>
      <w:r>
        <w:rPr>
          <w:rFonts w:hint="eastAsia" w:ascii="宋体" w:hAnsi="宋体"/>
          <w:sz w:val="24"/>
        </w:rPr>
        <w:t>（十五）自然磨损、渐进损坏、机械故障、内在缺陷或失灵；</w:t>
      </w:r>
    </w:p>
    <w:p w14:paraId="1FD48C32">
      <w:pPr>
        <w:pStyle w:val="35"/>
        <w:ind w:firstLine="480"/>
        <w:rPr>
          <w:rFonts w:hint="eastAsia" w:ascii="宋体" w:hAnsi="宋体"/>
          <w:sz w:val="24"/>
        </w:rPr>
      </w:pPr>
      <w:r>
        <w:rPr>
          <w:rFonts w:hint="eastAsia" w:ascii="宋体" w:hAnsi="宋体"/>
          <w:sz w:val="24"/>
        </w:rPr>
        <w:t>（十六）非人民法院以判决方式做出的精神损害赔偿，但保险人事先书面同意的不在此限；</w:t>
      </w:r>
    </w:p>
    <w:p w14:paraId="7FA54B30">
      <w:pPr>
        <w:pStyle w:val="35"/>
        <w:ind w:firstLine="480"/>
        <w:rPr>
          <w:rFonts w:hint="eastAsia" w:ascii="宋体" w:hAnsi="宋体"/>
          <w:sz w:val="24"/>
        </w:rPr>
      </w:pPr>
      <w:r>
        <w:rPr>
          <w:rFonts w:hint="eastAsia" w:ascii="宋体" w:hAnsi="宋体"/>
          <w:sz w:val="24"/>
        </w:rPr>
        <w:t>（十七）窃取他人数据所造成的损失及应当承担的赔偿责任；</w:t>
      </w:r>
    </w:p>
    <w:p w14:paraId="264A4397">
      <w:pPr>
        <w:pStyle w:val="35"/>
        <w:ind w:firstLine="480"/>
        <w:rPr>
          <w:rFonts w:hint="eastAsia" w:ascii="宋体" w:hAnsi="宋体"/>
          <w:sz w:val="24"/>
        </w:rPr>
      </w:pPr>
      <w:r>
        <w:rPr>
          <w:rFonts w:hint="eastAsia" w:ascii="宋体" w:hAnsi="宋体"/>
          <w:sz w:val="24"/>
        </w:rPr>
        <w:t>（十八）罚款、罚金及惩罚性赔偿；</w:t>
      </w:r>
    </w:p>
    <w:p w14:paraId="1F63623F">
      <w:pPr>
        <w:pStyle w:val="35"/>
        <w:ind w:firstLine="480"/>
        <w:rPr>
          <w:rFonts w:hint="eastAsia" w:ascii="宋体" w:hAnsi="宋体"/>
          <w:sz w:val="24"/>
        </w:rPr>
      </w:pPr>
      <w:r>
        <w:rPr>
          <w:rFonts w:hint="eastAsia" w:ascii="宋体" w:hAnsi="宋体"/>
          <w:sz w:val="24"/>
        </w:rPr>
        <w:t>（十九）被保险人及第三者的任何间接损失；</w:t>
      </w:r>
    </w:p>
    <w:p w14:paraId="25871170">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十）行政行为或司法行为造成的损失或损坏；</w:t>
      </w:r>
    </w:p>
    <w:p w14:paraId="1D93719F">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十一）本保险单中载明的免赔额，或按本保险单中载明的免赔率计算的免赔额。</w:t>
      </w:r>
    </w:p>
    <w:p w14:paraId="3A836DFD">
      <w:pPr>
        <w:pStyle w:val="35"/>
        <w:ind w:firstLine="480"/>
        <w:rPr>
          <w:rFonts w:hint="eastAsia" w:ascii="宋体" w:hAnsi="宋体"/>
          <w:sz w:val="24"/>
        </w:rPr>
      </w:pPr>
      <w:r>
        <w:rPr>
          <w:rFonts w:hint="eastAsia" w:ascii="宋体" w:hAnsi="宋体"/>
          <w:sz w:val="24"/>
        </w:rPr>
        <w:t>（</w:t>
      </w:r>
      <w:r>
        <w:rPr>
          <w:rFonts w:hint="eastAsia" w:ascii="宋体" w:hAnsi="宋体"/>
          <w:sz w:val="24"/>
          <w:lang w:val="en-US" w:eastAsia="zh-CN"/>
        </w:rPr>
        <w:t>二十二</w:t>
      </w:r>
      <w:r>
        <w:rPr>
          <w:rFonts w:hint="eastAsia" w:ascii="宋体" w:hAnsi="宋体"/>
          <w:sz w:val="24"/>
        </w:rPr>
        <w:t>）由任何运送工具进行运输时；</w:t>
      </w:r>
    </w:p>
    <w:p w14:paraId="2486A174">
      <w:pPr>
        <w:pStyle w:val="35"/>
        <w:ind w:firstLine="480"/>
        <w:rPr>
          <w:rFonts w:hint="eastAsia" w:ascii="宋体" w:hAnsi="宋体"/>
          <w:sz w:val="24"/>
        </w:rPr>
      </w:pPr>
      <w:r>
        <w:rPr>
          <w:rFonts w:hint="eastAsia" w:ascii="宋体" w:hAnsi="宋体"/>
          <w:sz w:val="24"/>
        </w:rPr>
        <w:t>（二</w:t>
      </w:r>
      <w:r>
        <w:rPr>
          <w:rFonts w:hint="eastAsia" w:ascii="宋体" w:hAnsi="宋体"/>
          <w:sz w:val="24"/>
          <w:lang w:val="en-US" w:eastAsia="zh-CN"/>
        </w:rPr>
        <w:t>十三</w:t>
      </w:r>
      <w:r>
        <w:rPr>
          <w:rFonts w:hint="eastAsia" w:ascii="宋体" w:hAnsi="宋体"/>
          <w:sz w:val="24"/>
        </w:rPr>
        <w:t>）侵犯个人隐私或者擅自闯入他人住所</w:t>
      </w:r>
    </w:p>
    <w:p w14:paraId="5B455D40">
      <w:pPr>
        <w:pStyle w:val="35"/>
        <w:ind w:left="0" w:leftChars="0" w:firstLine="0" w:firstLineChars="0"/>
        <w:rPr>
          <w:rFonts w:hint="eastAsia" w:ascii="宋体" w:hAnsi="宋体"/>
          <w:b/>
          <w:bCs/>
          <w:sz w:val="24"/>
        </w:rPr>
      </w:pPr>
      <w:r>
        <w:rPr>
          <w:rFonts w:hint="eastAsia" w:ascii="宋体" w:hAnsi="宋体"/>
          <w:b/>
          <w:bCs/>
          <w:sz w:val="24"/>
          <w:lang w:val="en-US" w:eastAsia="zh-CN"/>
        </w:rPr>
        <w:t>2.3</w:t>
      </w:r>
      <w:r>
        <w:rPr>
          <w:rFonts w:hint="eastAsia" w:ascii="宋体" w:hAnsi="宋体"/>
          <w:b/>
          <w:bCs/>
          <w:sz w:val="24"/>
        </w:rPr>
        <w:t>免赔额（率）</w:t>
      </w:r>
    </w:p>
    <w:p w14:paraId="5EE88278">
      <w:pPr>
        <w:pStyle w:val="35"/>
        <w:ind w:firstLine="480"/>
        <w:rPr>
          <w:rFonts w:hint="eastAsia" w:ascii="宋体" w:hAnsi="宋体"/>
          <w:sz w:val="24"/>
        </w:rPr>
      </w:pPr>
      <w:r>
        <w:rPr>
          <w:rFonts w:hint="eastAsia" w:ascii="宋体" w:hAnsi="宋体"/>
          <w:sz w:val="24"/>
        </w:rPr>
        <w:t>每次事故免赔额（率）由投保人与保险人在签订保险合同时协商确定，并在保险单中载明。</w:t>
      </w:r>
    </w:p>
    <w:p w14:paraId="23486FFE">
      <w:pPr>
        <w:pStyle w:val="35"/>
        <w:ind w:firstLine="480"/>
        <w:rPr>
          <w:rFonts w:hint="eastAsia" w:ascii="宋体" w:hAnsi="宋体"/>
          <w:sz w:val="24"/>
        </w:rPr>
      </w:pPr>
      <w:r>
        <w:rPr>
          <w:rFonts w:hint="eastAsia" w:ascii="宋体" w:hAnsi="宋体"/>
          <w:sz w:val="24"/>
        </w:rPr>
        <w:t>同时约定了免赔额和免赔率的，免赔金额以免赔额和按照免赔率计算的金额二者高者为准。</w:t>
      </w:r>
    </w:p>
    <w:p w14:paraId="3E0C7DF4">
      <w:pPr>
        <w:pStyle w:val="35"/>
        <w:ind w:firstLine="480"/>
        <w:rPr>
          <w:rFonts w:hint="eastAsia" w:ascii="宋体" w:hAnsi="宋体"/>
          <w:sz w:val="24"/>
        </w:rPr>
      </w:pPr>
      <w:r>
        <w:rPr>
          <w:rFonts w:hint="eastAsia" w:ascii="宋体" w:hAnsi="宋体"/>
          <w:sz w:val="24"/>
          <w:lang w:val="en-US" w:eastAsia="zh-CN"/>
        </w:rPr>
        <w:t xml:space="preserve">    </w:t>
      </w:r>
    </w:p>
    <w:p w14:paraId="2B3475D1">
      <w:pPr>
        <w:pStyle w:val="35"/>
        <w:ind w:left="0" w:leftChars="0" w:firstLine="0" w:firstLineChars="0"/>
        <w:rPr>
          <w:rFonts w:hint="eastAsia" w:ascii="宋体" w:hAnsi="宋体"/>
          <w:b/>
          <w:bCs/>
          <w:sz w:val="24"/>
          <w:lang w:val="en-US" w:eastAsia="zh-CN"/>
        </w:rPr>
      </w:pPr>
      <w:r>
        <w:rPr>
          <w:rFonts w:hint="eastAsia" w:ascii="宋体" w:hAnsi="宋体"/>
          <w:b/>
          <w:bCs/>
          <w:sz w:val="24"/>
          <w:lang w:val="en-US" w:eastAsia="zh-CN"/>
        </w:rPr>
        <w:t>3 定义</w:t>
      </w:r>
    </w:p>
    <w:p w14:paraId="68888901">
      <w:pPr>
        <w:pStyle w:val="35"/>
        <w:ind w:firstLine="480"/>
        <w:rPr>
          <w:rFonts w:hint="eastAsia" w:ascii="宋体" w:hAnsi="宋体"/>
          <w:sz w:val="24"/>
        </w:rPr>
      </w:pPr>
      <w:r>
        <w:rPr>
          <w:rFonts w:hint="eastAsia" w:ascii="宋体" w:hAnsi="宋体"/>
          <w:sz w:val="24"/>
        </w:rPr>
        <w:t>“意外事故”：指在保险合同有效期内发生的、非本意的、外来的、突发的、不可预料的、导致人身伤亡或财产损失的一次意外事件或一种连续的或反复的风险，这种人身伤亡或财产损失既不是被保险人所能预见和期望的，也不是故意所致。</w:t>
      </w:r>
    </w:p>
    <w:p w14:paraId="617CFFC0">
      <w:pPr>
        <w:pStyle w:val="35"/>
        <w:ind w:firstLine="480"/>
        <w:rPr>
          <w:rFonts w:hint="eastAsia" w:ascii="宋体" w:hAnsi="宋体"/>
          <w:sz w:val="24"/>
        </w:rPr>
      </w:pPr>
      <w:r>
        <w:rPr>
          <w:rFonts w:hint="eastAsia" w:ascii="宋体" w:hAnsi="宋体"/>
          <w:sz w:val="24"/>
        </w:rPr>
        <w:t>“单元”：指无人机上的一个或一组部件（包括其下属的全部附件），该部件或该组部件被作为一个整体规定了“大修寿命”。然而，发动机连同其在大修或更换时通常附于其上的全部附件，应当作为一个整体被视作一个单元。</w:t>
      </w:r>
    </w:p>
    <w:p w14:paraId="210993B2">
      <w:pPr>
        <w:pStyle w:val="35"/>
        <w:ind w:firstLine="480"/>
        <w:rPr>
          <w:rFonts w:hint="eastAsia" w:ascii="宋体" w:hAnsi="宋体"/>
          <w:sz w:val="24"/>
        </w:rPr>
      </w:pPr>
    </w:p>
    <w:p w14:paraId="654D09E2">
      <w:pPr>
        <w:pStyle w:val="35"/>
        <w:ind w:firstLine="480"/>
        <w:rPr>
          <w:rFonts w:hint="eastAsia" w:ascii="宋体" w:hAnsi="宋体"/>
          <w:sz w:val="24"/>
        </w:rPr>
      </w:pPr>
      <w:r>
        <w:rPr>
          <w:rFonts w:hint="eastAsia" w:ascii="宋体" w:hAnsi="宋体"/>
          <w:sz w:val="24"/>
        </w:rPr>
        <w:t>“大修寿命”：指根据适航管理当局的要求，决定一个“单元”何时必须进行检修或者更换的使用量、运行时间或日历时间。</w:t>
      </w:r>
    </w:p>
    <w:p w14:paraId="18405D2A">
      <w:pPr>
        <w:pStyle w:val="35"/>
        <w:ind w:firstLine="480"/>
        <w:rPr>
          <w:rFonts w:hint="eastAsia" w:ascii="宋体" w:hAnsi="宋体"/>
          <w:sz w:val="24"/>
        </w:rPr>
      </w:pPr>
      <w:r>
        <w:rPr>
          <w:rFonts w:hint="eastAsia" w:ascii="宋体" w:hAnsi="宋体"/>
          <w:sz w:val="24"/>
        </w:rPr>
        <w:t>“大修费用”：指在一个受损或类似的单元达到“大修寿命”后进行检修或更换（无论有必要进行检修还是更换）所产生或需要产生的人工及材料费用。</w:t>
      </w:r>
    </w:p>
    <w:p w14:paraId="71A6E886">
      <w:pPr>
        <w:pStyle w:val="35"/>
        <w:ind w:firstLine="480"/>
        <w:rPr>
          <w:rFonts w:hint="eastAsia" w:ascii="宋体" w:hAnsi="宋体"/>
          <w:sz w:val="24"/>
        </w:rPr>
      </w:pPr>
      <w:r>
        <w:rPr>
          <w:rFonts w:hint="eastAsia" w:ascii="宋体" w:hAnsi="宋体"/>
          <w:sz w:val="24"/>
        </w:rPr>
        <w:t>“飞行”：指从保险标的为起飞或试图起飞而向前移动或弹射开始，包括在空中飞行，直到其完成着陆滑跑或伞降的全部过程。对于螺旋翼无人机，只要其旋翼在发动机带动下或在发动机动能作用下旋转、或者旋翼处于自转状态下，都应被视作“飞行”。</w:t>
      </w:r>
    </w:p>
    <w:p w14:paraId="4D046C3F">
      <w:pPr>
        <w:pStyle w:val="35"/>
        <w:ind w:firstLine="480"/>
        <w:rPr>
          <w:rFonts w:hint="eastAsia" w:ascii="宋体" w:hAnsi="宋体"/>
          <w:sz w:val="24"/>
        </w:rPr>
      </w:pPr>
      <w:r>
        <w:rPr>
          <w:rFonts w:hint="eastAsia" w:ascii="宋体" w:hAnsi="宋体"/>
          <w:sz w:val="24"/>
        </w:rPr>
        <w:t>“无人机”: 指利用无线电遥控设备和自备的程序控制装置操纵的不载人飞机，包括保险单明细表列明的无人机机身及飞行控制系统、动力系统和通信系统等飞行所必须的设备和系统，但不包括用于完成指定任务且与飞行无关的机载设备，如拍摄设备、传感器和监控设备等。对于正被拆离或安装至飞机的部件，按下列标准应被视为无人机的一部分：</w:t>
      </w:r>
    </w:p>
    <w:p w14:paraId="456A55D2">
      <w:pPr>
        <w:pStyle w:val="35"/>
        <w:ind w:firstLine="480"/>
        <w:rPr>
          <w:rFonts w:hint="eastAsia" w:ascii="宋体" w:hAnsi="宋体"/>
          <w:sz w:val="24"/>
        </w:rPr>
      </w:pPr>
      <w:r>
        <w:rPr>
          <w:rFonts w:hint="eastAsia" w:ascii="宋体" w:hAnsi="宋体"/>
          <w:sz w:val="24"/>
        </w:rPr>
        <w:t>“拆卸过程中的部件”——直到该部件从无人机上拆卸的过程完毕并完全与无人机分离，且安全接触地面、平车或专用支架时止。</w:t>
      </w:r>
    </w:p>
    <w:p w14:paraId="6FFB928F">
      <w:pPr>
        <w:pStyle w:val="35"/>
        <w:ind w:firstLine="480"/>
        <w:rPr>
          <w:rFonts w:hint="eastAsia" w:ascii="宋体" w:hAnsi="宋体"/>
          <w:sz w:val="24"/>
        </w:rPr>
      </w:pPr>
      <w:r>
        <w:rPr>
          <w:rFonts w:hint="eastAsia" w:ascii="宋体" w:hAnsi="宋体"/>
          <w:sz w:val="24"/>
        </w:rPr>
        <w:t>“安装过程中的部件”——从将该部件安装到无人机上的过程开始，该部件脱离地面，平车或专用支架时起。</w:t>
      </w:r>
    </w:p>
    <w:p w14:paraId="3FBDA94D">
      <w:pPr>
        <w:pStyle w:val="35"/>
        <w:ind w:firstLine="480"/>
        <w:rPr>
          <w:rFonts w:hint="eastAsia" w:ascii="宋体" w:hAnsi="宋体"/>
          <w:sz w:val="24"/>
        </w:rPr>
      </w:pPr>
      <w:r>
        <w:rPr>
          <w:rFonts w:hint="eastAsia" w:ascii="宋体" w:hAnsi="宋体"/>
          <w:sz w:val="24"/>
        </w:rPr>
        <w:t>“适航”：无人机遵守管理当局发布的涉及保险标的安全运行的全部有关航空飞行和适航的法令和要求。</w:t>
      </w:r>
    </w:p>
    <w:p w14:paraId="5396491A">
      <w:pPr>
        <w:pStyle w:val="35"/>
        <w:ind w:firstLine="480"/>
        <w:rPr>
          <w:rFonts w:hint="eastAsia" w:ascii="宋体" w:hAnsi="宋体"/>
          <w:sz w:val="24"/>
        </w:rPr>
      </w:pPr>
      <w:r>
        <w:rPr>
          <w:rFonts w:hint="eastAsia" w:ascii="宋体" w:hAnsi="宋体"/>
          <w:sz w:val="24"/>
        </w:rPr>
        <w:t>“推定全损”：指被保险飞机发生保险事故后，飞机的修理费用加上施救费用及从事故地点运往修理地点及返回经营地的运输费用达到或超过保险金额的75%，这种情况下，保险人将按飞机全损赔付并扣除受损飞机的残值、保险合同约定的免赔额。飞机的残值可由保险人指定的专家确定或经保险双方协商认定。</w:t>
      </w:r>
    </w:p>
    <w:p w14:paraId="210D8455">
      <w:pPr>
        <w:pStyle w:val="35"/>
        <w:ind w:firstLine="480"/>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石棉存在</w:t>
      </w:r>
      <w:r>
        <w:rPr>
          <w:rFonts w:hint="eastAsia" w:ascii="宋体" w:hAnsi="宋体"/>
          <w:sz w:val="24"/>
        </w:rPr>
        <w:t>”：</w:t>
      </w:r>
      <w:r>
        <w:rPr>
          <w:rFonts w:hint="eastAsia" w:ascii="宋体" w:hAnsi="宋体"/>
          <w:sz w:val="24"/>
          <w:lang w:val="en-US" w:eastAsia="zh-CN"/>
        </w:rPr>
        <w:t>是指无人机及配套设备中含有石棉。</w:t>
      </w:r>
    </w:p>
    <w:p w14:paraId="0CF34BA7">
      <w:pPr>
        <w:pStyle w:val="35"/>
        <w:ind w:firstLine="480"/>
        <w:rPr>
          <w:rFonts w:hint="eastAsia" w:ascii="宋体" w:hAnsi="宋体"/>
          <w:sz w:val="24"/>
        </w:rPr>
      </w:pPr>
    </w:p>
    <w:p w14:paraId="3ECA5E60">
      <w:pPr>
        <w:pStyle w:val="35"/>
        <w:ind w:firstLine="480"/>
        <w:rPr>
          <w:rFonts w:hint="eastAsia" w:ascii="宋体" w:hAnsi="宋体"/>
          <w:sz w:val="24"/>
          <w:lang w:val="en-US" w:eastAsia="zh-CN"/>
        </w:rPr>
      </w:pPr>
      <w:r>
        <w:rPr>
          <w:rFonts w:hint="eastAsia" w:ascii="宋体" w:hAnsi="宋体"/>
          <w:sz w:val="24"/>
          <w:lang w:val="en-US" w:eastAsia="zh-CN"/>
        </w:rPr>
        <w:t>附件二：无人机及配套设备清单</w:t>
      </w:r>
    </w:p>
    <w:p w14:paraId="7E02C1C1">
      <w:pPr>
        <w:pStyle w:val="35"/>
        <w:ind w:firstLine="480"/>
      </w:pPr>
      <w:r>
        <w:rPr>
          <w:rFonts w:hint="eastAsia" w:ascii="宋体" w:hAnsi="宋体"/>
          <w:sz w:val="24"/>
          <w:lang w:val="en-US" w:eastAsia="zh-CN"/>
        </w:rPr>
        <w:t>附件三：大型无人机投保备件详细情况表</w:t>
      </w:r>
      <w:r>
        <w:rPr>
          <w:rFonts w:hint="eastAsia" w:ascii="宋体" w:hAnsi="宋体"/>
          <w:sz w:val="24"/>
        </w:rPr>
        <w:t>。</w:t>
      </w:r>
      <w:r>
        <w:br w:type="page"/>
      </w:r>
    </w:p>
    <w:p w14:paraId="5371E4C5">
      <w:pPr>
        <w:pStyle w:val="38"/>
      </w:pPr>
      <w:bookmarkStart w:id="107" w:name="_Toc25900"/>
      <w:r>
        <w:rPr>
          <w:rFonts w:hint="eastAsia"/>
        </w:rPr>
        <w:t>评审方法和标准</w:t>
      </w:r>
      <w:bookmarkEnd w:id="107"/>
    </w:p>
    <w:p w14:paraId="0D55EB73">
      <w:pPr>
        <w:pStyle w:val="37"/>
        <w:numPr>
          <w:ilvl w:val="1"/>
          <w:numId w:val="50"/>
        </w:numPr>
      </w:pPr>
      <w:bookmarkStart w:id="108" w:name="_Toc91"/>
      <w:r>
        <w:rPr>
          <w:rFonts w:hint="eastAsia"/>
        </w:rPr>
        <w:t>评审方法</w:t>
      </w:r>
      <w:bookmarkEnd w:id="108"/>
    </w:p>
    <w:p w14:paraId="25212164">
      <w:pPr>
        <w:pStyle w:val="35"/>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5"/>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5"/>
        <w:ind w:firstLine="480"/>
        <w:rPr>
          <w:rFonts w:hint="default"/>
          <w:b w:val="0"/>
          <w:bCs w:val="0"/>
          <w:color w:val="auto"/>
          <w:u w:val="none"/>
          <w:lang w:val="en-US" w:eastAsia="zh-Hans"/>
        </w:rPr>
      </w:pPr>
    </w:p>
    <w:p w14:paraId="62A89F7E">
      <w:pPr>
        <w:pStyle w:val="37"/>
        <w:numPr>
          <w:ilvl w:val="1"/>
          <w:numId w:val="50"/>
        </w:numPr>
        <w:rPr>
          <w:rFonts w:hint="eastAsia"/>
          <w:u w:val="single"/>
        </w:rPr>
      </w:pPr>
      <w:bookmarkStart w:id="109" w:name="_Toc26954"/>
      <w:r>
        <w:rPr>
          <w:rFonts w:hint="eastAsia"/>
          <w:lang w:val="en-US" w:eastAsia="zh-CN"/>
        </w:rPr>
        <w:t>评分标准</w:t>
      </w:r>
      <w:bookmarkEnd w:id="109"/>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
        <w:gridCol w:w="6761"/>
        <w:gridCol w:w="961"/>
        <w:gridCol w:w="3"/>
      </w:tblGrid>
      <w:tr w14:paraId="5B0A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66" w:type="pct"/>
            <w:gridSpan w:val="2"/>
            <w:tcBorders>
              <w:right w:val="single" w:color="000000" w:sz="4" w:space="0"/>
            </w:tcBorders>
            <w:shd w:val="clear" w:color="auto" w:fill="D7D7D7" w:themeFill="background1" w:themeFillShade="D8"/>
            <w:vAlign w:val="center"/>
          </w:tcPr>
          <w:p w14:paraId="34C9E5C1">
            <w:pPr>
              <w:pStyle w:val="35"/>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7" w:type="pct"/>
            <w:tcBorders>
              <w:left w:val="single" w:color="000000" w:sz="4" w:space="0"/>
              <w:right w:val="single" w:color="000000" w:sz="4" w:space="0"/>
            </w:tcBorders>
            <w:shd w:val="clear" w:color="auto" w:fill="D7D7D7" w:themeFill="background1" w:themeFillShade="D8"/>
            <w:vAlign w:val="center"/>
          </w:tcPr>
          <w:p w14:paraId="36015F70">
            <w:pPr>
              <w:pStyle w:val="35"/>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6" w:type="pct"/>
            <w:gridSpan w:val="2"/>
            <w:tcBorders>
              <w:left w:val="single" w:color="000000" w:sz="4" w:space="0"/>
            </w:tcBorders>
            <w:shd w:val="clear" w:color="auto" w:fill="D7D7D7" w:themeFill="background1" w:themeFillShade="D8"/>
            <w:vAlign w:val="center"/>
          </w:tcPr>
          <w:p w14:paraId="74444571">
            <w:pPr>
              <w:pStyle w:val="35"/>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0F43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20B6D45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4614274">
            <w:pPr>
              <w:pStyle w:val="35"/>
              <w:ind w:firstLine="0" w:firstLineChars="0"/>
              <w:jc w:val="left"/>
              <w:rPr>
                <w:rFonts w:cs="宋体"/>
                <w:b/>
                <w:bCs/>
                <w:szCs w:val="24"/>
              </w:rPr>
            </w:pPr>
            <w:r>
              <w:rPr>
                <w:rFonts w:hint="eastAsia" w:cs="宋体"/>
                <w:b/>
                <w:bCs/>
                <w:szCs w:val="24"/>
              </w:rPr>
              <w:t>项目需求分析评价</w:t>
            </w:r>
          </w:p>
          <w:p w14:paraId="17AA5799">
            <w:pPr>
              <w:pStyle w:val="35"/>
              <w:ind w:firstLine="0" w:firstLineChars="0"/>
              <w:rPr>
                <w:rFonts w:hint="eastAsia" w:cs="宋体"/>
                <w:szCs w:val="24"/>
                <w:lang w:eastAsia="zh-CN"/>
              </w:rPr>
            </w:pPr>
            <w:r>
              <w:rPr>
                <w:rFonts w:hint="eastAsia" w:cs="宋体"/>
                <w:szCs w:val="24"/>
                <w:lang w:eastAsia="zh-CN"/>
              </w:rPr>
              <w:t>供应商</w:t>
            </w:r>
            <w:r>
              <w:rPr>
                <w:rFonts w:hint="eastAsia" w:cs="宋体"/>
                <w:szCs w:val="24"/>
              </w:rPr>
              <w:t>对本</w:t>
            </w:r>
            <w:r>
              <w:rPr>
                <w:rFonts w:hint="eastAsia" w:cs="宋体"/>
                <w:szCs w:val="24"/>
                <w:lang w:val="en-US" w:eastAsia="zh-CN"/>
              </w:rPr>
              <w:t>项目</w:t>
            </w:r>
            <w:r>
              <w:rPr>
                <w:rFonts w:hint="eastAsia" w:cs="宋体"/>
                <w:szCs w:val="24"/>
              </w:rPr>
              <w:t>背景和</w:t>
            </w:r>
            <w:r>
              <w:rPr>
                <w:rFonts w:hint="eastAsia" w:cs="宋体"/>
                <w:szCs w:val="24"/>
                <w:lang w:eastAsia="zh-CN"/>
              </w:rPr>
              <w:t>目标</w:t>
            </w:r>
            <w:r>
              <w:rPr>
                <w:rFonts w:hint="eastAsia" w:cs="宋体"/>
                <w:szCs w:val="24"/>
              </w:rPr>
              <w:t>的了解程度，与</w:t>
            </w:r>
            <w:r>
              <w:rPr>
                <w:rFonts w:hint="eastAsia" w:cs="宋体"/>
                <w:szCs w:val="24"/>
                <w:lang w:eastAsia="zh-CN"/>
              </w:rPr>
              <w:t>采购人</w:t>
            </w:r>
            <w:r>
              <w:rPr>
                <w:rFonts w:hint="eastAsia" w:cs="宋体"/>
                <w:szCs w:val="24"/>
              </w:rPr>
              <w:t>需求吻合程度。</w:t>
            </w:r>
            <w:r>
              <w:rPr>
                <w:rFonts w:hint="eastAsia" w:cs="宋体"/>
                <w:szCs w:val="24"/>
                <w:lang w:eastAsia="zh-CN"/>
              </w:rPr>
              <w:t>分析</w:t>
            </w:r>
            <w:r>
              <w:rPr>
                <w:rFonts w:hint="eastAsia" w:cs="宋体"/>
                <w:szCs w:val="24"/>
              </w:rPr>
              <w:t>明确、详尽、业务熟悉、针对性强且</w:t>
            </w:r>
            <w:r>
              <w:rPr>
                <w:rFonts w:hint="eastAsia" w:cs="宋体"/>
                <w:szCs w:val="24"/>
                <w:lang w:eastAsia="zh-CN"/>
              </w:rPr>
              <w:t>可行性高</w:t>
            </w:r>
            <w:r>
              <w:rPr>
                <w:rFonts w:hint="eastAsia" w:cs="宋体"/>
                <w:szCs w:val="24"/>
              </w:rPr>
              <w:t>的得</w:t>
            </w:r>
            <w:r>
              <w:rPr>
                <w:rFonts w:hint="eastAsia" w:cs="宋体"/>
                <w:szCs w:val="24"/>
                <w:lang w:val="en-US" w:eastAsia="zh-CN"/>
              </w:rPr>
              <w:t>3</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1.5</w:t>
            </w:r>
            <w:r>
              <w:rPr>
                <w:rFonts w:hint="eastAsia" w:cs="宋体"/>
                <w:szCs w:val="24"/>
              </w:rPr>
              <w:t>分；</w:t>
            </w:r>
            <w:r>
              <w:rPr>
                <w:rFonts w:hint="eastAsia" w:cs="宋体"/>
                <w:color w:val="000000"/>
              </w:rPr>
              <w:t>未提供</w:t>
            </w:r>
            <w:r>
              <w:rPr>
                <w:rFonts w:hint="eastAsia" w:cs="宋体"/>
                <w:color w:val="000000"/>
                <w:lang w:eastAsia="zh-CN"/>
              </w:rPr>
              <w:t>或有缺陷影响项目实施的</w:t>
            </w:r>
            <w:r>
              <w:rPr>
                <w:rFonts w:hint="eastAsia" w:cs="宋体"/>
                <w:color w:val="000000"/>
              </w:rPr>
              <w:t>不得分</w:t>
            </w:r>
            <w:r>
              <w:rPr>
                <w:rFonts w:hint="eastAsia" w:cs="宋体"/>
                <w:szCs w:val="24"/>
                <w:lang w:eastAsia="zh-CN"/>
              </w:rPr>
              <w:t>。</w:t>
            </w:r>
          </w:p>
          <w:p w14:paraId="6BC08214">
            <w:pPr>
              <w:pStyle w:val="35"/>
              <w:ind w:firstLine="0" w:firstLineChars="0"/>
              <w:rPr>
                <w:rFonts w:hint="eastAsia" w:ascii="宋体" w:hAnsi="宋体" w:eastAsia="宋体" w:cs="宋体"/>
                <w:sz w:val="24"/>
                <w:szCs w:val="24"/>
                <w:lang w:val="en-US" w:eastAsia="zh-CN"/>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1A69AD5B">
            <w:pPr>
              <w:pStyle w:val="35"/>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3</w:t>
            </w:r>
          </w:p>
        </w:tc>
      </w:tr>
      <w:tr w14:paraId="0D4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6C4A4EA">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D38E708">
            <w:pPr>
              <w:pStyle w:val="35"/>
              <w:ind w:firstLine="0" w:firstLineChars="0"/>
              <w:jc w:val="left"/>
              <w:rPr>
                <w:rFonts w:cs="宋体"/>
                <w:b/>
                <w:bCs/>
                <w:szCs w:val="24"/>
              </w:rPr>
            </w:pPr>
            <w:r>
              <w:rPr>
                <w:rFonts w:hint="eastAsia" w:cs="宋体"/>
                <w:b/>
                <w:bCs/>
                <w:szCs w:val="24"/>
              </w:rPr>
              <w:t>重难点分析评价</w:t>
            </w:r>
          </w:p>
          <w:p w14:paraId="594EAB18">
            <w:pPr>
              <w:pStyle w:val="35"/>
              <w:ind w:firstLine="0" w:firstLineChars="0"/>
              <w:rPr>
                <w:rFonts w:hint="eastAsia" w:cs="宋体"/>
                <w:szCs w:val="24"/>
                <w:lang w:eastAsia="zh-CN"/>
              </w:rPr>
            </w:pPr>
            <w:r>
              <w:rPr>
                <w:rFonts w:hint="eastAsia" w:cs="宋体"/>
                <w:szCs w:val="24"/>
                <w:lang w:eastAsia="zh-CN"/>
              </w:rPr>
              <w:t>供应商对本项目的</w:t>
            </w:r>
            <w:r>
              <w:rPr>
                <w:rFonts w:hint="eastAsia" w:cs="宋体"/>
                <w:szCs w:val="24"/>
              </w:rPr>
              <w:t>重难点分析清楚准确到位，符合项目实际情况，对应的解决方法与措施合理可行，针对性强，具有可操作性的得</w:t>
            </w:r>
            <w:r>
              <w:rPr>
                <w:rFonts w:hint="eastAsia" w:cs="宋体"/>
                <w:szCs w:val="24"/>
                <w:lang w:val="en-US" w:eastAsia="zh-CN"/>
              </w:rPr>
              <w:t>3</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1.5</w:t>
            </w:r>
            <w:r>
              <w:rPr>
                <w:rFonts w:hint="eastAsia" w:cs="宋体"/>
                <w:szCs w:val="24"/>
              </w:rPr>
              <w:t>分；</w:t>
            </w:r>
            <w:r>
              <w:rPr>
                <w:rFonts w:hint="eastAsia" w:cs="宋体"/>
                <w:color w:val="000000"/>
              </w:rPr>
              <w:t>未提供</w:t>
            </w:r>
            <w:r>
              <w:rPr>
                <w:rFonts w:hint="eastAsia" w:cs="宋体"/>
                <w:color w:val="000000"/>
                <w:lang w:eastAsia="zh-CN"/>
              </w:rPr>
              <w:t>或有缺陷影响项目实施的</w:t>
            </w:r>
            <w:r>
              <w:rPr>
                <w:rFonts w:hint="eastAsia" w:cs="宋体"/>
                <w:color w:val="000000"/>
              </w:rPr>
              <w:t>不得分</w:t>
            </w:r>
            <w:r>
              <w:rPr>
                <w:rFonts w:hint="eastAsia" w:cs="宋体"/>
                <w:szCs w:val="24"/>
                <w:lang w:eastAsia="zh-CN"/>
              </w:rPr>
              <w:t>。</w:t>
            </w:r>
          </w:p>
          <w:p w14:paraId="3CEAADEB">
            <w:pPr>
              <w:pStyle w:val="35"/>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5E79E9FD">
            <w:pPr>
              <w:pStyle w:val="35"/>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3</w:t>
            </w:r>
          </w:p>
        </w:tc>
      </w:tr>
      <w:tr w14:paraId="20A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44FD0DB4">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32BEE22">
            <w:pPr>
              <w:pStyle w:val="35"/>
              <w:ind w:firstLine="0" w:firstLineChars="0"/>
              <w:rPr>
                <w:rFonts w:cs="宋体"/>
                <w:b/>
                <w:bCs/>
                <w:color w:val="auto"/>
                <w:szCs w:val="24"/>
              </w:rPr>
            </w:pPr>
            <w:r>
              <w:rPr>
                <w:rFonts w:hint="eastAsia" w:cs="宋体"/>
                <w:b/>
                <w:bCs/>
                <w:color w:val="auto"/>
                <w:szCs w:val="24"/>
                <w:lang w:eastAsia="zh-CN"/>
              </w:rPr>
              <w:t>项目组织</w:t>
            </w:r>
            <w:r>
              <w:rPr>
                <w:rFonts w:hint="eastAsia" w:cs="宋体"/>
                <w:b/>
                <w:bCs/>
                <w:color w:val="auto"/>
                <w:szCs w:val="24"/>
              </w:rPr>
              <w:t>实施</w:t>
            </w:r>
            <w:r>
              <w:rPr>
                <w:rFonts w:hint="eastAsia" w:cs="宋体"/>
                <w:b/>
                <w:bCs/>
                <w:color w:val="auto"/>
                <w:szCs w:val="24"/>
                <w:lang w:eastAsia="zh-CN"/>
              </w:rPr>
              <w:t>方案评价</w:t>
            </w:r>
          </w:p>
          <w:p w14:paraId="03660A3C">
            <w:pPr>
              <w:pStyle w:val="35"/>
              <w:ind w:firstLine="0" w:firstLineChars="0"/>
              <w:rPr>
                <w:rFonts w:hint="eastAsia" w:cs="宋体"/>
                <w:szCs w:val="24"/>
                <w:lang w:eastAsia="zh-CN"/>
              </w:rPr>
            </w:pPr>
            <w:r>
              <w:rPr>
                <w:rFonts w:hint="eastAsia" w:cs="宋体"/>
                <w:bCs/>
                <w:szCs w:val="24"/>
              </w:rPr>
              <w:t>实施方案应包含目标成果且与上述需求分析匹配度高，关联性强</w:t>
            </w:r>
            <w:r>
              <w:rPr>
                <w:rFonts w:hint="eastAsia" w:cs="宋体"/>
                <w:szCs w:val="24"/>
                <w:lang w:eastAsia="zh-CN"/>
              </w:rPr>
              <w:t>；</w:t>
            </w:r>
            <w:r>
              <w:rPr>
                <w:rFonts w:hint="eastAsia" w:cs="宋体"/>
                <w:bCs/>
                <w:szCs w:val="24"/>
              </w:rPr>
              <w:t>目标成果与采购需求完全匹配</w:t>
            </w:r>
            <w:r>
              <w:rPr>
                <w:rFonts w:hint="eastAsia" w:cs="宋体"/>
                <w:bCs/>
                <w:szCs w:val="24"/>
                <w:lang w:eastAsia="zh-CN"/>
              </w:rPr>
              <w:t>，</w:t>
            </w:r>
            <w:r>
              <w:rPr>
                <w:rFonts w:hint="eastAsia" w:cs="宋体"/>
                <w:szCs w:val="24"/>
                <w:lang w:eastAsia="zh-CN"/>
              </w:rPr>
              <w:t>方案内容完整、针对性强得</w:t>
            </w:r>
            <w:r>
              <w:rPr>
                <w:rFonts w:hint="eastAsia" w:cs="宋体"/>
                <w:szCs w:val="24"/>
                <w:lang w:val="en-US" w:eastAsia="zh-CN"/>
              </w:rPr>
              <w:t>3</w:t>
            </w:r>
            <w:r>
              <w:rPr>
                <w:rFonts w:hint="eastAsia" w:cs="宋体"/>
                <w:szCs w:val="24"/>
                <w:lang w:eastAsia="zh-CN"/>
              </w:rPr>
              <w:t>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1.5</w:t>
            </w:r>
            <w:r>
              <w:rPr>
                <w:rFonts w:hint="eastAsia" w:cs="宋体"/>
                <w:szCs w:val="24"/>
                <w:lang w:eastAsia="zh-CN"/>
              </w:rPr>
              <w:t>分；未提供或完全不符或存在缺陷影响项目实施的不得分。</w:t>
            </w:r>
          </w:p>
          <w:p w14:paraId="0AB20A0C">
            <w:pPr>
              <w:pStyle w:val="35"/>
              <w:ind w:firstLine="0" w:firstLineChars="0"/>
              <w:rPr>
                <w:rFonts w:hint="eastAsia" w:ascii="宋体" w:hAnsi="宋体" w:eastAsia="宋体" w:cs="宋体"/>
                <w:sz w:val="24"/>
                <w:szCs w:val="24"/>
                <w:lang w:val="en-US" w:eastAsia="zh-CN"/>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0B80DE75">
            <w:pPr>
              <w:pStyle w:val="35"/>
              <w:ind w:firstLine="0" w:firstLineChars="0"/>
              <w:jc w:val="center"/>
              <w:rPr>
                <w:rFonts w:hint="default" w:ascii="宋体" w:hAnsi="宋体" w:eastAsia="宋体" w:cs="宋体"/>
                <w:kern w:val="0"/>
                <w:sz w:val="24"/>
                <w:szCs w:val="24"/>
              </w:rPr>
            </w:pPr>
            <w:r>
              <w:rPr>
                <w:rFonts w:hint="eastAsia" w:cs="宋体"/>
                <w:color w:val="auto"/>
                <w:kern w:val="0"/>
                <w:szCs w:val="24"/>
                <w:lang w:val="en-US" w:eastAsia="zh-CN"/>
              </w:rPr>
              <w:t>3</w:t>
            </w:r>
          </w:p>
        </w:tc>
      </w:tr>
      <w:tr w14:paraId="606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8B2FEBC">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F0D46E5">
            <w:pPr>
              <w:pStyle w:val="35"/>
              <w:spacing w:line="360" w:lineRule="auto"/>
              <w:ind w:firstLine="0" w:firstLineChars="0"/>
              <w:rPr>
                <w:rFonts w:hint="eastAsia" w:ascii="宋体" w:hAnsi="宋体" w:eastAsia="宋体" w:cs="宋体"/>
                <w:b/>
                <w:bCs/>
                <w:sz w:val="24"/>
                <w:szCs w:val="24"/>
                <w:lang w:val="en-US" w:eastAsia="zh-Hans"/>
              </w:rPr>
            </w:pPr>
            <w:r>
              <w:rPr>
                <w:rFonts w:hint="eastAsia" w:cs="宋体"/>
                <w:b/>
                <w:bCs/>
                <w:sz w:val="24"/>
                <w:szCs w:val="24"/>
                <w:lang w:val="en-US" w:eastAsia="zh-CN"/>
              </w:rPr>
              <w:t>风险认知</w:t>
            </w:r>
            <w:r>
              <w:rPr>
                <w:rFonts w:hint="eastAsia" w:ascii="宋体" w:hAnsi="宋体" w:eastAsia="宋体" w:cs="宋体"/>
                <w:b/>
                <w:bCs/>
                <w:sz w:val="24"/>
                <w:szCs w:val="24"/>
                <w:lang w:val="en-US" w:eastAsia="zh-Hans"/>
              </w:rPr>
              <w:t>方案评价</w:t>
            </w:r>
          </w:p>
          <w:p w14:paraId="1875EA53">
            <w:pPr>
              <w:pStyle w:val="35"/>
              <w:ind w:firstLine="0" w:firstLineChars="0"/>
              <w:rPr>
                <w:rFonts w:hint="eastAsia" w:cs="宋体"/>
                <w:szCs w:val="24"/>
                <w:lang w:eastAsia="zh-CN"/>
              </w:rPr>
            </w:pPr>
            <w:r>
              <w:rPr>
                <w:rFonts w:hint="eastAsia" w:cs="宋体"/>
                <w:szCs w:val="24"/>
                <w:lang w:eastAsia="zh-CN"/>
              </w:rPr>
              <w:t>供应商对本项目的</w:t>
            </w:r>
            <w:r>
              <w:rPr>
                <w:rFonts w:hint="eastAsia" w:cs="宋体"/>
                <w:szCs w:val="24"/>
                <w:lang w:val="en-US" w:eastAsia="zh-CN"/>
              </w:rPr>
              <w:t>风险认知、风险</w:t>
            </w:r>
            <w:r>
              <w:rPr>
                <w:rFonts w:hint="eastAsia" w:cs="宋体"/>
                <w:szCs w:val="24"/>
              </w:rPr>
              <w:t>分析清楚准确到位，对应</w:t>
            </w:r>
            <w:r>
              <w:rPr>
                <w:rFonts w:hint="eastAsia" w:cs="宋体"/>
                <w:szCs w:val="24"/>
                <w:lang w:val="en-US" w:eastAsia="zh-CN"/>
              </w:rPr>
              <w:t>风险认知程度和</w:t>
            </w:r>
            <w:r>
              <w:rPr>
                <w:rFonts w:hint="eastAsia" w:cs="宋体"/>
                <w:szCs w:val="24"/>
              </w:rPr>
              <w:t>解决方法与措施可行，针对性强，具有可操作性的得</w:t>
            </w:r>
            <w:r>
              <w:rPr>
                <w:rFonts w:hint="eastAsia" w:cs="宋体"/>
                <w:szCs w:val="24"/>
                <w:lang w:val="en-US" w:eastAsia="zh-CN"/>
              </w:rPr>
              <w:t>2</w:t>
            </w:r>
            <w:r>
              <w:rPr>
                <w:rFonts w:hint="eastAsia" w:cs="宋体"/>
                <w:szCs w:val="24"/>
              </w:rPr>
              <w:t>分</w:t>
            </w:r>
            <w:r>
              <w:rPr>
                <w:rFonts w:hint="eastAsia" w:cs="宋体"/>
                <w:szCs w:val="24"/>
                <w:lang w:val="en-US" w:eastAsia="zh-CN"/>
              </w:rPr>
              <w:t>/条</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1</w:t>
            </w:r>
            <w:r>
              <w:rPr>
                <w:rFonts w:hint="eastAsia" w:cs="宋体"/>
                <w:szCs w:val="24"/>
              </w:rPr>
              <w:t>分</w:t>
            </w:r>
            <w:r>
              <w:rPr>
                <w:rFonts w:hint="eastAsia" w:cs="宋体"/>
                <w:szCs w:val="24"/>
                <w:lang w:val="en-US" w:eastAsia="zh-CN"/>
              </w:rPr>
              <w:t>/条</w:t>
            </w:r>
            <w:r>
              <w:rPr>
                <w:rFonts w:hint="eastAsia" w:cs="宋体"/>
                <w:szCs w:val="24"/>
              </w:rPr>
              <w:t>；</w:t>
            </w:r>
            <w:r>
              <w:rPr>
                <w:rFonts w:hint="eastAsia" w:cs="宋体"/>
                <w:color w:val="000000"/>
                <w:lang w:val="en-US" w:eastAsia="zh-CN"/>
              </w:rPr>
              <w:t>认知或解决方案</w:t>
            </w:r>
            <w:r>
              <w:rPr>
                <w:rFonts w:hint="eastAsia" w:cs="宋体"/>
                <w:color w:val="000000"/>
                <w:lang w:eastAsia="zh-CN"/>
              </w:rPr>
              <w:t>有缺陷</w:t>
            </w:r>
            <w:r>
              <w:rPr>
                <w:rFonts w:hint="eastAsia" w:cs="宋体"/>
                <w:color w:val="000000"/>
              </w:rPr>
              <w:t>未提供</w:t>
            </w:r>
            <w:r>
              <w:rPr>
                <w:rFonts w:hint="eastAsia" w:cs="宋体"/>
                <w:color w:val="000000"/>
                <w:lang w:eastAsia="zh-CN"/>
              </w:rPr>
              <w:t>的</w:t>
            </w:r>
            <w:r>
              <w:rPr>
                <w:rFonts w:hint="eastAsia" w:cs="宋体"/>
                <w:color w:val="000000"/>
              </w:rPr>
              <w:t>不得分</w:t>
            </w:r>
            <w:r>
              <w:rPr>
                <w:rFonts w:hint="eastAsia" w:cs="宋体"/>
                <w:szCs w:val="24"/>
                <w:lang w:eastAsia="zh-CN"/>
              </w:rPr>
              <w:t>。</w:t>
            </w:r>
          </w:p>
          <w:p w14:paraId="5F5CB8CF">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64134046">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4</w:t>
            </w:r>
          </w:p>
        </w:tc>
      </w:tr>
      <w:tr w14:paraId="0741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928C435">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4E8626FA">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防灾防损建议计划方案评价</w:t>
            </w:r>
          </w:p>
          <w:p w14:paraId="39062E6C">
            <w:pPr>
              <w:pStyle w:val="35"/>
              <w:ind w:firstLine="0" w:firstLineChars="0"/>
              <w:rPr>
                <w:rFonts w:hint="eastAsia" w:cs="宋体"/>
                <w:szCs w:val="24"/>
                <w:lang w:eastAsia="zh-CN"/>
              </w:rPr>
            </w:pPr>
            <w:r>
              <w:rPr>
                <w:rFonts w:hint="eastAsia" w:cs="宋体"/>
                <w:szCs w:val="24"/>
                <w:lang w:val="en-US" w:eastAsia="zh-CN"/>
              </w:rPr>
              <w:t>根据采购需求内容提供对应的防灾防损建议计划方案，方案内容</w:t>
            </w:r>
            <w:r>
              <w:rPr>
                <w:rFonts w:hint="eastAsia" w:cs="宋体"/>
                <w:szCs w:val="24"/>
              </w:rPr>
              <w:t>，针对性强，具有可操作性的得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color w:val="000000"/>
              </w:rPr>
              <w:t>未提供</w:t>
            </w:r>
            <w:r>
              <w:rPr>
                <w:rFonts w:hint="eastAsia" w:cs="宋体"/>
                <w:szCs w:val="24"/>
                <w:lang w:eastAsia="zh-CN"/>
              </w:rPr>
              <w:t>或完全不符</w:t>
            </w:r>
            <w:r>
              <w:rPr>
                <w:rFonts w:hint="eastAsia" w:cs="宋体"/>
                <w:szCs w:val="24"/>
                <w:lang w:val="en-US" w:eastAsia="zh-CN"/>
              </w:rPr>
              <w:t>或</w:t>
            </w:r>
            <w:r>
              <w:rPr>
                <w:rFonts w:hint="eastAsia" w:cs="宋体"/>
                <w:color w:val="000000"/>
                <w:lang w:eastAsia="zh-CN"/>
              </w:rPr>
              <w:t>有缺陷影响项目实施的</w:t>
            </w:r>
            <w:r>
              <w:rPr>
                <w:rFonts w:hint="eastAsia" w:cs="宋体"/>
                <w:color w:val="000000"/>
              </w:rPr>
              <w:t>不得分</w:t>
            </w:r>
            <w:r>
              <w:rPr>
                <w:rFonts w:hint="eastAsia" w:cs="宋体"/>
                <w:szCs w:val="24"/>
                <w:lang w:eastAsia="zh-CN"/>
              </w:rPr>
              <w:t>。</w:t>
            </w:r>
          </w:p>
          <w:p w14:paraId="16E6DF47">
            <w:pPr>
              <w:pStyle w:val="35"/>
              <w:spacing w:line="360" w:lineRule="auto"/>
              <w:ind w:firstLine="0" w:firstLineChars="0"/>
              <w:rPr>
                <w:rFonts w:hint="eastAsia" w:ascii="宋体" w:hAnsi="宋体" w:eastAsia="宋体" w:cs="宋体"/>
                <w:b/>
                <w:bCs/>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2E733531">
            <w:pPr>
              <w:pStyle w:val="35"/>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2CE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679D1164">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0B5F85F1">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承保服务计划方案评价</w:t>
            </w:r>
          </w:p>
          <w:p w14:paraId="01099665">
            <w:pPr>
              <w:pStyle w:val="35"/>
              <w:ind w:firstLine="0" w:firstLineChars="0"/>
              <w:rPr>
                <w:rFonts w:hint="eastAsia" w:cs="宋体"/>
                <w:szCs w:val="24"/>
                <w:lang w:eastAsia="zh-CN"/>
              </w:rPr>
            </w:pPr>
            <w:r>
              <w:rPr>
                <w:rFonts w:hint="eastAsia" w:ascii="宋体" w:hAnsi="宋体" w:eastAsia="宋体" w:cs="宋体"/>
                <w:sz w:val="24"/>
                <w:szCs w:val="24"/>
                <w:lang w:val="en-US" w:eastAsia="zh-Hans"/>
              </w:rPr>
              <w:t>根据</w:t>
            </w:r>
            <w:r>
              <w:rPr>
                <w:rFonts w:hint="eastAsia" w:cs="宋体"/>
                <w:sz w:val="24"/>
                <w:szCs w:val="24"/>
                <w:lang w:val="en-US" w:eastAsia="zh-CN"/>
              </w:rPr>
              <w:t>采购</w:t>
            </w:r>
            <w:r>
              <w:rPr>
                <w:rFonts w:hint="eastAsia" w:ascii="宋体" w:hAnsi="宋体" w:eastAsia="宋体" w:cs="宋体"/>
                <w:sz w:val="24"/>
                <w:szCs w:val="24"/>
                <w:lang w:val="en-US" w:eastAsia="zh-Hans"/>
              </w:rPr>
              <w:t>需求</w:t>
            </w:r>
            <w:r>
              <w:rPr>
                <w:rFonts w:hint="eastAsia" w:cs="宋体"/>
                <w:sz w:val="24"/>
                <w:szCs w:val="24"/>
                <w:lang w:val="en-US" w:eastAsia="zh-CN"/>
              </w:rPr>
              <w:t>内容</w:t>
            </w:r>
            <w:r>
              <w:rPr>
                <w:rFonts w:hint="eastAsia" w:ascii="宋体" w:hAnsi="宋体" w:eastAsia="宋体" w:cs="宋体"/>
                <w:sz w:val="24"/>
                <w:szCs w:val="24"/>
                <w:lang w:val="en-US" w:eastAsia="zh-Hans"/>
              </w:rPr>
              <w:t>提供保险条款组合方案及培训方案</w:t>
            </w:r>
            <w:r>
              <w:rPr>
                <w:rFonts w:hint="eastAsia" w:cs="宋体"/>
                <w:sz w:val="24"/>
                <w:szCs w:val="24"/>
                <w:lang w:val="en-US" w:eastAsia="zh-CN"/>
              </w:rPr>
              <w:t>，</w:t>
            </w:r>
            <w:r>
              <w:rPr>
                <w:rFonts w:hint="eastAsia" w:cs="宋体"/>
                <w:szCs w:val="24"/>
                <w:lang w:eastAsia="zh-CN"/>
              </w:rPr>
              <w:t>方案内容完整、针对性强得</w:t>
            </w:r>
            <w:r>
              <w:rPr>
                <w:rFonts w:hint="eastAsia" w:cs="宋体"/>
                <w:szCs w:val="24"/>
                <w:lang w:val="en-US" w:eastAsia="zh-CN"/>
              </w:rPr>
              <w:t>3</w:t>
            </w:r>
            <w:r>
              <w:rPr>
                <w:rFonts w:hint="eastAsia" w:cs="宋体"/>
                <w:szCs w:val="24"/>
                <w:lang w:eastAsia="zh-CN"/>
              </w:rPr>
              <w:t>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1.5</w:t>
            </w:r>
            <w:r>
              <w:rPr>
                <w:rFonts w:hint="eastAsia" w:cs="宋体"/>
                <w:szCs w:val="24"/>
                <w:lang w:eastAsia="zh-CN"/>
              </w:rPr>
              <w:t>分；未提供或完全不符或存在缺陷影响项目实施的不得分。</w:t>
            </w:r>
          </w:p>
          <w:p w14:paraId="30A66D0D">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7A5DEB28">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7C9A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5CB5C15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68D2ADDD">
            <w:pPr>
              <w:pStyle w:val="35"/>
              <w:spacing w:line="360" w:lineRule="auto"/>
              <w:ind w:firstLine="0" w:firstLineChars="0"/>
              <w:rPr>
                <w:rFonts w:hint="eastAsia" w:ascii="宋体" w:hAnsi="宋体" w:eastAsia="宋体" w:cs="宋体"/>
                <w:b/>
                <w:bCs/>
                <w:sz w:val="24"/>
                <w:szCs w:val="24"/>
                <w:lang w:val="en-US" w:eastAsia="zh-Hans"/>
              </w:rPr>
            </w:pPr>
            <w:r>
              <w:rPr>
                <w:rFonts w:hint="eastAsia" w:cs="宋体"/>
                <w:b/>
                <w:bCs/>
                <w:sz w:val="24"/>
                <w:szCs w:val="24"/>
                <w:lang w:val="en-US" w:eastAsia="zh-CN"/>
              </w:rPr>
              <w:t>理赔</w:t>
            </w:r>
            <w:r>
              <w:rPr>
                <w:rFonts w:hint="eastAsia" w:ascii="宋体" w:hAnsi="宋体" w:eastAsia="宋体" w:cs="宋体"/>
                <w:b/>
                <w:bCs/>
                <w:sz w:val="24"/>
                <w:szCs w:val="24"/>
                <w:lang w:val="en-US" w:eastAsia="zh-Hans"/>
              </w:rPr>
              <w:t>服务计划方案评价</w:t>
            </w:r>
          </w:p>
          <w:p w14:paraId="6251447C">
            <w:pPr>
              <w:pStyle w:val="35"/>
              <w:ind w:firstLine="0" w:firstLineChars="0"/>
              <w:rPr>
                <w:rFonts w:hint="eastAsia" w:cs="宋体"/>
                <w:sz w:val="24"/>
                <w:szCs w:val="24"/>
                <w:lang w:val="en-US" w:eastAsia="zh-CN"/>
              </w:rPr>
            </w:pPr>
            <w:r>
              <w:rPr>
                <w:rFonts w:hint="eastAsia" w:ascii="宋体" w:hAnsi="宋体" w:eastAsia="宋体" w:cs="宋体"/>
                <w:sz w:val="24"/>
                <w:szCs w:val="24"/>
                <w:lang w:val="en-US" w:eastAsia="zh-Hans"/>
              </w:rPr>
              <w:t>根据</w:t>
            </w:r>
            <w:r>
              <w:rPr>
                <w:rFonts w:hint="eastAsia" w:cs="宋体"/>
                <w:sz w:val="24"/>
                <w:szCs w:val="24"/>
                <w:lang w:val="en-US" w:eastAsia="zh-CN"/>
              </w:rPr>
              <w:t>采购</w:t>
            </w:r>
            <w:r>
              <w:rPr>
                <w:rFonts w:hint="eastAsia" w:ascii="宋体" w:hAnsi="宋体" w:eastAsia="宋体" w:cs="宋体"/>
                <w:sz w:val="24"/>
                <w:szCs w:val="24"/>
                <w:lang w:val="en-US" w:eastAsia="zh-Hans"/>
              </w:rPr>
              <w:t>需求</w:t>
            </w:r>
            <w:r>
              <w:rPr>
                <w:rFonts w:hint="eastAsia" w:cs="宋体"/>
                <w:sz w:val="24"/>
                <w:szCs w:val="24"/>
                <w:lang w:val="en-US" w:eastAsia="zh-CN"/>
              </w:rPr>
              <w:t>内容</w:t>
            </w:r>
            <w:r>
              <w:rPr>
                <w:rFonts w:hint="eastAsia" w:ascii="宋体" w:hAnsi="宋体" w:eastAsia="宋体" w:cs="宋体"/>
                <w:sz w:val="24"/>
                <w:szCs w:val="24"/>
                <w:lang w:val="en-US" w:eastAsia="zh-Hans"/>
              </w:rPr>
              <w:t>提供对保险理赔服务优化说明（包括不限于：优化保险理赔流程、简化手续、提高时效、新增理赔服务）</w:t>
            </w:r>
            <w:r>
              <w:rPr>
                <w:rFonts w:hint="eastAsia" w:cs="宋体"/>
                <w:sz w:val="24"/>
                <w:szCs w:val="24"/>
                <w:lang w:val="en-US" w:eastAsia="zh-CN"/>
              </w:rPr>
              <w:t>，其中</w:t>
            </w:r>
          </w:p>
          <w:p w14:paraId="696D5ADC">
            <w:pPr>
              <w:pStyle w:val="35"/>
              <w:numPr>
                <w:ilvl w:val="0"/>
                <w:numId w:val="52"/>
              </w:numPr>
              <w:ind w:firstLine="0" w:firstLineChars="0"/>
              <w:rPr>
                <w:rFonts w:hint="eastAsia" w:cs="宋体"/>
                <w:szCs w:val="24"/>
                <w:lang w:eastAsia="zh-CN"/>
              </w:rPr>
            </w:pPr>
            <w:r>
              <w:rPr>
                <w:rFonts w:hint="eastAsia" w:cs="宋体"/>
                <w:sz w:val="24"/>
                <w:szCs w:val="24"/>
                <w:lang w:val="en-US" w:eastAsia="zh-CN"/>
              </w:rPr>
              <w:t>“</w:t>
            </w:r>
            <w:r>
              <w:rPr>
                <w:rFonts w:hint="eastAsia" w:ascii="宋体" w:hAnsi="宋体" w:eastAsia="宋体" w:cs="宋体"/>
                <w:sz w:val="24"/>
                <w:szCs w:val="24"/>
                <w:lang w:val="en-US" w:eastAsia="zh-Hans"/>
              </w:rPr>
              <w:t>优化保险理赔流程、简化手续、提高时效</w:t>
            </w:r>
            <w:r>
              <w:rPr>
                <w:rFonts w:hint="eastAsia" w:ascii="宋体" w:hAnsi="宋体" w:eastAsia="宋体" w:cs="宋体"/>
                <w:sz w:val="24"/>
                <w:szCs w:val="24"/>
                <w:lang w:val="en-US" w:eastAsia="zh-CN"/>
              </w:rPr>
              <w:t>”</w:t>
            </w:r>
            <w:r>
              <w:rPr>
                <w:rFonts w:hint="eastAsia" w:cs="宋体"/>
                <w:szCs w:val="24"/>
                <w:lang w:eastAsia="zh-CN"/>
              </w:rPr>
              <w:t>方案内容完整、针对性强得</w:t>
            </w:r>
            <w:r>
              <w:rPr>
                <w:rFonts w:hint="eastAsia" w:cs="宋体"/>
                <w:szCs w:val="24"/>
                <w:lang w:val="en-US" w:eastAsia="zh-CN"/>
              </w:rPr>
              <w:t>2</w:t>
            </w:r>
            <w:r>
              <w:rPr>
                <w:rFonts w:hint="eastAsia" w:cs="宋体"/>
                <w:szCs w:val="24"/>
                <w:lang w:eastAsia="zh-CN"/>
              </w:rPr>
              <w:t>分</w:t>
            </w:r>
            <w:r>
              <w:rPr>
                <w:rFonts w:hint="eastAsia" w:cs="宋体"/>
                <w:szCs w:val="24"/>
                <w:lang w:val="en-US" w:eastAsia="zh-CN"/>
              </w:rPr>
              <w:t>/项</w:t>
            </w:r>
            <w:r>
              <w:rPr>
                <w:rFonts w:hint="eastAsia" w:cs="宋体"/>
                <w:szCs w:val="24"/>
                <w:lang w:eastAsia="zh-CN"/>
              </w:rPr>
              <w:t>；</w:t>
            </w:r>
            <w:r>
              <w:rPr>
                <w:rFonts w:hint="eastAsia" w:cs="宋体"/>
                <w:szCs w:val="24"/>
              </w:rPr>
              <w:t>内容有欠缺</w:t>
            </w:r>
            <w:r>
              <w:rPr>
                <w:rFonts w:hint="eastAsia" w:cs="宋体"/>
                <w:szCs w:val="24"/>
                <w:lang w:eastAsia="zh-CN"/>
              </w:rPr>
              <w:t>或没有针对性但不影响项目实施</w:t>
            </w:r>
            <w:r>
              <w:rPr>
                <w:rFonts w:hint="eastAsia" w:cs="宋体"/>
                <w:szCs w:val="24"/>
              </w:rPr>
              <w:t>的</w:t>
            </w:r>
            <w:r>
              <w:rPr>
                <w:rFonts w:hint="eastAsia" w:cs="宋体"/>
                <w:szCs w:val="24"/>
                <w:lang w:eastAsia="zh-CN"/>
              </w:rPr>
              <w:t>得</w:t>
            </w:r>
            <w:r>
              <w:rPr>
                <w:rFonts w:hint="eastAsia" w:cs="宋体"/>
                <w:szCs w:val="24"/>
                <w:lang w:val="en-US" w:eastAsia="zh-CN"/>
              </w:rPr>
              <w:t>1</w:t>
            </w:r>
            <w:r>
              <w:rPr>
                <w:rFonts w:hint="eastAsia" w:cs="宋体"/>
                <w:szCs w:val="24"/>
                <w:lang w:eastAsia="zh-CN"/>
              </w:rPr>
              <w:t>分</w:t>
            </w:r>
            <w:r>
              <w:rPr>
                <w:rFonts w:hint="eastAsia" w:cs="宋体"/>
                <w:szCs w:val="24"/>
                <w:lang w:val="en-US" w:eastAsia="zh-CN"/>
              </w:rPr>
              <w:t>/项</w:t>
            </w:r>
            <w:r>
              <w:rPr>
                <w:rFonts w:hint="eastAsia" w:cs="宋体"/>
                <w:szCs w:val="24"/>
                <w:lang w:eastAsia="zh-CN"/>
              </w:rPr>
              <w:t>；未提供或完全不符或存在缺陷影响项目实施的不得分。（</w:t>
            </w:r>
            <w:r>
              <w:rPr>
                <w:rFonts w:hint="eastAsia" w:cs="宋体"/>
                <w:szCs w:val="24"/>
                <w:lang w:val="en-US" w:eastAsia="zh-CN"/>
              </w:rPr>
              <w:t>本小项6分</w:t>
            </w:r>
            <w:r>
              <w:rPr>
                <w:rFonts w:hint="eastAsia" w:cs="宋体"/>
                <w:szCs w:val="24"/>
                <w:lang w:eastAsia="zh-CN"/>
              </w:rPr>
              <w:t>）</w:t>
            </w:r>
          </w:p>
          <w:p w14:paraId="41926398">
            <w:pPr>
              <w:pStyle w:val="35"/>
              <w:ind w:firstLine="0" w:firstLineChars="0"/>
              <w:rPr>
                <w:rFonts w:hint="eastAsia" w:cs="宋体"/>
                <w:szCs w:val="24"/>
                <w:lang w:eastAsia="zh-CN"/>
              </w:rPr>
            </w:pPr>
            <w:r>
              <w:rPr>
                <w:rFonts w:hint="eastAsia" w:cs="宋体"/>
                <w:sz w:val="24"/>
                <w:szCs w:val="24"/>
                <w:lang w:val="en-US" w:eastAsia="zh-CN"/>
              </w:rPr>
              <w:t>（2）“</w:t>
            </w:r>
            <w:r>
              <w:rPr>
                <w:rFonts w:hint="eastAsia" w:ascii="宋体" w:hAnsi="宋体" w:eastAsia="宋体" w:cs="宋体"/>
                <w:sz w:val="24"/>
                <w:szCs w:val="24"/>
                <w:lang w:val="en-US" w:eastAsia="zh-Hans"/>
              </w:rPr>
              <w:t>新增理赔服务</w:t>
            </w:r>
            <w:r>
              <w:rPr>
                <w:rFonts w:hint="eastAsia" w:ascii="宋体" w:hAnsi="宋体" w:eastAsia="宋体" w:cs="宋体"/>
                <w:sz w:val="24"/>
                <w:szCs w:val="24"/>
                <w:lang w:val="en-US" w:eastAsia="zh-CN"/>
              </w:rPr>
              <w:t>”每新增一项且</w:t>
            </w:r>
            <w:r>
              <w:rPr>
                <w:rFonts w:hint="eastAsia" w:cs="宋体"/>
                <w:szCs w:val="24"/>
                <w:lang w:eastAsia="zh-CN"/>
              </w:rPr>
              <w:t>方案内容完整、针对性强得</w:t>
            </w:r>
            <w:r>
              <w:rPr>
                <w:rFonts w:hint="eastAsia" w:cs="宋体"/>
                <w:szCs w:val="24"/>
                <w:lang w:val="en-US" w:eastAsia="zh-CN"/>
              </w:rPr>
              <w:t>1</w:t>
            </w:r>
            <w:r>
              <w:rPr>
                <w:rFonts w:hint="eastAsia" w:cs="宋体"/>
                <w:szCs w:val="24"/>
                <w:lang w:eastAsia="zh-CN"/>
              </w:rPr>
              <w:t>分</w:t>
            </w:r>
            <w:r>
              <w:rPr>
                <w:rFonts w:hint="eastAsia" w:cs="宋体"/>
                <w:szCs w:val="24"/>
                <w:lang w:val="en-US" w:eastAsia="zh-CN"/>
              </w:rPr>
              <w:t>/项</w:t>
            </w:r>
            <w:r>
              <w:rPr>
                <w:rFonts w:hint="eastAsia" w:cs="宋体"/>
                <w:szCs w:val="24"/>
                <w:lang w:eastAsia="zh-CN"/>
              </w:rPr>
              <w:t>；未提</w:t>
            </w:r>
            <w:r>
              <w:rPr>
                <w:rFonts w:hint="eastAsia" w:cs="宋体"/>
                <w:color w:val="auto"/>
                <w:szCs w:val="24"/>
                <w:lang w:eastAsia="zh-CN"/>
              </w:rPr>
              <w:t>供或</w:t>
            </w:r>
            <w:r>
              <w:rPr>
                <w:rFonts w:hint="eastAsia" w:cs="宋体"/>
                <w:color w:val="auto"/>
                <w:szCs w:val="24"/>
                <w:lang w:val="en-US" w:eastAsia="zh-CN"/>
              </w:rPr>
              <w:t>有欠缺</w:t>
            </w:r>
            <w:r>
              <w:rPr>
                <w:rFonts w:hint="eastAsia" w:cs="宋体"/>
                <w:color w:val="auto"/>
                <w:szCs w:val="24"/>
                <w:lang w:eastAsia="zh-CN"/>
              </w:rPr>
              <w:t>的</w:t>
            </w:r>
            <w:r>
              <w:rPr>
                <w:rFonts w:hint="eastAsia" w:cs="宋体"/>
                <w:color w:val="auto"/>
                <w:szCs w:val="24"/>
                <w:lang w:val="en-US" w:eastAsia="zh-CN"/>
              </w:rPr>
              <w:t>得0</w:t>
            </w:r>
            <w:r>
              <w:rPr>
                <w:rFonts w:hint="eastAsia" w:cs="宋体"/>
                <w:color w:val="auto"/>
                <w:szCs w:val="24"/>
                <w:lang w:eastAsia="zh-CN"/>
              </w:rPr>
              <w:t>分</w:t>
            </w:r>
            <w:r>
              <w:rPr>
                <w:rFonts w:hint="eastAsia" w:cs="宋体"/>
                <w:color w:val="auto"/>
                <w:szCs w:val="24"/>
                <w:lang w:val="en-US" w:eastAsia="zh-CN"/>
              </w:rPr>
              <w:t>/项</w:t>
            </w:r>
            <w:r>
              <w:rPr>
                <w:rFonts w:hint="eastAsia" w:cs="宋体"/>
                <w:color w:val="auto"/>
                <w:szCs w:val="24"/>
                <w:lang w:eastAsia="zh-CN"/>
              </w:rPr>
              <w:t>。（</w:t>
            </w:r>
            <w:r>
              <w:rPr>
                <w:rFonts w:hint="eastAsia" w:cs="宋体"/>
                <w:szCs w:val="24"/>
                <w:lang w:val="en-US" w:eastAsia="zh-CN"/>
              </w:rPr>
              <w:t>本小项3分</w:t>
            </w:r>
            <w:r>
              <w:rPr>
                <w:rFonts w:hint="eastAsia" w:cs="宋体"/>
                <w:szCs w:val="24"/>
                <w:lang w:eastAsia="zh-CN"/>
              </w:rPr>
              <w:t>）</w:t>
            </w:r>
          </w:p>
          <w:p w14:paraId="3AC3E5D0">
            <w:pPr>
              <w:pStyle w:val="35"/>
              <w:spacing w:line="360" w:lineRule="auto"/>
              <w:ind w:firstLine="0" w:firstLineChars="0"/>
              <w:rPr>
                <w:rFonts w:hint="default" w:ascii="宋体" w:hAnsi="宋体" w:eastAsia="宋体" w:cs="宋体"/>
                <w:b w:val="0"/>
                <w:bCs w:val="0"/>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51034600">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9</w:t>
            </w:r>
          </w:p>
        </w:tc>
      </w:tr>
      <w:tr w14:paraId="3B8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DAAB372">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52BE4B1">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服务</w:t>
            </w:r>
            <w:r>
              <w:rPr>
                <w:rFonts w:hint="eastAsia" w:ascii="宋体" w:hAnsi="宋体" w:eastAsia="宋体" w:cs="宋体"/>
                <w:b/>
                <w:bCs/>
                <w:sz w:val="24"/>
                <w:szCs w:val="24"/>
                <w:lang w:val="zh-CN" w:eastAsia="zh-CN"/>
              </w:rPr>
              <w:t>质量保证措施</w:t>
            </w:r>
            <w:r>
              <w:rPr>
                <w:rFonts w:hint="eastAsia" w:ascii="宋体" w:hAnsi="宋体" w:eastAsia="宋体" w:cs="宋体"/>
                <w:b/>
                <w:bCs/>
                <w:sz w:val="24"/>
                <w:szCs w:val="24"/>
                <w:lang w:val="en-US" w:eastAsia="zh-Hans"/>
              </w:rPr>
              <w:t>评价</w:t>
            </w:r>
          </w:p>
          <w:p w14:paraId="7FE49F3B">
            <w:pPr>
              <w:spacing w:line="360" w:lineRule="auto"/>
              <w:rPr>
                <w:rStyle w:val="94"/>
                <w:rFonts w:hint="eastAsia" w:cs="Times New Roman (正文 CS 字体)"/>
                <w:sz w:val="24"/>
                <w:szCs w:val="24"/>
              </w:rPr>
            </w:pPr>
            <w:r>
              <w:rPr>
                <w:rFonts w:hint="eastAsia" w:ascii="宋体" w:hAnsi="宋体" w:cs="宋体"/>
                <w:sz w:val="24"/>
                <w:szCs w:val="24"/>
              </w:rPr>
              <w:t>根据采购需求提供相关服务质量保证措施，措施全面、有效规范、可行性强的得</w:t>
            </w:r>
            <w:r>
              <w:rPr>
                <w:rFonts w:hint="eastAsia" w:ascii="宋体" w:hAnsi="宋体" w:cs="宋体"/>
                <w:sz w:val="24"/>
                <w:szCs w:val="24"/>
                <w:lang w:val="en-US" w:eastAsia="zh-CN"/>
              </w:rPr>
              <w:t>3</w:t>
            </w:r>
            <w:r>
              <w:rPr>
                <w:rFonts w:hint="eastAsia" w:ascii="宋体" w:hAnsi="宋体" w:cs="宋体"/>
                <w:sz w:val="24"/>
                <w:szCs w:val="24"/>
              </w:rPr>
              <w:t>分；措施内容有欠缺</w:t>
            </w:r>
            <w:r>
              <w:rPr>
                <w:rFonts w:hint="eastAsia" w:ascii="宋体" w:cs="宋体"/>
                <w:sz w:val="24"/>
                <w:szCs w:val="24"/>
              </w:rPr>
              <w:t>但不影响项目实施的</w:t>
            </w:r>
            <w:r>
              <w:rPr>
                <w:rFonts w:hint="eastAsia" w:ascii="宋体" w:hAnsi="宋体" w:cs="宋体"/>
                <w:sz w:val="24"/>
                <w:szCs w:val="24"/>
              </w:rPr>
              <w:t>得</w:t>
            </w:r>
            <w:r>
              <w:rPr>
                <w:rFonts w:hint="eastAsia" w:ascii="宋体" w:hAnsi="宋体" w:cs="宋体"/>
                <w:sz w:val="24"/>
                <w:szCs w:val="24"/>
                <w:lang w:val="en-US" w:eastAsia="zh-CN"/>
              </w:rPr>
              <w:t>1.5</w:t>
            </w:r>
            <w:r>
              <w:rPr>
                <w:rFonts w:hint="eastAsia" w:ascii="宋体" w:hAnsi="宋体" w:cs="宋体"/>
                <w:sz w:val="24"/>
                <w:szCs w:val="24"/>
              </w:rPr>
              <w:t>分；</w:t>
            </w:r>
            <w:r>
              <w:rPr>
                <w:rStyle w:val="94"/>
                <w:rFonts w:hint="eastAsia" w:cs="Times New Roman (正文 CS 字体)"/>
                <w:sz w:val="24"/>
                <w:szCs w:val="24"/>
              </w:rPr>
              <w:t>未提供</w:t>
            </w:r>
            <w:r>
              <w:rPr>
                <w:rStyle w:val="94"/>
                <w:rFonts w:hint="eastAsia" w:cs="Times New Roman (正文 CS 字体)"/>
                <w:sz w:val="24"/>
                <w:szCs w:val="24"/>
                <w:lang w:eastAsia="zh-CN"/>
              </w:rPr>
              <w:t>或有缺陷影响项目实施的</w:t>
            </w:r>
            <w:r>
              <w:rPr>
                <w:rStyle w:val="94"/>
                <w:rFonts w:hint="eastAsia" w:cs="Times New Roman (正文 CS 字体)"/>
                <w:sz w:val="24"/>
                <w:szCs w:val="24"/>
              </w:rPr>
              <w:t>不得分。</w:t>
            </w:r>
          </w:p>
          <w:p w14:paraId="215A8785">
            <w:pPr>
              <w:spacing w:line="360" w:lineRule="auto"/>
              <w:rPr>
                <w:rFonts w:hint="eastAsia" w:ascii="宋体" w:hAnsi="宋体" w:eastAsia="宋体" w:cs="宋体"/>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4E87DE15">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7648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35726DB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A3C0F17">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1EA955BA">
            <w:pPr>
              <w:pStyle w:val="35"/>
              <w:ind w:firstLine="0" w:firstLineChars="0"/>
              <w:rPr>
                <w:rFonts w:hint="eastAsia" w:cs="宋体"/>
                <w:color w:val="auto"/>
                <w:szCs w:val="24"/>
                <w:lang w:eastAsia="zh-CN"/>
              </w:rPr>
            </w:pPr>
            <w:r>
              <w:rPr>
                <w:rFonts w:hint="eastAsia" w:cs="宋体"/>
                <w:color w:val="auto"/>
                <w:szCs w:val="24"/>
                <w:lang w:eastAsia="zh-CN"/>
              </w:rPr>
              <w:t>措施详尽</w:t>
            </w:r>
            <w:r>
              <w:rPr>
                <w:rFonts w:hint="eastAsia" w:cs="宋体"/>
                <w:color w:val="auto"/>
                <w:szCs w:val="24"/>
              </w:rPr>
              <w:t>明确、针对性强且</w:t>
            </w:r>
            <w:r>
              <w:rPr>
                <w:rFonts w:hint="eastAsia" w:cs="宋体"/>
                <w:color w:val="auto"/>
                <w:szCs w:val="24"/>
                <w:lang w:eastAsia="zh-CN"/>
              </w:rPr>
              <w:t>可行性程度高</w:t>
            </w:r>
            <w:r>
              <w:rPr>
                <w:rFonts w:hint="eastAsia" w:cs="宋体"/>
                <w:color w:val="auto"/>
                <w:szCs w:val="24"/>
              </w:rPr>
              <w:t>的得</w:t>
            </w:r>
            <w:r>
              <w:rPr>
                <w:rFonts w:hint="eastAsia" w:cs="宋体"/>
                <w:color w:val="auto"/>
                <w:szCs w:val="24"/>
                <w:lang w:val="en-US" w:eastAsia="zh-CN"/>
              </w:rPr>
              <w:t>3</w:t>
            </w:r>
            <w:r>
              <w:rPr>
                <w:rFonts w:hint="eastAsia" w:cs="宋体"/>
                <w:color w:val="auto"/>
                <w:szCs w:val="24"/>
              </w:rPr>
              <w:t>分；</w:t>
            </w:r>
            <w:r>
              <w:rPr>
                <w:rFonts w:hint="eastAsia" w:cs="宋体"/>
                <w:color w:val="auto"/>
                <w:szCs w:val="24"/>
                <w:lang w:eastAsia="zh-CN"/>
              </w:rPr>
              <w:t>没有针对性或内容有缺陷但不影响项目实施的得</w:t>
            </w:r>
            <w:r>
              <w:rPr>
                <w:rFonts w:hint="eastAsia" w:cs="宋体"/>
                <w:color w:val="auto"/>
                <w:szCs w:val="24"/>
                <w:lang w:val="en-US" w:eastAsia="zh-CN"/>
              </w:rPr>
              <w:t>1.5</w:t>
            </w:r>
            <w:r>
              <w:rPr>
                <w:rFonts w:hint="eastAsia" w:cs="宋体"/>
                <w:color w:val="auto"/>
                <w:szCs w:val="24"/>
                <w:lang w:eastAsia="zh-CN"/>
              </w:rPr>
              <w:t>分；未提供或完全不符或存在缺陷影响项目实施的不得分。</w:t>
            </w:r>
          </w:p>
          <w:p w14:paraId="1701833E">
            <w:pPr>
              <w:pStyle w:val="35"/>
              <w:spacing w:line="360" w:lineRule="auto"/>
              <w:ind w:firstLine="0" w:firstLineChars="0"/>
              <w:rPr>
                <w:rFonts w:hint="eastAsia" w:ascii="宋体" w:hAnsi="宋体" w:eastAsia="宋体" w:cs="宋体"/>
                <w:sz w:val="24"/>
                <w:szCs w:val="24"/>
                <w:lang w:val="en-US" w:eastAsia="zh-Hans"/>
              </w:rPr>
            </w:pPr>
            <w:r>
              <w:rPr>
                <w:rFonts w:hint="eastAsia"/>
                <w:lang w:val="en-US" w:eastAsia="zh-CN"/>
              </w:rPr>
              <w:t>说明：</w:t>
            </w:r>
            <w:r>
              <w:rPr>
                <w:rFonts w:hint="eastAsia"/>
              </w:rPr>
              <w:t>内容有欠缺</w:t>
            </w:r>
            <w:r>
              <w:rPr>
                <w:rFonts w:hint="eastAsia"/>
                <w:lang w:eastAsia="zh-CN"/>
              </w:rPr>
              <w:t>或没有针对性</w:t>
            </w:r>
            <w:r>
              <w:rPr>
                <w:rFonts w:hint="eastAsia"/>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4C53B93C">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2BA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E66D0C9">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AD233CD">
            <w:pPr>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售后服务</w:t>
            </w:r>
            <w:r>
              <w:rPr>
                <w:rFonts w:hint="eastAsia" w:ascii="宋体" w:hAnsi="宋体" w:eastAsia="宋体" w:cs="宋体"/>
                <w:b/>
                <w:bCs/>
                <w:sz w:val="24"/>
                <w:szCs w:val="24"/>
                <w:lang w:val="en-US" w:eastAsia="zh-CN"/>
              </w:rPr>
              <w:t>方案</w:t>
            </w:r>
            <w:r>
              <w:rPr>
                <w:rFonts w:hint="eastAsia" w:ascii="宋体" w:hAnsi="宋体" w:eastAsia="宋体" w:cs="宋体"/>
                <w:b/>
                <w:bCs/>
                <w:sz w:val="24"/>
                <w:szCs w:val="24"/>
                <w:lang w:val="en-US" w:eastAsia="zh-Hans"/>
              </w:rPr>
              <w:t>评价</w:t>
            </w:r>
          </w:p>
          <w:p w14:paraId="4176EB22">
            <w:pPr>
              <w:pStyle w:val="35"/>
              <w:spacing w:line="360" w:lineRule="auto"/>
              <w:ind w:firstLine="0" w:firstLineChars="0"/>
              <w:rPr>
                <w:rFonts w:hint="eastAsia" w:cs="宋体"/>
                <w:color w:val="auto"/>
                <w:sz w:val="24"/>
                <w:szCs w:val="24"/>
                <w:lang w:val="en-US" w:eastAsia="zh-CN"/>
              </w:rPr>
            </w:pPr>
            <w:r>
              <w:rPr>
                <w:rFonts w:hint="eastAsia" w:ascii="宋体" w:hAnsi="宋体" w:eastAsia="宋体" w:cs="宋体"/>
                <w:color w:val="auto"/>
                <w:sz w:val="24"/>
                <w:szCs w:val="24"/>
                <w:lang w:val="en-US" w:eastAsia="zh-CN"/>
              </w:rPr>
              <w:t>方案明确、</w:t>
            </w:r>
            <w:r>
              <w:rPr>
                <w:rFonts w:hint="eastAsia" w:cs="宋体"/>
                <w:color w:val="auto"/>
                <w:sz w:val="24"/>
                <w:szCs w:val="24"/>
                <w:lang w:val="en-US" w:eastAsia="zh-CN"/>
              </w:rPr>
              <w:t>全面、</w:t>
            </w:r>
            <w:r>
              <w:rPr>
                <w:rFonts w:hint="eastAsia" w:ascii="宋体" w:hAnsi="宋体" w:eastAsia="宋体" w:cs="宋体"/>
                <w:color w:val="auto"/>
                <w:sz w:val="24"/>
                <w:szCs w:val="24"/>
                <w:lang w:val="en-US" w:eastAsia="zh-CN"/>
              </w:rPr>
              <w:t>针对性强且</w:t>
            </w:r>
            <w:r>
              <w:rPr>
                <w:rFonts w:hint="eastAsia" w:cs="宋体"/>
                <w:color w:val="auto"/>
                <w:sz w:val="24"/>
                <w:szCs w:val="24"/>
                <w:lang w:val="en-US" w:eastAsia="zh-CN"/>
              </w:rPr>
              <w:t>应对及时可靠</w:t>
            </w:r>
            <w:r>
              <w:rPr>
                <w:rFonts w:hint="eastAsia" w:ascii="宋体" w:hAnsi="宋体" w:eastAsia="宋体" w:cs="宋体"/>
                <w:color w:val="auto"/>
                <w:sz w:val="24"/>
                <w:szCs w:val="24"/>
                <w:lang w:val="en-US" w:eastAsia="zh-CN"/>
              </w:rPr>
              <w:t>的得</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分；有缺陷但不影响项目实施的得</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分，未提供或完全不符或存在缺陷影响项目实施的不得分</w:t>
            </w:r>
            <w:r>
              <w:rPr>
                <w:rFonts w:hint="eastAsia" w:cs="宋体"/>
                <w:color w:val="auto"/>
                <w:sz w:val="24"/>
                <w:szCs w:val="24"/>
                <w:lang w:val="en-US" w:eastAsia="zh-CN"/>
              </w:rPr>
              <w:t>。</w:t>
            </w:r>
          </w:p>
          <w:p w14:paraId="56721172">
            <w:pPr>
              <w:spacing w:line="360" w:lineRule="auto"/>
              <w:rPr>
                <w:rFonts w:hint="eastAsia" w:ascii="宋体" w:hAnsi="宋体" w:eastAsia="宋体" w:cs="宋体"/>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eastAsia="zh-CN"/>
              </w:rPr>
              <w:t>或没有针对性</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774EF42C">
            <w:pPr>
              <w:pStyle w:val="35"/>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3</w:t>
            </w:r>
          </w:p>
        </w:tc>
      </w:tr>
      <w:tr w14:paraId="0E2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2233BBB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2506453F">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项目服务团队情况评价</w:t>
            </w:r>
          </w:p>
          <w:p w14:paraId="4D3B303F">
            <w:pPr>
              <w:spacing w:line="360" w:lineRule="auto"/>
              <w:rPr>
                <w:rFonts w:hint="eastAsia" w:cs="宋体"/>
                <w:color w:val="auto"/>
                <w:sz w:val="24"/>
                <w:szCs w:val="24"/>
                <w:lang w:val="en-US" w:eastAsia="zh-CN"/>
              </w:rPr>
            </w:pPr>
            <w:r>
              <w:rPr>
                <w:rFonts w:hint="default" w:ascii="宋体" w:hAnsi="宋体" w:cs="宋体"/>
                <w:sz w:val="24"/>
                <w:szCs w:val="24"/>
                <w:lang w:val="en-US" w:eastAsia="zh-CN"/>
              </w:rPr>
              <w:t>根据服务及理赔小组成员构成、数量及保险从业经验、专业程度等情况综合评分，配备人员专业性强、数量充沛且经验丰富的得</w:t>
            </w:r>
            <w:r>
              <w:rPr>
                <w:rFonts w:hint="eastAsia" w:ascii="宋体" w:hAnsi="宋体" w:cs="宋体"/>
                <w:sz w:val="24"/>
                <w:szCs w:val="24"/>
                <w:lang w:val="en-US" w:eastAsia="zh-CN"/>
              </w:rPr>
              <w:t>3</w:t>
            </w:r>
            <w:r>
              <w:rPr>
                <w:rFonts w:hint="default" w:ascii="宋体" w:hAnsi="宋体" w:cs="宋体"/>
                <w:sz w:val="24"/>
                <w:szCs w:val="24"/>
                <w:lang w:val="en-US" w:eastAsia="zh-CN"/>
              </w:rPr>
              <w:t>分</w:t>
            </w:r>
            <w:r>
              <w:rPr>
                <w:rFonts w:hint="eastAsia" w:ascii="宋体" w:hAnsi="宋体" w:cs="宋体"/>
                <w:sz w:val="24"/>
                <w:szCs w:val="24"/>
                <w:lang w:val="en-US" w:eastAsia="zh-CN"/>
              </w:rPr>
              <w:t>，配备人员相对</w:t>
            </w:r>
            <w:r>
              <w:rPr>
                <w:rFonts w:hint="eastAsia" w:ascii="宋体" w:hAnsi="宋体" w:eastAsia="宋体" w:cs="宋体"/>
                <w:color w:val="auto"/>
                <w:sz w:val="24"/>
                <w:szCs w:val="24"/>
                <w:lang w:val="en-US" w:eastAsia="zh-CN"/>
              </w:rPr>
              <w:t>有欠缺但不影响项目实施的得</w:t>
            </w:r>
            <w:r>
              <w:rPr>
                <w:rFonts w:hint="eastAsia" w:cs="宋体"/>
                <w:color w:val="auto"/>
                <w:sz w:val="24"/>
                <w:szCs w:val="24"/>
                <w:lang w:val="en-US" w:eastAsia="zh-CN"/>
              </w:rPr>
              <w:t>1.5</w:t>
            </w:r>
            <w:r>
              <w:rPr>
                <w:rFonts w:hint="eastAsia" w:ascii="宋体" w:hAnsi="宋体" w:eastAsia="宋体" w:cs="宋体"/>
                <w:color w:val="auto"/>
                <w:sz w:val="24"/>
                <w:szCs w:val="24"/>
                <w:lang w:val="en-US" w:eastAsia="zh-CN"/>
              </w:rPr>
              <w:t>分，未提供或完全不符或存在缺陷影响项目实施的不得分</w:t>
            </w:r>
            <w:r>
              <w:rPr>
                <w:rFonts w:hint="eastAsia" w:cs="宋体"/>
                <w:color w:val="auto"/>
                <w:sz w:val="24"/>
                <w:szCs w:val="24"/>
                <w:lang w:val="en-US" w:eastAsia="zh-CN"/>
              </w:rPr>
              <w:t>。</w:t>
            </w:r>
          </w:p>
          <w:p w14:paraId="102CBFA4">
            <w:pPr>
              <w:spacing w:line="360" w:lineRule="auto"/>
              <w:rPr>
                <w:rFonts w:hint="default" w:cs="宋体"/>
                <w:color w:val="auto"/>
                <w:sz w:val="24"/>
                <w:szCs w:val="24"/>
                <w:lang w:val="en-US" w:eastAsia="zh-CN"/>
              </w:rPr>
            </w:pPr>
            <w:r>
              <w:rPr>
                <w:rFonts w:hint="eastAsia"/>
                <w:sz w:val="24"/>
                <w:szCs w:val="24"/>
                <w:lang w:val="en-US" w:eastAsia="zh-CN"/>
              </w:rPr>
              <w:t>说明：</w:t>
            </w:r>
            <w:r>
              <w:rPr>
                <w:rFonts w:hint="eastAsia"/>
                <w:sz w:val="24"/>
                <w:szCs w:val="24"/>
              </w:rPr>
              <w:t>内容有欠缺</w:t>
            </w:r>
            <w:r>
              <w:rPr>
                <w:rFonts w:hint="eastAsia"/>
                <w:sz w:val="24"/>
                <w:szCs w:val="24"/>
                <w:lang w:eastAsia="zh-CN"/>
              </w:rPr>
              <w:t>或没有针对性</w:t>
            </w:r>
            <w:r>
              <w:rPr>
                <w:rFonts w:hint="eastAsia"/>
                <w:sz w:val="24"/>
                <w:szCs w:val="24"/>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6" w:type="pct"/>
            <w:gridSpan w:val="2"/>
            <w:vAlign w:val="center"/>
          </w:tcPr>
          <w:p w14:paraId="160A2CA9">
            <w:pPr>
              <w:pStyle w:val="35"/>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3</w:t>
            </w:r>
          </w:p>
        </w:tc>
      </w:tr>
      <w:tr w14:paraId="40F3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64" w:type="pct"/>
            <w:vAlign w:val="center"/>
          </w:tcPr>
          <w:p w14:paraId="5CB1DE8E">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gridSpan w:val="2"/>
            <w:vAlign w:val="center"/>
          </w:tcPr>
          <w:p w14:paraId="216B53E0">
            <w:pPr>
              <w:pStyle w:val="35"/>
              <w:spacing w:line="360" w:lineRule="auto"/>
              <w:ind w:firstLine="0" w:firstLineChars="0"/>
              <w:rPr>
                <w:rFonts w:hint="eastAsia" w:cs="宋体"/>
                <w:b/>
                <w:bCs/>
                <w:sz w:val="24"/>
                <w:szCs w:val="24"/>
                <w:lang w:val="en-US" w:eastAsia="zh-CN"/>
              </w:rPr>
            </w:pPr>
            <w:r>
              <w:rPr>
                <w:rFonts w:hint="eastAsia" w:cs="宋体"/>
                <w:b/>
                <w:bCs/>
                <w:sz w:val="24"/>
                <w:szCs w:val="24"/>
                <w:lang w:val="en-US" w:eastAsia="zh-CN"/>
              </w:rPr>
              <w:t>采购需求内容响应情况评价</w:t>
            </w:r>
          </w:p>
          <w:p w14:paraId="38CC1E05">
            <w:pPr>
              <w:pStyle w:val="35"/>
              <w:widowControl w:val="0"/>
              <w:adjustRightInd w:val="0"/>
              <w:spacing w:line="360" w:lineRule="auto"/>
              <w:ind w:firstLine="0" w:firstLineChars="0"/>
              <w:jc w:val="both"/>
              <w:rPr>
                <w:rFonts w:hint="eastAsia" w:eastAsia="宋体" w:cs="宋体"/>
                <w:color w:val="auto"/>
                <w:szCs w:val="24"/>
                <w:highlight w:val="none"/>
                <w:lang w:val="en-US" w:eastAsia="zh-CN"/>
              </w:rPr>
            </w:pPr>
            <w:r>
              <w:rPr>
                <w:rFonts w:ascii="宋体" w:hAnsi="宋体" w:eastAsia="宋体" w:cs="宋体"/>
                <w:kern w:val="2"/>
                <w:sz w:val="24"/>
                <w:szCs w:val="24"/>
                <w:lang w:bidi="ar-SA"/>
              </w:rPr>
              <w:t>投标文件中所呈现的内容与采购需求的匹配程度以及偏差状</w:t>
            </w:r>
            <w:r>
              <w:rPr>
                <w:rFonts w:ascii="宋体" w:hAnsi="宋体" w:eastAsia="宋体" w:cs="宋体"/>
                <w:color w:val="auto"/>
                <w:kern w:val="2"/>
                <w:sz w:val="24"/>
                <w:szCs w:val="24"/>
                <w:highlight w:val="none"/>
                <w:lang w:bidi="ar-SA"/>
              </w:rPr>
              <w:t>况，</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bidi="ar-SA"/>
              </w:rPr>
              <w:t>不符合技术要求中特别标注为“▲”的条款（</w:t>
            </w:r>
            <w:r>
              <w:rPr>
                <w:rFonts w:hint="eastAsia" w:cs="宋体"/>
                <w:color w:val="auto"/>
                <w:kern w:val="2"/>
                <w:sz w:val="24"/>
                <w:szCs w:val="24"/>
                <w:highlight w:val="none"/>
                <w:lang w:val="en-US" w:eastAsia="zh-CN" w:bidi="ar-SA"/>
              </w:rPr>
              <w:t>共6项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val="en-US" w:eastAsia="zh-CN" w:bidi="ar-SA"/>
              </w:rPr>
              <w:t>任一一项</w:t>
            </w:r>
            <w:r>
              <w:rPr>
                <w:rFonts w:ascii="宋体" w:hAnsi="宋体" w:eastAsia="宋体" w:cs="宋体"/>
                <w:color w:val="auto"/>
                <w:kern w:val="2"/>
                <w:sz w:val="24"/>
                <w:szCs w:val="24"/>
                <w:highlight w:val="none"/>
                <w:lang w:bidi="ar-SA"/>
              </w:rPr>
              <w:t>，则该投标将被视为无效。</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2）</w:t>
            </w:r>
            <w:r>
              <w:rPr>
                <w:rFonts w:ascii="宋体" w:hAnsi="宋体" w:eastAsia="宋体" w:cs="宋体"/>
                <w:color w:val="auto"/>
                <w:kern w:val="2"/>
                <w:sz w:val="24"/>
                <w:szCs w:val="24"/>
                <w:highlight w:val="none"/>
                <w:lang w:bidi="ar-SA"/>
              </w:rPr>
              <w:t>标有“★”的技术要求（</w:t>
            </w:r>
            <w:r>
              <w:rPr>
                <w:rFonts w:hint="eastAsia" w:cs="宋体"/>
                <w:color w:val="auto"/>
                <w:kern w:val="2"/>
                <w:sz w:val="24"/>
                <w:szCs w:val="24"/>
                <w:highlight w:val="none"/>
                <w:lang w:val="en-US" w:eastAsia="zh-CN" w:bidi="ar-SA"/>
              </w:rPr>
              <w:t>除“免赔率”外共3项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val="en-US" w:eastAsia="zh-CN" w:bidi="ar-SA"/>
              </w:rPr>
              <w:t>全部满足的得9分；</w:t>
            </w:r>
            <w:r>
              <w:rPr>
                <w:rFonts w:ascii="宋体" w:hAnsi="宋体" w:eastAsia="宋体" w:cs="宋体"/>
                <w:color w:val="auto"/>
                <w:kern w:val="2"/>
                <w:sz w:val="24"/>
                <w:szCs w:val="24"/>
                <w:highlight w:val="none"/>
                <w:lang w:bidi="ar-SA"/>
              </w:rPr>
              <w:t>出现</w:t>
            </w:r>
            <w:r>
              <w:rPr>
                <w:rFonts w:hint="eastAsia" w:cs="宋体"/>
                <w:color w:val="auto"/>
                <w:kern w:val="2"/>
                <w:sz w:val="24"/>
                <w:szCs w:val="24"/>
                <w:highlight w:val="none"/>
                <w:lang w:val="en-US" w:eastAsia="zh-CN" w:bidi="ar-SA"/>
              </w:rPr>
              <w:t>负偏离</w:t>
            </w:r>
            <w:r>
              <w:rPr>
                <w:rFonts w:ascii="宋体" w:hAnsi="宋体" w:eastAsia="宋体" w:cs="宋体"/>
                <w:color w:val="auto"/>
                <w:kern w:val="2"/>
                <w:sz w:val="24"/>
                <w:szCs w:val="24"/>
                <w:highlight w:val="none"/>
                <w:lang w:bidi="ar-SA"/>
              </w:rPr>
              <w:t>扣除</w:t>
            </w:r>
            <w:r>
              <w:rPr>
                <w:rFonts w:hint="eastAsia" w:cs="宋体"/>
                <w:color w:val="auto"/>
                <w:kern w:val="2"/>
                <w:sz w:val="24"/>
                <w:szCs w:val="24"/>
                <w:highlight w:val="none"/>
                <w:lang w:val="en-US" w:eastAsia="zh-CN" w:bidi="ar-SA"/>
              </w:rPr>
              <w:t>3</w:t>
            </w:r>
            <w:r>
              <w:rPr>
                <w:rFonts w:ascii="宋体" w:hAnsi="宋体" w:eastAsia="宋体" w:cs="宋体"/>
                <w:color w:val="auto"/>
                <w:kern w:val="2"/>
                <w:sz w:val="24"/>
                <w:szCs w:val="24"/>
                <w:highlight w:val="none"/>
                <w:lang w:bidi="ar-SA"/>
              </w:rPr>
              <w:t>分</w:t>
            </w:r>
            <w:r>
              <w:rPr>
                <w:rFonts w:hint="eastAsia" w:cs="宋体"/>
                <w:color w:val="auto"/>
                <w:kern w:val="2"/>
                <w:sz w:val="24"/>
                <w:szCs w:val="24"/>
                <w:highlight w:val="none"/>
                <w:lang w:val="en-US" w:eastAsia="zh-CN" w:bidi="ar-SA"/>
              </w:rPr>
              <w:t>/项</w:t>
            </w:r>
            <w:r>
              <w:rPr>
                <w:rFonts w:ascii="宋体" w:hAnsi="宋体" w:eastAsia="宋体" w:cs="宋体"/>
                <w:color w:val="auto"/>
                <w:kern w:val="2"/>
                <w:sz w:val="24"/>
                <w:szCs w:val="24"/>
                <w:highlight w:val="none"/>
                <w:lang w:bidi="ar-SA"/>
              </w:rPr>
              <w:t>，</w:t>
            </w:r>
            <w:r>
              <w:rPr>
                <w:rFonts w:hint="eastAsia"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其他一般</w:t>
            </w:r>
            <w:r>
              <w:rPr>
                <w:rFonts w:ascii="宋体" w:hAnsi="宋体" w:eastAsia="宋体" w:cs="宋体"/>
                <w:color w:val="auto"/>
                <w:kern w:val="2"/>
                <w:sz w:val="24"/>
                <w:szCs w:val="24"/>
                <w:highlight w:val="none"/>
                <w:lang w:bidi="ar-SA"/>
              </w:rPr>
              <w:t>技术要求（</w:t>
            </w:r>
            <w:r>
              <w:rPr>
                <w:rFonts w:hint="eastAsia" w:cs="宋体"/>
                <w:color w:val="auto"/>
                <w:kern w:val="2"/>
                <w:sz w:val="24"/>
                <w:szCs w:val="24"/>
                <w:highlight w:val="none"/>
                <w:lang w:val="en-US" w:eastAsia="zh-CN" w:bidi="ar-SA"/>
              </w:rPr>
              <w:t>除“免责条款”、“服务团队要求”块外共5项</w:t>
            </w:r>
            <w:r>
              <w:rPr>
                <w:rFonts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eastAsia="zh-CN" w:bidi="ar-SA"/>
              </w:rPr>
              <w:t>，</w:t>
            </w:r>
            <w:r>
              <w:rPr>
                <w:rFonts w:hint="eastAsia" w:cs="宋体"/>
                <w:color w:val="auto"/>
                <w:kern w:val="2"/>
                <w:sz w:val="24"/>
                <w:szCs w:val="24"/>
                <w:highlight w:val="none"/>
                <w:lang w:val="en-US" w:eastAsia="zh-CN" w:bidi="ar-SA"/>
              </w:rPr>
              <w:t>全部满足的得5分；</w:t>
            </w:r>
            <w:r>
              <w:rPr>
                <w:rFonts w:ascii="宋体" w:hAnsi="宋体" w:eastAsia="宋体" w:cs="宋体"/>
                <w:color w:val="auto"/>
                <w:kern w:val="2"/>
                <w:sz w:val="24"/>
                <w:szCs w:val="24"/>
                <w:highlight w:val="none"/>
                <w:lang w:bidi="ar-SA"/>
              </w:rPr>
              <w:t>出现</w:t>
            </w:r>
            <w:r>
              <w:rPr>
                <w:rFonts w:hint="eastAsia" w:cs="宋体"/>
                <w:color w:val="auto"/>
                <w:kern w:val="2"/>
                <w:sz w:val="24"/>
                <w:szCs w:val="24"/>
                <w:highlight w:val="none"/>
                <w:lang w:val="en-US" w:eastAsia="zh-CN" w:bidi="ar-SA"/>
              </w:rPr>
              <w:t>负偏离</w:t>
            </w:r>
            <w:r>
              <w:rPr>
                <w:rFonts w:ascii="宋体" w:hAnsi="宋体" w:eastAsia="宋体" w:cs="宋体"/>
                <w:color w:val="auto"/>
                <w:kern w:val="2"/>
                <w:sz w:val="24"/>
                <w:szCs w:val="24"/>
                <w:highlight w:val="none"/>
                <w:lang w:bidi="ar-SA"/>
              </w:rPr>
              <w:t>扣除</w:t>
            </w:r>
            <w:r>
              <w:rPr>
                <w:rFonts w:hint="eastAsia" w:cs="宋体"/>
                <w:color w:val="auto"/>
                <w:kern w:val="2"/>
                <w:sz w:val="24"/>
                <w:szCs w:val="24"/>
                <w:highlight w:val="none"/>
                <w:lang w:val="en-US" w:eastAsia="zh-CN" w:bidi="ar-SA"/>
              </w:rPr>
              <w:t>1</w:t>
            </w:r>
            <w:r>
              <w:rPr>
                <w:rFonts w:ascii="宋体" w:hAnsi="宋体" w:eastAsia="宋体" w:cs="宋体"/>
                <w:color w:val="auto"/>
                <w:kern w:val="2"/>
                <w:sz w:val="24"/>
                <w:szCs w:val="24"/>
                <w:highlight w:val="none"/>
                <w:lang w:bidi="ar-SA"/>
              </w:rPr>
              <w:t>分</w:t>
            </w:r>
            <w:r>
              <w:rPr>
                <w:rFonts w:hint="eastAsia" w:cs="宋体"/>
                <w:color w:val="auto"/>
                <w:kern w:val="2"/>
                <w:sz w:val="24"/>
                <w:szCs w:val="24"/>
                <w:highlight w:val="none"/>
                <w:lang w:val="en-US" w:eastAsia="zh-CN" w:bidi="ar-SA"/>
              </w:rPr>
              <w:t>/项。</w:t>
            </w:r>
          </w:p>
          <w:p w14:paraId="2CCD96DE">
            <w:pPr>
              <w:pStyle w:val="35"/>
              <w:spacing w:line="360" w:lineRule="auto"/>
              <w:ind w:firstLine="0" w:firstLineChars="0"/>
              <w:rPr>
                <w:rFonts w:hint="eastAsia" w:cs="宋体"/>
                <w:color w:val="auto"/>
                <w:szCs w:val="24"/>
                <w:highlight w:val="none"/>
                <w:lang w:val="en-US" w:eastAsia="zh-CN"/>
              </w:rPr>
            </w:pPr>
            <w:r>
              <w:rPr>
                <w:rFonts w:hint="eastAsia" w:cs="宋体"/>
                <w:color w:val="auto"/>
                <w:szCs w:val="24"/>
                <w:highlight w:val="none"/>
                <w:lang w:val="en-US" w:eastAsia="zh-CN"/>
              </w:rPr>
              <w:t>注：详见《项目服务内容技术及商务需求》</w:t>
            </w:r>
          </w:p>
          <w:p w14:paraId="796EF7AB">
            <w:pPr>
              <w:pStyle w:val="35"/>
              <w:spacing w:line="360" w:lineRule="auto"/>
              <w:ind w:firstLine="0" w:firstLineChars="0"/>
              <w:rPr>
                <w:rFonts w:hint="default" w:eastAsia="宋体" w:cs="宋体"/>
                <w:szCs w:val="24"/>
                <w:lang w:val="en-US" w:eastAsia="zh-CN"/>
              </w:rPr>
            </w:pPr>
            <w:r>
              <w:rPr>
                <w:rFonts w:hint="eastAsia" w:cs="宋体"/>
                <w:b/>
                <w:bCs/>
                <w:color w:val="auto"/>
                <w:sz w:val="24"/>
                <w:szCs w:val="24"/>
                <w:lang w:eastAsia="zh-CN"/>
              </w:rPr>
              <w:t>有效证明文件：</w:t>
            </w:r>
            <w:r>
              <w:rPr>
                <w:rFonts w:hint="eastAsia" w:cs="宋体"/>
                <w:color w:val="auto"/>
                <w:sz w:val="24"/>
                <w:szCs w:val="24"/>
                <w:lang w:eastAsia="zh-CN"/>
              </w:rPr>
              <w:t>相关内容承诺书（</w:t>
            </w:r>
            <w:r>
              <w:rPr>
                <w:rFonts w:hint="eastAsia" w:cs="宋体"/>
                <w:color w:val="auto"/>
                <w:sz w:val="24"/>
                <w:szCs w:val="24"/>
                <w:lang w:val="en-US" w:eastAsia="zh-CN"/>
              </w:rPr>
              <w:t>格式自拟</w:t>
            </w:r>
            <w:r>
              <w:rPr>
                <w:rFonts w:hint="eastAsia" w:cs="宋体"/>
                <w:color w:val="auto"/>
                <w:sz w:val="24"/>
                <w:szCs w:val="24"/>
                <w:lang w:eastAsia="zh-CN"/>
              </w:rPr>
              <w:t>）</w:t>
            </w:r>
            <w:r>
              <w:rPr>
                <w:rFonts w:hint="eastAsia" w:cs="宋体"/>
                <w:color w:val="auto"/>
                <w:sz w:val="24"/>
                <w:szCs w:val="24"/>
                <w:lang w:val="en-US" w:eastAsia="zh-CN"/>
              </w:rPr>
              <w:t>或方案</w:t>
            </w:r>
          </w:p>
        </w:tc>
        <w:tc>
          <w:tcPr>
            <w:tcW w:w="564" w:type="pct"/>
            <w:vAlign w:val="center"/>
          </w:tcPr>
          <w:p w14:paraId="3C49C056">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14</w:t>
            </w:r>
          </w:p>
        </w:tc>
      </w:tr>
      <w:tr w14:paraId="6EA0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5477501A">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6E1BE2C">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响应免赔条款和免赔率评价</w:t>
            </w:r>
          </w:p>
          <w:p w14:paraId="43578BDC">
            <w:pPr>
              <w:numPr>
                <w:ilvl w:val="0"/>
                <w:numId w:val="53"/>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完全响应采购需求的免赔条款得3分，优于免赔条款要求的（即免赔条款每减少一条）得1分，最高得5分。</w:t>
            </w:r>
          </w:p>
          <w:p w14:paraId="4CC79623">
            <w:pPr>
              <w:numPr>
                <w:ilvl w:val="0"/>
                <w:numId w:val="53"/>
              </w:numPr>
              <w:spacing w:line="360" w:lineRule="auto"/>
              <w:rPr>
                <w:rFonts w:hint="default" w:ascii="宋体" w:hAnsi="宋体" w:cs="宋体"/>
                <w:sz w:val="24"/>
                <w:szCs w:val="24"/>
                <w:lang w:val="en-US" w:eastAsia="zh-CN"/>
              </w:rPr>
            </w:pPr>
            <w:r>
              <w:rPr>
                <w:rFonts w:hint="default" w:ascii="宋体" w:hAnsi="宋体" w:cs="宋体"/>
                <w:sz w:val="24"/>
                <w:szCs w:val="24"/>
                <w:lang w:val="en-US" w:eastAsia="zh-CN"/>
              </w:rPr>
              <w:t>完全响应采购需求免赔率条款的，得2.0分，根据投标人承诺的免赔条款相对比，每优于采购需求，投标人对免赔率每降低0.5%，加1分，或投标投免赔额每降低1000元，加0.5分，最高5分。</w:t>
            </w:r>
          </w:p>
          <w:p w14:paraId="101E0634">
            <w:pPr>
              <w:numPr>
                <w:ilvl w:val="0"/>
                <w:numId w:val="0"/>
              </w:numPr>
              <w:spacing w:line="360" w:lineRule="auto"/>
              <w:rPr>
                <w:rFonts w:hint="default" w:ascii="宋体" w:hAnsi="宋体" w:cs="宋体"/>
                <w:sz w:val="24"/>
                <w:szCs w:val="24"/>
                <w:lang w:val="en-US" w:eastAsia="zh-CN"/>
              </w:rPr>
            </w:pPr>
            <w:r>
              <w:rPr>
                <w:rFonts w:hint="eastAsia" w:cs="宋体"/>
                <w:b/>
                <w:bCs/>
                <w:color w:val="auto"/>
                <w:sz w:val="24"/>
                <w:szCs w:val="24"/>
                <w:lang w:eastAsia="zh-CN"/>
              </w:rPr>
              <w:t>有效证明文件：</w:t>
            </w:r>
            <w:r>
              <w:rPr>
                <w:rFonts w:hint="eastAsia" w:cs="宋体"/>
                <w:color w:val="auto"/>
                <w:sz w:val="24"/>
                <w:szCs w:val="24"/>
                <w:lang w:eastAsia="zh-CN"/>
              </w:rPr>
              <w:t>相关内容承诺书（</w:t>
            </w:r>
            <w:r>
              <w:rPr>
                <w:rFonts w:hint="eastAsia" w:cs="宋体"/>
                <w:color w:val="auto"/>
                <w:sz w:val="24"/>
                <w:szCs w:val="24"/>
                <w:lang w:val="en-US" w:eastAsia="zh-CN"/>
              </w:rPr>
              <w:t>格式自拟</w:t>
            </w:r>
            <w:r>
              <w:rPr>
                <w:rFonts w:hint="eastAsia" w:cs="宋体"/>
                <w:color w:val="auto"/>
                <w:sz w:val="24"/>
                <w:szCs w:val="24"/>
                <w:lang w:eastAsia="zh-CN"/>
              </w:rPr>
              <w:t>）</w:t>
            </w:r>
          </w:p>
        </w:tc>
        <w:tc>
          <w:tcPr>
            <w:tcW w:w="566" w:type="pct"/>
            <w:gridSpan w:val="2"/>
            <w:vAlign w:val="center"/>
          </w:tcPr>
          <w:p w14:paraId="1B7F9248">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03E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1C4FE738">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43018E67">
            <w:pPr>
              <w:pStyle w:val="35"/>
              <w:spacing w:line="360" w:lineRule="auto"/>
              <w:ind w:firstLine="0" w:firstLineChars="0"/>
              <w:rPr>
                <w:rFonts w:hint="eastAsia" w:ascii="宋体" w:hAnsi="宋体" w:eastAsia="宋体" w:cs="宋体"/>
                <w:b/>
                <w:bCs/>
                <w:color w:val="auto"/>
                <w:sz w:val="24"/>
                <w:szCs w:val="24"/>
                <w:highlight w:val="none"/>
                <w:lang w:val="en-US" w:eastAsia="zh-Hans"/>
              </w:rPr>
            </w:pPr>
            <w:r>
              <w:rPr>
                <w:rFonts w:hint="eastAsia" w:ascii="宋体" w:hAnsi="宋体" w:eastAsia="宋体" w:cs="宋体"/>
                <w:b/>
                <w:bCs/>
                <w:color w:val="auto"/>
                <w:sz w:val="24"/>
                <w:szCs w:val="24"/>
                <w:highlight w:val="none"/>
                <w:lang w:val="en-US" w:eastAsia="zh-Hans"/>
              </w:rPr>
              <w:t>企业</w:t>
            </w:r>
            <w:r>
              <w:rPr>
                <w:rFonts w:hint="eastAsia" w:cs="宋体"/>
                <w:b/>
                <w:bCs/>
                <w:color w:val="auto"/>
                <w:sz w:val="24"/>
                <w:szCs w:val="24"/>
                <w:highlight w:val="none"/>
                <w:lang w:val="en-US" w:eastAsia="zh-CN"/>
              </w:rPr>
              <w:t>偿付</w:t>
            </w:r>
            <w:r>
              <w:rPr>
                <w:rFonts w:hint="eastAsia" w:ascii="宋体" w:hAnsi="宋体" w:eastAsia="宋体" w:cs="宋体"/>
                <w:b/>
                <w:bCs/>
                <w:color w:val="auto"/>
                <w:sz w:val="24"/>
                <w:szCs w:val="24"/>
                <w:highlight w:val="none"/>
                <w:lang w:val="en-US" w:eastAsia="zh-Hans"/>
              </w:rPr>
              <w:t>能力</w:t>
            </w:r>
            <w:r>
              <w:rPr>
                <w:rFonts w:hint="eastAsia" w:cs="宋体"/>
                <w:b/>
                <w:bCs/>
                <w:color w:val="auto"/>
                <w:sz w:val="24"/>
                <w:szCs w:val="24"/>
                <w:highlight w:val="none"/>
                <w:lang w:val="en-US" w:eastAsia="zh-CN"/>
              </w:rPr>
              <w:t>及服务响应能力</w:t>
            </w:r>
            <w:r>
              <w:rPr>
                <w:rFonts w:hint="eastAsia" w:ascii="宋体" w:hAnsi="宋体" w:eastAsia="宋体" w:cs="宋体"/>
                <w:b/>
                <w:bCs/>
                <w:color w:val="auto"/>
                <w:sz w:val="24"/>
                <w:szCs w:val="24"/>
                <w:highlight w:val="none"/>
                <w:lang w:val="en-US" w:eastAsia="zh-Hans"/>
              </w:rPr>
              <w:t>评价</w:t>
            </w:r>
          </w:p>
          <w:p w14:paraId="74B5DC5F">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w:t>
            </w:r>
            <w:r>
              <w:rPr>
                <w:rFonts w:hint="eastAsia" w:cs="宋体"/>
                <w:color w:val="auto"/>
                <w:sz w:val="24"/>
                <w:szCs w:val="24"/>
                <w:highlight w:val="none"/>
                <w:lang w:val="en-US" w:eastAsia="zh-CN"/>
              </w:rPr>
              <w:t>所属保险机构“财产险公司”2025年度第一季度（期末数）</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综合偿付能力充足率</w:t>
            </w:r>
            <w:r>
              <w:rPr>
                <w:rFonts w:hint="eastAsia" w:cs="宋体"/>
                <w:color w:val="auto"/>
                <w:sz w:val="24"/>
                <w:szCs w:val="24"/>
                <w:highlight w:val="none"/>
                <w:lang w:val="en-US" w:eastAsia="zh-CN"/>
              </w:rPr>
              <w:t>”评价</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230%及以上得</w:t>
            </w:r>
            <w:r>
              <w:rPr>
                <w:rFonts w:hint="eastAsia" w:ascii="宋体" w:hAnsi="宋体" w:eastAsia="宋体" w:cs="宋体"/>
                <w:color w:val="auto"/>
                <w:sz w:val="24"/>
                <w:szCs w:val="24"/>
                <w:highlight w:val="none"/>
                <w:lang w:val="en-US" w:eastAsia="zh-CN"/>
              </w:rPr>
              <w:t>4分；</w:t>
            </w:r>
            <w:r>
              <w:rPr>
                <w:rFonts w:hint="eastAsia" w:cs="宋体"/>
                <w:color w:val="auto"/>
                <w:sz w:val="24"/>
                <w:szCs w:val="24"/>
                <w:highlight w:val="none"/>
                <w:lang w:val="en-US" w:eastAsia="zh-CN"/>
              </w:rPr>
              <w:t>200%及以上但不足230%的</w:t>
            </w:r>
            <w:r>
              <w:rPr>
                <w:rFonts w:hint="eastAsia" w:ascii="宋体" w:hAnsi="宋体" w:eastAsia="宋体" w:cs="宋体"/>
                <w:color w:val="auto"/>
                <w:sz w:val="24"/>
                <w:szCs w:val="24"/>
                <w:highlight w:val="none"/>
                <w:lang w:val="en-US" w:eastAsia="zh-CN"/>
              </w:rPr>
              <w:t>得3分；</w:t>
            </w:r>
            <w:r>
              <w:rPr>
                <w:rFonts w:hint="eastAsia" w:cs="宋体"/>
                <w:color w:val="auto"/>
                <w:sz w:val="24"/>
                <w:szCs w:val="24"/>
                <w:highlight w:val="none"/>
                <w:lang w:val="en-US" w:eastAsia="zh-CN"/>
              </w:rPr>
              <w:t>170%及以上但不足200%的</w:t>
            </w:r>
            <w:r>
              <w:rPr>
                <w:rFonts w:hint="eastAsia" w:ascii="宋体" w:hAnsi="宋体" w:eastAsia="宋体" w:cs="宋体"/>
                <w:color w:val="auto"/>
                <w:sz w:val="24"/>
                <w:szCs w:val="24"/>
                <w:highlight w:val="none"/>
                <w:lang w:val="en-US" w:eastAsia="zh-CN"/>
              </w:rPr>
              <w:t>得2分；;</w:t>
            </w:r>
            <w:r>
              <w:rPr>
                <w:rFonts w:hint="eastAsia" w:cs="宋体"/>
                <w:color w:val="auto"/>
                <w:sz w:val="24"/>
                <w:szCs w:val="24"/>
                <w:highlight w:val="none"/>
                <w:lang w:val="en-US" w:eastAsia="zh-CN"/>
              </w:rPr>
              <w:t>170%</w:t>
            </w:r>
            <w:r>
              <w:rPr>
                <w:rFonts w:hint="eastAsia" w:ascii="宋体" w:hAnsi="宋体" w:eastAsia="宋体" w:cs="宋体"/>
                <w:color w:val="auto"/>
                <w:sz w:val="24"/>
                <w:szCs w:val="24"/>
                <w:highlight w:val="none"/>
                <w:lang w:val="en-US" w:eastAsia="zh-CN"/>
              </w:rPr>
              <w:t>以下得</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41B2230E">
            <w:pPr>
              <w:pStyle w:val="35"/>
              <w:spacing w:line="360" w:lineRule="auto"/>
              <w:ind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w:t>
            </w:r>
            <w:r>
              <w:rPr>
                <w:rFonts w:hint="eastAsia" w:cs="宋体"/>
                <w:color w:val="auto"/>
                <w:sz w:val="24"/>
                <w:szCs w:val="24"/>
                <w:highlight w:val="none"/>
                <w:lang w:val="en-US" w:eastAsia="zh-CN"/>
              </w:rPr>
              <w:t>所属保险机构“财产险公司”2025年度第一季度（期末数）</w:t>
            </w:r>
            <w:r>
              <w:rPr>
                <w:rFonts w:hint="eastAsia" w:ascii="宋体" w:hAnsi="宋体" w:eastAsia="宋体" w:cs="宋体"/>
                <w:color w:val="auto"/>
                <w:sz w:val="24"/>
                <w:szCs w:val="24"/>
                <w:highlight w:val="none"/>
                <w:lang w:val="en-US" w:eastAsia="zh-CN"/>
              </w:rPr>
              <w:t>的</w:t>
            </w:r>
            <w:r>
              <w:rPr>
                <w:rFonts w:hint="eastAsia" w:cs="宋体"/>
                <w:color w:val="auto"/>
                <w:sz w:val="24"/>
                <w:szCs w:val="24"/>
                <w:highlight w:val="none"/>
                <w:lang w:val="en-US" w:eastAsia="zh-CN"/>
              </w:rPr>
              <w:t>“核心</w:t>
            </w:r>
            <w:r>
              <w:rPr>
                <w:rFonts w:hint="eastAsia" w:ascii="宋体" w:hAnsi="宋体" w:eastAsia="宋体" w:cs="宋体"/>
                <w:color w:val="auto"/>
                <w:sz w:val="24"/>
                <w:szCs w:val="24"/>
                <w:highlight w:val="none"/>
                <w:lang w:val="en-US" w:eastAsia="zh-CN"/>
              </w:rPr>
              <w:t>偿付能力充足率</w:t>
            </w:r>
            <w:r>
              <w:rPr>
                <w:rFonts w:hint="eastAsia" w:cs="宋体"/>
                <w:color w:val="auto"/>
                <w:sz w:val="24"/>
                <w:szCs w:val="24"/>
                <w:highlight w:val="none"/>
                <w:lang w:val="en-US" w:eastAsia="zh-CN"/>
              </w:rPr>
              <w:t>”评价</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230%及以上得</w:t>
            </w:r>
            <w:r>
              <w:rPr>
                <w:rFonts w:hint="eastAsia" w:ascii="宋体" w:hAnsi="宋体" w:eastAsia="宋体" w:cs="宋体"/>
                <w:color w:val="auto"/>
                <w:sz w:val="24"/>
                <w:szCs w:val="24"/>
                <w:highlight w:val="none"/>
                <w:lang w:val="en-US" w:eastAsia="zh-CN"/>
              </w:rPr>
              <w:t>4分；</w:t>
            </w:r>
            <w:r>
              <w:rPr>
                <w:rFonts w:hint="eastAsia" w:cs="宋体"/>
                <w:color w:val="auto"/>
                <w:sz w:val="24"/>
                <w:szCs w:val="24"/>
                <w:highlight w:val="none"/>
                <w:lang w:val="en-US" w:eastAsia="zh-CN"/>
              </w:rPr>
              <w:t>200%及以上但不足230%的</w:t>
            </w:r>
            <w:r>
              <w:rPr>
                <w:rFonts w:hint="eastAsia" w:ascii="宋体" w:hAnsi="宋体" w:eastAsia="宋体" w:cs="宋体"/>
                <w:color w:val="auto"/>
                <w:sz w:val="24"/>
                <w:szCs w:val="24"/>
                <w:highlight w:val="none"/>
                <w:lang w:val="en-US" w:eastAsia="zh-CN"/>
              </w:rPr>
              <w:t>得3分；</w:t>
            </w:r>
            <w:r>
              <w:rPr>
                <w:rFonts w:hint="eastAsia" w:cs="宋体"/>
                <w:color w:val="auto"/>
                <w:sz w:val="24"/>
                <w:szCs w:val="24"/>
                <w:highlight w:val="none"/>
                <w:lang w:val="en-US" w:eastAsia="zh-CN"/>
              </w:rPr>
              <w:t>170%及以上但不足200%的</w:t>
            </w:r>
            <w:r>
              <w:rPr>
                <w:rFonts w:hint="eastAsia" w:ascii="宋体" w:hAnsi="宋体" w:eastAsia="宋体" w:cs="宋体"/>
                <w:color w:val="auto"/>
                <w:sz w:val="24"/>
                <w:szCs w:val="24"/>
                <w:highlight w:val="none"/>
                <w:lang w:val="en-US" w:eastAsia="zh-CN"/>
              </w:rPr>
              <w:t>得2分；;</w:t>
            </w:r>
            <w:r>
              <w:rPr>
                <w:rFonts w:hint="eastAsia" w:cs="宋体"/>
                <w:color w:val="auto"/>
                <w:sz w:val="24"/>
                <w:szCs w:val="24"/>
                <w:highlight w:val="none"/>
                <w:lang w:val="en-US" w:eastAsia="zh-CN"/>
              </w:rPr>
              <w:t>170%</w:t>
            </w:r>
            <w:r>
              <w:rPr>
                <w:rFonts w:hint="eastAsia" w:ascii="宋体" w:hAnsi="宋体" w:eastAsia="宋体" w:cs="宋体"/>
                <w:color w:val="auto"/>
                <w:sz w:val="24"/>
                <w:szCs w:val="24"/>
                <w:highlight w:val="none"/>
                <w:lang w:val="en-US" w:eastAsia="zh-CN"/>
              </w:rPr>
              <w:t>以下得</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分。</w:t>
            </w:r>
          </w:p>
          <w:p w14:paraId="070BAA1E">
            <w:pPr>
              <w:pStyle w:val="35"/>
              <w:spacing w:line="360" w:lineRule="auto"/>
              <w:ind w:firstLine="0" w:firstLineChars="0"/>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（3）根据有效投标人承诺的出险到场时间承诺进行评价：承诺1小时内到达现场的得4分；承诺2小时内到达现场的得3分，承诺3小时内到达现场的得2分，承诺4小时及以上的得1分。</w:t>
            </w:r>
          </w:p>
          <w:p w14:paraId="0C70144A">
            <w:pPr>
              <w:pStyle w:val="35"/>
              <w:spacing w:line="360" w:lineRule="auto"/>
              <w:ind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Hans"/>
              </w:rPr>
              <w:t>有效证明文件：</w:t>
            </w:r>
            <w:r>
              <w:rPr>
                <w:rFonts w:hint="eastAsia" w:cs="宋体"/>
                <w:b w:val="0"/>
                <w:bCs w:val="0"/>
                <w:color w:val="auto"/>
                <w:sz w:val="24"/>
                <w:szCs w:val="24"/>
                <w:highlight w:val="none"/>
                <w:lang w:val="en-US" w:eastAsia="zh-CN"/>
              </w:rPr>
              <w:t>（1）、（2）须</w:t>
            </w:r>
            <w:r>
              <w:rPr>
                <w:rFonts w:hint="eastAsia" w:ascii="宋体" w:hAnsi="宋体" w:eastAsia="宋体" w:cs="宋体"/>
                <w:b w:val="0"/>
                <w:bCs w:val="0"/>
                <w:color w:val="auto"/>
                <w:sz w:val="24"/>
                <w:szCs w:val="24"/>
                <w:highlight w:val="none"/>
                <w:lang w:val="en-US" w:eastAsia="zh-Hans"/>
              </w:rPr>
              <w:t>提供</w:t>
            </w:r>
            <w:r>
              <w:rPr>
                <w:rFonts w:hint="eastAsia" w:cs="宋体"/>
                <w:b w:val="0"/>
                <w:bCs w:val="0"/>
                <w:color w:val="auto"/>
                <w:sz w:val="24"/>
                <w:szCs w:val="24"/>
                <w:highlight w:val="none"/>
                <w:lang w:val="en-US" w:eastAsia="zh-CN"/>
              </w:rPr>
              <w:t>报告</w:t>
            </w:r>
            <w:r>
              <w:rPr>
                <w:rFonts w:hint="eastAsia" w:ascii="宋体" w:hAnsi="宋体" w:eastAsia="宋体" w:cs="宋体"/>
                <w:b w:val="0"/>
                <w:bCs w:val="0"/>
                <w:color w:val="auto"/>
                <w:sz w:val="24"/>
                <w:szCs w:val="24"/>
                <w:highlight w:val="none"/>
                <w:lang w:val="en-US" w:eastAsia="zh-Hans"/>
              </w:rPr>
              <w:t>截图并加盖公章，以醒目的标记标出评审因素，未提供或无法辨别评审因素的不得分</w:t>
            </w:r>
            <w:r>
              <w:rPr>
                <w:rFonts w:hint="eastAsia" w:cs="宋体"/>
                <w:b w:val="0"/>
                <w:bCs w:val="0"/>
                <w:color w:val="auto"/>
                <w:sz w:val="24"/>
                <w:szCs w:val="24"/>
                <w:highlight w:val="none"/>
                <w:lang w:val="en-US" w:eastAsia="zh-CN"/>
              </w:rPr>
              <w:t>。（3）须提供承诺函并附网点分布图（或表。包括但不限于浙江省各县市区）加以佐证。</w:t>
            </w:r>
          </w:p>
          <w:p w14:paraId="16C40B0B">
            <w:pPr>
              <w:pStyle w:val="35"/>
              <w:spacing w:line="360" w:lineRule="auto"/>
              <w:ind w:firstLine="0" w:firstLineChars="0"/>
              <w:rPr>
                <w:rFonts w:hint="default" w:ascii="宋体" w:hAnsi="宋体" w:eastAsia="宋体" w:cs="宋体"/>
                <w:b w:val="0"/>
                <w:bCs w:val="0"/>
                <w:sz w:val="24"/>
                <w:szCs w:val="24"/>
                <w:lang w:val="en-US" w:eastAsia="zh-CN"/>
              </w:rPr>
            </w:pPr>
            <w:r>
              <w:rPr>
                <w:rFonts w:hint="eastAsia" w:cs="宋体"/>
                <w:b w:val="0"/>
                <w:bCs w:val="0"/>
                <w:color w:val="auto"/>
                <w:sz w:val="24"/>
                <w:szCs w:val="24"/>
                <w:highlight w:val="none"/>
                <w:lang w:val="en-US" w:eastAsia="zh-CN"/>
              </w:rPr>
              <w:t>注：招标人或采购代理机构将在合同签订前在“中国保险行业协会”官网及中标人官网就中标人的上述数据进行核对。</w:t>
            </w:r>
          </w:p>
        </w:tc>
        <w:tc>
          <w:tcPr>
            <w:tcW w:w="566" w:type="pct"/>
            <w:gridSpan w:val="2"/>
            <w:vAlign w:val="center"/>
          </w:tcPr>
          <w:p w14:paraId="07B89CFC">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12</w:t>
            </w:r>
          </w:p>
        </w:tc>
      </w:tr>
      <w:tr w14:paraId="0B3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0BE932A0">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2016790">
            <w:pPr>
              <w:pStyle w:val="35"/>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500FF9A0">
            <w:pPr>
              <w:pStyle w:val="35"/>
              <w:spacing w:line="360" w:lineRule="auto"/>
              <w:ind w:firstLine="0" w:firstLineChars="0"/>
              <w:rPr>
                <w:rFonts w:hint="default" w:ascii="宋体" w:hAnsi="宋体" w:eastAsia="宋体" w:cs="宋体"/>
                <w:sz w:val="24"/>
                <w:szCs w:val="24"/>
                <w:lang w:val="en-US" w:eastAsia="zh-Hans"/>
              </w:rPr>
            </w:pPr>
            <w:r>
              <w:rPr>
                <w:rFonts w:hint="eastAsia" w:cs="宋体"/>
                <w:sz w:val="24"/>
                <w:szCs w:val="24"/>
                <w:lang w:val="en-US" w:eastAsia="zh-CN"/>
              </w:rPr>
              <w:t>自2022年01月01</w:t>
            </w:r>
            <w:r>
              <w:rPr>
                <w:rFonts w:hint="eastAsia" w:cs="宋体"/>
                <w:sz w:val="24"/>
                <w:szCs w:val="24"/>
                <w:highlight w:val="none"/>
                <w:lang w:val="en-US" w:eastAsia="zh-CN"/>
              </w:rPr>
              <w:t>日以来，</w:t>
            </w:r>
            <w:r>
              <w:rPr>
                <w:rFonts w:hint="default" w:ascii="宋体" w:hAnsi="宋体" w:eastAsia="宋体" w:cs="宋体"/>
                <w:sz w:val="24"/>
                <w:szCs w:val="24"/>
                <w:highlight w:val="none"/>
                <w:lang w:val="en-US" w:eastAsia="zh-Hans"/>
              </w:rPr>
              <w:t>具有</w:t>
            </w:r>
            <w:r>
              <w:rPr>
                <w:rFonts w:hint="eastAsia" w:cs="宋体"/>
                <w:sz w:val="24"/>
                <w:szCs w:val="24"/>
                <w:highlight w:val="none"/>
                <w:lang w:val="en-US" w:eastAsia="zh-CN"/>
              </w:rPr>
              <w:t>承接</w:t>
            </w:r>
            <w:r>
              <w:rPr>
                <w:rFonts w:hint="default" w:ascii="宋体" w:hAnsi="宋体" w:eastAsia="宋体" w:cs="宋体"/>
                <w:sz w:val="24"/>
                <w:szCs w:val="24"/>
                <w:highlight w:val="none"/>
                <w:lang w:val="en-US" w:eastAsia="zh-Hans"/>
              </w:rPr>
              <w:t>过无人机设备保险相关的类似项目</w:t>
            </w:r>
            <w:r>
              <w:rPr>
                <w:rFonts w:hint="eastAsia" w:cs="宋体"/>
                <w:sz w:val="24"/>
                <w:szCs w:val="24"/>
                <w:highlight w:val="none"/>
                <w:lang w:val="en-US" w:eastAsia="zh-CN"/>
              </w:rPr>
              <w:t>承保</w:t>
            </w:r>
            <w:r>
              <w:rPr>
                <w:rFonts w:hint="default" w:ascii="宋体" w:hAnsi="宋体" w:eastAsia="宋体" w:cs="宋体"/>
                <w:sz w:val="24"/>
                <w:szCs w:val="24"/>
                <w:highlight w:val="none"/>
                <w:lang w:val="en-US" w:eastAsia="zh-Hans"/>
              </w:rPr>
              <w:t>业绩，每提供1个得</w:t>
            </w:r>
            <w:r>
              <w:rPr>
                <w:rFonts w:hint="default" w:ascii="宋体" w:hAnsi="宋体" w:eastAsia="宋体" w:cs="宋体"/>
                <w:sz w:val="24"/>
                <w:szCs w:val="24"/>
                <w:highlight w:val="none"/>
                <w:lang w:eastAsia="zh-Hans"/>
              </w:rPr>
              <w:t>0.5</w:t>
            </w:r>
            <w:r>
              <w:rPr>
                <w:rFonts w:hint="default" w:ascii="宋体" w:hAnsi="宋体" w:eastAsia="宋体" w:cs="宋体"/>
                <w:sz w:val="24"/>
                <w:szCs w:val="24"/>
                <w:highlight w:val="none"/>
                <w:lang w:val="en-US" w:eastAsia="zh-Hans"/>
              </w:rPr>
              <w:t>分，最多</w:t>
            </w:r>
            <w:r>
              <w:rPr>
                <w:rFonts w:hint="eastAsia" w:cs="宋体"/>
                <w:sz w:val="24"/>
                <w:szCs w:val="24"/>
                <w:lang w:val="en-US" w:eastAsia="zh-CN"/>
              </w:rPr>
              <w:t>2</w:t>
            </w:r>
            <w:r>
              <w:rPr>
                <w:rFonts w:hint="default" w:ascii="宋体" w:hAnsi="宋体" w:eastAsia="宋体" w:cs="宋体"/>
                <w:sz w:val="24"/>
                <w:szCs w:val="24"/>
                <w:lang w:val="en-US" w:eastAsia="zh-Hans"/>
              </w:rPr>
              <w:t>分。</w:t>
            </w:r>
          </w:p>
          <w:p w14:paraId="7B5D5842">
            <w:pPr>
              <w:pStyle w:val="35"/>
              <w:spacing w:line="360" w:lineRule="auto"/>
              <w:ind w:firstLine="0" w:firstLineChars="0"/>
              <w:rPr>
                <w:rFonts w:hint="default" w:ascii="宋体" w:hAnsi="宋体" w:eastAsia="宋体" w:cs="宋体"/>
                <w:sz w:val="24"/>
                <w:szCs w:val="24"/>
                <w:lang w:val="en-US" w:eastAsia="zh-Hans"/>
              </w:rPr>
            </w:pPr>
            <w:r>
              <w:rPr>
                <w:rFonts w:hint="eastAsia" w:ascii="宋体" w:hAnsi="宋体" w:eastAsia="宋体" w:cs="宋体"/>
                <w:b/>
                <w:bCs/>
                <w:sz w:val="24"/>
                <w:szCs w:val="24"/>
                <w:lang w:val="en-US" w:eastAsia="zh-Hans"/>
              </w:rPr>
              <w:t>有效证明文件：</w:t>
            </w:r>
            <w:r>
              <w:rPr>
                <w:rFonts w:hint="eastAsia" w:ascii="宋体" w:hAnsi="宋体" w:eastAsia="宋体" w:cs="宋体"/>
                <w:sz w:val="24"/>
                <w:szCs w:val="24"/>
                <w:lang w:val="en-US" w:eastAsia="zh-Hans"/>
              </w:rPr>
              <w:t>合同复制件</w:t>
            </w:r>
          </w:p>
        </w:tc>
        <w:tc>
          <w:tcPr>
            <w:tcW w:w="566" w:type="pct"/>
            <w:gridSpan w:val="2"/>
            <w:vAlign w:val="center"/>
          </w:tcPr>
          <w:p w14:paraId="054B7C0F">
            <w:pPr>
              <w:pStyle w:val="35"/>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2</w:t>
            </w:r>
          </w:p>
        </w:tc>
      </w:tr>
      <w:tr w14:paraId="5DC1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pct"/>
            <w:gridSpan w:val="2"/>
            <w:vAlign w:val="center"/>
          </w:tcPr>
          <w:p w14:paraId="7F76FABB">
            <w:pPr>
              <w:pStyle w:val="35"/>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CE506FD">
            <w:pPr>
              <w:pStyle w:val="35"/>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652EE14E">
            <w:pPr>
              <w:pStyle w:val="35"/>
              <w:ind w:firstLine="0" w:firstLineChars="0"/>
              <w:rPr>
                <w:rFonts w:cs="宋体"/>
                <w:b/>
                <w:bCs/>
                <w:color w:val="auto"/>
                <w:szCs w:val="24"/>
                <w:lang w:eastAsia="zh-CN"/>
              </w:rPr>
            </w:pPr>
            <w:r>
              <w:rPr>
                <w:rFonts w:hint="eastAsia" w:cs="宋体"/>
                <w:b/>
                <w:bCs/>
                <w:color w:val="auto"/>
                <w:szCs w:val="24"/>
                <w:lang w:eastAsia="zh-CN"/>
              </w:rPr>
              <w:t>报价评价</w:t>
            </w:r>
          </w:p>
          <w:p w14:paraId="1E97D7C6">
            <w:pPr>
              <w:pStyle w:val="35"/>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20</w:t>
            </w:r>
            <w:r>
              <w:rPr>
                <w:rFonts w:hint="eastAsia" w:cs="宋体"/>
                <w:color w:val="auto"/>
                <w:szCs w:val="24"/>
                <w:lang w:eastAsia="zh-CN"/>
              </w:rPr>
              <w:t>；</w:t>
            </w:r>
          </w:p>
          <w:p w14:paraId="037CCFFB">
            <w:pPr>
              <w:pStyle w:val="35"/>
              <w:spacing w:line="360" w:lineRule="auto"/>
              <w:ind w:firstLine="0" w:firstLineChars="0"/>
              <w:rPr>
                <w:rFonts w:hint="eastAsia" w:ascii="宋体" w:hAnsi="宋体" w:eastAsia="宋体" w:cs="宋体"/>
                <w:sz w:val="24"/>
                <w:szCs w:val="24"/>
                <w:lang w:val="en-US" w:eastAsia="zh-CN"/>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20</w:t>
            </w:r>
            <w:r>
              <w:rPr>
                <w:rFonts w:hint="eastAsia" w:ascii="宋体" w:hAnsi="宋体" w:eastAsia="宋体" w:cs="宋体"/>
                <w:sz w:val="24"/>
                <w:szCs w:val="24"/>
                <w:lang w:val="en-US" w:eastAsia="zh-CN"/>
              </w:rPr>
              <w:t>；</w:t>
            </w:r>
          </w:p>
        </w:tc>
        <w:tc>
          <w:tcPr>
            <w:tcW w:w="566" w:type="pct"/>
            <w:gridSpan w:val="2"/>
            <w:vAlign w:val="center"/>
          </w:tcPr>
          <w:p w14:paraId="1B400EB1">
            <w:pPr>
              <w:pStyle w:val="35"/>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w:t>
            </w:r>
            <w:r>
              <w:rPr>
                <w:rFonts w:hint="eastAsia" w:ascii="宋体" w:hAnsi="宋体" w:eastAsia="宋体" w:cs="宋体"/>
                <w:kern w:val="0"/>
                <w:sz w:val="24"/>
                <w:szCs w:val="24"/>
                <w:lang w:val="en-US" w:eastAsia="zh-CN"/>
              </w:rPr>
              <w:t>0</w:t>
            </w:r>
          </w:p>
        </w:tc>
      </w:tr>
      <w:tr w14:paraId="55B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3" w:type="pct"/>
            <w:gridSpan w:val="3"/>
            <w:vAlign w:val="center"/>
          </w:tcPr>
          <w:p w14:paraId="11E15F86">
            <w:pPr>
              <w:pStyle w:val="35"/>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4" w:type="pct"/>
            <w:vAlign w:val="center"/>
          </w:tcPr>
          <w:p w14:paraId="5CB9FB5F">
            <w:pPr>
              <w:pStyle w:val="35"/>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73C62CB7">
      <w:pPr>
        <w:pStyle w:val="35"/>
        <w:ind w:left="0" w:leftChars="0" w:firstLine="0" w:firstLineChars="0"/>
        <w:rPr>
          <w:rFonts w:hint="default"/>
          <w:b w:val="0"/>
          <w:bCs w:val="0"/>
          <w:color w:val="auto"/>
          <w:u w:val="none"/>
          <w:lang w:val="en-US" w:eastAsia="zh-Hans"/>
        </w:rPr>
      </w:pPr>
    </w:p>
    <w:p w14:paraId="2B7E2E7B">
      <w:pPr>
        <w:pStyle w:val="37"/>
        <w:numPr>
          <w:ilvl w:val="1"/>
          <w:numId w:val="50"/>
        </w:numPr>
        <w:rPr>
          <w:color w:val="000000"/>
        </w:rPr>
      </w:pPr>
      <w:bookmarkStart w:id="110" w:name="_Toc15735"/>
      <w:r>
        <w:rPr>
          <w:rFonts w:hint="eastAsia"/>
        </w:rPr>
        <w:t>评审流程及内容</w:t>
      </w:r>
      <w:bookmarkEnd w:id="110"/>
    </w:p>
    <w:p w14:paraId="4CDD116E">
      <w:pPr>
        <w:pStyle w:val="35"/>
        <w:ind w:firstLine="480"/>
      </w:pPr>
      <w:r>
        <w:rPr>
          <w:rFonts w:hint="eastAsia"/>
        </w:rPr>
        <w:t>本项目具体的评审事务由评审委员会负责，评审流程及内容如下：</w:t>
      </w:r>
    </w:p>
    <w:p w14:paraId="2E6A2509">
      <w:pPr>
        <w:pStyle w:val="39"/>
        <w:numPr>
          <w:ilvl w:val="2"/>
          <w:numId w:val="54"/>
        </w:numPr>
        <w:rPr>
          <w:color w:val="000000"/>
        </w:rPr>
      </w:pPr>
      <w:r>
        <w:rPr>
          <w:rFonts w:hint="eastAsia"/>
        </w:rPr>
        <w:t>评审前准备</w:t>
      </w:r>
    </w:p>
    <w:p w14:paraId="5E705649">
      <w:pPr>
        <w:pStyle w:val="43"/>
        <w:numPr>
          <w:ilvl w:val="0"/>
          <w:numId w:val="55"/>
        </w:numPr>
        <w:bidi w:val="0"/>
      </w:pPr>
      <w:r>
        <w:t>由评审专家推选评审小组组长，采购人代表不得担任评审小组组长。</w:t>
      </w:r>
    </w:p>
    <w:p w14:paraId="36D2CF7C">
      <w:pPr>
        <w:pStyle w:val="43"/>
        <w:numPr>
          <w:ilvl w:val="0"/>
          <w:numId w:val="55"/>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9"/>
        <w:numPr>
          <w:ilvl w:val="2"/>
          <w:numId w:val="54"/>
        </w:numPr>
      </w:pPr>
      <w:r>
        <w:rPr>
          <w:rFonts w:hint="eastAsia"/>
        </w:rPr>
        <w:t>商务技术文件符合性审查</w:t>
      </w:r>
    </w:p>
    <w:p w14:paraId="38FD01A7">
      <w:pPr>
        <w:pStyle w:val="43"/>
        <w:numPr>
          <w:ilvl w:val="0"/>
          <w:numId w:val="56"/>
        </w:numPr>
        <w:bidi w:val="0"/>
      </w:pPr>
      <w:r>
        <w:t>评审委员会首先对通过资格审查的投标人的商务技术文件进行符合性审查，以确定其是否满足招标文件的实质性要求。</w:t>
      </w:r>
    </w:p>
    <w:p w14:paraId="186BBA37">
      <w:pPr>
        <w:pStyle w:val="43"/>
        <w:numPr>
          <w:ilvl w:val="0"/>
          <w:numId w:val="56"/>
        </w:numPr>
        <w:bidi w:val="0"/>
      </w:pPr>
      <w:r>
        <w:t>商务技术文件存在下列情形之一的，经评审委员会认定后作无效标处理：</w:t>
      </w:r>
    </w:p>
    <w:p w14:paraId="3F1583A4">
      <w:pPr>
        <w:pStyle w:val="44"/>
        <w:numPr>
          <w:ilvl w:val="0"/>
          <w:numId w:val="57"/>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4"/>
        <w:numPr>
          <w:ilvl w:val="0"/>
          <w:numId w:val="57"/>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4"/>
        <w:numPr>
          <w:ilvl w:val="0"/>
          <w:numId w:val="57"/>
        </w:numPr>
        <w:bidi w:val="0"/>
        <w:rPr>
          <w:u w:val="single"/>
        </w:rPr>
      </w:pPr>
      <w:r>
        <w:rPr>
          <w:rFonts w:hint="eastAsia"/>
          <w:u w:val="single"/>
        </w:rPr>
        <w:t>仅提交“备份投标文件”的；</w:t>
      </w:r>
    </w:p>
    <w:p w14:paraId="66FDDEE9">
      <w:pPr>
        <w:pStyle w:val="44"/>
        <w:numPr>
          <w:ilvl w:val="0"/>
          <w:numId w:val="57"/>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4"/>
        <w:numPr>
          <w:ilvl w:val="0"/>
          <w:numId w:val="57"/>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4"/>
        <w:numPr>
          <w:ilvl w:val="0"/>
          <w:numId w:val="57"/>
        </w:numPr>
        <w:bidi w:val="0"/>
        <w:rPr>
          <w:u w:val="single"/>
        </w:rPr>
      </w:pPr>
      <w:r>
        <w:rPr>
          <w:rFonts w:hint="eastAsia"/>
          <w:u w:val="single"/>
        </w:rPr>
        <w:t>投标文件标注的响应或偏离情况与事实不符，或提供了虚假材料的；</w:t>
      </w:r>
    </w:p>
    <w:p w14:paraId="494E94D0">
      <w:pPr>
        <w:pStyle w:val="44"/>
        <w:numPr>
          <w:ilvl w:val="0"/>
          <w:numId w:val="57"/>
        </w:numPr>
        <w:bidi w:val="0"/>
        <w:rPr>
          <w:u w:val="single"/>
        </w:rPr>
      </w:pPr>
      <w:r>
        <w:rPr>
          <w:rFonts w:hint="eastAsia"/>
          <w:u w:val="single"/>
        </w:rPr>
        <w:t>投标文件有效期不符合本采购文件要求的；</w:t>
      </w:r>
    </w:p>
    <w:p w14:paraId="6C638566">
      <w:pPr>
        <w:pStyle w:val="44"/>
        <w:numPr>
          <w:ilvl w:val="0"/>
          <w:numId w:val="57"/>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4"/>
        <w:numPr>
          <w:ilvl w:val="0"/>
          <w:numId w:val="57"/>
        </w:numPr>
        <w:bidi w:val="0"/>
        <w:rPr>
          <w:u w:val="single"/>
        </w:rPr>
      </w:pPr>
      <w:r>
        <w:rPr>
          <w:rFonts w:hint="eastAsia"/>
          <w:u w:val="single"/>
        </w:rPr>
        <w:t>属于本招标文件明确限制投标的供应商提供的投标文件；</w:t>
      </w:r>
    </w:p>
    <w:p w14:paraId="4CD29103">
      <w:pPr>
        <w:pStyle w:val="44"/>
        <w:numPr>
          <w:ilvl w:val="0"/>
          <w:numId w:val="57"/>
        </w:numPr>
        <w:bidi w:val="0"/>
      </w:pPr>
      <w:r>
        <w:rPr>
          <w:rFonts w:hint="eastAsia"/>
          <w:u w:val="single"/>
        </w:rPr>
        <w:t>未提供有效投标函及投标代表人身份证明的投标文件；</w:t>
      </w:r>
    </w:p>
    <w:p w14:paraId="20C0319B">
      <w:pPr>
        <w:pStyle w:val="44"/>
        <w:numPr>
          <w:ilvl w:val="0"/>
          <w:numId w:val="57"/>
        </w:numPr>
        <w:bidi w:val="0"/>
        <w:rPr>
          <w:u w:val="single"/>
        </w:rPr>
      </w:pPr>
      <w:r>
        <w:rPr>
          <w:rFonts w:hint="eastAsia"/>
          <w:u w:val="single"/>
        </w:rPr>
        <w:t>存在法律、法规和采购文件规定的其他无效情形的。</w:t>
      </w:r>
    </w:p>
    <w:p w14:paraId="56802854">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4"/>
        <w:numPr>
          <w:ilvl w:val="0"/>
          <w:numId w:val="58"/>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4"/>
        <w:numPr>
          <w:ilvl w:val="0"/>
          <w:numId w:val="58"/>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9"/>
        <w:numPr>
          <w:ilvl w:val="2"/>
          <w:numId w:val="54"/>
        </w:numPr>
      </w:pPr>
      <w:r>
        <w:rPr>
          <w:rFonts w:hint="eastAsia"/>
        </w:rPr>
        <w:t>商务技术文件评分</w:t>
      </w:r>
    </w:p>
    <w:p w14:paraId="2614F92B">
      <w:pPr>
        <w:pStyle w:val="35"/>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9"/>
        <w:numPr>
          <w:ilvl w:val="2"/>
          <w:numId w:val="54"/>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3"/>
        <w:numPr>
          <w:ilvl w:val="0"/>
          <w:numId w:val="59"/>
        </w:numPr>
        <w:bidi w:val="0"/>
      </w:pPr>
      <w:r>
        <w:t>评审委员会对通过资格审查且通过商务技术符合性审查的投标人的报价文件进行符合性审查，以确定其是否满足招标文件的实质性要求。</w:t>
      </w:r>
    </w:p>
    <w:p w14:paraId="4D2067E7">
      <w:pPr>
        <w:pStyle w:val="43"/>
        <w:numPr>
          <w:ilvl w:val="0"/>
          <w:numId w:val="59"/>
        </w:numPr>
        <w:bidi w:val="0"/>
        <w:rPr>
          <w:rFonts w:cs="Arial"/>
          <w:kern w:val="0"/>
        </w:rPr>
      </w:pPr>
      <w:r>
        <w:t>报价文件存在下列情形之一的，经评审委员会认定后作无效标处理：</w:t>
      </w:r>
    </w:p>
    <w:p w14:paraId="2B08F5AE">
      <w:pPr>
        <w:pStyle w:val="44"/>
        <w:numPr>
          <w:ilvl w:val="0"/>
          <w:numId w:val="60"/>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4"/>
        <w:numPr>
          <w:ilvl w:val="0"/>
          <w:numId w:val="60"/>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4"/>
        <w:numPr>
          <w:ilvl w:val="0"/>
          <w:numId w:val="60"/>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4"/>
        <w:numPr>
          <w:ilvl w:val="0"/>
          <w:numId w:val="60"/>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4"/>
        <w:numPr>
          <w:ilvl w:val="0"/>
          <w:numId w:val="60"/>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4"/>
        <w:numPr>
          <w:ilvl w:val="0"/>
          <w:numId w:val="60"/>
        </w:numPr>
        <w:bidi w:val="0"/>
        <w:rPr>
          <w:u w:val="single"/>
        </w:rPr>
      </w:pPr>
      <w:r>
        <w:rPr>
          <w:rFonts w:hint="eastAsia"/>
          <w:u w:val="single"/>
        </w:rPr>
        <w:t>报价超过采购文件中规定的预算金额或者最高限价的；</w:t>
      </w:r>
    </w:p>
    <w:p w14:paraId="31198AEC">
      <w:pPr>
        <w:pStyle w:val="44"/>
        <w:numPr>
          <w:ilvl w:val="0"/>
          <w:numId w:val="60"/>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4"/>
        <w:numPr>
          <w:ilvl w:val="0"/>
          <w:numId w:val="60"/>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4"/>
        <w:numPr>
          <w:ilvl w:val="0"/>
          <w:numId w:val="60"/>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4"/>
        <w:numPr>
          <w:ilvl w:val="0"/>
          <w:numId w:val="60"/>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4"/>
        <w:numPr>
          <w:ilvl w:val="0"/>
          <w:numId w:val="60"/>
        </w:numPr>
        <w:bidi w:val="0"/>
      </w:pPr>
      <w:r>
        <w:rPr>
          <w:rFonts w:hint="eastAsia"/>
          <w:u w:val="single"/>
        </w:rPr>
        <w:t>存在法律、法规和采购文件规定的其他无效情形的。</w:t>
      </w:r>
    </w:p>
    <w:p w14:paraId="3945F0D2">
      <w:pPr>
        <w:pStyle w:val="43"/>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4"/>
        <w:numPr>
          <w:ilvl w:val="0"/>
          <w:numId w:val="61"/>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4"/>
        <w:numPr>
          <w:ilvl w:val="0"/>
          <w:numId w:val="61"/>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9"/>
        <w:numPr>
          <w:ilvl w:val="2"/>
          <w:numId w:val="54"/>
        </w:numPr>
      </w:pPr>
      <w:r>
        <w:rPr>
          <w:rFonts w:hint="eastAsia"/>
          <w:lang w:eastAsia="zh-CN"/>
        </w:rPr>
        <w:t>报价</w:t>
      </w:r>
      <w:r>
        <w:rPr>
          <w:rFonts w:hint="eastAsia"/>
        </w:rPr>
        <w:t>文件评分</w:t>
      </w:r>
    </w:p>
    <w:p w14:paraId="15FA48C4">
      <w:pPr>
        <w:pStyle w:val="35"/>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4"/>
        <w:numPr>
          <w:ilvl w:val="3"/>
          <w:numId w:val="54"/>
        </w:numPr>
        <w:ind w:firstLine="482"/>
      </w:pPr>
      <w:r>
        <w:t>投标价格的合理性审查</w:t>
      </w:r>
    </w:p>
    <w:p w14:paraId="383F4B38">
      <w:pPr>
        <w:pStyle w:val="43"/>
        <w:numPr>
          <w:ilvl w:val="0"/>
          <w:numId w:val="62"/>
        </w:numPr>
        <w:bidi w:val="0"/>
      </w:pPr>
      <w:r>
        <w:t>分析投标价格是否合理，投标价格范围是否完整，有否重大错漏项；</w:t>
      </w:r>
    </w:p>
    <w:p w14:paraId="3048892E">
      <w:pPr>
        <w:pStyle w:val="43"/>
        <w:numPr>
          <w:ilvl w:val="0"/>
          <w:numId w:val="62"/>
        </w:numPr>
        <w:bidi w:val="0"/>
        <w:rPr>
          <w:color w:val="auto"/>
          <w:highlight w:val="none"/>
        </w:rPr>
      </w:pPr>
      <w:r>
        <w:rPr>
          <w:color w:val="auto"/>
          <w:highlight w:val="none"/>
        </w:rPr>
        <w:t>为防止恶意竞标的行为，评审委员会认为投标人的报价明显低于其他通过符合性审查的投标人的报价</w:t>
      </w:r>
      <w:r>
        <w:rPr>
          <w:rFonts w:hint="eastAsia"/>
          <w:color w:val="auto"/>
          <w:highlight w:val="none"/>
          <w:lang w:val="en-US" w:eastAsia="zh-CN"/>
        </w:rPr>
        <w:t>或低于预算价60%的</w:t>
      </w:r>
      <w:r>
        <w:rPr>
          <w:color w:val="auto"/>
          <w:highlight w:val="none"/>
        </w:rPr>
        <w:t>，有可能影响产品质量或者不能诚信履约的，将要求投标人在评审现场30分钟内提供书面说明，</w:t>
      </w:r>
      <w:r>
        <w:rPr>
          <w:rFonts w:hint="eastAsia"/>
          <w:color w:val="auto"/>
          <w:highlight w:val="none"/>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highlight w:val="none"/>
        </w:rPr>
        <w:t>必要时提交相关证明材料；投标人不能证明其报价合理性的，评审委员会将对其作为无效投标处理。</w:t>
      </w:r>
    </w:p>
    <w:p w14:paraId="4D1F2630">
      <w:pPr>
        <w:pStyle w:val="34"/>
        <w:numPr>
          <w:ilvl w:val="3"/>
          <w:numId w:val="54"/>
        </w:numPr>
        <w:ind w:firstLine="482"/>
      </w:pPr>
      <w:r>
        <w:t>报价分计算方法</w:t>
      </w:r>
    </w:p>
    <w:p w14:paraId="6970AED3">
      <w:pPr>
        <w:pStyle w:val="43"/>
        <w:numPr>
          <w:ilvl w:val="0"/>
          <w:numId w:val="63"/>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3"/>
        <w:numPr>
          <w:ilvl w:val="0"/>
          <w:numId w:val="63"/>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3"/>
        <w:numPr>
          <w:ilvl w:val="0"/>
          <w:numId w:val="4"/>
        </w:numPr>
        <w:bidi w:val="0"/>
      </w:pPr>
      <w:r>
        <w:t>小微企业价格扣除政策</w:t>
      </w:r>
    </w:p>
    <w:p w14:paraId="55C58088">
      <w:pPr>
        <w:pStyle w:val="44"/>
        <w:numPr>
          <w:ilvl w:val="0"/>
          <w:numId w:val="64"/>
        </w:numPr>
        <w:bidi w:val="0"/>
      </w:pPr>
      <w:r>
        <w:t>预留份额专门面向中小企业的项目不再执行小微企业价格扣除政策；</w:t>
      </w:r>
    </w:p>
    <w:p w14:paraId="5DA0C0FA">
      <w:pPr>
        <w:pStyle w:val="44"/>
        <w:numPr>
          <w:ilvl w:val="0"/>
          <w:numId w:val="64"/>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4"/>
        <w:numPr>
          <w:ilvl w:val="3"/>
          <w:numId w:val="54"/>
        </w:numPr>
        <w:ind w:firstLine="482"/>
      </w:pPr>
      <w:r>
        <w:rPr>
          <w:rFonts w:hint="eastAsia"/>
        </w:rPr>
        <w:t>报价文件的错误修正</w:t>
      </w:r>
    </w:p>
    <w:p w14:paraId="55C37B0B">
      <w:pPr>
        <w:pStyle w:val="35"/>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3"/>
        <w:numPr>
          <w:ilvl w:val="0"/>
          <w:numId w:val="65"/>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3"/>
        <w:numPr>
          <w:ilvl w:val="0"/>
          <w:numId w:val="65"/>
        </w:numPr>
        <w:bidi w:val="0"/>
      </w:pPr>
      <w:r>
        <w:rPr>
          <w:rFonts w:hint="eastAsia"/>
        </w:rPr>
        <w:t>大写金额和小写金额不一致的，以大写金额为准；</w:t>
      </w:r>
    </w:p>
    <w:p w14:paraId="78009072">
      <w:pPr>
        <w:pStyle w:val="43"/>
        <w:numPr>
          <w:ilvl w:val="0"/>
          <w:numId w:val="65"/>
        </w:numPr>
        <w:bidi w:val="0"/>
      </w:pPr>
      <w:r>
        <w:rPr>
          <w:rFonts w:hint="eastAsia"/>
        </w:rPr>
        <w:t>单价金额小数点或者百分比有明显错位的，应以开标一览表（报价表）的总价为准，并修改单价；</w:t>
      </w:r>
    </w:p>
    <w:p w14:paraId="7427CF8C">
      <w:pPr>
        <w:pStyle w:val="43"/>
        <w:numPr>
          <w:ilvl w:val="0"/>
          <w:numId w:val="65"/>
        </w:numPr>
        <w:bidi w:val="0"/>
      </w:pPr>
      <w:r>
        <w:rPr>
          <w:rFonts w:hint="eastAsia"/>
        </w:rPr>
        <w:t>总价金额与按单价汇总金额不一致的，以单价金额计算结果为准。</w:t>
      </w:r>
    </w:p>
    <w:p w14:paraId="146C0386">
      <w:pPr>
        <w:pStyle w:val="43"/>
        <w:numPr>
          <w:ilvl w:val="0"/>
          <w:numId w:val="65"/>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5"/>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9"/>
        <w:numPr>
          <w:ilvl w:val="2"/>
          <w:numId w:val="54"/>
        </w:numPr>
      </w:pPr>
      <w:r>
        <w:rPr>
          <w:rFonts w:hint="eastAsia"/>
        </w:rPr>
        <w:t>推荐中标候选供应商</w:t>
      </w:r>
    </w:p>
    <w:p w14:paraId="17C37FF9">
      <w:pPr>
        <w:pStyle w:val="35"/>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5"/>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5"/>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5"/>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9"/>
        <w:numPr>
          <w:ilvl w:val="2"/>
          <w:numId w:val="54"/>
        </w:numPr>
      </w:pPr>
      <w:r>
        <w:rPr>
          <w:rFonts w:hint="eastAsia"/>
        </w:rPr>
        <w:t>评标结果修改</w:t>
      </w:r>
    </w:p>
    <w:p w14:paraId="5271C4D0">
      <w:pPr>
        <w:pStyle w:val="35"/>
        <w:ind w:firstLine="480"/>
      </w:pPr>
      <w:r>
        <w:rPr>
          <w:rFonts w:hint="eastAsia"/>
        </w:rPr>
        <w:t>评标报告签署前，评标结果经复核发现存在以下情形之一的，评审委员会将当场修改评标结果，并在评标报告中记载：</w:t>
      </w:r>
    </w:p>
    <w:p w14:paraId="6D7D649F">
      <w:pPr>
        <w:pStyle w:val="43"/>
        <w:numPr>
          <w:ilvl w:val="0"/>
          <w:numId w:val="66"/>
        </w:numPr>
        <w:bidi w:val="0"/>
      </w:pPr>
      <w:r>
        <w:rPr>
          <w:rFonts w:hint="eastAsia"/>
        </w:rPr>
        <w:t>分值汇总计算错误的；</w:t>
      </w:r>
    </w:p>
    <w:p w14:paraId="106936F5">
      <w:pPr>
        <w:pStyle w:val="43"/>
        <w:numPr>
          <w:ilvl w:val="0"/>
          <w:numId w:val="66"/>
        </w:numPr>
        <w:bidi w:val="0"/>
      </w:pPr>
      <w:r>
        <w:rPr>
          <w:rFonts w:hint="eastAsia"/>
        </w:rPr>
        <w:t>分项评分超出评分标准范围的；</w:t>
      </w:r>
    </w:p>
    <w:p w14:paraId="6D324009">
      <w:pPr>
        <w:pStyle w:val="43"/>
        <w:numPr>
          <w:ilvl w:val="0"/>
          <w:numId w:val="66"/>
        </w:numPr>
        <w:bidi w:val="0"/>
      </w:pPr>
      <w:r>
        <w:rPr>
          <w:rFonts w:hint="eastAsia"/>
        </w:rPr>
        <w:t>评审委员会成员对客观评审因素评分不一致的；</w:t>
      </w:r>
    </w:p>
    <w:p w14:paraId="7EF859C7">
      <w:pPr>
        <w:pStyle w:val="43"/>
        <w:numPr>
          <w:ilvl w:val="0"/>
          <w:numId w:val="66"/>
        </w:numPr>
        <w:bidi w:val="0"/>
      </w:pPr>
      <w:r>
        <w:rPr>
          <w:rFonts w:hint="eastAsia"/>
        </w:rPr>
        <w:t>经评审委员会认定评分畸高、畸低的。</w:t>
      </w:r>
    </w:p>
    <w:p w14:paraId="73DF51BA">
      <w:pPr>
        <w:pStyle w:val="35"/>
        <w:ind w:firstLine="480"/>
      </w:pPr>
      <w:r>
        <w:rPr>
          <w:rFonts w:hint="eastAsia"/>
        </w:rPr>
        <w:t>除上述情形外，任何人不得修改评标结果。</w:t>
      </w:r>
    </w:p>
    <w:p w14:paraId="4D944CEF">
      <w:pPr>
        <w:pStyle w:val="39"/>
        <w:numPr>
          <w:ilvl w:val="2"/>
          <w:numId w:val="54"/>
        </w:numPr>
      </w:pPr>
      <w:r>
        <w:rPr>
          <w:rFonts w:hint="eastAsia"/>
        </w:rPr>
        <w:t>起草、签署评标报告</w:t>
      </w:r>
    </w:p>
    <w:p w14:paraId="31DE470D">
      <w:pPr>
        <w:pStyle w:val="35"/>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5"/>
        <w:ind w:firstLine="0" w:firstLineChars="0"/>
      </w:pPr>
    </w:p>
    <w:p w14:paraId="699E9038">
      <w:pPr>
        <w:pStyle w:val="37"/>
        <w:numPr>
          <w:ilvl w:val="1"/>
          <w:numId w:val="50"/>
        </w:numPr>
        <w:rPr>
          <w:rFonts w:ascii="华文中宋" w:hAnsi="华文中宋" w:eastAsia="华文中宋"/>
          <w:kern w:val="0"/>
          <w:sz w:val="30"/>
          <w:szCs w:val="30"/>
        </w:rPr>
      </w:pPr>
      <w:bookmarkStart w:id="111" w:name="_Toc6323"/>
      <w:r>
        <w:rPr>
          <w:rFonts w:hint="eastAsia"/>
        </w:rPr>
        <w:t>投标文件的澄清、说明</w:t>
      </w:r>
      <w:bookmarkEnd w:id="111"/>
    </w:p>
    <w:p w14:paraId="1E336511">
      <w:pPr>
        <w:pStyle w:val="43"/>
        <w:numPr>
          <w:ilvl w:val="0"/>
          <w:numId w:val="67"/>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3"/>
        <w:numPr>
          <w:ilvl w:val="0"/>
          <w:numId w:val="67"/>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3"/>
        <w:numPr>
          <w:ilvl w:val="0"/>
          <w:numId w:val="67"/>
        </w:numPr>
        <w:bidi w:val="0"/>
      </w:pPr>
      <w:r>
        <w:t>对不同文字文本投标文件的解释发生异议的，以中文文本为准。</w:t>
      </w:r>
    </w:p>
    <w:p w14:paraId="6A57FEC1">
      <w:pPr>
        <w:pStyle w:val="43"/>
        <w:numPr>
          <w:ilvl w:val="0"/>
          <w:numId w:val="67"/>
        </w:numPr>
        <w:bidi w:val="0"/>
      </w:pPr>
      <w:r>
        <w:t>投标文件要求提供正、副本时，正、副本内容不一致的，以正本为准。</w:t>
      </w:r>
    </w:p>
    <w:p w14:paraId="7158C5A8">
      <w:pPr>
        <w:pStyle w:val="43"/>
        <w:numPr>
          <w:ilvl w:val="0"/>
          <w:numId w:val="67"/>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5"/>
        <w:ind w:firstLine="480"/>
      </w:pPr>
    </w:p>
    <w:p w14:paraId="7CF38C08">
      <w:pPr>
        <w:pStyle w:val="37"/>
        <w:numPr>
          <w:ilvl w:val="1"/>
          <w:numId w:val="50"/>
        </w:numPr>
      </w:pPr>
      <w:bookmarkStart w:id="112" w:name="_Toc12708"/>
      <w:r>
        <w:rPr>
          <w:rFonts w:hint="eastAsia"/>
        </w:rPr>
        <w:t>重新评审</w:t>
      </w:r>
      <w:bookmarkEnd w:id="112"/>
    </w:p>
    <w:p w14:paraId="42F8DA9E">
      <w:pPr>
        <w:pStyle w:val="35"/>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3"/>
        <w:numPr>
          <w:ilvl w:val="0"/>
          <w:numId w:val="68"/>
        </w:numPr>
        <w:bidi w:val="0"/>
      </w:pPr>
      <w:r>
        <w:rPr>
          <w:rFonts w:hint="eastAsia"/>
        </w:rPr>
        <w:t>分值汇总计算错误的；</w:t>
      </w:r>
    </w:p>
    <w:p w14:paraId="12B25B27">
      <w:pPr>
        <w:pStyle w:val="43"/>
        <w:numPr>
          <w:ilvl w:val="0"/>
          <w:numId w:val="68"/>
        </w:numPr>
        <w:bidi w:val="0"/>
      </w:pPr>
      <w:r>
        <w:rPr>
          <w:rFonts w:hint="eastAsia"/>
        </w:rPr>
        <w:t>分项评分超出评分标准范围的；</w:t>
      </w:r>
    </w:p>
    <w:p w14:paraId="6DF5A066">
      <w:pPr>
        <w:pStyle w:val="43"/>
        <w:numPr>
          <w:ilvl w:val="0"/>
          <w:numId w:val="68"/>
        </w:numPr>
        <w:bidi w:val="0"/>
      </w:pPr>
      <w:r>
        <w:rPr>
          <w:rFonts w:hint="eastAsia"/>
        </w:rPr>
        <w:t>评审委员会成员对客观评审因素评分不一致的；</w:t>
      </w:r>
    </w:p>
    <w:p w14:paraId="30F58391">
      <w:pPr>
        <w:pStyle w:val="43"/>
        <w:numPr>
          <w:ilvl w:val="0"/>
          <w:numId w:val="68"/>
        </w:numPr>
        <w:bidi w:val="0"/>
      </w:pPr>
      <w:r>
        <w:rPr>
          <w:rFonts w:hint="eastAsia"/>
        </w:rPr>
        <w:t>经评审委员会认定评分畸高、畸低的。</w:t>
      </w:r>
    </w:p>
    <w:p w14:paraId="6084CFD3">
      <w:pPr>
        <w:pStyle w:val="35"/>
        <w:ind w:firstLine="480"/>
      </w:pPr>
    </w:p>
    <w:p w14:paraId="605CB1A3">
      <w:pPr>
        <w:pStyle w:val="37"/>
        <w:numPr>
          <w:ilvl w:val="1"/>
          <w:numId w:val="50"/>
        </w:numPr>
      </w:pPr>
      <w:bookmarkStart w:id="113" w:name="_Toc4371"/>
      <w:r>
        <w:rPr>
          <w:rFonts w:hint="eastAsia"/>
        </w:rPr>
        <w:t>评审</w:t>
      </w:r>
      <w:r>
        <w:rPr>
          <w:rFonts w:hint="eastAsia"/>
          <w:lang w:val="en-US" w:eastAsia="zh-Hans"/>
        </w:rPr>
        <w:t>过程中的特别</w:t>
      </w:r>
      <w:r>
        <w:rPr>
          <w:rFonts w:hint="eastAsia"/>
        </w:rPr>
        <w:t>规定</w:t>
      </w:r>
      <w:bookmarkEnd w:id="113"/>
    </w:p>
    <w:p w14:paraId="2E57AFDC">
      <w:pPr>
        <w:pStyle w:val="39"/>
        <w:keepNext w:val="0"/>
        <w:keepLines w:val="0"/>
        <w:pageBreakBefore w:val="0"/>
        <w:widowControl w:val="0"/>
        <w:numPr>
          <w:ilvl w:val="2"/>
          <w:numId w:val="69"/>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5"/>
        <w:ind w:firstLine="480"/>
      </w:pPr>
      <w:r>
        <w:rPr>
          <w:rFonts w:hint="eastAsia"/>
        </w:rPr>
        <w:t>在评审过程中发现以下情形，被视为串通投标的：</w:t>
      </w:r>
    </w:p>
    <w:p w14:paraId="691511DD">
      <w:pPr>
        <w:pStyle w:val="43"/>
        <w:numPr>
          <w:ilvl w:val="0"/>
          <w:numId w:val="70"/>
        </w:numPr>
        <w:bidi w:val="0"/>
      </w:pPr>
      <w:r>
        <w:rPr>
          <w:rFonts w:hint="eastAsia"/>
        </w:rPr>
        <w:t>不同投标人的投标文件由同一单位或个人编制；</w:t>
      </w:r>
    </w:p>
    <w:p w14:paraId="2E05BAF3">
      <w:pPr>
        <w:pStyle w:val="43"/>
        <w:numPr>
          <w:ilvl w:val="0"/>
          <w:numId w:val="70"/>
        </w:numPr>
        <w:bidi w:val="0"/>
      </w:pPr>
      <w:r>
        <w:rPr>
          <w:rFonts w:hint="eastAsia"/>
        </w:rPr>
        <w:t>不同投标人委托同一单位或个人办理投标事宜；</w:t>
      </w:r>
    </w:p>
    <w:p w14:paraId="08A07E50">
      <w:pPr>
        <w:pStyle w:val="43"/>
        <w:numPr>
          <w:ilvl w:val="0"/>
          <w:numId w:val="70"/>
        </w:numPr>
        <w:bidi w:val="0"/>
      </w:pPr>
      <w:r>
        <w:rPr>
          <w:rFonts w:hint="eastAsia"/>
        </w:rPr>
        <w:t>不同投标人的投标文件载明的项目管理成员或联系人员为同一人；</w:t>
      </w:r>
    </w:p>
    <w:p w14:paraId="5A5F4CAE">
      <w:pPr>
        <w:pStyle w:val="43"/>
        <w:numPr>
          <w:ilvl w:val="0"/>
          <w:numId w:val="70"/>
        </w:numPr>
        <w:bidi w:val="0"/>
      </w:pPr>
      <w:r>
        <w:rPr>
          <w:rFonts w:hint="eastAsia"/>
        </w:rPr>
        <w:t>不同投标人的投标文件异常一致或者投标报价呈规律性差异；</w:t>
      </w:r>
    </w:p>
    <w:p w14:paraId="0DFB0B9A">
      <w:pPr>
        <w:pStyle w:val="43"/>
        <w:numPr>
          <w:ilvl w:val="0"/>
          <w:numId w:val="70"/>
        </w:numPr>
        <w:bidi w:val="0"/>
      </w:pPr>
      <w:r>
        <w:rPr>
          <w:rFonts w:hint="eastAsia"/>
        </w:rPr>
        <w:t>不同投标人的投标文件互相混装。</w:t>
      </w:r>
    </w:p>
    <w:p w14:paraId="67F53AB9">
      <w:pPr>
        <w:pStyle w:val="35"/>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5"/>
        <w:ind w:firstLine="480"/>
      </w:pPr>
      <w:r>
        <w:rPr>
          <w:rFonts w:hint="eastAsia"/>
        </w:rPr>
        <w:t>投标人有下列情形之一的，投标无效且将投标文件、询标记录等报同级政府采购监管部门或有关职能部门查处：</w:t>
      </w:r>
    </w:p>
    <w:p w14:paraId="3B045411">
      <w:pPr>
        <w:pStyle w:val="43"/>
        <w:numPr>
          <w:ilvl w:val="0"/>
          <w:numId w:val="71"/>
        </w:numPr>
        <w:bidi w:val="0"/>
      </w:pPr>
      <w:r>
        <w:rPr>
          <w:rFonts w:hint="eastAsia"/>
        </w:rPr>
        <w:t>未如实提供债权债务、重大违法记录、利害关系等信息，影响或者可能影响中标结果的；</w:t>
      </w:r>
    </w:p>
    <w:p w14:paraId="557D03E9">
      <w:pPr>
        <w:pStyle w:val="43"/>
        <w:numPr>
          <w:ilvl w:val="0"/>
          <w:numId w:val="71"/>
        </w:numPr>
        <w:bidi w:val="0"/>
      </w:pPr>
      <w:r>
        <w:rPr>
          <w:rFonts w:hint="eastAsia"/>
        </w:rPr>
        <w:t>不遵循公平竞争原则、恶意串通、妨碍其他投标人的竞争、损害采购人或其他投标人合法权益的；</w:t>
      </w:r>
    </w:p>
    <w:p w14:paraId="7D1B2718">
      <w:pPr>
        <w:pStyle w:val="43"/>
        <w:numPr>
          <w:ilvl w:val="0"/>
          <w:numId w:val="71"/>
        </w:numPr>
        <w:bidi w:val="0"/>
      </w:pPr>
      <w:r>
        <w:rPr>
          <w:rFonts w:hint="eastAsia"/>
        </w:rPr>
        <w:t>政府采购活动中存在违法行为的；</w:t>
      </w:r>
    </w:p>
    <w:p w14:paraId="6BF47FE9">
      <w:pPr>
        <w:pStyle w:val="43"/>
        <w:numPr>
          <w:ilvl w:val="0"/>
          <w:numId w:val="71"/>
        </w:numPr>
        <w:bidi w:val="0"/>
      </w:pPr>
      <w:r>
        <w:rPr>
          <w:rFonts w:hint="eastAsia"/>
        </w:rPr>
        <w:t>其他严重干扰招投标秩序的行为的。</w:t>
      </w:r>
    </w:p>
    <w:p w14:paraId="15A846AD">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5"/>
        <w:ind w:firstLine="480"/>
      </w:pPr>
      <w:r>
        <w:rPr>
          <w:rFonts w:hint="eastAsia"/>
        </w:rPr>
        <w:t>若在评审过程中出现有效投标人不足三家的情况，除采购任务取消情形外，招标人有权选择以下方式之一处理：</w:t>
      </w:r>
    </w:p>
    <w:p w14:paraId="5297EBF7">
      <w:pPr>
        <w:pStyle w:val="43"/>
        <w:numPr>
          <w:ilvl w:val="0"/>
          <w:numId w:val="72"/>
        </w:numPr>
        <w:bidi w:val="0"/>
      </w:pPr>
      <w:r>
        <w:rPr>
          <w:rFonts w:hint="eastAsia"/>
        </w:rPr>
        <w:t>将本标项作废标处理，重新组织采购；</w:t>
      </w:r>
    </w:p>
    <w:p w14:paraId="4DCBDF01">
      <w:pPr>
        <w:pStyle w:val="43"/>
        <w:numPr>
          <w:ilvl w:val="0"/>
          <w:numId w:val="72"/>
        </w:numPr>
        <w:bidi w:val="0"/>
      </w:pPr>
      <w:r>
        <w:rPr>
          <w:rFonts w:hint="eastAsia"/>
        </w:rPr>
        <w:t>按同级政府采购监督管理部门的审批意见采用其他采购方式组织采购。</w:t>
      </w:r>
    </w:p>
    <w:p w14:paraId="214C4CBA">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5"/>
        <w:ind w:firstLine="480"/>
      </w:pPr>
      <w:r>
        <w:rPr>
          <w:rFonts w:hint="eastAsia"/>
        </w:rPr>
        <w:t>在招标采购中，出现下列情形之一的，项目将予以废标：</w:t>
      </w:r>
    </w:p>
    <w:p w14:paraId="1DEE0392">
      <w:pPr>
        <w:pStyle w:val="35"/>
        <w:ind w:firstLine="480"/>
        <w:rPr>
          <w:kern w:val="0"/>
        </w:rPr>
      </w:pPr>
      <w:r>
        <w:rPr>
          <w:rFonts w:hint="eastAsia"/>
          <w:kern w:val="0"/>
        </w:rPr>
        <w:t>（1）符合专业条件的供应商或者对招标文件作实质响应的供应商不足三家的；</w:t>
      </w:r>
    </w:p>
    <w:p w14:paraId="2FB90F9D">
      <w:pPr>
        <w:pStyle w:val="35"/>
        <w:ind w:firstLine="480"/>
        <w:rPr>
          <w:kern w:val="0"/>
        </w:rPr>
      </w:pPr>
      <w:r>
        <w:rPr>
          <w:rFonts w:hint="eastAsia"/>
          <w:kern w:val="0"/>
        </w:rPr>
        <w:t>（2）出现影响采购公正的违法、违规行为的；</w:t>
      </w:r>
    </w:p>
    <w:p w14:paraId="1E43F2B4">
      <w:pPr>
        <w:pStyle w:val="35"/>
        <w:ind w:firstLine="480"/>
        <w:rPr>
          <w:kern w:val="0"/>
        </w:rPr>
      </w:pPr>
      <w:r>
        <w:rPr>
          <w:rFonts w:hint="eastAsia"/>
          <w:kern w:val="0"/>
        </w:rPr>
        <w:t>（3）投标人的报价均超过了采购预算，采购人不能支付的；</w:t>
      </w:r>
    </w:p>
    <w:p w14:paraId="18EDE3FF">
      <w:pPr>
        <w:pStyle w:val="35"/>
        <w:ind w:firstLine="480"/>
        <w:rPr>
          <w:kern w:val="0"/>
          <w:sz w:val="28"/>
          <w:szCs w:val="28"/>
        </w:rPr>
      </w:pPr>
      <w:r>
        <w:rPr>
          <w:rFonts w:hint="eastAsia"/>
          <w:kern w:val="0"/>
        </w:rPr>
        <w:t>（4）因重大变故，采购任务取消的。</w:t>
      </w:r>
    </w:p>
    <w:p w14:paraId="45051978">
      <w:pPr>
        <w:pStyle w:val="39"/>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5"/>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3"/>
        <w:numPr>
          <w:ilvl w:val="0"/>
          <w:numId w:val="73"/>
        </w:numPr>
        <w:bidi w:val="0"/>
      </w:pPr>
      <w:r>
        <w:rPr>
          <w:rFonts w:hint="eastAsia"/>
        </w:rPr>
        <w:t>电子交易平台发生故障而无法登录访问的；</w:t>
      </w:r>
    </w:p>
    <w:p w14:paraId="45919C3C">
      <w:pPr>
        <w:pStyle w:val="43"/>
        <w:numPr>
          <w:ilvl w:val="0"/>
          <w:numId w:val="73"/>
        </w:numPr>
        <w:bidi w:val="0"/>
      </w:pPr>
      <w:r>
        <w:rPr>
          <w:rFonts w:hint="eastAsia"/>
        </w:rPr>
        <w:t>电子交易平台应用或数据库出现错误，不能进行正常操作的；</w:t>
      </w:r>
    </w:p>
    <w:p w14:paraId="35B49F39">
      <w:pPr>
        <w:pStyle w:val="43"/>
        <w:numPr>
          <w:ilvl w:val="0"/>
          <w:numId w:val="73"/>
        </w:numPr>
        <w:bidi w:val="0"/>
      </w:pPr>
      <w:r>
        <w:rPr>
          <w:rFonts w:hint="eastAsia"/>
        </w:rPr>
        <w:t>电子交易平台发现严重安全漏洞，有潜在泄密危险的；</w:t>
      </w:r>
    </w:p>
    <w:p w14:paraId="4F3A7101">
      <w:pPr>
        <w:pStyle w:val="43"/>
        <w:numPr>
          <w:ilvl w:val="0"/>
          <w:numId w:val="73"/>
        </w:numPr>
        <w:bidi w:val="0"/>
      </w:pPr>
      <w:r>
        <w:rPr>
          <w:rFonts w:hint="eastAsia"/>
        </w:rPr>
        <w:t>病毒发作导致不能进行正常操作的；</w:t>
      </w:r>
    </w:p>
    <w:p w14:paraId="266C05E1">
      <w:pPr>
        <w:pStyle w:val="43"/>
        <w:numPr>
          <w:ilvl w:val="0"/>
          <w:numId w:val="73"/>
        </w:numPr>
        <w:bidi w:val="0"/>
      </w:pPr>
      <w:r>
        <w:rPr>
          <w:rFonts w:hint="eastAsia"/>
        </w:rPr>
        <w:t>其他无法保证电子交易的公平、公正和安全的情况。</w:t>
      </w:r>
    </w:p>
    <w:p w14:paraId="77E63BF8">
      <w:pPr>
        <w:pStyle w:val="35"/>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8"/>
      </w:pPr>
      <w:bookmarkStart w:id="114" w:name="_Toc119296595"/>
      <w:bookmarkStart w:id="115" w:name="_Toc13682"/>
      <w:r>
        <w:rPr>
          <w:rFonts w:hint="eastAsia"/>
          <w:lang w:eastAsia="zh-CN"/>
        </w:rPr>
        <w:t>投标文件部分格式文本</w:t>
      </w:r>
      <w:bookmarkEnd w:id="114"/>
      <w:bookmarkEnd w:id="115"/>
    </w:p>
    <w:p w14:paraId="3B9CD4DB">
      <w:pPr>
        <w:pStyle w:val="37"/>
        <w:numPr>
          <w:ilvl w:val="1"/>
          <w:numId w:val="74"/>
        </w:numPr>
        <w:adjustRightInd/>
      </w:pPr>
      <w:bookmarkStart w:id="116" w:name="_Toc31746"/>
      <w:r>
        <w:rPr>
          <w:rFonts w:hint="eastAsia"/>
        </w:rPr>
        <w:t>格式文本使用说明</w:t>
      </w:r>
      <w:bookmarkEnd w:id="116"/>
    </w:p>
    <w:p w14:paraId="654E72C8">
      <w:pPr>
        <w:pStyle w:val="43"/>
        <w:numPr>
          <w:ilvl w:val="0"/>
          <w:numId w:val="75"/>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3"/>
        <w:numPr>
          <w:ilvl w:val="0"/>
          <w:numId w:val="75"/>
        </w:numPr>
        <w:bidi w:val="0"/>
      </w:pPr>
      <w:r>
        <w:rPr>
          <w:rFonts w:hint="eastAsia"/>
        </w:rPr>
        <w:t>本章有提供格式文本的，投标人编制投标文件应按格式编制和签署，除另有说明外不得改变格式文本内容，否则该项文件视为无效文件；</w:t>
      </w:r>
    </w:p>
    <w:p w14:paraId="1A7315A9">
      <w:pPr>
        <w:pStyle w:val="43"/>
        <w:numPr>
          <w:ilvl w:val="0"/>
          <w:numId w:val="75"/>
        </w:numPr>
        <w:bidi w:val="0"/>
      </w:pPr>
      <w:r>
        <w:rPr>
          <w:rFonts w:hint="eastAsia"/>
        </w:rPr>
        <w:t>本章未提供格式文本的，投标人可自行拟定格式，并参照格式文本签署；</w:t>
      </w:r>
    </w:p>
    <w:p w14:paraId="5EC1B717">
      <w:pPr>
        <w:pStyle w:val="43"/>
        <w:numPr>
          <w:ilvl w:val="0"/>
          <w:numId w:val="75"/>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3"/>
        <w:numPr>
          <w:ilvl w:val="0"/>
          <w:numId w:val="75"/>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3"/>
        <w:numPr>
          <w:ilvl w:val="0"/>
          <w:numId w:val="75"/>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3"/>
        <w:numPr>
          <w:ilvl w:val="0"/>
          <w:numId w:val="75"/>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3"/>
        <w:numPr>
          <w:ilvl w:val="0"/>
          <w:numId w:val="75"/>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5"/>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7"/>
        <w:numPr>
          <w:ilvl w:val="1"/>
          <w:numId w:val="74"/>
        </w:numPr>
        <w:adjustRightInd/>
      </w:pPr>
      <w:bookmarkStart w:id="117" w:name="_Toc23096"/>
      <w:bookmarkStart w:id="118" w:name="_Toc119296596"/>
      <w:r>
        <w:rPr>
          <w:rFonts w:hint="eastAsia"/>
        </w:rPr>
        <w:t>符合参加政府采购活动应当具备的一般条件的承诺函</w:t>
      </w:r>
      <w:bookmarkEnd w:id="117"/>
    </w:p>
    <w:p w14:paraId="664908A2">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48B354DB">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浙江省测绘科学技术研究院无人机机身及配套设备一切险与第三者责任保险项目（重新招标）</w:t>
      </w:r>
      <w:r>
        <w:rPr>
          <w:rFonts w:hint="eastAsia"/>
          <w:color w:val="auto"/>
          <w:highlight w:val="none"/>
          <w:u w:val="single"/>
        </w:rPr>
        <w:t>（项目编号：</w:t>
      </w:r>
      <w:r>
        <w:rPr>
          <w:rFonts w:hint="eastAsia"/>
          <w:color w:val="auto"/>
          <w:highlight w:val="none"/>
          <w:u w:val="single"/>
          <w:lang w:eastAsia="zh-CN"/>
        </w:rPr>
        <w:t>ZQ250611ZGC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政府采购活动，郑重承诺：</w:t>
      </w:r>
    </w:p>
    <w:p w14:paraId="319E071A">
      <w:pPr>
        <w:pStyle w:val="35"/>
        <w:ind w:firstLine="480"/>
        <w:rPr>
          <w:color w:val="auto"/>
          <w:highlight w:val="none"/>
        </w:rPr>
      </w:pPr>
      <w:r>
        <w:rPr>
          <w:rFonts w:hint="eastAsia"/>
          <w:color w:val="auto"/>
          <w:highlight w:val="none"/>
        </w:rPr>
        <w:t>（一）具备《中华人民共和国政府采购法》第二十二条第一款规定的条件：</w:t>
      </w:r>
    </w:p>
    <w:p w14:paraId="29524CDC">
      <w:pPr>
        <w:pStyle w:val="35"/>
        <w:ind w:firstLine="480"/>
        <w:rPr>
          <w:color w:val="auto"/>
          <w:highlight w:val="none"/>
        </w:rPr>
      </w:pPr>
      <w:r>
        <w:rPr>
          <w:rFonts w:hint="eastAsia"/>
          <w:color w:val="auto"/>
          <w:highlight w:val="none"/>
        </w:rPr>
        <w:t>1、具有独立承担民事责任的能力；</w:t>
      </w:r>
    </w:p>
    <w:p w14:paraId="2F0A95F4">
      <w:pPr>
        <w:pStyle w:val="35"/>
        <w:ind w:firstLine="480"/>
        <w:rPr>
          <w:color w:val="auto"/>
          <w:highlight w:val="none"/>
        </w:rPr>
      </w:pPr>
      <w:r>
        <w:rPr>
          <w:rFonts w:hint="eastAsia"/>
          <w:color w:val="auto"/>
          <w:highlight w:val="none"/>
        </w:rPr>
        <w:t xml:space="preserve">2、具有良好的商业信誉和健全的财务会计制度； </w:t>
      </w:r>
    </w:p>
    <w:p w14:paraId="61BAA0C0">
      <w:pPr>
        <w:pStyle w:val="35"/>
        <w:ind w:firstLine="480"/>
        <w:rPr>
          <w:color w:val="auto"/>
          <w:highlight w:val="none"/>
        </w:rPr>
      </w:pPr>
      <w:r>
        <w:rPr>
          <w:rFonts w:hint="eastAsia"/>
          <w:color w:val="auto"/>
          <w:highlight w:val="none"/>
        </w:rPr>
        <w:t>3、具有履行合同所必需的设备和专业技术能力；</w:t>
      </w:r>
    </w:p>
    <w:p w14:paraId="62D9C067">
      <w:pPr>
        <w:pStyle w:val="35"/>
        <w:ind w:firstLine="480"/>
        <w:rPr>
          <w:color w:val="auto"/>
          <w:highlight w:val="none"/>
        </w:rPr>
      </w:pPr>
      <w:r>
        <w:rPr>
          <w:rFonts w:hint="eastAsia"/>
          <w:color w:val="auto"/>
          <w:highlight w:val="none"/>
        </w:rPr>
        <w:t>4、有依法缴纳税收和社会保障资金的良好记录；</w:t>
      </w:r>
    </w:p>
    <w:p w14:paraId="18816AEE">
      <w:pPr>
        <w:pStyle w:val="35"/>
        <w:ind w:firstLine="480"/>
        <w:rPr>
          <w:color w:val="auto"/>
          <w:highlight w:val="none"/>
        </w:rPr>
      </w:pPr>
      <w:r>
        <w:rPr>
          <w:rFonts w:hint="eastAsia"/>
          <w:color w:val="auto"/>
          <w:highlight w:val="none"/>
        </w:rPr>
        <w:t>5、参加政府采购活动前三年内，在经营活动中没有重大违法记录；</w:t>
      </w:r>
    </w:p>
    <w:p w14:paraId="1CFBD2CF">
      <w:pPr>
        <w:pStyle w:val="35"/>
        <w:ind w:firstLine="480"/>
        <w:rPr>
          <w:color w:val="auto"/>
          <w:highlight w:val="none"/>
        </w:rPr>
      </w:pPr>
      <w:r>
        <w:rPr>
          <w:rFonts w:hint="eastAsia"/>
          <w:color w:val="auto"/>
          <w:highlight w:val="none"/>
        </w:rPr>
        <w:t>6、具有法律、行政法规规定的其他条件。</w:t>
      </w:r>
    </w:p>
    <w:p w14:paraId="15013C83">
      <w:pPr>
        <w:pStyle w:val="35"/>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53140A8B">
      <w:pPr>
        <w:pStyle w:val="35"/>
        <w:ind w:firstLine="480"/>
        <w:rPr>
          <w:color w:val="auto"/>
          <w:highlight w:val="none"/>
        </w:rPr>
      </w:pPr>
    </w:p>
    <w:p w14:paraId="67C76A8D">
      <w:pPr>
        <w:pStyle w:val="35"/>
        <w:ind w:firstLine="480"/>
        <w:rPr>
          <w:color w:val="auto"/>
          <w:highlight w:val="none"/>
        </w:rPr>
      </w:pPr>
    </w:p>
    <w:p w14:paraId="79848DAF">
      <w:pPr>
        <w:pStyle w:val="35"/>
        <w:ind w:firstLine="480"/>
        <w:rPr>
          <w:color w:val="auto"/>
          <w:kern w:val="0"/>
          <w:highlight w:val="none"/>
        </w:rPr>
      </w:pPr>
      <w:r>
        <w:rPr>
          <w:rFonts w:hint="eastAsia"/>
          <w:color w:val="auto"/>
          <w:kern w:val="0"/>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78748601">
      <w:pPr>
        <w:pStyle w:val="35"/>
        <w:ind w:firstLine="480"/>
        <w:rPr>
          <w:color w:val="auto"/>
          <w:kern w:val="0"/>
          <w:highlight w:val="none"/>
        </w:rPr>
      </w:pPr>
      <w:r>
        <w:rPr>
          <w:rFonts w:hint="eastAsia"/>
          <w:color w:val="auto"/>
          <w:kern w:val="0"/>
          <w:highlight w:val="none"/>
        </w:rPr>
        <w:t>日期：  年  月   日</w:t>
      </w:r>
    </w:p>
    <w:p w14:paraId="302118ED">
      <w:pPr>
        <w:pStyle w:val="35"/>
        <w:ind w:firstLine="480"/>
        <w:rPr>
          <w:color w:val="auto"/>
          <w:kern w:val="0"/>
          <w:highlight w:val="none"/>
        </w:rPr>
      </w:pPr>
    </w:p>
    <w:p w14:paraId="57078A0B">
      <w:pPr>
        <w:pStyle w:val="35"/>
        <w:ind w:firstLine="0" w:firstLineChars="0"/>
        <w:rPr>
          <w:color w:val="auto"/>
          <w:kern w:val="0"/>
          <w:highlight w:val="none"/>
          <w:lang w:eastAsia="zh-CN"/>
        </w:rPr>
      </w:pPr>
      <w:r>
        <w:rPr>
          <w:rFonts w:hint="eastAsia"/>
          <w:color w:val="auto"/>
          <w:kern w:val="0"/>
          <w:highlight w:val="none"/>
          <w:lang w:eastAsia="zh-CN"/>
        </w:rPr>
        <w:t>【说明：如为联合体投标，联合体双方均应具备参加政府采购活动的一般资格条件，文首“我方”应改为“我方与（供应商全称）”】</w:t>
      </w:r>
    </w:p>
    <w:p w14:paraId="72A12F45">
      <w:pPr>
        <w:widowControl/>
        <w:jc w:val="left"/>
        <w:rPr>
          <w:color w:val="auto"/>
          <w:highlight w:val="none"/>
        </w:rPr>
      </w:pPr>
      <w:r>
        <w:rPr>
          <w:color w:val="auto"/>
          <w:highlight w:val="none"/>
        </w:rPr>
        <w:br w:type="page"/>
      </w:r>
    </w:p>
    <w:p w14:paraId="09C5CC83">
      <w:pPr>
        <w:pStyle w:val="37"/>
        <w:numPr>
          <w:ilvl w:val="1"/>
          <w:numId w:val="74"/>
        </w:numPr>
        <w:adjustRightInd/>
        <w:rPr>
          <w:rFonts w:eastAsia="宋体"/>
          <w:color w:val="auto"/>
          <w:highlight w:val="none"/>
        </w:rPr>
      </w:pPr>
      <w:bookmarkStart w:id="119" w:name="_Toc790"/>
      <w:r>
        <w:rPr>
          <w:rFonts w:hint="eastAsia"/>
          <w:color w:val="auto"/>
          <w:highlight w:val="none"/>
        </w:rPr>
        <w:t>投标函</w:t>
      </w:r>
      <w:bookmarkEnd w:id="119"/>
    </w:p>
    <w:p w14:paraId="50F36993">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735EC6EB">
      <w:pPr>
        <w:pStyle w:val="35"/>
        <w:ind w:firstLine="480"/>
        <w:rPr>
          <w:color w:val="auto"/>
          <w:highlight w:val="none"/>
        </w:rPr>
      </w:pPr>
      <w:r>
        <w:rPr>
          <w:rFonts w:hint="eastAsia"/>
          <w:color w:val="auto"/>
          <w:highlight w:val="none"/>
        </w:rPr>
        <w:t>我方参与</w:t>
      </w:r>
      <w:r>
        <w:rPr>
          <w:rFonts w:hint="eastAsia"/>
          <w:color w:val="auto"/>
          <w:highlight w:val="none"/>
          <w:u w:val="single"/>
          <w:lang w:eastAsia="zh-CN"/>
        </w:rPr>
        <w:t>浙江省测绘科学技术研究院无人机机身及配套设备一切险与第三者责任保险项目（重新招标）</w:t>
      </w:r>
      <w:r>
        <w:rPr>
          <w:rFonts w:hint="eastAsia"/>
          <w:color w:val="auto"/>
          <w:highlight w:val="none"/>
          <w:u w:val="single"/>
        </w:rPr>
        <w:t>（项目编号：</w:t>
      </w:r>
      <w:r>
        <w:rPr>
          <w:rFonts w:hint="eastAsia"/>
          <w:color w:val="auto"/>
          <w:highlight w:val="none"/>
          <w:u w:val="single"/>
          <w:lang w:eastAsia="zh-CN"/>
        </w:rPr>
        <w:t>ZQ250611ZGC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60A83CA0">
      <w:pPr>
        <w:pStyle w:val="35"/>
        <w:ind w:firstLine="480"/>
        <w:rPr>
          <w:color w:val="auto"/>
          <w:highlight w:val="none"/>
        </w:rPr>
      </w:pPr>
      <w:r>
        <w:rPr>
          <w:color w:val="auto"/>
          <w:highlight w:val="none"/>
        </w:rPr>
        <w:t>1.</w:t>
      </w:r>
      <w:r>
        <w:rPr>
          <w:rFonts w:hint="eastAsia"/>
          <w:color w:val="auto"/>
          <w:highlight w:val="none"/>
        </w:rPr>
        <w:t>我方承诺投标有效期从提交投标文件的截止之日起</w:t>
      </w:r>
      <w:r>
        <w:rPr>
          <w:rFonts w:hint="eastAsia"/>
          <w:color w:val="auto"/>
          <w:highlight w:val="none"/>
          <w:u w:val="single"/>
        </w:rPr>
        <w:t xml:space="preserve"> </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u w:val="single"/>
        </w:rPr>
        <w:t xml:space="preserve"> </w:t>
      </w:r>
      <w:r>
        <w:rPr>
          <w:rFonts w:hint="eastAsia"/>
          <w:color w:val="auto"/>
          <w:highlight w:val="none"/>
        </w:rPr>
        <w:t>天，本投标文件在投标有效期满之前均具有约束力。</w:t>
      </w:r>
    </w:p>
    <w:p w14:paraId="6B3D8365">
      <w:pPr>
        <w:pStyle w:val="35"/>
        <w:ind w:firstLine="480"/>
        <w:rPr>
          <w:color w:val="auto"/>
          <w:highlight w:val="none"/>
        </w:rPr>
      </w:pPr>
      <w:r>
        <w:rPr>
          <w:color w:val="auto"/>
          <w:highlight w:val="none"/>
        </w:rPr>
        <w:t>2.</w:t>
      </w:r>
      <w:r>
        <w:rPr>
          <w:rFonts w:hint="eastAsia"/>
          <w:color w:val="auto"/>
          <w:highlight w:val="none"/>
        </w:rPr>
        <w:t>我方的投标文件包括以下内容：</w:t>
      </w:r>
    </w:p>
    <w:p w14:paraId="25ED62E6">
      <w:pPr>
        <w:pStyle w:val="35"/>
        <w:ind w:firstLine="480"/>
        <w:rPr>
          <w:color w:val="auto"/>
          <w:highlight w:val="none"/>
        </w:rPr>
      </w:pPr>
      <w:r>
        <w:rPr>
          <w:rFonts w:hint="eastAsia"/>
          <w:color w:val="auto"/>
          <w:highlight w:val="none"/>
        </w:rPr>
        <w:t>2.1资格文件：</w:t>
      </w:r>
    </w:p>
    <w:p w14:paraId="5600CE48">
      <w:pPr>
        <w:pStyle w:val="35"/>
        <w:ind w:firstLine="480"/>
        <w:rPr>
          <w:i/>
          <w:iCs/>
          <w:color w:val="auto"/>
          <w:highlight w:val="none"/>
          <w:lang w:eastAsia="zh-CN"/>
        </w:rPr>
      </w:pPr>
    </w:p>
    <w:p w14:paraId="2700414E">
      <w:pPr>
        <w:pStyle w:val="35"/>
        <w:ind w:firstLine="480"/>
        <w:rPr>
          <w:i/>
          <w:iCs/>
          <w:color w:val="auto"/>
          <w:highlight w:val="none"/>
          <w:u w:val="single"/>
        </w:rPr>
      </w:pPr>
      <w:r>
        <w:rPr>
          <w:rFonts w:hint="eastAsia"/>
          <w:i/>
          <w:iCs/>
          <w:color w:val="auto"/>
          <w:highlight w:val="none"/>
          <w:u w:val="single"/>
          <w:lang w:eastAsia="zh-CN"/>
        </w:rPr>
        <w:t>根据资格文件目录内容如实填写</w:t>
      </w:r>
    </w:p>
    <w:p w14:paraId="1926534F">
      <w:pPr>
        <w:pStyle w:val="35"/>
        <w:ind w:firstLine="480"/>
        <w:rPr>
          <w:color w:val="auto"/>
          <w:highlight w:val="none"/>
        </w:rPr>
      </w:pPr>
    </w:p>
    <w:p w14:paraId="60B47EEA">
      <w:pPr>
        <w:pStyle w:val="35"/>
        <w:ind w:firstLine="480"/>
        <w:rPr>
          <w:color w:val="auto"/>
          <w:highlight w:val="none"/>
        </w:rPr>
      </w:pPr>
      <w:r>
        <w:rPr>
          <w:rFonts w:hint="eastAsia"/>
          <w:color w:val="auto"/>
          <w:highlight w:val="none"/>
        </w:rPr>
        <w:t>2.2 商务技术文件：</w:t>
      </w:r>
    </w:p>
    <w:p w14:paraId="31E30CE2">
      <w:pPr>
        <w:pStyle w:val="35"/>
        <w:ind w:firstLine="480"/>
        <w:rPr>
          <w:i/>
          <w:iCs/>
          <w:color w:val="auto"/>
          <w:highlight w:val="none"/>
          <w:lang w:eastAsia="zh-CN"/>
        </w:rPr>
      </w:pPr>
    </w:p>
    <w:p w14:paraId="7A34DA89">
      <w:pPr>
        <w:pStyle w:val="35"/>
        <w:ind w:firstLine="480"/>
        <w:rPr>
          <w:i/>
          <w:iCs/>
          <w:color w:val="auto"/>
          <w:highlight w:val="none"/>
          <w:u w:val="single"/>
        </w:rPr>
      </w:pPr>
      <w:r>
        <w:rPr>
          <w:rFonts w:hint="eastAsia"/>
          <w:i/>
          <w:iCs/>
          <w:color w:val="auto"/>
          <w:highlight w:val="none"/>
          <w:u w:val="single"/>
          <w:lang w:eastAsia="zh-CN"/>
        </w:rPr>
        <w:t>根据商务技术文件目录内容如实填写</w:t>
      </w:r>
    </w:p>
    <w:p w14:paraId="3B83C92A">
      <w:pPr>
        <w:pStyle w:val="35"/>
        <w:ind w:firstLine="480"/>
        <w:rPr>
          <w:color w:val="auto"/>
          <w:highlight w:val="none"/>
        </w:rPr>
      </w:pPr>
    </w:p>
    <w:p w14:paraId="348127D4">
      <w:pPr>
        <w:pStyle w:val="35"/>
        <w:ind w:firstLine="480"/>
        <w:rPr>
          <w:color w:val="auto"/>
          <w:highlight w:val="none"/>
        </w:rPr>
      </w:pPr>
      <w:r>
        <w:rPr>
          <w:rFonts w:hint="eastAsia"/>
          <w:color w:val="auto"/>
          <w:highlight w:val="none"/>
        </w:rPr>
        <w:t>2.3报价文件</w:t>
      </w:r>
    </w:p>
    <w:p w14:paraId="6275A20F">
      <w:pPr>
        <w:pStyle w:val="35"/>
        <w:ind w:firstLine="480"/>
        <w:rPr>
          <w:i/>
          <w:iCs/>
          <w:color w:val="auto"/>
          <w:highlight w:val="none"/>
          <w:lang w:eastAsia="zh-CN"/>
        </w:rPr>
      </w:pPr>
    </w:p>
    <w:p w14:paraId="0AD03030">
      <w:pPr>
        <w:pStyle w:val="35"/>
        <w:ind w:firstLine="480"/>
        <w:rPr>
          <w:i/>
          <w:iCs/>
          <w:color w:val="auto"/>
          <w:highlight w:val="none"/>
          <w:u w:val="single"/>
        </w:rPr>
      </w:pPr>
      <w:r>
        <w:rPr>
          <w:rFonts w:hint="eastAsia"/>
          <w:i/>
          <w:iCs/>
          <w:color w:val="auto"/>
          <w:highlight w:val="none"/>
          <w:u w:val="single"/>
          <w:lang w:eastAsia="zh-CN"/>
        </w:rPr>
        <w:t>根据报价文件目录内容如实填写</w:t>
      </w:r>
    </w:p>
    <w:p w14:paraId="34BA8058">
      <w:pPr>
        <w:pStyle w:val="35"/>
        <w:numPr>
          <w:ilvl w:val="0"/>
          <w:numId w:val="0"/>
        </w:numPr>
        <w:bidi w:val="0"/>
        <w:rPr>
          <w:rFonts w:hint="eastAsia"/>
          <w:color w:val="auto"/>
          <w:highlight w:val="none"/>
          <w:lang w:val="en-US" w:eastAsia="zh-CN"/>
        </w:rPr>
      </w:pPr>
    </w:p>
    <w:p w14:paraId="20E29663">
      <w:pPr>
        <w:pStyle w:val="35"/>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color w:val="auto"/>
          <w:highlight w:val="none"/>
          <w:lang w:eastAsia="zh-Hans"/>
        </w:rPr>
      </w:pPr>
      <w:r>
        <w:rPr>
          <w:rFonts w:hint="eastAsia"/>
          <w:color w:val="auto"/>
          <w:highlight w:val="none"/>
          <w:lang w:val="en-US" w:eastAsia="zh-CN"/>
        </w:rPr>
        <w:t>3.</w:t>
      </w:r>
      <w:r>
        <w:rPr>
          <w:rFonts w:hint="eastAsia"/>
          <w:color w:val="auto"/>
          <w:highlight w:val="none"/>
        </w:rPr>
        <w:t>我方承诺除商务技术偏离表列出的偏离外，我方响应招标文件的全部要求</w:t>
      </w:r>
      <w:r>
        <w:rPr>
          <w:rFonts w:hint="eastAsia"/>
          <w:color w:val="auto"/>
          <w:highlight w:val="none"/>
          <w:lang w:eastAsia="zh-Hans"/>
        </w:rPr>
        <w:t>；</w:t>
      </w:r>
    </w:p>
    <w:p w14:paraId="74823996">
      <w:pPr>
        <w:pStyle w:val="35"/>
        <w:ind w:firstLine="480"/>
        <w:rPr>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如我方中标，我方承诺：</w:t>
      </w:r>
    </w:p>
    <w:p w14:paraId="6D0C0FF3">
      <w:pPr>
        <w:pStyle w:val="35"/>
        <w:ind w:firstLine="480"/>
        <w:rPr>
          <w:color w:val="auto"/>
          <w:highlight w:val="none"/>
        </w:rPr>
      </w:pPr>
      <w:r>
        <w:rPr>
          <w:rFonts w:hint="eastAsia"/>
          <w:color w:val="auto"/>
          <w:highlight w:val="none"/>
          <w:lang w:val="en-US" w:eastAsia="zh-CN"/>
        </w:rPr>
        <w:t>4</w:t>
      </w:r>
      <w:r>
        <w:rPr>
          <w:rFonts w:hint="eastAsia"/>
          <w:color w:val="auto"/>
          <w:highlight w:val="none"/>
        </w:rPr>
        <w:t>.1在收到中标通知书后，</w:t>
      </w:r>
      <w:r>
        <w:rPr>
          <w:rFonts w:hint="eastAsia"/>
          <w:color w:val="auto"/>
          <w:highlight w:val="none"/>
          <w:lang w:eastAsia="zh-CN"/>
        </w:rPr>
        <w:t>及时与招标代理机构办理采购代理服务费结算手续，并</w:t>
      </w:r>
      <w:r>
        <w:rPr>
          <w:rFonts w:hint="eastAsia"/>
          <w:color w:val="auto"/>
          <w:highlight w:val="none"/>
        </w:rPr>
        <w:t>在中标通知书规定的期限内与</w:t>
      </w:r>
      <w:r>
        <w:rPr>
          <w:rFonts w:hint="eastAsia"/>
          <w:color w:val="auto"/>
          <w:highlight w:val="none"/>
          <w:lang w:eastAsia="zh-CN"/>
        </w:rPr>
        <w:t>招标人</w:t>
      </w:r>
      <w:r>
        <w:rPr>
          <w:rFonts w:hint="eastAsia"/>
          <w:color w:val="auto"/>
          <w:highlight w:val="none"/>
        </w:rPr>
        <w:t xml:space="preserve">签订合同； </w:t>
      </w:r>
    </w:p>
    <w:p w14:paraId="64FED3FB">
      <w:pPr>
        <w:pStyle w:val="35"/>
        <w:ind w:firstLine="480"/>
        <w:rPr>
          <w:color w:val="auto"/>
          <w:highlight w:val="none"/>
        </w:rPr>
      </w:pPr>
      <w:r>
        <w:rPr>
          <w:rFonts w:hint="eastAsia"/>
          <w:color w:val="auto"/>
          <w:highlight w:val="none"/>
          <w:lang w:val="en-US" w:eastAsia="zh-CN"/>
        </w:rPr>
        <w:t>4</w:t>
      </w:r>
      <w:r>
        <w:rPr>
          <w:rFonts w:hint="eastAsia"/>
          <w:color w:val="auto"/>
          <w:highlight w:val="none"/>
        </w:rPr>
        <w:t>.2在签订合同时不向</w:t>
      </w:r>
      <w:r>
        <w:rPr>
          <w:rFonts w:hint="eastAsia"/>
          <w:color w:val="auto"/>
          <w:highlight w:val="none"/>
          <w:lang w:eastAsia="zh-CN"/>
        </w:rPr>
        <w:t>招标人</w:t>
      </w:r>
      <w:r>
        <w:rPr>
          <w:rFonts w:hint="eastAsia"/>
          <w:color w:val="auto"/>
          <w:highlight w:val="none"/>
        </w:rPr>
        <w:t xml:space="preserve">提出附加条件； </w:t>
      </w:r>
    </w:p>
    <w:p w14:paraId="46F9A839">
      <w:pPr>
        <w:pStyle w:val="35"/>
        <w:ind w:firstLine="480"/>
        <w:rPr>
          <w:color w:val="auto"/>
          <w:highlight w:val="none"/>
        </w:rPr>
      </w:pPr>
      <w:r>
        <w:rPr>
          <w:rFonts w:hint="eastAsia"/>
          <w:color w:val="auto"/>
          <w:highlight w:val="none"/>
          <w:lang w:val="en-US" w:eastAsia="zh-CN"/>
        </w:rPr>
        <w:t>4</w:t>
      </w:r>
      <w:r>
        <w:rPr>
          <w:rFonts w:hint="eastAsia"/>
          <w:color w:val="auto"/>
          <w:highlight w:val="none"/>
        </w:rPr>
        <w:t xml:space="preserve">.3按照招标文件要求提交履约保证金； </w:t>
      </w:r>
    </w:p>
    <w:p w14:paraId="09A9C7FC">
      <w:pPr>
        <w:pStyle w:val="35"/>
        <w:ind w:firstLine="480"/>
        <w:rPr>
          <w:color w:val="auto"/>
          <w:highlight w:val="none"/>
        </w:rPr>
      </w:pPr>
      <w:r>
        <w:rPr>
          <w:rFonts w:hint="eastAsia"/>
          <w:color w:val="auto"/>
          <w:highlight w:val="none"/>
          <w:lang w:val="en-US" w:eastAsia="zh-CN"/>
        </w:rPr>
        <w:t>4</w:t>
      </w:r>
      <w:r>
        <w:rPr>
          <w:rFonts w:hint="eastAsia"/>
          <w:color w:val="auto"/>
          <w:highlight w:val="none"/>
        </w:rPr>
        <w:t xml:space="preserve">.4在合同约定的期限内完成合同规定的全部义务。 </w:t>
      </w:r>
    </w:p>
    <w:p w14:paraId="3F9615CF">
      <w:pPr>
        <w:pStyle w:val="35"/>
        <w:ind w:firstLine="480"/>
        <w:rPr>
          <w:rFonts w:hint="eastAsia"/>
          <w:color w:val="auto"/>
          <w:highlight w:val="none"/>
        </w:rPr>
      </w:pPr>
      <w:r>
        <w:rPr>
          <w:rFonts w:hint="eastAsia"/>
          <w:color w:val="auto"/>
          <w:highlight w:val="none"/>
          <w:lang w:val="en-US" w:eastAsia="zh-CN"/>
        </w:rPr>
        <w:t>5</w:t>
      </w:r>
      <w:r>
        <w:rPr>
          <w:color w:val="auto"/>
          <w:highlight w:val="none"/>
          <w:lang w:eastAsia="zh-CN"/>
        </w:rPr>
        <w:t>.</w:t>
      </w:r>
      <w:r>
        <w:rPr>
          <w:rFonts w:hint="eastAsia"/>
          <w:color w:val="auto"/>
          <w:highlight w:val="none"/>
          <w:lang w:val="en-US" w:eastAsia="zh-Hans"/>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lang w:val="en-US" w:eastAsia="zh-Hans"/>
        </w:rPr>
        <w:t>企业有：</w:t>
      </w:r>
      <w:r>
        <w:rPr>
          <w:rFonts w:hint="eastAsia"/>
          <w:i/>
          <w:iCs/>
          <w:color w:val="auto"/>
          <w:highlight w:val="none"/>
          <w:u w:val="single"/>
          <w:lang w:val="en-US" w:eastAsia="zh-Hans"/>
        </w:rPr>
        <w:t>如存在上述关联关系的企业在此处逐一罗列填写（不论是否知晓其参与本项目），否则填“无”</w:t>
      </w:r>
      <w:r>
        <w:rPr>
          <w:rFonts w:hint="default"/>
          <w:i/>
          <w:iCs/>
          <w:color w:val="auto"/>
          <w:highlight w:val="none"/>
          <w:u w:val="single"/>
          <w:lang w:eastAsia="zh-Hans"/>
        </w:rPr>
        <w:t xml:space="preserve">                                                   </w:t>
      </w:r>
      <w:r>
        <w:rPr>
          <w:rFonts w:hint="eastAsia"/>
          <w:color w:val="auto"/>
          <w:highlight w:val="none"/>
        </w:rPr>
        <w:t>；</w:t>
      </w:r>
    </w:p>
    <w:p w14:paraId="1543CB98">
      <w:pPr>
        <w:pStyle w:val="35"/>
        <w:ind w:firstLine="480"/>
        <w:rPr>
          <w:color w:val="auto"/>
          <w:highlight w:val="none"/>
          <w:lang w:eastAsia="zh-CN"/>
        </w:rPr>
      </w:pPr>
      <w:r>
        <w:rPr>
          <w:rFonts w:hint="eastAsia"/>
          <w:color w:val="auto"/>
          <w:highlight w:val="none"/>
          <w:lang w:val="en-US" w:eastAsia="zh-CN"/>
        </w:rPr>
        <w:t>6</w:t>
      </w:r>
      <w:r>
        <w:rPr>
          <w:color w:val="auto"/>
          <w:highlight w:val="none"/>
        </w:rPr>
        <w:t>.</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14:paraId="7B0630ED">
      <w:pPr>
        <w:pStyle w:val="35"/>
        <w:ind w:firstLine="480"/>
        <w:rPr>
          <w:color w:val="auto"/>
          <w:highlight w:val="none"/>
          <w:lang w:eastAsia="zh-CN"/>
        </w:rPr>
      </w:pPr>
      <w:r>
        <w:rPr>
          <w:rFonts w:hint="eastAsia"/>
          <w:color w:val="auto"/>
          <w:highlight w:val="none"/>
          <w:lang w:val="en-US" w:eastAsia="zh-CN"/>
        </w:rPr>
        <w:t>7</w:t>
      </w:r>
      <w:r>
        <w:rPr>
          <w:color w:val="auto"/>
          <w:highlight w:val="none"/>
          <w:lang w:eastAsia="zh-CN"/>
        </w:rPr>
        <w:t>.</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14:paraId="0F0D60AD">
      <w:pPr>
        <w:pStyle w:val="35"/>
        <w:ind w:firstLine="480"/>
        <w:rPr>
          <w:color w:val="auto"/>
          <w:highlight w:val="none"/>
        </w:rPr>
      </w:pPr>
      <w:r>
        <w:rPr>
          <w:rFonts w:hint="eastAsia"/>
          <w:color w:val="auto"/>
          <w:highlight w:val="none"/>
          <w:lang w:val="en-US" w:eastAsia="zh-CN"/>
        </w:rPr>
        <w:t>8</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r>
        <w:rPr>
          <w:rFonts w:hint="eastAsia"/>
          <w:color w:val="auto"/>
          <w:highlight w:val="none"/>
          <w:lang w:val="en-US" w:eastAsia="zh-CN"/>
        </w:rPr>
        <w:t>前附表</w:t>
      </w:r>
      <w:r>
        <w:rPr>
          <w:rFonts w:hint="eastAsia"/>
          <w:color w:val="auto"/>
          <w:highlight w:val="none"/>
          <w:lang w:eastAsia="zh-CN"/>
        </w:rPr>
        <w:t>”</w:t>
      </w:r>
      <w:r>
        <w:rPr>
          <w:rFonts w:hint="eastAsia"/>
          <w:color w:val="auto"/>
          <w:highlight w:val="none"/>
          <w:lang w:val="en-US" w:eastAsia="zh-CN"/>
        </w:rPr>
        <w:t>明确本项目为“政府购买服务项目”的保留，</w:t>
      </w:r>
      <w:r>
        <w:rPr>
          <w:rFonts w:hint="eastAsia"/>
          <w:color w:val="auto"/>
          <w:highlight w:val="none"/>
        </w:rPr>
        <w:t>否则删除</w:t>
      </w:r>
      <w:r>
        <w:rPr>
          <w:rFonts w:hint="eastAsia"/>
          <w:color w:val="auto"/>
          <w:highlight w:val="none"/>
          <w:lang w:val="en-US" w:eastAsia="zh-CN"/>
        </w:rPr>
        <w:t>本条</w:t>
      </w:r>
      <w:r>
        <w:rPr>
          <w:rFonts w:hint="eastAsia"/>
          <w:color w:val="auto"/>
          <w:highlight w:val="none"/>
        </w:rPr>
        <w:t>】</w:t>
      </w:r>
      <w:r>
        <w:rPr>
          <w:rFonts w:hint="eastAsia"/>
          <w:color w:val="auto"/>
          <w:highlight w:val="none"/>
          <w:lang w:eastAsia="zh-CN"/>
        </w:rPr>
        <w:t>；</w:t>
      </w:r>
    </w:p>
    <w:p w14:paraId="77335FD5">
      <w:pPr>
        <w:pStyle w:val="35"/>
        <w:ind w:firstLine="480"/>
        <w:jc w:val="left"/>
        <w:rPr>
          <w:color w:val="auto"/>
          <w:highlight w:val="none"/>
        </w:rPr>
      </w:pPr>
      <w:r>
        <w:rPr>
          <w:color w:val="auto"/>
          <w:highlight w:val="none"/>
        </w:rPr>
        <w:t>9.</w:t>
      </w:r>
      <w:r>
        <w:rPr>
          <w:rFonts w:hint="eastAsia"/>
          <w:color w:val="auto"/>
          <w:highlight w:val="none"/>
        </w:rPr>
        <w:t>其他补充说明:</w:t>
      </w:r>
      <w:r>
        <w:rPr>
          <w:rFonts w:hint="default"/>
          <w:i/>
          <w:iCs/>
          <w:color w:val="auto"/>
          <w:highlight w:val="none"/>
          <w:u w:val="single"/>
          <w:lang w:eastAsia="zh-Hans"/>
        </w:rPr>
        <w:t xml:space="preserve">                            </w:t>
      </w:r>
      <w:r>
        <w:rPr>
          <w:rFonts w:hint="eastAsia"/>
          <w:i w:val="0"/>
          <w:iCs w:val="0"/>
          <w:color w:val="auto"/>
          <w:highlight w:val="none"/>
          <w:u w:val="none"/>
          <w:lang w:eastAsia="zh-CN"/>
        </w:rPr>
        <w:t>【如有其他可能影响合同履行的情形在此处填写，否则</w:t>
      </w:r>
      <w:r>
        <w:rPr>
          <w:rFonts w:hint="eastAsia"/>
          <w:i w:val="0"/>
          <w:iCs w:val="0"/>
          <w:color w:val="auto"/>
          <w:highlight w:val="none"/>
          <w:u w:val="none"/>
          <w:lang w:val="en-US" w:eastAsia="zh-CN"/>
        </w:rPr>
        <w:t>删除本条</w:t>
      </w:r>
      <w:r>
        <w:rPr>
          <w:rFonts w:hint="eastAsia"/>
          <w:i w:val="0"/>
          <w:iCs w:val="0"/>
          <w:color w:val="auto"/>
          <w:highlight w:val="none"/>
          <w:u w:val="none"/>
          <w:lang w:eastAsia="zh-CN"/>
        </w:rPr>
        <w:t>】</w:t>
      </w:r>
      <w:r>
        <w:rPr>
          <w:rFonts w:hint="eastAsia"/>
          <w:color w:val="auto"/>
          <w:highlight w:val="none"/>
        </w:rPr>
        <w:t>。</w:t>
      </w:r>
    </w:p>
    <w:p w14:paraId="6261A911">
      <w:pPr>
        <w:pStyle w:val="35"/>
        <w:ind w:firstLine="480"/>
        <w:rPr>
          <w:color w:val="auto"/>
          <w:highlight w:val="none"/>
        </w:rPr>
      </w:pPr>
    </w:p>
    <w:p w14:paraId="26B436C5">
      <w:pPr>
        <w:pStyle w:val="35"/>
        <w:ind w:firstLine="480"/>
        <w:rPr>
          <w:color w:val="auto"/>
          <w:highlight w:val="none"/>
        </w:rPr>
      </w:pPr>
    </w:p>
    <w:p w14:paraId="5A13FBD0">
      <w:pPr>
        <w:pStyle w:val="35"/>
        <w:ind w:firstLine="480"/>
        <w:rPr>
          <w:color w:val="auto"/>
          <w:highlight w:val="none"/>
          <w:lang w:eastAsia="zh-CN"/>
        </w:rPr>
      </w:pPr>
      <w:r>
        <w:rPr>
          <w:rFonts w:hint="eastAsia"/>
          <w:color w:val="auto"/>
          <w:highlight w:val="none"/>
          <w:lang w:eastAsia="zh-CN"/>
        </w:rPr>
        <w:t>我方联系方式：</w:t>
      </w:r>
    </w:p>
    <w:p w14:paraId="17349254">
      <w:pPr>
        <w:pStyle w:val="35"/>
        <w:ind w:firstLine="480"/>
        <w:rPr>
          <w:color w:val="auto"/>
          <w:highlight w:val="none"/>
          <w:lang w:eastAsia="zh-CN"/>
        </w:rPr>
      </w:pPr>
      <w:r>
        <w:rPr>
          <w:rFonts w:hint="eastAsia"/>
          <w:color w:val="auto"/>
          <w:highlight w:val="none"/>
          <w:lang w:eastAsia="zh-CN"/>
        </w:rPr>
        <w:t>项目联系人：</w:t>
      </w:r>
      <w:r>
        <w:rPr>
          <w:color w:val="auto"/>
          <w:highlight w:val="none"/>
          <w:u w:val="single"/>
          <w:lang w:eastAsia="zh-CN"/>
        </w:rPr>
        <w:t xml:space="preserve">                          </w:t>
      </w:r>
    </w:p>
    <w:p w14:paraId="429184F4">
      <w:pPr>
        <w:pStyle w:val="35"/>
        <w:ind w:firstLine="480"/>
        <w:rPr>
          <w:color w:val="auto"/>
          <w:highlight w:val="none"/>
          <w:lang w:eastAsia="zh-CN"/>
        </w:rPr>
      </w:pPr>
      <w:r>
        <w:rPr>
          <w:rFonts w:hint="eastAsia"/>
          <w:color w:val="auto"/>
          <w:highlight w:val="none"/>
          <w:lang w:eastAsia="zh-CN"/>
        </w:rPr>
        <w:t>联系电话（手机）：</w:t>
      </w:r>
      <w:r>
        <w:rPr>
          <w:color w:val="auto"/>
          <w:highlight w:val="none"/>
          <w:u w:val="single"/>
          <w:lang w:eastAsia="zh-CN"/>
        </w:rPr>
        <w:t xml:space="preserve">                    </w:t>
      </w:r>
    </w:p>
    <w:p w14:paraId="2C98A504">
      <w:pPr>
        <w:pStyle w:val="35"/>
        <w:ind w:firstLine="480"/>
        <w:rPr>
          <w:color w:val="auto"/>
          <w:highlight w:val="none"/>
          <w:lang w:eastAsia="zh-CN"/>
        </w:rPr>
      </w:pPr>
      <w:r>
        <w:rPr>
          <w:rFonts w:hint="eastAsia"/>
          <w:color w:val="auto"/>
          <w:highlight w:val="none"/>
          <w:lang w:eastAsia="zh-CN"/>
        </w:rPr>
        <w:t>联系邮箱：</w:t>
      </w:r>
      <w:r>
        <w:rPr>
          <w:color w:val="auto"/>
          <w:highlight w:val="none"/>
          <w:u w:val="single"/>
          <w:lang w:eastAsia="zh-CN"/>
        </w:rPr>
        <w:t xml:space="preserve">                            </w:t>
      </w:r>
    </w:p>
    <w:p w14:paraId="0C0346BC">
      <w:pPr>
        <w:pStyle w:val="35"/>
        <w:ind w:firstLine="480"/>
        <w:rPr>
          <w:color w:val="auto"/>
          <w:highlight w:val="none"/>
          <w:lang w:eastAsia="zh-CN"/>
        </w:rPr>
      </w:pPr>
      <w:r>
        <w:rPr>
          <w:rFonts w:hint="eastAsia"/>
          <w:color w:val="auto"/>
          <w:highlight w:val="none"/>
          <w:lang w:eastAsia="zh-CN"/>
        </w:rPr>
        <w:t>联系地址：</w:t>
      </w:r>
      <w:r>
        <w:rPr>
          <w:color w:val="auto"/>
          <w:highlight w:val="none"/>
          <w:u w:val="single"/>
          <w:lang w:eastAsia="zh-CN"/>
        </w:rPr>
        <w:t xml:space="preserve">                            </w:t>
      </w:r>
    </w:p>
    <w:p w14:paraId="70D53AD4">
      <w:pPr>
        <w:pStyle w:val="35"/>
        <w:ind w:firstLine="480"/>
        <w:rPr>
          <w:color w:val="auto"/>
          <w:highlight w:val="none"/>
        </w:rPr>
      </w:pPr>
    </w:p>
    <w:p w14:paraId="18AA50BA">
      <w:pPr>
        <w:pStyle w:val="35"/>
        <w:ind w:firstLine="480"/>
        <w:rPr>
          <w:color w:val="auto"/>
          <w:kern w:val="0"/>
          <w:highlight w:val="none"/>
        </w:rPr>
      </w:pPr>
      <w:r>
        <w:rPr>
          <w:rFonts w:hint="eastAsia"/>
          <w:color w:val="auto"/>
          <w:kern w:val="0"/>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kern w:val="0"/>
          <w:highlight w:val="none"/>
        </w:rPr>
        <w:t>)：</w:t>
      </w:r>
    </w:p>
    <w:p w14:paraId="0544471F">
      <w:pPr>
        <w:pStyle w:val="35"/>
        <w:ind w:firstLine="480"/>
        <w:rPr>
          <w:color w:val="auto"/>
          <w:kern w:val="0"/>
          <w:highlight w:val="none"/>
        </w:rPr>
      </w:pPr>
      <w:r>
        <w:rPr>
          <w:rFonts w:hint="eastAsia"/>
          <w:color w:val="auto"/>
          <w:kern w:val="0"/>
          <w:highlight w:val="none"/>
          <w:lang w:eastAsia="zh-CN"/>
        </w:rPr>
        <w:t>法定代表人或授权代表人（</w:t>
      </w:r>
      <w:r>
        <w:rPr>
          <w:rFonts w:hint="eastAsia"/>
          <w:color w:val="auto"/>
          <w:highlight w:val="none"/>
        </w:rPr>
        <w:t>电子签名</w:t>
      </w:r>
      <w:r>
        <w:rPr>
          <w:rFonts w:hint="default"/>
          <w:color w:val="auto"/>
          <w:highlight w:val="none"/>
        </w:rPr>
        <w:t>/</w:t>
      </w:r>
      <w:r>
        <w:rPr>
          <w:rFonts w:hint="eastAsia"/>
          <w:color w:val="auto"/>
          <w:kern w:val="0"/>
          <w:highlight w:val="none"/>
          <w:lang w:eastAsia="zh-CN"/>
        </w:rPr>
        <w:t>签字）</w:t>
      </w:r>
    </w:p>
    <w:p w14:paraId="42BA49D2">
      <w:pPr>
        <w:pStyle w:val="35"/>
        <w:ind w:firstLine="480"/>
        <w:rPr>
          <w:color w:val="auto"/>
          <w:kern w:val="0"/>
          <w:highlight w:val="none"/>
        </w:rPr>
      </w:pPr>
      <w:r>
        <w:rPr>
          <w:rFonts w:hint="eastAsia"/>
          <w:color w:val="auto"/>
          <w:kern w:val="0"/>
          <w:highlight w:val="none"/>
        </w:rPr>
        <w:t>日期：  年  月   日</w:t>
      </w:r>
    </w:p>
    <w:p w14:paraId="5657ADD6">
      <w:pPr>
        <w:widowControl/>
        <w:jc w:val="left"/>
        <w:rPr>
          <w:color w:val="auto"/>
          <w:highlight w:val="none"/>
        </w:rPr>
      </w:pPr>
      <w:r>
        <w:rPr>
          <w:color w:val="auto"/>
          <w:highlight w:val="none"/>
        </w:rPr>
        <w:t xml:space="preserve"> </w:t>
      </w:r>
    </w:p>
    <w:p w14:paraId="6BCE6EB9">
      <w:pPr>
        <w:rPr>
          <w:color w:val="auto"/>
          <w:highlight w:val="none"/>
        </w:rPr>
      </w:pPr>
      <w:r>
        <w:rPr>
          <w:color w:val="auto"/>
          <w:highlight w:val="none"/>
        </w:rPr>
        <w:br w:type="page"/>
      </w:r>
    </w:p>
    <w:p w14:paraId="6F89ACF1">
      <w:pPr>
        <w:pStyle w:val="37"/>
        <w:numPr>
          <w:ilvl w:val="1"/>
          <w:numId w:val="74"/>
        </w:numPr>
        <w:adjustRightInd/>
        <w:rPr>
          <w:rFonts w:eastAsia="宋体"/>
          <w:color w:val="auto"/>
          <w:highlight w:val="none"/>
        </w:rPr>
      </w:pPr>
      <w:bookmarkStart w:id="120" w:name="_Toc29286"/>
      <w:r>
        <w:rPr>
          <w:rFonts w:hint="eastAsia"/>
          <w:color w:val="auto"/>
          <w:highlight w:val="none"/>
        </w:rPr>
        <w:t>政府采购供应商廉洁自律承诺书</w:t>
      </w:r>
      <w:bookmarkEnd w:id="120"/>
    </w:p>
    <w:p w14:paraId="5EFC237F">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59EAF9D3">
      <w:pPr>
        <w:pStyle w:val="35"/>
        <w:ind w:firstLine="480"/>
        <w:rPr>
          <w:color w:val="auto"/>
          <w:highlight w:val="none"/>
        </w:rPr>
      </w:pPr>
      <w:r>
        <w:rPr>
          <w:rFonts w:hint="eastAsia"/>
          <w:color w:val="auto"/>
          <w:highlight w:val="none"/>
        </w:rPr>
        <w:t>我单位响应你单位项目招标要求参加投标。在这次投标过程中和中标后，我们将严格遵守国家法律法规要求，并郑重承诺：</w:t>
      </w:r>
    </w:p>
    <w:p w14:paraId="2DFC1A2F">
      <w:pPr>
        <w:pStyle w:val="35"/>
        <w:ind w:firstLine="480"/>
        <w:rPr>
          <w:color w:val="auto"/>
          <w:highlight w:val="none"/>
        </w:rPr>
      </w:pPr>
      <w:r>
        <w:rPr>
          <w:rFonts w:hint="eastAsia"/>
          <w:color w:val="auto"/>
          <w:highlight w:val="none"/>
        </w:rPr>
        <w:t xml:space="preserve">一、不向项目有关人员及部门赠送礼金礼物、有价证券、回扣以及中介费、介绍费、咨询费等好处费； </w:t>
      </w:r>
    </w:p>
    <w:p w14:paraId="3D027D74">
      <w:pPr>
        <w:pStyle w:val="35"/>
        <w:ind w:firstLine="480"/>
        <w:rPr>
          <w:color w:val="auto"/>
          <w:highlight w:val="none"/>
        </w:rPr>
      </w:pPr>
      <w:r>
        <w:rPr>
          <w:rFonts w:hint="eastAsia"/>
          <w:color w:val="auto"/>
          <w:highlight w:val="none"/>
        </w:rPr>
        <w:t xml:space="preserve">二、不为项目有关人员及部门报销应由你方单位或个人支付的费用； </w:t>
      </w:r>
    </w:p>
    <w:p w14:paraId="4FABA9D7">
      <w:pPr>
        <w:pStyle w:val="35"/>
        <w:ind w:firstLine="480"/>
        <w:rPr>
          <w:color w:val="auto"/>
          <w:highlight w:val="none"/>
        </w:rPr>
      </w:pPr>
      <w:r>
        <w:rPr>
          <w:rFonts w:hint="eastAsia"/>
          <w:color w:val="auto"/>
          <w:highlight w:val="none"/>
        </w:rPr>
        <w:t>三</w:t>
      </w:r>
      <w:r>
        <w:rPr>
          <w:rFonts w:hint="eastAsia"/>
          <w:color w:val="auto"/>
          <w:highlight w:val="none"/>
          <w:lang w:eastAsia="zh-CN"/>
        </w:rPr>
        <w:t>、</w:t>
      </w:r>
      <w:r>
        <w:rPr>
          <w:rFonts w:hint="eastAsia"/>
          <w:color w:val="auto"/>
          <w:highlight w:val="none"/>
        </w:rPr>
        <w:t xml:space="preserve">不向项目有关人员及部门提供有可能影响公正的宴请和健身娱乐等活动； </w:t>
      </w:r>
    </w:p>
    <w:p w14:paraId="26C1A16A">
      <w:pPr>
        <w:pStyle w:val="35"/>
        <w:ind w:firstLine="480"/>
        <w:rPr>
          <w:color w:val="auto"/>
          <w:highlight w:val="none"/>
        </w:rPr>
      </w:pPr>
      <w:r>
        <w:rPr>
          <w:rFonts w:hint="eastAsia"/>
          <w:color w:val="auto"/>
          <w:highlight w:val="none"/>
        </w:rPr>
        <w:t>四、不为项目有关人员及部门出国（境）、旅游等提供方便；</w:t>
      </w:r>
    </w:p>
    <w:p w14:paraId="0CF89A7A">
      <w:pPr>
        <w:pStyle w:val="35"/>
        <w:ind w:firstLine="480"/>
        <w:rPr>
          <w:color w:val="auto"/>
          <w:highlight w:val="none"/>
        </w:rPr>
      </w:pPr>
      <w:r>
        <w:rPr>
          <w:rFonts w:hint="eastAsia"/>
          <w:color w:val="auto"/>
          <w:highlight w:val="none"/>
        </w:rPr>
        <w:t>五、不为项目有关人员个人装修住房、婚丧嫁娶、配偶子女工作安排等提供</w:t>
      </w:r>
    </w:p>
    <w:p w14:paraId="27B3156B">
      <w:pPr>
        <w:pStyle w:val="35"/>
        <w:ind w:firstLine="480"/>
        <w:rPr>
          <w:color w:val="auto"/>
          <w:highlight w:val="none"/>
        </w:rPr>
      </w:pPr>
      <w:r>
        <w:rPr>
          <w:rFonts w:hint="eastAsia"/>
          <w:color w:val="auto"/>
          <w:highlight w:val="none"/>
        </w:rPr>
        <w:t>好处；</w:t>
      </w:r>
    </w:p>
    <w:p w14:paraId="13CEC48D">
      <w:pPr>
        <w:pStyle w:val="35"/>
        <w:ind w:firstLine="480"/>
        <w:rPr>
          <w:color w:val="auto"/>
          <w:highlight w:val="none"/>
        </w:rPr>
      </w:pPr>
      <w:r>
        <w:rPr>
          <w:rFonts w:hint="eastAsia"/>
          <w:color w:val="auto"/>
          <w:highlight w:val="none"/>
        </w:rPr>
        <w:t xml:space="preserve">六、严格遵守《中华人民共和国政府采购法》《中华人民共和国招标投标法》《中华人民共和国民法典》等法律法规，诚实守信，合法经营，坚决抵制各种违法违纪行为。 </w:t>
      </w:r>
    </w:p>
    <w:p w14:paraId="13C39886">
      <w:pPr>
        <w:pStyle w:val="35"/>
        <w:ind w:firstLine="480"/>
        <w:rPr>
          <w:color w:val="auto"/>
          <w:highlight w:val="none"/>
        </w:rPr>
      </w:pPr>
      <w:r>
        <w:rPr>
          <w:rFonts w:hint="eastAsia"/>
          <w:color w:val="auto"/>
          <w:highlight w:val="none"/>
        </w:rPr>
        <w:t>如违反上述承诺，你单位有权立即取消我单位投标、中标或在建项目的建设资格，有权拒绝我单位在一定时期内进入你单位进行项目建设或其他经营活动，并通报</w:t>
      </w:r>
      <w:r>
        <w:rPr>
          <w:rFonts w:hint="eastAsia"/>
          <w:color w:val="auto"/>
          <w:highlight w:val="none"/>
          <w:lang w:val="en-US" w:eastAsia="zh-Hans"/>
        </w:rPr>
        <w:t>参政监管部门</w:t>
      </w:r>
      <w:r>
        <w:rPr>
          <w:rFonts w:hint="eastAsia"/>
          <w:color w:val="auto"/>
          <w:highlight w:val="none"/>
        </w:rPr>
        <w:t>。由此引起的相应损失均由我单位承担。</w:t>
      </w:r>
    </w:p>
    <w:p w14:paraId="646E451C">
      <w:pPr>
        <w:pStyle w:val="35"/>
        <w:ind w:firstLine="480"/>
        <w:rPr>
          <w:color w:val="auto"/>
          <w:highlight w:val="none"/>
        </w:rPr>
      </w:pPr>
      <w:r>
        <w:rPr>
          <w:rFonts w:hint="eastAsia"/>
          <w:color w:val="auto"/>
          <w:highlight w:val="none"/>
        </w:rPr>
        <w:t xml:space="preserve"> </w:t>
      </w:r>
    </w:p>
    <w:p w14:paraId="7484B3E9">
      <w:pPr>
        <w:pStyle w:val="35"/>
        <w:ind w:firstLine="480"/>
        <w:rPr>
          <w:color w:val="auto"/>
          <w:highlight w:val="none"/>
        </w:rPr>
      </w:pPr>
      <w:r>
        <w:rPr>
          <w:rFonts w:hint="eastAsia"/>
          <w:color w:val="auto"/>
          <w:highlight w:val="none"/>
        </w:rPr>
        <w:t xml:space="preserve"> </w:t>
      </w:r>
    </w:p>
    <w:p w14:paraId="4D0E4723">
      <w:pPr>
        <w:pStyle w:val="35"/>
        <w:ind w:firstLine="480"/>
        <w:rPr>
          <w:color w:val="auto"/>
          <w:highlight w:val="none"/>
        </w:rPr>
      </w:pPr>
      <w:r>
        <w:rPr>
          <w:rFonts w:hint="eastAsia"/>
          <w:color w:val="auto"/>
          <w:highlight w:val="none"/>
        </w:rPr>
        <w:t xml:space="preserve"> </w:t>
      </w:r>
    </w:p>
    <w:p w14:paraId="5A9FDB57">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2C68EE3C">
      <w:pPr>
        <w:pStyle w:val="35"/>
        <w:ind w:firstLine="480"/>
        <w:rPr>
          <w:color w:val="auto"/>
          <w:highlight w:val="none"/>
        </w:rPr>
      </w:pPr>
      <w:r>
        <w:rPr>
          <w:rFonts w:hint="eastAsia"/>
          <w:color w:val="auto"/>
          <w:highlight w:val="none"/>
        </w:rPr>
        <w:t>日期：   年   月   日</w:t>
      </w:r>
    </w:p>
    <w:p w14:paraId="175AF427">
      <w:pPr>
        <w:widowControl/>
        <w:jc w:val="left"/>
        <w:rPr>
          <w:rFonts w:ascii="黑体" w:hAnsi="黑体" w:eastAsia="黑体" w:cs="黑体"/>
          <w:bCs/>
          <w:color w:val="auto"/>
          <w:sz w:val="36"/>
          <w:szCs w:val="44"/>
          <w:highlight w:val="none"/>
        </w:rPr>
      </w:pPr>
      <w:r>
        <w:rPr>
          <w:color w:val="auto"/>
          <w:highlight w:val="none"/>
        </w:rPr>
        <w:br w:type="page"/>
      </w:r>
    </w:p>
    <w:p w14:paraId="013B4613">
      <w:pPr>
        <w:pStyle w:val="37"/>
        <w:numPr>
          <w:ilvl w:val="1"/>
          <w:numId w:val="74"/>
        </w:numPr>
        <w:adjustRightInd/>
        <w:rPr>
          <w:color w:val="auto"/>
          <w:sz w:val="30"/>
          <w:szCs w:val="30"/>
          <w:highlight w:val="none"/>
        </w:rPr>
      </w:pPr>
      <w:bookmarkStart w:id="121" w:name="_Toc2412"/>
      <w:r>
        <w:rPr>
          <w:rFonts w:hint="eastAsia"/>
          <w:color w:val="auto"/>
          <w:highlight w:val="none"/>
        </w:rPr>
        <w:t>法定代表人</w:t>
      </w:r>
      <w:r>
        <w:rPr>
          <w:rFonts w:hint="eastAsia"/>
          <w:color w:val="auto"/>
          <w:sz w:val="30"/>
          <w:szCs w:val="30"/>
          <w:highlight w:val="none"/>
        </w:rPr>
        <w:t>身份证明</w:t>
      </w:r>
      <w:bookmarkEnd w:id="121"/>
    </w:p>
    <w:p w14:paraId="556C5226">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5B2CEA52">
      <w:pPr>
        <w:pStyle w:val="35"/>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w:t>
      </w:r>
    </w:p>
    <w:p w14:paraId="7B9E0D65">
      <w:pPr>
        <w:pStyle w:val="35"/>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14:paraId="664C4FF5">
      <w:pPr>
        <w:pStyle w:val="35"/>
        <w:ind w:firstLine="480"/>
        <w:rPr>
          <w:color w:val="auto"/>
          <w:highlight w:val="none"/>
        </w:rPr>
      </w:pPr>
    </w:p>
    <w:p w14:paraId="4F8EF80C">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33BF16B1">
      <w:pPr>
        <w:pStyle w:val="35"/>
        <w:ind w:firstLine="480"/>
        <w:rPr>
          <w:color w:val="auto"/>
          <w:highlight w:val="none"/>
        </w:rPr>
      </w:pPr>
      <w:r>
        <w:rPr>
          <w:rFonts w:hint="eastAsia"/>
          <w:color w:val="auto"/>
          <w:highlight w:val="none"/>
        </w:rPr>
        <w:t>日期：  年   月   日</w:t>
      </w:r>
    </w:p>
    <w:p w14:paraId="72E681AE">
      <w:pPr>
        <w:pStyle w:val="35"/>
        <w:ind w:firstLine="480"/>
        <w:rPr>
          <w:color w:val="auto"/>
          <w:highlight w:val="none"/>
        </w:rPr>
      </w:pPr>
    </w:p>
    <w:p w14:paraId="7F37D74E">
      <w:pPr>
        <w:pStyle w:val="35"/>
        <w:ind w:firstLine="480"/>
        <w:rPr>
          <w:color w:val="auto"/>
          <w:highlight w:val="none"/>
        </w:rPr>
      </w:pPr>
    </w:p>
    <w:p w14:paraId="3E022FE8">
      <w:pPr>
        <w:pStyle w:val="35"/>
        <w:ind w:firstLine="480"/>
        <w:rPr>
          <w:color w:val="auto"/>
          <w:highlight w:val="none"/>
          <w:lang w:eastAsia="zh-CN"/>
        </w:rPr>
      </w:pPr>
      <w:r>
        <w:rPr>
          <w:rFonts w:hint="eastAsia"/>
          <w:color w:val="auto"/>
          <w:highlight w:val="none"/>
          <w:lang w:eastAsia="zh-CN"/>
        </w:rPr>
        <w:t>附：</w:t>
      </w:r>
    </w:p>
    <w:p w14:paraId="05222F08">
      <w:pPr>
        <w:pStyle w:val="35"/>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2159287D">
      <w:pPr>
        <w:pStyle w:val="35"/>
        <w:ind w:firstLine="480"/>
        <w:rPr>
          <w:color w:val="auto"/>
          <w:highlight w:val="none"/>
        </w:rPr>
      </w:pPr>
    </w:p>
    <w:p w14:paraId="0C7E640D">
      <w:pPr>
        <w:pStyle w:val="35"/>
        <w:ind w:firstLine="480"/>
        <w:rPr>
          <w:color w:val="auto"/>
          <w:highlight w:val="none"/>
        </w:rPr>
      </w:pPr>
    </w:p>
    <w:p w14:paraId="54703050">
      <w:pPr>
        <w:pStyle w:val="35"/>
        <w:ind w:firstLine="480"/>
        <w:rPr>
          <w:color w:val="auto"/>
          <w:highlight w:val="none"/>
        </w:rPr>
      </w:pPr>
    </w:p>
    <w:p w14:paraId="2EAE1B61">
      <w:pPr>
        <w:pStyle w:val="35"/>
        <w:ind w:firstLine="480"/>
        <w:rPr>
          <w:color w:val="auto"/>
          <w:highlight w:val="none"/>
        </w:rPr>
      </w:pPr>
    </w:p>
    <w:p w14:paraId="0B74ACBA">
      <w:pPr>
        <w:pStyle w:val="35"/>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适用于法定代表人、单位负责人或者自然人本人代表投标人参加投标】</w:t>
      </w:r>
      <w:r>
        <w:rPr>
          <w:color w:val="auto"/>
          <w:highlight w:val="none"/>
        </w:rPr>
        <w:br w:type="page"/>
      </w:r>
    </w:p>
    <w:p w14:paraId="68A5EAC6">
      <w:pPr>
        <w:pStyle w:val="37"/>
        <w:numPr>
          <w:ilvl w:val="1"/>
          <w:numId w:val="74"/>
        </w:numPr>
        <w:adjustRightInd/>
        <w:rPr>
          <w:color w:val="auto"/>
          <w:sz w:val="21"/>
          <w:szCs w:val="21"/>
          <w:highlight w:val="none"/>
        </w:rPr>
      </w:pPr>
      <w:bookmarkStart w:id="122" w:name="_Toc28011"/>
      <w:r>
        <w:rPr>
          <w:rFonts w:hint="eastAsia"/>
          <w:color w:val="auto"/>
          <w:highlight w:val="none"/>
        </w:rPr>
        <w:t>授权委托书</w:t>
      </w:r>
      <w:bookmarkEnd w:id="122"/>
      <w:r>
        <w:rPr>
          <w:rFonts w:hint="eastAsia"/>
          <w:color w:val="auto"/>
          <w:highlight w:val="none"/>
        </w:rPr>
        <w:t xml:space="preserve"> </w:t>
      </w:r>
    </w:p>
    <w:p w14:paraId="68FFB61D">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01A518A9">
      <w:pPr>
        <w:pStyle w:val="35"/>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w:t>
      </w:r>
      <w:r>
        <w:rPr>
          <w:rFonts w:hint="eastAsia"/>
          <w:color w:val="auto"/>
          <w:highlight w:val="none"/>
          <w:u w:val="single"/>
        </w:rPr>
        <w:t xml:space="preserve">         </w:t>
      </w:r>
      <w:r>
        <w:rPr>
          <w:rFonts w:hint="eastAsia"/>
          <w:color w:val="auto"/>
          <w:highlight w:val="none"/>
        </w:rPr>
        <w:t xml:space="preserve"> ，手机：</w:t>
      </w:r>
      <w:r>
        <w:rPr>
          <w:rFonts w:hint="eastAsia"/>
          <w:color w:val="auto"/>
          <w:highlight w:val="none"/>
          <w:u w:val="single"/>
        </w:rPr>
        <w:t xml:space="preserve">          </w:t>
      </w:r>
      <w:r>
        <w:rPr>
          <w:rFonts w:hint="eastAsia"/>
          <w:color w:val="auto"/>
          <w:highlight w:val="none"/>
        </w:rPr>
        <w:t>），以我方名义处理</w:t>
      </w:r>
      <w:r>
        <w:rPr>
          <w:rFonts w:hint="eastAsia"/>
          <w:color w:val="auto"/>
          <w:highlight w:val="none"/>
          <w:u w:val="single"/>
          <w:lang w:eastAsia="zh-CN"/>
        </w:rPr>
        <w:t>浙江省测绘科学技术研究院无人机机身及配套设备一切险与第三者责任保险项目（重新招标）</w:t>
      </w:r>
      <w:r>
        <w:rPr>
          <w:rFonts w:hint="eastAsia"/>
          <w:color w:val="auto"/>
          <w:highlight w:val="none"/>
          <w:u w:val="single"/>
        </w:rPr>
        <w:t>（项目编号：</w:t>
      </w:r>
      <w:r>
        <w:rPr>
          <w:rFonts w:hint="eastAsia"/>
          <w:color w:val="auto"/>
          <w:highlight w:val="none"/>
          <w:u w:val="single"/>
          <w:lang w:eastAsia="zh-CN"/>
        </w:rPr>
        <w:t>ZQ250611ZGC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政府采购投标的一切事项，其法律后果由我方承担。</w:t>
      </w:r>
    </w:p>
    <w:p w14:paraId="56507ADA">
      <w:pPr>
        <w:pStyle w:val="35"/>
        <w:ind w:firstLine="480"/>
        <w:rPr>
          <w:color w:val="auto"/>
          <w:highlight w:val="none"/>
        </w:rPr>
      </w:pPr>
      <w:r>
        <w:rPr>
          <w:rFonts w:hint="eastAsia"/>
          <w:color w:val="auto"/>
          <w:highlight w:val="none"/>
        </w:rPr>
        <w:t>委托期限：自   年 月  日起至  年  月  日止。</w:t>
      </w:r>
    </w:p>
    <w:p w14:paraId="57544F8A">
      <w:pPr>
        <w:pStyle w:val="35"/>
        <w:ind w:firstLine="480"/>
        <w:rPr>
          <w:color w:val="auto"/>
          <w:highlight w:val="none"/>
        </w:rPr>
      </w:pPr>
      <w:r>
        <w:rPr>
          <w:rFonts w:hint="eastAsia"/>
          <w:color w:val="auto"/>
          <w:highlight w:val="none"/>
        </w:rPr>
        <w:t>特此告知。</w:t>
      </w:r>
    </w:p>
    <w:p w14:paraId="328F3772">
      <w:pPr>
        <w:pStyle w:val="35"/>
        <w:ind w:firstLine="480"/>
        <w:rPr>
          <w:color w:val="auto"/>
          <w:highlight w:val="none"/>
        </w:rPr>
      </w:pPr>
    </w:p>
    <w:p w14:paraId="1EC7D403">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39DFAD7E">
      <w:pPr>
        <w:pStyle w:val="35"/>
        <w:ind w:firstLine="480"/>
        <w:rPr>
          <w:color w:val="auto"/>
          <w:highlight w:val="none"/>
        </w:rPr>
      </w:pP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013809EB">
      <w:pPr>
        <w:pStyle w:val="35"/>
        <w:ind w:firstLine="480"/>
        <w:rPr>
          <w:color w:val="auto"/>
          <w:highlight w:val="none"/>
        </w:rPr>
      </w:pPr>
      <w:r>
        <w:rPr>
          <w:rFonts w:hint="eastAsia"/>
          <w:color w:val="auto"/>
          <w:highlight w:val="none"/>
        </w:rPr>
        <w:t xml:space="preserve">                          </w:t>
      </w:r>
    </w:p>
    <w:p w14:paraId="7AD6B546">
      <w:pPr>
        <w:pStyle w:val="35"/>
        <w:ind w:firstLine="480"/>
        <w:rPr>
          <w:color w:val="auto"/>
          <w:highlight w:val="none"/>
        </w:rPr>
      </w:pPr>
      <w:r>
        <w:rPr>
          <w:rFonts w:hint="eastAsia"/>
          <w:color w:val="auto"/>
          <w:highlight w:val="none"/>
        </w:rPr>
        <w:t>日期：  年   月   日</w:t>
      </w:r>
    </w:p>
    <w:p w14:paraId="7B509BCC">
      <w:pPr>
        <w:pStyle w:val="35"/>
        <w:ind w:firstLine="480"/>
        <w:rPr>
          <w:color w:val="auto"/>
          <w:highlight w:val="none"/>
        </w:rPr>
      </w:pPr>
    </w:p>
    <w:p w14:paraId="721847B0">
      <w:pPr>
        <w:pStyle w:val="35"/>
        <w:ind w:firstLine="480"/>
        <w:rPr>
          <w:color w:val="auto"/>
          <w:highlight w:val="none"/>
          <w:lang w:eastAsia="zh-CN"/>
        </w:rPr>
      </w:pPr>
      <w:r>
        <w:rPr>
          <w:rFonts w:hint="eastAsia"/>
          <w:color w:val="auto"/>
          <w:highlight w:val="none"/>
          <w:lang w:eastAsia="zh-CN"/>
        </w:rPr>
        <w:t>附：</w:t>
      </w:r>
    </w:p>
    <w:p w14:paraId="19408278">
      <w:pPr>
        <w:pStyle w:val="35"/>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7679AE47">
      <w:pPr>
        <w:pStyle w:val="35"/>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14:paraId="04144FFC">
      <w:pPr>
        <w:pStyle w:val="35"/>
        <w:ind w:firstLine="480"/>
        <w:rPr>
          <w:color w:val="auto"/>
          <w:highlight w:val="none"/>
        </w:rPr>
      </w:pPr>
    </w:p>
    <w:p w14:paraId="68BAD937">
      <w:pPr>
        <w:pStyle w:val="35"/>
        <w:ind w:firstLine="480"/>
        <w:rPr>
          <w:color w:val="auto"/>
          <w:highlight w:val="none"/>
        </w:rPr>
      </w:pPr>
      <w:r>
        <w:rPr>
          <w:rFonts w:hint="eastAsia"/>
          <w:color w:val="auto"/>
          <w:highlight w:val="none"/>
        </w:rPr>
        <w:t>【联合体</w:t>
      </w:r>
      <w:r>
        <w:rPr>
          <w:rFonts w:hint="eastAsia"/>
          <w:color w:val="auto"/>
          <w:highlight w:val="none"/>
          <w:lang w:eastAsia="zh-CN"/>
        </w:rPr>
        <w:t>投标使用以下落款，并附联合体成员各方法定代表人身份证明（身份证正反面），否则删除下例落款】</w:t>
      </w:r>
    </w:p>
    <w:p w14:paraId="087DA541">
      <w:pPr>
        <w:pStyle w:val="35"/>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09D7C65D">
      <w:pPr>
        <w:pStyle w:val="35"/>
        <w:ind w:firstLine="480"/>
        <w:rPr>
          <w:color w:val="auto"/>
          <w:highlight w:val="none"/>
        </w:rPr>
      </w:pPr>
      <w:r>
        <w:rPr>
          <w:rFonts w:hint="eastAsia"/>
          <w:color w:val="auto"/>
          <w:highlight w:val="none"/>
          <w:lang w:eastAsia="zh-CN"/>
        </w:rPr>
        <w:t>联合体成员1法定代表人（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0E0A32E6">
      <w:pPr>
        <w:pStyle w:val="35"/>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名称(电子签</w:t>
      </w:r>
      <w:r>
        <w:rPr>
          <w:rFonts w:hint="eastAsia"/>
          <w:color w:val="auto"/>
          <w:highlight w:val="none"/>
          <w:lang w:eastAsia="zh-CN"/>
        </w:rPr>
        <w:t>章</w:t>
      </w:r>
      <w:r>
        <w:rPr>
          <w:rFonts w:hint="eastAsia"/>
          <w:color w:val="auto"/>
          <w:highlight w:val="none"/>
        </w:rPr>
        <w:t>/公章)：</w:t>
      </w:r>
    </w:p>
    <w:p w14:paraId="2377E9AD">
      <w:pPr>
        <w:pStyle w:val="35"/>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rPr>
        <w:t>电子签</w:t>
      </w:r>
      <w:r>
        <w:rPr>
          <w:rFonts w:hint="eastAsia"/>
          <w:color w:val="auto"/>
          <w:highlight w:val="none"/>
          <w:lang w:val="en-US" w:eastAsia="zh-Hans"/>
        </w:rPr>
        <w:t>名</w:t>
      </w:r>
      <w:r>
        <w:rPr>
          <w:rFonts w:hint="eastAsia"/>
          <w:color w:val="auto"/>
          <w:highlight w:val="none"/>
        </w:rPr>
        <w:t>/</w:t>
      </w:r>
      <w:r>
        <w:rPr>
          <w:rFonts w:hint="eastAsia"/>
          <w:color w:val="auto"/>
          <w:highlight w:val="none"/>
          <w:lang w:eastAsia="zh-CN"/>
        </w:rPr>
        <w:t>签名）：</w:t>
      </w:r>
    </w:p>
    <w:p w14:paraId="20A95FC9">
      <w:pPr>
        <w:pStyle w:val="35"/>
        <w:ind w:firstLine="480"/>
        <w:rPr>
          <w:color w:val="auto"/>
          <w:highlight w:val="none"/>
        </w:rPr>
      </w:pPr>
      <w:r>
        <w:rPr>
          <w:rFonts w:hint="eastAsia"/>
          <w:color w:val="auto"/>
          <w:highlight w:val="none"/>
          <w:lang w:eastAsia="zh-CN"/>
        </w:rPr>
        <w:t>……</w:t>
      </w:r>
    </w:p>
    <w:p w14:paraId="159A022E">
      <w:pPr>
        <w:pStyle w:val="35"/>
        <w:ind w:firstLine="480"/>
        <w:rPr>
          <w:color w:val="auto"/>
          <w:highlight w:val="none"/>
        </w:rPr>
      </w:pPr>
      <w:r>
        <w:rPr>
          <w:rFonts w:hint="eastAsia"/>
          <w:color w:val="auto"/>
          <w:highlight w:val="none"/>
        </w:rPr>
        <w:t>日期：  年  月   日</w:t>
      </w:r>
    </w:p>
    <w:p w14:paraId="79CD513A">
      <w:pPr>
        <w:pStyle w:val="35"/>
        <w:ind w:firstLine="0" w:firstLineChars="0"/>
        <w:rPr>
          <w:color w:val="auto"/>
          <w:highlight w:val="none"/>
        </w:rPr>
      </w:pPr>
    </w:p>
    <w:p w14:paraId="75839784">
      <w:pPr>
        <w:pStyle w:val="35"/>
        <w:ind w:firstLine="0" w:firstLineChars="0"/>
        <w:rPr>
          <w:color w:val="auto"/>
          <w:highlight w:val="none"/>
        </w:rPr>
      </w:pPr>
      <w:r>
        <w:rPr>
          <w:rFonts w:hint="eastAsia"/>
          <w:color w:val="auto"/>
          <w:highlight w:val="none"/>
          <w:lang w:eastAsia="zh-CN"/>
        </w:rPr>
        <w:t>【本格式文本适用于由授权代表代表投标人投标，法定代表人、单位负责人或者自然人本人代表投标人参加投标的无需提供】</w:t>
      </w:r>
      <w:r>
        <w:rPr>
          <w:color w:val="auto"/>
          <w:highlight w:val="none"/>
        </w:rPr>
        <w:br w:type="page"/>
      </w:r>
    </w:p>
    <w:p w14:paraId="269FA999">
      <w:pPr>
        <w:pStyle w:val="37"/>
        <w:numPr>
          <w:ilvl w:val="1"/>
          <w:numId w:val="74"/>
        </w:numPr>
        <w:adjustRightInd/>
        <w:rPr>
          <w:rFonts w:eastAsia="宋体"/>
          <w:color w:val="auto"/>
          <w:highlight w:val="none"/>
        </w:rPr>
      </w:pPr>
      <w:bookmarkStart w:id="123" w:name="_Toc32363"/>
      <w:r>
        <w:rPr>
          <w:rFonts w:hint="eastAsia"/>
          <w:color w:val="auto"/>
          <w:highlight w:val="none"/>
        </w:rPr>
        <w:t>联合协议</w:t>
      </w:r>
      <w:bookmarkEnd w:id="123"/>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自愿组成一个联合体，以一个投标人的身份参加</w:t>
      </w:r>
      <w:r>
        <w:rPr>
          <w:rFonts w:hint="eastAsia" w:ascii="宋体" w:hAnsi="宋体"/>
          <w:color w:val="auto"/>
          <w:sz w:val="24"/>
          <w:szCs w:val="24"/>
          <w:highlight w:val="none"/>
          <w:u w:val="single"/>
          <w:lang w:eastAsia="zh-CN"/>
        </w:rPr>
        <w:t>浙江省测绘科学技术研究院无人机机身及配套设备一切险与第三者责任保险项目（重新招标）</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eastAsia="zh-CN"/>
        </w:rPr>
        <w:t>ZQ250611ZGC</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rPr>
        <w:t>投标</w:t>
      </w:r>
      <w:r>
        <w:rPr>
          <w:rFonts w:hint="eastAsia" w:ascii="宋体" w:hAnsi="宋体"/>
          <w:color w:val="auto"/>
          <w:kern w:val="0"/>
          <w:sz w:val="24"/>
          <w:szCs w:val="24"/>
          <w:highlight w:val="none"/>
          <w:lang w:eastAsia="zh-Hans"/>
        </w:rPr>
        <w:t>：</w:t>
      </w:r>
      <w:r>
        <w:rPr>
          <w:rFonts w:hint="eastAsia" w:ascii="宋体" w:hAnsi="宋体"/>
          <w:color w:val="auto"/>
          <w:kern w:val="0"/>
          <w:sz w:val="24"/>
          <w:szCs w:val="24"/>
          <w:highlight w:val="none"/>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，代表所有联合体成员负责投标和合同实施阶段的主办、协调工作</w:t>
      </w:r>
      <w:r>
        <w:rPr>
          <w:rFonts w:hint="eastAsia" w:ascii="宋体" w:hAnsi="宋体"/>
          <w:color w:val="auto"/>
          <w:kern w:val="0"/>
          <w:sz w:val="24"/>
          <w:szCs w:val="24"/>
          <w:highlight w:val="none"/>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color w:val="auto"/>
          <w:kern w:val="0"/>
          <w:sz w:val="24"/>
          <w:szCs w:val="24"/>
          <w:highlight w:val="none"/>
        </w:rPr>
      </w:pPr>
      <w:r>
        <w:rPr>
          <w:rFonts w:hint="eastAsia" w:ascii="宋体" w:hAnsi="宋体"/>
          <w:color w:val="auto"/>
          <w:kern w:val="0"/>
          <w:sz w:val="24"/>
          <w:szCs w:val="24"/>
          <w:highlight w:val="none"/>
        </w:rPr>
        <w:t>1、</w:t>
      </w:r>
      <w:r>
        <w:rPr>
          <w:rFonts w:hint="eastAsia" w:ascii="宋体" w:hAnsi="宋体"/>
          <w:i/>
          <w:iCs/>
          <w:color w:val="auto"/>
          <w:kern w:val="0"/>
          <w:sz w:val="24"/>
          <w:szCs w:val="24"/>
          <w:highlight w:val="none"/>
          <w:u w:val="single"/>
        </w:rPr>
        <w:t>（联合体成员</w:t>
      </w:r>
      <w:r>
        <w:rPr>
          <w:rFonts w:hint="default" w:ascii="宋体" w:hAnsi="宋体"/>
          <w:i/>
          <w:iCs/>
          <w:color w:val="auto"/>
          <w:kern w:val="0"/>
          <w:sz w:val="24"/>
          <w:szCs w:val="24"/>
          <w:highlight w:val="none"/>
          <w:u w:val="single"/>
        </w:rPr>
        <w:t>1</w:t>
      </w:r>
      <w:r>
        <w:rPr>
          <w:rFonts w:hint="eastAsia" w:ascii="宋体" w:hAnsi="宋体"/>
          <w:i/>
          <w:iCs/>
          <w:color w:val="auto"/>
          <w:kern w:val="0"/>
          <w:sz w:val="24"/>
          <w:szCs w:val="24"/>
          <w:highlight w:val="none"/>
          <w:u w:val="single"/>
        </w:rPr>
        <w:t>,……）</w:t>
      </w:r>
      <w:r>
        <w:rPr>
          <w:rFonts w:hint="eastAsia" w:ascii="宋体" w:hAnsi="宋体"/>
          <w:color w:val="auto"/>
          <w:kern w:val="0"/>
          <w:sz w:val="24"/>
          <w:szCs w:val="24"/>
          <w:highlight w:val="none"/>
        </w:rPr>
        <w:t>提供的全部货物由小微企业制造，其合同份额占到合同总金额</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kern w:val="0"/>
          <w:sz w:val="24"/>
          <w:szCs w:val="24"/>
          <w:highlight w:val="none"/>
        </w:rPr>
      </w:pPr>
      <w:r>
        <w:rPr>
          <w:rFonts w:hint="eastAsia" w:ascii="宋体" w:hAnsi="宋体"/>
          <w:color w:val="auto"/>
          <w:sz w:val="24"/>
          <w:szCs w:val="24"/>
          <w:highlight w:val="none"/>
        </w:rPr>
        <w:t>2、中小企业合同金额达到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%，小微企业合同金额达到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kern w:val="0"/>
          <w:sz w:val="24"/>
          <w:szCs w:val="24"/>
          <w:highlight w:val="none"/>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5"/>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5"/>
        <w:ind w:firstLine="480"/>
      </w:pPr>
      <w:r>
        <w:rPr>
          <w:rFonts w:hint="eastAsia"/>
          <w:lang w:eastAsia="zh-CN"/>
        </w:rPr>
        <w:t>……</w:t>
      </w:r>
    </w:p>
    <w:p w14:paraId="6ED9F542">
      <w:pPr>
        <w:pStyle w:val="35"/>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7"/>
        <w:numPr>
          <w:ilvl w:val="1"/>
          <w:numId w:val="74"/>
        </w:numPr>
        <w:adjustRightInd/>
        <w:rPr>
          <w:color w:val="auto"/>
          <w:kern w:val="0"/>
          <w:highlight w:val="none"/>
        </w:rPr>
      </w:pPr>
      <w:bookmarkStart w:id="124" w:name="_Toc11229"/>
      <w:r>
        <w:rPr>
          <w:rFonts w:hint="eastAsia"/>
          <w:color w:val="auto"/>
          <w:kern w:val="0"/>
          <w:highlight w:val="none"/>
        </w:rPr>
        <w:t>分包意向协议</w:t>
      </w:r>
      <w:bookmarkEnd w:id="124"/>
    </w:p>
    <w:p w14:paraId="32133CC2">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若成为</w:t>
      </w:r>
      <w:r>
        <w:rPr>
          <w:rFonts w:hint="eastAsia"/>
          <w:color w:val="auto"/>
          <w:highlight w:val="none"/>
          <w:u w:val="single"/>
          <w:lang w:eastAsia="zh-CN"/>
        </w:rPr>
        <w:t>浙江省测绘科学技术研究院无人机机身及配套设备一切险与第三者责任保险项目（重新招标）</w:t>
      </w:r>
      <w:r>
        <w:rPr>
          <w:rFonts w:hint="eastAsia"/>
          <w:color w:val="auto"/>
          <w:highlight w:val="none"/>
          <w:u w:val="single"/>
        </w:rPr>
        <w:t>（项目编号：</w:t>
      </w:r>
      <w:r>
        <w:rPr>
          <w:rFonts w:hint="eastAsia"/>
          <w:color w:val="auto"/>
          <w:highlight w:val="none"/>
          <w:u w:val="single"/>
          <w:lang w:eastAsia="zh-CN"/>
        </w:rPr>
        <w:t>ZQ250611ZGC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的中标供应商，将依法采取分包方式履行合同。</w:t>
      </w:r>
      <w:r>
        <w:rPr>
          <w:rFonts w:hint="eastAsia"/>
          <w:i/>
          <w:iCs/>
          <w:color w:val="auto"/>
          <w:highlight w:val="none"/>
          <w:u w:val="single"/>
        </w:rPr>
        <w:t>（投标人名称）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 xml:space="preserve">达成分包意向协议。 </w:t>
      </w:r>
    </w:p>
    <w:p w14:paraId="0DC0A53B">
      <w:pPr>
        <w:pStyle w:val="35"/>
        <w:ind w:firstLine="480"/>
        <w:rPr>
          <w:color w:val="auto"/>
          <w:highlight w:val="none"/>
        </w:rPr>
      </w:pPr>
      <w:r>
        <w:rPr>
          <w:rFonts w:hint="eastAsia"/>
          <w:color w:val="auto"/>
          <w:highlight w:val="none"/>
        </w:rPr>
        <w:t>一、分包标的及数量</w:t>
      </w:r>
    </w:p>
    <w:p w14:paraId="5BFF9F7D">
      <w:pPr>
        <w:pStyle w:val="35"/>
        <w:ind w:firstLine="480"/>
        <w:rPr>
          <w:color w:val="auto"/>
          <w:highlight w:val="none"/>
        </w:rPr>
      </w:pPr>
      <w:r>
        <w:rPr>
          <w:rFonts w:hint="eastAsia"/>
          <w:i/>
          <w:iCs/>
          <w:color w:val="auto"/>
          <w:highlight w:val="none"/>
          <w:u w:val="single"/>
        </w:rPr>
        <w:t>（投标人名称）</w:t>
      </w:r>
      <w:r>
        <w:rPr>
          <w:rFonts w:hint="eastAsia"/>
          <w:color w:val="auto"/>
          <w:highlight w:val="none"/>
        </w:rPr>
        <w:t>将</w:t>
      </w:r>
      <w:r>
        <w:rPr>
          <w:rFonts w:hint="eastAsia"/>
          <w:i/>
          <w:iCs/>
          <w:color w:val="auto"/>
          <w:highlight w:val="none"/>
          <w:u w:val="single"/>
        </w:rPr>
        <w:t xml:space="preserve">   工作内容   </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383BAEEB">
      <w:pPr>
        <w:pStyle w:val="35"/>
        <w:ind w:firstLine="480"/>
        <w:rPr>
          <w:color w:val="auto"/>
          <w:highlight w:val="none"/>
        </w:rPr>
      </w:pPr>
      <w:r>
        <w:rPr>
          <w:rFonts w:hint="eastAsia"/>
          <w:color w:val="auto"/>
          <w:highlight w:val="none"/>
        </w:rPr>
        <w:t>……</w:t>
      </w:r>
    </w:p>
    <w:p w14:paraId="3CF418B7">
      <w:pPr>
        <w:pStyle w:val="35"/>
        <w:ind w:firstLine="480"/>
        <w:rPr>
          <w:color w:val="auto"/>
          <w:highlight w:val="none"/>
        </w:rPr>
      </w:pPr>
      <w:r>
        <w:rPr>
          <w:rFonts w:hint="eastAsia"/>
          <w:color w:val="auto"/>
          <w:highlight w:val="none"/>
        </w:rPr>
        <w:t>二、分包供应商中小企业合同份额</w:t>
      </w:r>
    </w:p>
    <w:p w14:paraId="6730C0C0">
      <w:pPr>
        <w:pStyle w:val="35"/>
        <w:ind w:firstLine="480"/>
        <w:rPr>
          <w:color w:val="auto"/>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     %。</w:t>
      </w:r>
    </w:p>
    <w:p w14:paraId="58ACB0D1">
      <w:pPr>
        <w:pStyle w:val="35"/>
        <w:ind w:firstLine="480"/>
        <w:rPr>
          <w:rFonts w:hint="eastAsia"/>
          <w:color w:val="auto"/>
          <w:highlight w:val="none"/>
        </w:rPr>
      </w:pPr>
      <w:r>
        <w:rPr>
          <w:rFonts w:hint="eastAsia"/>
          <w:color w:val="auto"/>
          <w:highlight w:val="none"/>
        </w:rPr>
        <w:t>2、中小企业合同金额达到  %，小微企业合同金额达到 %。</w:t>
      </w:r>
    </w:p>
    <w:p w14:paraId="10F67CF0">
      <w:pPr>
        <w:pStyle w:val="35"/>
        <w:ind w:firstLine="480"/>
        <w:rPr>
          <w:color w:val="auto"/>
          <w:highlight w:val="none"/>
        </w:rPr>
      </w:pPr>
      <w:r>
        <w:rPr>
          <w:rFonts w:hint="eastAsia"/>
          <w:color w:val="auto"/>
          <w:highlight w:val="none"/>
        </w:rPr>
        <w:t>三、分包工作履行期限、地点、方式</w:t>
      </w:r>
    </w:p>
    <w:p w14:paraId="337CDEAC">
      <w:pPr>
        <w:pStyle w:val="35"/>
        <w:ind w:firstLine="480"/>
        <w:rPr>
          <w:rFonts w:hint="eastAsia" w:eastAsia="宋体"/>
          <w:color w:val="auto"/>
          <w:highlight w:val="none"/>
          <w:lang w:eastAsia="zh-Hans"/>
        </w:rPr>
      </w:pPr>
      <w:r>
        <w:rPr>
          <w:rFonts w:hint="eastAsia"/>
          <w:color w:val="auto"/>
          <w:highlight w:val="none"/>
          <w:lang w:eastAsia="zh-Hans"/>
        </w:rPr>
        <w:t>……</w:t>
      </w:r>
    </w:p>
    <w:p w14:paraId="5E721CF6">
      <w:pPr>
        <w:pStyle w:val="35"/>
        <w:ind w:firstLine="480"/>
        <w:rPr>
          <w:color w:val="auto"/>
          <w:highlight w:val="none"/>
        </w:rPr>
      </w:pPr>
      <w:r>
        <w:rPr>
          <w:rFonts w:hint="eastAsia"/>
          <w:color w:val="auto"/>
          <w:highlight w:val="none"/>
        </w:rPr>
        <w:t>四、质量</w:t>
      </w:r>
    </w:p>
    <w:p w14:paraId="6EA1A3C1">
      <w:pPr>
        <w:pStyle w:val="35"/>
        <w:ind w:firstLine="480"/>
        <w:rPr>
          <w:color w:val="auto"/>
          <w:highlight w:val="none"/>
        </w:rPr>
      </w:pPr>
      <w:r>
        <w:rPr>
          <w:rFonts w:hint="eastAsia"/>
          <w:color w:val="auto"/>
          <w:highlight w:val="none"/>
          <w:lang w:eastAsia="zh-Hans"/>
        </w:rPr>
        <w:t>……</w:t>
      </w:r>
    </w:p>
    <w:p w14:paraId="57880766">
      <w:pPr>
        <w:pStyle w:val="35"/>
        <w:ind w:firstLine="480"/>
        <w:rPr>
          <w:color w:val="auto"/>
          <w:highlight w:val="none"/>
        </w:rPr>
      </w:pPr>
      <w:r>
        <w:rPr>
          <w:rFonts w:hint="eastAsia"/>
          <w:color w:val="auto"/>
          <w:highlight w:val="none"/>
        </w:rPr>
        <w:t>五、价款或者报酬</w:t>
      </w:r>
    </w:p>
    <w:p w14:paraId="56CBFA31">
      <w:pPr>
        <w:pStyle w:val="35"/>
        <w:ind w:firstLine="480"/>
        <w:rPr>
          <w:rFonts w:hint="eastAsia" w:eastAsia="宋体"/>
          <w:color w:val="auto"/>
          <w:highlight w:val="none"/>
          <w:lang w:eastAsia="zh-Hans"/>
        </w:rPr>
      </w:pPr>
      <w:r>
        <w:rPr>
          <w:rFonts w:hint="eastAsia"/>
          <w:color w:val="auto"/>
          <w:highlight w:val="none"/>
          <w:lang w:eastAsia="zh-Hans"/>
        </w:rPr>
        <w:t>……</w:t>
      </w:r>
    </w:p>
    <w:p w14:paraId="45DA2C1F">
      <w:pPr>
        <w:pStyle w:val="35"/>
        <w:ind w:firstLine="480"/>
        <w:rPr>
          <w:color w:val="auto"/>
          <w:highlight w:val="none"/>
        </w:rPr>
      </w:pPr>
      <w:r>
        <w:rPr>
          <w:rFonts w:hint="eastAsia"/>
          <w:color w:val="auto"/>
          <w:highlight w:val="none"/>
        </w:rPr>
        <w:t>六、违约责任</w:t>
      </w:r>
    </w:p>
    <w:p w14:paraId="41BE2954">
      <w:pPr>
        <w:pStyle w:val="35"/>
        <w:ind w:firstLine="480"/>
        <w:rPr>
          <w:rFonts w:hint="eastAsia"/>
          <w:color w:val="auto"/>
          <w:highlight w:val="none"/>
          <w:lang w:eastAsia="zh-Hans"/>
        </w:rPr>
      </w:pPr>
      <w:r>
        <w:rPr>
          <w:rFonts w:hint="eastAsia"/>
          <w:color w:val="auto"/>
          <w:highlight w:val="none"/>
          <w:lang w:eastAsia="zh-Hans"/>
        </w:rPr>
        <w:t>……</w:t>
      </w:r>
    </w:p>
    <w:p w14:paraId="5A7C2E84">
      <w:pPr>
        <w:pStyle w:val="35"/>
        <w:ind w:firstLine="480"/>
        <w:rPr>
          <w:color w:val="auto"/>
          <w:highlight w:val="none"/>
        </w:rPr>
      </w:pPr>
      <w:r>
        <w:rPr>
          <w:rFonts w:hint="eastAsia"/>
          <w:color w:val="auto"/>
          <w:highlight w:val="none"/>
        </w:rPr>
        <w:t>七、争议解决的办法</w:t>
      </w:r>
    </w:p>
    <w:p w14:paraId="1E8DDBD7">
      <w:pPr>
        <w:pStyle w:val="35"/>
        <w:ind w:firstLine="480"/>
        <w:rPr>
          <w:rFonts w:hint="eastAsia"/>
          <w:color w:val="auto"/>
          <w:highlight w:val="none"/>
          <w:lang w:eastAsia="zh-Hans"/>
        </w:rPr>
      </w:pPr>
      <w:r>
        <w:rPr>
          <w:rFonts w:hint="eastAsia"/>
          <w:color w:val="auto"/>
          <w:highlight w:val="none"/>
          <w:lang w:eastAsia="zh-Hans"/>
        </w:rPr>
        <w:t>……</w:t>
      </w:r>
    </w:p>
    <w:p w14:paraId="7B7B9D17">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6BD83B08">
      <w:pPr>
        <w:pStyle w:val="35"/>
        <w:ind w:firstLine="480"/>
        <w:rPr>
          <w:color w:val="auto"/>
          <w:highlight w:val="none"/>
        </w:rPr>
      </w:pPr>
      <w:r>
        <w:rPr>
          <w:rFonts w:hint="eastAsia"/>
          <w:color w:val="auto"/>
          <w:highlight w:val="none"/>
        </w:rPr>
        <w:t>分包供应商名称（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w:t>
      </w:r>
    </w:p>
    <w:p w14:paraId="0E5D9CEC">
      <w:pPr>
        <w:pStyle w:val="35"/>
        <w:ind w:firstLine="480"/>
        <w:rPr>
          <w:color w:val="auto"/>
          <w:highlight w:val="none"/>
        </w:rPr>
      </w:pPr>
      <w:r>
        <w:rPr>
          <w:rFonts w:hint="eastAsia"/>
          <w:color w:val="auto"/>
          <w:highlight w:val="none"/>
        </w:rPr>
        <w:t>……</w:t>
      </w:r>
    </w:p>
    <w:p w14:paraId="3D4F5AEE">
      <w:pPr>
        <w:pStyle w:val="35"/>
        <w:ind w:firstLine="480"/>
        <w:rPr>
          <w:color w:val="auto"/>
          <w:highlight w:val="none"/>
        </w:rPr>
      </w:pPr>
      <w:r>
        <w:rPr>
          <w:rFonts w:hint="eastAsia"/>
          <w:color w:val="auto"/>
          <w:highlight w:val="none"/>
        </w:rPr>
        <w:t>日期：  年  月   日</w:t>
      </w:r>
    </w:p>
    <w:p w14:paraId="5A285B7F">
      <w:pPr>
        <w:pStyle w:val="35"/>
        <w:ind w:firstLine="0" w:firstLineChars="0"/>
        <w:rPr>
          <w:color w:val="auto"/>
          <w:highlight w:val="none"/>
        </w:rPr>
      </w:pPr>
    </w:p>
    <w:p w14:paraId="3B63E7F0">
      <w:pPr>
        <w:pStyle w:val="35"/>
        <w:ind w:firstLine="0" w:firstLineChars="0"/>
        <w:rPr>
          <w:color w:val="auto"/>
          <w:highlight w:val="none"/>
        </w:rPr>
      </w:pPr>
    </w:p>
    <w:p w14:paraId="32F9EDA5">
      <w:pPr>
        <w:pStyle w:val="35"/>
        <w:ind w:firstLine="0" w:firstLineChars="0"/>
        <w:rPr>
          <w:color w:val="auto"/>
          <w:highlight w:val="none"/>
        </w:rPr>
      </w:pPr>
      <w:r>
        <w:rPr>
          <w:rFonts w:hint="eastAsia"/>
          <w:color w:val="auto"/>
          <w:highlight w:val="none"/>
          <w:lang w:eastAsia="zh-CN"/>
        </w:rPr>
        <w:t>【</w:t>
      </w:r>
      <w:r>
        <w:rPr>
          <w:rFonts w:hint="eastAsia"/>
          <w:color w:val="auto"/>
          <w:highlight w:val="none"/>
        </w:rPr>
        <w:t>中标后以分包方式履行合同的，提供分包意向协议；</w:t>
      </w:r>
      <w:r>
        <w:rPr>
          <w:rFonts w:hint="eastAsia"/>
          <w:color w:val="auto"/>
          <w:highlight w:val="none"/>
          <w:lang w:val="en-US" w:eastAsia="zh-Hans"/>
        </w:rPr>
        <w:t>招标</w:t>
      </w:r>
      <w:r>
        <w:rPr>
          <w:rFonts w:hint="eastAsia"/>
          <w:color w:val="auto"/>
          <w:highlight w:val="none"/>
        </w:rPr>
        <w:t>人不同意分包或者投标人中标后不以分包方式履行合同的，则不需要提供。</w:t>
      </w:r>
      <w:r>
        <w:rPr>
          <w:rFonts w:hint="eastAsia"/>
          <w:color w:val="auto"/>
          <w:highlight w:val="none"/>
          <w:lang w:eastAsia="zh-CN"/>
        </w:rPr>
        <w:t>】</w:t>
      </w:r>
    </w:p>
    <w:p w14:paraId="4E270FCA">
      <w:pPr>
        <w:widowControl/>
        <w:jc w:val="left"/>
        <w:rPr>
          <w:color w:val="auto"/>
          <w:highlight w:val="none"/>
        </w:rPr>
      </w:pPr>
    </w:p>
    <w:p w14:paraId="55EE282F">
      <w:pPr>
        <w:widowControl/>
        <w:jc w:val="left"/>
        <w:rPr>
          <w:rFonts w:ascii="黑体" w:hAnsi="黑体" w:eastAsia="黑体" w:cs="黑体"/>
          <w:bCs/>
          <w:color w:val="auto"/>
          <w:sz w:val="32"/>
          <w:szCs w:val="32"/>
          <w:highlight w:val="none"/>
          <w:lang w:eastAsia="zh-Hans"/>
        </w:rPr>
      </w:pPr>
      <w:r>
        <w:rPr>
          <w:color w:val="auto"/>
          <w:highlight w:val="none"/>
        </w:rPr>
        <w:br w:type="page"/>
      </w:r>
    </w:p>
    <w:p w14:paraId="50DC105D">
      <w:pPr>
        <w:pStyle w:val="37"/>
        <w:numPr>
          <w:ilvl w:val="1"/>
          <w:numId w:val="74"/>
        </w:numPr>
        <w:adjustRightInd/>
        <w:rPr>
          <w:color w:val="auto"/>
          <w:highlight w:val="none"/>
        </w:rPr>
      </w:pPr>
      <w:bookmarkStart w:id="125" w:name="_Toc31712"/>
      <w:r>
        <w:rPr>
          <w:rFonts w:hint="eastAsia"/>
          <w:color w:val="auto"/>
          <w:highlight w:val="none"/>
        </w:rPr>
        <w:t>开标一览表（报价表）</w:t>
      </w:r>
      <w:bookmarkEnd w:id="125"/>
    </w:p>
    <w:p w14:paraId="6C25C9F6">
      <w:pPr>
        <w:pStyle w:val="35"/>
        <w:ind w:firstLine="0" w:firstLineChars="0"/>
        <w:rPr>
          <w:color w:val="auto"/>
          <w:highlight w:val="none"/>
        </w:rPr>
      </w:pPr>
      <w:r>
        <w:rPr>
          <w:rFonts w:hint="eastAsia"/>
          <w:color w:val="auto"/>
          <w:highlight w:val="none"/>
          <w:lang w:eastAsia="zh-CN"/>
        </w:rPr>
        <w:t>浙江省测绘科学技术研究院</w:t>
      </w:r>
      <w:r>
        <w:rPr>
          <w:rFonts w:hint="eastAsia"/>
          <w:color w:val="auto"/>
          <w:highlight w:val="none"/>
        </w:rPr>
        <w:t>、浙江中勤招标代理有限公司：</w:t>
      </w:r>
    </w:p>
    <w:p w14:paraId="1A67B62C">
      <w:pPr>
        <w:pStyle w:val="35"/>
        <w:ind w:firstLine="480"/>
        <w:rPr>
          <w:color w:val="auto"/>
          <w:highlight w:val="none"/>
        </w:rPr>
      </w:pPr>
      <w:r>
        <w:rPr>
          <w:rFonts w:hint="eastAsia"/>
          <w:color w:val="auto"/>
          <w:highlight w:val="none"/>
        </w:rPr>
        <w:t>按你方招标文件要求，我们，本投标文件签字方，谨此向你方发出要约如下：如你方接受本投标，我方承诺按照如下开标一览表（报价表）的价格完成</w:t>
      </w:r>
      <w:r>
        <w:rPr>
          <w:rFonts w:hint="eastAsia"/>
          <w:color w:val="auto"/>
          <w:highlight w:val="none"/>
          <w:u w:val="single"/>
          <w:lang w:eastAsia="zh-CN"/>
        </w:rPr>
        <w:t>浙江省测绘科学技术研究院无人机机身及配套设备一切险与第三者责任保险项目（重新招标）</w:t>
      </w:r>
      <w:r>
        <w:rPr>
          <w:rFonts w:hint="eastAsia"/>
          <w:color w:val="auto"/>
          <w:highlight w:val="none"/>
          <w:u w:val="single"/>
        </w:rPr>
        <w:t>（项目编号：</w:t>
      </w:r>
      <w:r>
        <w:rPr>
          <w:rFonts w:hint="eastAsia"/>
          <w:color w:val="auto"/>
          <w:highlight w:val="none"/>
          <w:u w:val="single"/>
          <w:lang w:eastAsia="zh-CN"/>
        </w:rPr>
        <w:t>ZQ250611ZGC</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016EF625">
      <w:pPr>
        <w:jc w:val="center"/>
        <w:rPr>
          <w:rFonts w:ascii="宋体" w:hAnsi="宋体"/>
          <w:b/>
          <w:color w:val="auto"/>
          <w:kern w:val="0"/>
          <w:sz w:val="24"/>
          <w:szCs w:val="24"/>
          <w:highlight w:val="none"/>
        </w:rPr>
      </w:pPr>
      <w:r>
        <w:rPr>
          <w:rFonts w:hint="eastAsia" w:ascii="宋体" w:hAnsi="宋体"/>
          <w:b/>
          <w:color w:val="auto"/>
          <w:kern w:val="0"/>
          <w:sz w:val="24"/>
          <w:szCs w:val="24"/>
          <w:highlight w:val="none"/>
        </w:rPr>
        <w:t>开标一览表（报价表）(单位均为人民币元)</w:t>
      </w:r>
    </w:p>
    <w:tbl>
      <w:tblPr>
        <w:tblStyle w:val="24"/>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5"/>
              <w:ind w:firstLine="0" w:firstLineChars="0"/>
              <w:rPr>
                <w:color w:val="auto"/>
                <w:highlight w:val="none"/>
              </w:rPr>
            </w:pPr>
            <w:r>
              <w:rPr>
                <w:rFonts w:hint="eastAsia"/>
                <w:color w:val="auto"/>
                <w:highlight w:val="none"/>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5"/>
              <w:ind w:firstLine="0" w:firstLineChars="0"/>
              <w:rPr>
                <w:color w:val="auto"/>
                <w:highlight w:val="none"/>
              </w:rPr>
            </w:pPr>
            <w:r>
              <w:rPr>
                <w:rFonts w:hint="eastAsia"/>
                <w:color w:val="auto"/>
                <w:highlight w:val="none"/>
                <w:lang w:eastAsia="zh-CN"/>
              </w:rPr>
              <w:t>浙江省测绘科学技术研究院无人机机身及配套设备一切险与第三者责任保险项目（重新招标）</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5"/>
              <w:ind w:firstLine="0" w:firstLineChars="0"/>
              <w:rPr>
                <w:color w:val="auto"/>
                <w:highlight w:val="none"/>
              </w:rPr>
            </w:pPr>
            <w:r>
              <w:rPr>
                <w:rFonts w:hint="eastAsia"/>
                <w:color w:val="auto"/>
                <w:highlight w:val="none"/>
              </w:rPr>
              <w:t>投标报价</w:t>
            </w:r>
          </w:p>
          <w:p w14:paraId="56B03F63">
            <w:pPr>
              <w:pStyle w:val="35"/>
              <w:ind w:firstLine="0" w:firstLineChars="0"/>
              <w:rPr>
                <w:color w:val="auto"/>
                <w:highlight w:val="none"/>
              </w:rPr>
            </w:pPr>
            <w:r>
              <w:rPr>
                <w:rFonts w:hint="eastAsia"/>
                <w:color w:val="auto"/>
                <w:highlight w:val="none"/>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5"/>
              <w:ind w:firstLine="0" w:firstLineChars="0"/>
              <w:rPr>
                <w:color w:val="auto"/>
                <w:highlight w:val="none"/>
              </w:rPr>
            </w:pPr>
            <w:r>
              <w:rPr>
                <w:rFonts w:hint="eastAsia"/>
                <w:color w:val="auto"/>
                <w:highlight w:val="none"/>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5"/>
              <w:ind w:firstLine="0" w:firstLineChars="0"/>
              <w:rPr>
                <w:color w:val="auto"/>
                <w:highlight w:val="none"/>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5"/>
              <w:ind w:firstLine="0" w:firstLineChars="0"/>
              <w:rPr>
                <w:color w:val="auto"/>
                <w:highlight w:val="none"/>
              </w:rPr>
            </w:pPr>
            <w:r>
              <w:rPr>
                <w:rFonts w:hint="eastAsia"/>
                <w:color w:val="auto"/>
                <w:highlight w:val="none"/>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5"/>
              <w:ind w:firstLine="0" w:firstLineChars="0"/>
              <w:rPr>
                <w:color w:val="auto"/>
                <w:highlight w:val="none"/>
              </w:rPr>
            </w:pPr>
            <w:r>
              <w:rPr>
                <w:rFonts w:hint="eastAsia"/>
                <w:color w:val="auto"/>
                <w:highlight w:val="none"/>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5"/>
              <w:ind w:firstLine="0" w:firstLineChars="0"/>
              <w:rPr>
                <w:i/>
                <w:color w:val="auto"/>
                <w:highlight w:val="none"/>
                <w:u w:val="single"/>
              </w:rPr>
            </w:pPr>
            <w:r>
              <w:rPr>
                <w:rFonts w:hint="eastAsia"/>
                <w:i/>
                <w:color w:val="auto"/>
                <w:highlight w:val="none"/>
                <w:u w:val="single"/>
              </w:rPr>
              <w:t>没有可不填</w:t>
            </w:r>
          </w:p>
        </w:tc>
      </w:tr>
    </w:tbl>
    <w:p w14:paraId="4B3BB378">
      <w:pPr>
        <w:pStyle w:val="35"/>
        <w:ind w:firstLine="480"/>
        <w:rPr>
          <w:color w:val="auto"/>
          <w:highlight w:val="none"/>
        </w:rPr>
      </w:pPr>
      <w:r>
        <w:rPr>
          <w:rFonts w:hint="eastAsia"/>
          <w:color w:val="auto"/>
          <w:highlight w:val="none"/>
        </w:rPr>
        <w:t>投标人名称（</w:t>
      </w:r>
      <w:r>
        <w:rPr>
          <w:rFonts w:hint="eastAsia"/>
          <w:color w:val="auto"/>
          <w:sz w:val="24"/>
          <w:szCs w:val="24"/>
          <w:highlight w:val="none"/>
        </w:rPr>
        <w:t>电子签</w:t>
      </w:r>
      <w:r>
        <w:rPr>
          <w:rFonts w:hint="eastAsia"/>
          <w:color w:val="auto"/>
          <w:sz w:val="24"/>
          <w:szCs w:val="24"/>
          <w:highlight w:val="none"/>
          <w:lang w:eastAsia="zh-CN"/>
        </w:rPr>
        <w:t>章</w:t>
      </w:r>
      <w:r>
        <w:rPr>
          <w:rFonts w:hint="eastAsia"/>
          <w:color w:val="auto"/>
          <w:sz w:val="24"/>
          <w:szCs w:val="24"/>
          <w:highlight w:val="none"/>
        </w:rPr>
        <w:t>/公章</w:t>
      </w:r>
      <w:r>
        <w:rPr>
          <w:rFonts w:hint="eastAsia"/>
          <w:color w:val="auto"/>
          <w:highlight w:val="none"/>
        </w:rPr>
        <w:t xml:space="preserve">）：                          </w:t>
      </w:r>
    </w:p>
    <w:p w14:paraId="1FC20133">
      <w:pPr>
        <w:pStyle w:val="35"/>
        <w:ind w:firstLine="480"/>
        <w:rPr>
          <w:color w:val="auto"/>
          <w:highlight w:val="none"/>
        </w:rPr>
      </w:pPr>
      <w:r>
        <w:rPr>
          <w:rFonts w:hint="eastAsia"/>
          <w:color w:val="auto"/>
          <w:highlight w:val="none"/>
        </w:rPr>
        <w:t>日期：  年   月   日</w:t>
      </w:r>
    </w:p>
    <w:p w14:paraId="1A131273">
      <w:pPr>
        <w:pStyle w:val="35"/>
        <w:ind w:firstLine="480"/>
        <w:rPr>
          <w:color w:val="auto"/>
          <w:highlight w:val="none"/>
        </w:rPr>
      </w:pPr>
    </w:p>
    <w:p w14:paraId="374369FD">
      <w:pPr>
        <w:pStyle w:val="35"/>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06B7EF21">
      <w:pPr>
        <w:pStyle w:val="35"/>
        <w:numPr>
          <w:ilvl w:val="0"/>
          <w:numId w:val="76"/>
        </w:numPr>
        <w:ind w:firstLine="480"/>
        <w:rPr>
          <w:rFonts w:hint="eastAsia"/>
          <w:color w:val="auto"/>
          <w:highlight w:val="none"/>
        </w:rPr>
      </w:pPr>
      <w:r>
        <w:rPr>
          <w:rFonts w:hint="eastAsia"/>
          <w:color w:val="auto"/>
          <w:highlight w:val="none"/>
        </w:rPr>
        <w:t>投标人需按本表格式填写，否则视为投标文件含有采购人不能接受的附加条件，投标无效。</w:t>
      </w:r>
    </w:p>
    <w:p w14:paraId="3388AE97">
      <w:pPr>
        <w:pStyle w:val="35"/>
        <w:numPr>
          <w:ilvl w:val="0"/>
          <w:numId w:val="76"/>
        </w:numPr>
        <w:ind w:firstLine="480"/>
        <w:rPr>
          <w:rFonts w:hint="eastAsia"/>
          <w:color w:val="auto"/>
          <w:highlight w:val="none"/>
        </w:rPr>
      </w:pPr>
      <w:r>
        <w:rPr>
          <w:rFonts w:hint="eastAsia"/>
          <w:color w:val="auto"/>
          <w:highlight w:val="none"/>
          <w:lang w:val="en-US" w:eastAsia="zh-Hans"/>
        </w:rPr>
        <w:t>投报多个标项的应当按对应标项分别编制本表。</w:t>
      </w:r>
    </w:p>
    <w:p w14:paraId="7AAA900B">
      <w:pPr>
        <w:pStyle w:val="35"/>
        <w:ind w:firstLine="480"/>
        <w:rPr>
          <w:color w:val="auto"/>
          <w:highlight w:val="none"/>
        </w:rPr>
      </w:pPr>
      <w:r>
        <w:rPr>
          <w:rFonts w:hint="default"/>
          <w:color w:val="auto"/>
          <w:highlight w:val="none"/>
        </w:rPr>
        <w:t>3</w:t>
      </w:r>
      <w:r>
        <w:rPr>
          <w:rFonts w:hint="eastAsia"/>
          <w:color w:val="auto"/>
          <w:highlight w:val="non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5"/>
        <w:ind w:firstLine="480"/>
        <w:rPr>
          <w:rFonts w:ascii="黑体" w:hAnsi="黑体" w:eastAsia="黑体" w:cs="黑体"/>
          <w:bCs/>
          <w:color w:val="auto"/>
          <w:sz w:val="32"/>
          <w:szCs w:val="32"/>
          <w:highlight w:val="none"/>
        </w:rPr>
      </w:pPr>
      <w:r>
        <w:rPr>
          <w:rFonts w:hint="default"/>
          <w:color w:val="auto"/>
          <w:highlight w:val="none"/>
        </w:rPr>
        <w:t>4</w:t>
      </w:r>
      <w:r>
        <w:rPr>
          <w:rFonts w:hint="eastAsia"/>
          <w:color w:val="auto"/>
          <w:highlight w:val="none"/>
        </w:rPr>
        <w:t>、特别提示：采购机构将对项目名称和项目编号，中标供应商名称、地址和中标金额，主要中标标的名称、品牌（如果有）、规格型号、数量、单价等予以公示。</w:t>
      </w:r>
      <w:r>
        <w:rPr>
          <w:rFonts w:hint="eastAsia"/>
          <w:color w:val="auto"/>
          <w:highlight w:val="none"/>
          <w:lang w:eastAsia="zh-Hans"/>
        </w:rPr>
        <w:t>】</w:t>
      </w:r>
      <w:r>
        <w:rPr>
          <w:color w:val="auto"/>
          <w:highlight w:val="none"/>
        </w:rPr>
        <w:br w:type="page"/>
      </w:r>
    </w:p>
    <w:p w14:paraId="6DA29C8B">
      <w:pPr>
        <w:pStyle w:val="37"/>
        <w:numPr>
          <w:ilvl w:val="1"/>
          <w:numId w:val="74"/>
        </w:numPr>
        <w:adjustRightInd/>
        <w:rPr>
          <w:color w:val="auto"/>
          <w:highlight w:val="none"/>
        </w:rPr>
      </w:pPr>
      <w:bookmarkStart w:id="126" w:name="_Toc21953"/>
      <w:r>
        <w:rPr>
          <w:rFonts w:hint="eastAsia"/>
          <w:color w:val="auto"/>
          <w:highlight w:val="none"/>
        </w:rPr>
        <w:t>投标报价明细表</w:t>
      </w:r>
      <w:bookmarkEnd w:id="126"/>
    </w:p>
    <w:p w14:paraId="17D4E701">
      <w:pPr>
        <w:pStyle w:val="35"/>
        <w:ind w:firstLine="0" w:firstLineChars="0"/>
        <w:rPr>
          <w:color w:val="auto"/>
          <w:highlight w:val="none"/>
        </w:rPr>
      </w:pPr>
      <w:r>
        <w:rPr>
          <w:rFonts w:hint="eastAsia"/>
          <w:color w:val="auto"/>
          <w:highlight w:val="none"/>
        </w:rPr>
        <w:t>项目名称：</w:t>
      </w:r>
      <w:r>
        <w:rPr>
          <w:rFonts w:hint="eastAsia"/>
          <w:color w:val="auto"/>
          <w:highlight w:val="none"/>
          <w:lang w:eastAsia="zh-CN"/>
        </w:rPr>
        <w:t>浙江省测绘科学技术研究院无人机机身及配套设备一切险与第三者责任保险项目（重新招标）</w:t>
      </w:r>
    </w:p>
    <w:p w14:paraId="31174636">
      <w:pPr>
        <w:pStyle w:val="35"/>
        <w:ind w:firstLine="0" w:firstLineChars="0"/>
        <w:rPr>
          <w:rFonts w:hint="eastAsia" w:eastAsia="宋体"/>
          <w:color w:val="auto"/>
          <w:highlight w:val="none"/>
          <w:lang w:eastAsia="zh-CN"/>
        </w:rPr>
      </w:pPr>
      <w:r>
        <w:rPr>
          <w:rFonts w:hint="eastAsia"/>
          <w:color w:val="auto"/>
          <w:highlight w:val="none"/>
        </w:rPr>
        <w:t>项目编号：</w:t>
      </w:r>
      <w:r>
        <w:rPr>
          <w:rFonts w:hint="eastAsia"/>
          <w:color w:val="auto"/>
          <w:highlight w:val="none"/>
          <w:lang w:eastAsia="zh-CN"/>
        </w:rPr>
        <w:t>ZQ250611ZGC</w:t>
      </w:r>
    </w:p>
    <w:p w14:paraId="6B2AF55B">
      <w:pPr>
        <w:pStyle w:val="35"/>
        <w:ind w:firstLine="0" w:firstLineChars="0"/>
        <w:rPr>
          <w:rFonts w:hint="eastAsia"/>
          <w:color w:val="auto"/>
          <w:highlight w:val="none"/>
        </w:rPr>
      </w:pPr>
      <w:r>
        <w:rPr>
          <w:rFonts w:hint="eastAsia"/>
          <w:i/>
          <w:iCs/>
          <w:color w:val="auto"/>
          <w:highlight w:val="none"/>
          <w:u w:val="single"/>
          <w:lang w:val="en-US" w:eastAsia="zh-Hans"/>
        </w:rPr>
        <w:t>标项序号：…标项名称：…</w:t>
      </w:r>
    </w:p>
    <w:tbl>
      <w:tblPr>
        <w:tblStyle w:val="2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127"/>
        <w:gridCol w:w="1507"/>
        <w:gridCol w:w="1454"/>
        <w:gridCol w:w="1372"/>
        <w:gridCol w:w="1445"/>
      </w:tblGrid>
      <w:tr w14:paraId="52B37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2535747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7700F99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服务内容</w:t>
            </w: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3F80694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497459D2">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单位</w:t>
            </w: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37912E6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综合单价（元）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39F4EB96">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小计（元）</w:t>
            </w:r>
          </w:p>
        </w:tc>
      </w:tr>
      <w:tr w14:paraId="5FE1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1A36A355">
            <w:pPr>
              <w:jc w:val="center"/>
              <w:rPr>
                <w:rFonts w:ascii="宋体" w:hAnsi="宋体" w:cs="宋体"/>
                <w:kern w:val="0"/>
                <w:sz w:val="24"/>
                <w:szCs w:val="24"/>
              </w:rPr>
            </w:pPr>
            <w:r>
              <w:rPr>
                <w:rFonts w:ascii="宋体" w:hAnsi="宋体" w:cs="宋体"/>
                <w:kern w:val="0"/>
                <w:sz w:val="24"/>
                <w:szCs w:val="24"/>
              </w:rPr>
              <w:t>1</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6B2CBBC3">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6122405A">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971A55E">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4648F288">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1AD5B129">
            <w:pPr>
              <w:jc w:val="center"/>
              <w:rPr>
                <w:rFonts w:ascii="宋体" w:hAnsi="宋体" w:cs="宋体"/>
                <w:sz w:val="24"/>
                <w:szCs w:val="24"/>
              </w:rPr>
            </w:pPr>
          </w:p>
        </w:tc>
      </w:tr>
      <w:tr w14:paraId="1D99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500D3EAD">
            <w:pPr>
              <w:jc w:val="center"/>
              <w:rPr>
                <w:rFonts w:ascii="宋体" w:hAnsi="宋体" w:cs="宋体"/>
                <w:kern w:val="0"/>
                <w:sz w:val="24"/>
                <w:szCs w:val="24"/>
              </w:rPr>
            </w:pPr>
            <w:r>
              <w:rPr>
                <w:rFonts w:hint="eastAsia" w:ascii="宋体" w:hAnsi="宋体" w:cs="宋体"/>
                <w:kern w:val="0"/>
                <w:sz w:val="24"/>
                <w:szCs w:val="24"/>
              </w:rPr>
              <w:t>…</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8840025">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33355D0B">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6844BCC">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6D6E14F1">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234BA97C">
            <w:pPr>
              <w:jc w:val="center"/>
              <w:rPr>
                <w:rFonts w:ascii="宋体" w:hAnsi="宋体" w:cs="宋体"/>
                <w:sz w:val="24"/>
                <w:szCs w:val="24"/>
              </w:rPr>
            </w:pPr>
          </w:p>
        </w:tc>
      </w:tr>
      <w:tr w14:paraId="2857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noWrap w:val="0"/>
            <w:vAlign w:val="center"/>
          </w:tcPr>
          <w:p w14:paraId="0BBD0A81">
            <w:pPr>
              <w:jc w:val="center"/>
              <w:rPr>
                <w:rFonts w:ascii="宋体" w:hAnsi="宋体" w:cs="宋体"/>
                <w:kern w:val="0"/>
                <w:sz w:val="24"/>
                <w:szCs w:val="24"/>
              </w:rPr>
            </w:pPr>
            <w:r>
              <w:rPr>
                <w:rFonts w:hint="eastAsia" w:ascii="宋体" w:hAnsi="宋体" w:cs="宋体"/>
                <w:b/>
                <w:bCs/>
                <w:sz w:val="24"/>
                <w:szCs w:val="24"/>
              </w:rPr>
              <w:t>合计金额（元）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75BCAE92">
            <w:pPr>
              <w:jc w:val="center"/>
              <w:rPr>
                <w:rFonts w:ascii="宋体" w:hAnsi="宋体" w:cs="宋体"/>
                <w:sz w:val="24"/>
                <w:szCs w:val="24"/>
              </w:rPr>
            </w:pPr>
          </w:p>
        </w:tc>
      </w:tr>
    </w:tbl>
    <w:p w14:paraId="5AC013DA">
      <w:pPr>
        <w:pStyle w:val="35"/>
        <w:ind w:firstLine="0" w:firstLineChars="0"/>
        <w:rPr>
          <w:rFonts w:hint="eastAsia"/>
          <w:color w:val="00B050"/>
        </w:rPr>
      </w:pPr>
    </w:p>
    <w:p w14:paraId="48E133FB">
      <w:pPr>
        <w:pStyle w:val="35"/>
        <w:ind w:firstLine="480"/>
      </w:pPr>
    </w:p>
    <w:p w14:paraId="49611579">
      <w:pPr>
        <w:pStyle w:val="35"/>
        <w:ind w:firstLine="480"/>
      </w:pPr>
    </w:p>
    <w:p w14:paraId="707D9B12">
      <w:pPr>
        <w:pStyle w:val="35"/>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5"/>
        <w:ind w:firstLine="480"/>
      </w:pPr>
      <w:r>
        <w:rPr>
          <w:rFonts w:hint="eastAsia"/>
        </w:rPr>
        <w:t>日期：  年   月   日</w:t>
      </w:r>
    </w:p>
    <w:p w14:paraId="4E11994E">
      <w:pPr>
        <w:pStyle w:val="35"/>
        <w:ind w:firstLine="480"/>
        <w:rPr>
          <w:rFonts w:cs="Arial"/>
          <w:lang w:eastAsia="zh-CN"/>
        </w:rPr>
      </w:pPr>
    </w:p>
    <w:p w14:paraId="2EF2976A">
      <w:pPr>
        <w:pStyle w:val="35"/>
        <w:ind w:left="0" w:leftChars="0" w:firstLine="0" w:firstLineChars="0"/>
        <w:rPr>
          <w:lang w:eastAsia="zh-CN"/>
        </w:rPr>
      </w:pPr>
      <w:r>
        <w:rPr>
          <w:rFonts w:hint="eastAsia"/>
          <w:lang w:eastAsia="zh-Hans"/>
        </w:rPr>
        <w:t>【</w:t>
      </w:r>
      <w:r>
        <w:rPr>
          <w:rFonts w:hint="eastAsia"/>
        </w:rPr>
        <w:t>注：</w:t>
      </w:r>
    </w:p>
    <w:p w14:paraId="784E4DF6">
      <w:pPr>
        <w:pStyle w:val="35"/>
        <w:numPr>
          <w:ilvl w:val="0"/>
          <w:numId w:val="77"/>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5"/>
        <w:numPr>
          <w:ilvl w:val="0"/>
          <w:numId w:val="77"/>
        </w:numPr>
        <w:ind w:firstLine="480"/>
        <w:rPr>
          <w:rFonts w:hint="eastAsia" w:cs="Arial"/>
          <w:iCs/>
        </w:rPr>
      </w:pPr>
      <w:r>
        <w:rPr>
          <w:rFonts w:hint="eastAsia"/>
          <w:lang w:val="en-US" w:eastAsia="zh-Hans"/>
        </w:rPr>
        <w:t>投报多个标项的应当按对应标项分别编制本表。</w:t>
      </w:r>
    </w:p>
    <w:p w14:paraId="1E90D319">
      <w:pPr>
        <w:pStyle w:val="35"/>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5"/>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7"/>
        <w:numPr>
          <w:ilvl w:val="1"/>
          <w:numId w:val="74"/>
        </w:numPr>
        <w:adjustRightInd/>
      </w:pPr>
      <w:bookmarkStart w:id="127" w:name="_Toc12694"/>
      <w:r>
        <w:rPr>
          <w:rFonts w:hint="eastAsia"/>
        </w:rPr>
        <w:t>中小企业声明函（</w:t>
      </w:r>
      <w:r>
        <w:rPr>
          <w:rFonts w:hint="eastAsia"/>
          <w:lang w:val="en-US" w:eastAsia="zh-Hans"/>
        </w:rPr>
        <w:t>服务</w:t>
      </w:r>
      <w:r>
        <w:rPr>
          <w:rFonts w:hint="eastAsia"/>
        </w:rPr>
        <w:t>）</w:t>
      </w:r>
      <w:bookmarkEnd w:id="127"/>
    </w:p>
    <w:p w14:paraId="158F2059">
      <w:pPr>
        <w:pStyle w:val="35"/>
        <w:ind w:firstLine="480"/>
        <w:rPr>
          <w:color w:val="auto"/>
        </w:rPr>
      </w:pPr>
      <w:r>
        <w:rPr>
          <w:rFonts w:hint="eastAsia"/>
        </w:rPr>
        <w:t>本公司（联合体）郑重声明，根据《</w:t>
      </w:r>
      <w:r>
        <w:rPr>
          <w:rFonts w:hint="eastAsia"/>
          <w:color w:val="auto"/>
        </w:rPr>
        <w:t>政府采购促进中小企业发展管理办法》（财库﹝2020﹞46 号）的规定，本公司（联合体）参加</w:t>
      </w:r>
      <w:r>
        <w:rPr>
          <w:rFonts w:hint="eastAsia"/>
          <w:b w:val="0"/>
          <w:bCs w:val="0"/>
          <w:color w:val="auto"/>
        </w:rPr>
        <w:t xml:space="preserve"> </w:t>
      </w:r>
      <w:r>
        <w:rPr>
          <w:rFonts w:hint="eastAsia"/>
          <w:b w:val="0"/>
          <w:bCs w:val="0"/>
          <w:color w:val="auto"/>
          <w:u w:val="single"/>
          <w:lang w:eastAsia="zh-CN"/>
        </w:rPr>
        <w:t>浙江省测绘科学技术研究院无人机机身及配套设备一切险与第三者责任保险项目（重新招标）</w:t>
      </w:r>
      <w:r>
        <w:rPr>
          <w:rFonts w:hint="eastAsia"/>
          <w:b w:val="0"/>
          <w:bCs w:val="0"/>
          <w:color w:val="auto"/>
          <w:u w:val="single"/>
        </w:rPr>
        <w:t>（项目编号：</w:t>
      </w:r>
      <w:r>
        <w:rPr>
          <w:rFonts w:hint="eastAsia"/>
          <w:b w:val="0"/>
          <w:bCs w:val="0"/>
          <w:color w:val="auto"/>
          <w:u w:val="single"/>
          <w:lang w:eastAsia="zh-CN"/>
        </w:rPr>
        <w:t>ZQ250611ZGC</w:t>
      </w:r>
      <w:r>
        <w:rPr>
          <w:rFonts w:hint="eastAsia"/>
          <w:b w:val="0"/>
          <w:bCs w:val="0"/>
          <w:color w:val="auto"/>
          <w:u w:val="single"/>
        </w:rPr>
        <w:t>）</w:t>
      </w:r>
      <w:r>
        <w:rPr>
          <w:rFonts w:hint="eastAsia"/>
          <w:i/>
          <w:iCs/>
          <w:color w:val="auto"/>
          <w:u w:val="single"/>
          <w:lang w:val="en-US" w:eastAsia="zh-Hans"/>
        </w:rPr>
        <w:t>标项序号：…标项名称：…</w:t>
      </w:r>
      <w:r>
        <w:rPr>
          <w:rFonts w:hint="eastAsia"/>
          <w:color w:val="auto"/>
        </w:rPr>
        <w:t>采购活动，</w:t>
      </w:r>
      <w:r>
        <w:rPr>
          <w:rFonts w:hint="eastAsia" w:ascii="宋体" w:hAnsi="宋体" w:eastAsia="宋体" w:cs="仿宋"/>
          <w:color w:val="auto"/>
        </w:rPr>
        <w:t>服务全部由符合政策要求的中小企业承接</w:t>
      </w:r>
      <w:r>
        <w:rPr>
          <w:rFonts w:hint="eastAsia"/>
          <w:color w:val="auto"/>
        </w:rPr>
        <w:t>。相关企业（含联合体中的中小企业、签订分包意向协议的中小企业）的具体情况如下：</w:t>
      </w:r>
    </w:p>
    <w:p w14:paraId="483B08F1">
      <w:pPr>
        <w:pStyle w:val="35"/>
        <w:ind w:firstLine="480"/>
      </w:pPr>
      <w:r>
        <w:rPr>
          <w:rFonts w:hint="eastAsia"/>
          <w:color w:val="auto"/>
        </w:rPr>
        <w:t xml:space="preserve">1. </w:t>
      </w:r>
      <w:r>
        <w:rPr>
          <w:rFonts w:hint="eastAsia"/>
          <w:b w:val="0"/>
          <w:bCs w:val="0"/>
          <w:color w:val="auto"/>
          <w:u w:val="single"/>
          <w:lang w:eastAsia="zh-CN"/>
        </w:rPr>
        <w:t>无人机机身及配套设备一切险与第三者责任保险</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其他未列明行业</w:t>
      </w:r>
      <w:r>
        <w:rPr>
          <w:rFonts w:hint="eastAsia"/>
          <w:color w:val="auto"/>
        </w:rPr>
        <w:t>行业 ；</w:t>
      </w:r>
      <w:r>
        <w:rPr>
          <w:rFonts w:hint="eastAsia" w:ascii="Arial" w:hAnsi="Arial" w:cs="Arial"/>
          <w:color w:val="auto"/>
        </w:rPr>
        <w:t>承建（承接）企业</w:t>
      </w:r>
      <w:r>
        <w:rPr>
          <w:rFonts w:hint="eastAsia"/>
          <w:color w:val="auto"/>
        </w:rPr>
        <w:t>为</w:t>
      </w:r>
      <w:r>
        <w:rPr>
          <w:rFonts w:hint="eastAsia"/>
          <w:color w:val="auto"/>
          <w:u w:val="single"/>
        </w:rPr>
        <w:t xml:space="preserve"> </w:t>
      </w:r>
      <w:r>
        <w:rPr>
          <w:rFonts w:hint="eastAsia"/>
          <w:i/>
          <w:color w:val="auto"/>
          <w:u w:val="single"/>
        </w:rPr>
        <w:t>（企业名称）</w:t>
      </w:r>
      <w:r>
        <w:rPr>
          <w:rFonts w:hint="eastAsia"/>
          <w:color w:val="auto"/>
        </w:rPr>
        <w:t>，从业人员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i/>
          <w:iCs/>
          <w:color w:val="auto"/>
          <w:u w:val="single"/>
        </w:rPr>
        <w:t xml:space="preserve"> （中型企业、小型企业、微型企</w:t>
      </w:r>
      <w:r>
        <w:rPr>
          <w:rFonts w:hint="eastAsia"/>
          <w:i/>
          <w:iCs/>
          <w:u w:val="single"/>
        </w:rPr>
        <w:t>业）</w:t>
      </w:r>
      <w:r>
        <w:rPr>
          <w:rFonts w:hint="eastAsia"/>
        </w:rPr>
        <w:t xml:space="preserve"> ；</w:t>
      </w:r>
    </w:p>
    <w:p w14:paraId="0AA763DC">
      <w:pPr>
        <w:pStyle w:val="35"/>
        <w:ind w:firstLine="480"/>
        <w:rPr>
          <w:rFonts w:hint="eastAsia"/>
        </w:rPr>
      </w:pPr>
      <w:r>
        <w:rPr>
          <w:rFonts w:hint="eastAsia"/>
        </w:rPr>
        <w:t>……</w:t>
      </w:r>
    </w:p>
    <w:p w14:paraId="32A5D55F">
      <w:pPr>
        <w:pStyle w:val="35"/>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5"/>
        <w:ind w:firstLine="480"/>
        <w:rPr>
          <w:rFonts w:hint="eastAsia"/>
        </w:rPr>
      </w:pPr>
    </w:p>
    <w:p w14:paraId="057F655C">
      <w:pPr>
        <w:pStyle w:val="35"/>
        <w:ind w:firstLine="480"/>
      </w:pPr>
      <w:r>
        <w:rPr>
          <w:rFonts w:hint="eastAsia"/>
        </w:rPr>
        <w:t>以上企业，不属于大企业的分支机构，不存在控股股东为大企业的情形，也不存在与大企业的负责人为同一人的情形。</w:t>
      </w:r>
    </w:p>
    <w:p w14:paraId="6836C2B9">
      <w:pPr>
        <w:pStyle w:val="35"/>
        <w:ind w:firstLine="480"/>
      </w:pPr>
      <w:r>
        <w:rPr>
          <w:rFonts w:hint="eastAsia"/>
        </w:rPr>
        <w:t>本企业对上述声明内容的真实性负责。如有虚假，将依法承担相应责任。</w:t>
      </w:r>
    </w:p>
    <w:p w14:paraId="3DCE0B3B">
      <w:pPr>
        <w:pStyle w:val="35"/>
        <w:ind w:firstLine="480"/>
      </w:pPr>
    </w:p>
    <w:p w14:paraId="0302CB3F">
      <w:pPr>
        <w:pStyle w:val="35"/>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5"/>
        <w:ind w:firstLine="480"/>
      </w:pPr>
      <w:r>
        <w:rPr>
          <w:rFonts w:hint="eastAsia"/>
        </w:rPr>
        <w:t>日期：  年   月   日</w:t>
      </w:r>
    </w:p>
    <w:p w14:paraId="2BF02D9F">
      <w:pPr>
        <w:pStyle w:val="35"/>
        <w:ind w:firstLine="0" w:firstLineChars="0"/>
        <w:rPr>
          <w:rFonts w:hint="eastAsia" w:cs="宋体"/>
          <w:b/>
          <w:lang w:eastAsia="zh-CN"/>
        </w:rPr>
      </w:pPr>
    </w:p>
    <w:p w14:paraId="10979673">
      <w:pPr>
        <w:pStyle w:val="35"/>
        <w:ind w:firstLine="0" w:firstLineChars="0"/>
        <w:rPr>
          <w:rFonts w:cs="宋体"/>
          <w:bCs/>
        </w:rPr>
      </w:pPr>
      <w:r>
        <w:rPr>
          <w:rFonts w:hint="eastAsia" w:cs="宋体"/>
          <w:b/>
          <w:lang w:eastAsia="zh-CN"/>
        </w:rPr>
        <w:t>【</w:t>
      </w:r>
      <w:r>
        <w:rPr>
          <w:rFonts w:hint="eastAsia" w:cs="宋体"/>
          <w:bCs/>
        </w:rPr>
        <w:t>提示：</w:t>
      </w:r>
    </w:p>
    <w:p w14:paraId="073D3D4B">
      <w:pPr>
        <w:pStyle w:val="44"/>
        <w:numPr>
          <w:ilvl w:val="0"/>
          <w:numId w:val="78"/>
        </w:numPr>
        <w:ind w:firstLine="480"/>
      </w:pPr>
      <w:r>
        <w:rPr>
          <w:rFonts w:hint="eastAsia"/>
        </w:rPr>
        <w:t>投标供应商应实事求是填写并提供本表，不属于中小企业的可不提供；</w:t>
      </w:r>
    </w:p>
    <w:p w14:paraId="720D1D17">
      <w:pPr>
        <w:pStyle w:val="44"/>
        <w:numPr>
          <w:ilvl w:val="0"/>
          <w:numId w:val="78"/>
        </w:numPr>
        <w:ind w:firstLine="480"/>
      </w:pPr>
      <w:r>
        <w:rPr>
          <w:rFonts w:hint="eastAsia"/>
        </w:rPr>
        <w:t>从业人员、营业收入、资产总额填报上一年度数据，无上一年度数据的新成立企业可不填报；</w:t>
      </w:r>
    </w:p>
    <w:p w14:paraId="08893CA0">
      <w:pPr>
        <w:pStyle w:val="44"/>
        <w:numPr>
          <w:ilvl w:val="0"/>
          <w:numId w:val="78"/>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7"/>
        <w:numPr>
          <w:ilvl w:val="1"/>
          <w:numId w:val="74"/>
        </w:numPr>
        <w:adjustRightInd/>
      </w:pPr>
      <w:bookmarkStart w:id="128" w:name="_Toc19487"/>
      <w:r>
        <w:rPr>
          <w:rFonts w:hint="eastAsia"/>
        </w:rPr>
        <w:t>残疾人福利性单位声明函</w:t>
      </w:r>
      <w:bookmarkEnd w:id="128"/>
    </w:p>
    <w:p w14:paraId="56A647D0">
      <w:pPr>
        <w:pStyle w:val="35"/>
        <w:ind w:firstLine="480"/>
        <w:rPr>
          <w:color w:val="auto"/>
        </w:rPr>
      </w:pPr>
      <w:r>
        <w:rPr>
          <w:rFonts w:hint="eastAsia"/>
        </w:rPr>
        <w:t>本单位郑重声明，根据《财政部 民政部 中国残疾人联合会关于促进残疾人就业政府采购政策的通知</w:t>
      </w:r>
      <w:r>
        <w:rPr>
          <w:rFonts w:hint="eastAsia"/>
          <w:color w:val="auto"/>
        </w:rPr>
        <w:t>》（财库〔2017〕141号）的规定，本单位为符合条件的残疾人福利性单位，且本单位参加</w:t>
      </w:r>
      <w:r>
        <w:rPr>
          <w:rFonts w:hint="eastAsia"/>
          <w:color w:val="auto"/>
          <w:u w:val="single"/>
          <w:lang w:eastAsia="zh-CN"/>
        </w:rPr>
        <w:t>浙江省测绘科学技术研究院</w:t>
      </w:r>
      <w:r>
        <w:rPr>
          <w:rFonts w:hint="eastAsia"/>
          <w:color w:val="auto"/>
        </w:rPr>
        <w:t>单位的</w:t>
      </w:r>
      <w:r>
        <w:rPr>
          <w:rFonts w:hint="eastAsia"/>
          <w:color w:val="auto"/>
          <w:u w:val="single"/>
          <w:lang w:eastAsia="zh-CN"/>
        </w:rPr>
        <w:t>无人机机身及配套设备一切险与第三者责任保险项目（重新招标）</w:t>
      </w:r>
      <w:r>
        <w:rPr>
          <w:rFonts w:hint="eastAsia"/>
          <w:i/>
          <w:iCs/>
          <w:color w:val="auto"/>
          <w:u w:val="single"/>
          <w:lang w:val="en-US" w:eastAsia="zh-Hans"/>
        </w:rPr>
        <w:t>标项序号：…标项名称：…</w:t>
      </w:r>
      <w:r>
        <w:rPr>
          <w:rFonts w:hint="eastAsia"/>
          <w:color w:val="auto"/>
        </w:rPr>
        <w:t>采购活动提供本单位</w:t>
      </w:r>
      <w:r>
        <w:rPr>
          <w:rFonts w:hint="eastAsia"/>
          <w:color w:val="auto"/>
          <w:lang w:val="en-US" w:eastAsia="zh-CN"/>
        </w:rPr>
        <w:t>提供的服务</w:t>
      </w:r>
      <w:r>
        <w:rPr>
          <w:color w:val="auto"/>
        </w:rPr>
        <w:t>，或者提供其他残疾人福利性单位</w:t>
      </w:r>
      <w:r>
        <w:rPr>
          <w:rFonts w:hint="eastAsia"/>
          <w:color w:val="auto"/>
          <w:lang w:val="en-US" w:eastAsia="zh-CN"/>
        </w:rPr>
        <w:t>提供的服务</w:t>
      </w:r>
      <w:r>
        <w:rPr>
          <w:color w:val="auto"/>
        </w:rPr>
        <w:t>（不包括使用非残疾人福利性单位注册商标的货物）</w:t>
      </w:r>
      <w:r>
        <w:rPr>
          <w:rFonts w:hint="eastAsia"/>
          <w:color w:val="auto"/>
        </w:rPr>
        <w:t>。</w:t>
      </w:r>
    </w:p>
    <w:p w14:paraId="5DE7D527">
      <w:pPr>
        <w:pStyle w:val="35"/>
        <w:ind w:firstLine="480"/>
        <w:rPr>
          <w:color w:val="auto"/>
        </w:rPr>
      </w:pPr>
      <w:r>
        <w:rPr>
          <w:rFonts w:hint="eastAsia"/>
          <w:color w:val="auto"/>
        </w:rPr>
        <w:t>本单位对上述声明的真实性负责。如有虚假，将依法承担相应责任。</w:t>
      </w:r>
    </w:p>
    <w:p w14:paraId="127F6694">
      <w:pPr>
        <w:pStyle w:val="35"/>
        <w:ind w:firstLine="480"/>
        <w:rPr>
          <w:color w:val="auto"/>
        </w:rPr>
      </w:pPr>
      <w:r>
        <w:rPr>
          <w:rFonts w:hint="eastAsia"/>
          <w:color w:val="auto"/>
        </w:rPr>
        <w:t xml:space="preserve"> </w:t>
      </w:r>
    </w:p>
    <w:p w14:paraId="665F60E4">
      <w:pPr>
        <w:pStyle w:val="35"/>
        <w:ind w:firstLine="480"/>
        <w:rPr>
          <w:color w:val="auto"/>
        </w:rPr>
      </w:pPr>
      <w:r>
        <w:rPr>
          <w:rFonts w:hint="eastAsia"/>
          <w:color w:val="auto"/>
        </w:rPr>
        <w:t xml:space="preserve"> </w:t>
      </w:r>
    </w:p>
    <w:p w14:paraId="3FD16A92">
      <w:pPr>
        <w:pStyle w:val="35"/>
        <w:ind w:firstLine="48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4C9D750C">
      <w:pPr>
        <w:pStyle w:val="35"/>
        <w:ind w:firstLine="480"/>
        <w:rPr>
          <w:color w:val="auto"/>
        </w:rPr>
      </w:pPr>
      <w:r>
        <w:rPr>
          <w:rFonts w:hint="eastAsia"/>
          <w:color w:val="auto"/>
        </w:rPr>
        <w:t>日期：  年   月   日</w:t>
      </w:r>
    </w:p>
    <w:p w14:paraId="0441E02B">
      <w:pPr>
        <w:pStyle w:val="35"/>
        <w:ind w:firstLine="0" w:firstLineChars="0"/>
        <w:rPr>
          <w:color w:val="auto"/>
        </w:rPr>
      </w:pPr>
    </w:p>
    <w:p w14:paraId="6E6C4C37">
      <w:pPr>
        <w:pStyle w:val="35"/>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6F3BB024">
      <w:pPr>
        <w:widowControl/>
        <w:jc w:val="left"/>
        <w:rPr>
          <w:rFonts w:ascii="黑体" w:hAnsi="黑体" w:eastAsia="黑体" w:cs="黑体"/>
          <w:bCs/>
          <w:color w:val="auto"/>
          <w:sz w:val="32"/>
          <w:szCs w:val="32"/>
          <w:lang w:eastAsia="zh-Hans"/>
        </w:rPr>
      </w:pPr>
      <w:r>
        <w:rPr>
          <w:color w:val="auto"/>
        </w:rPr>
        <w:br w:type="page"/>
      </w:r>
    </w:p>
    <w:bookmarkEnd w:id="118"/>
    <w:p w14:paraId="7383B408">
      <w:pPr>
        <w:pStyle w:val="37"/>
        <w:numPr>
          <w:ilvl w:val="1"/>
          <w:numId w:val="74"/>
        </w:numPr>
        <w:rPr>
          <w:color w:val="auto"/>
          <w:sz w:val="36"/>
          <w:szCs w:val="44"/>
        </w:rPr>
      </w:pPr>
      <w:bookmarkStart w:id="129" w:name="_Toc29467"/>
      <w:r>
        <w:rPr>
          <w:color w:val="auto"/>
        </w:rPr>
        <w:t>商务</w:t>
      </w:r>
      <w:r>
        <w:rPr>
          <w:rFonts w:hint="eastAsia"/>
          <w:color w:val="auto"/>
        </w:rPr>
        <w:t>及</w:t>
      </w:r>
      <w:r>
        <w:rPr>
          <w:color w:val="auto"/>
        </w:rPr>
        <w:t>技术偏离表</w:t>
      </w:r>
      <w:bookmarkEnd w:id="129"/>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5"/>
              <w:ind w:firstLine="0" w:firstLineChars="0"/>
              <w:rPr>
                <w:b/>
                <w:i w:val="0"/>
                <w:color w:val="auto"/>
              </w:rPr>
            </w:pPr>
            <w:r>
              <w:rPr>
                <w:rFonts w:hint="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5"/>
              <w:ind w:firstLine="0" w:firstLineChars="0"/>
              <w:rPr>
                <w:b/>
                <w:i w:val="0"/>
                <w:color w:val="auto"/>
              </w:rPr>
            </w:pPr>
            <w:r>
              <w:rPr>
                <w:rFonts w:hint="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5"/>
              <w:ind w:firstLine="0" w:firstLineChars="0"/>
              <w:rPr>
                <w:b/>
                <w:i w:val="0"/>
                <w:color w:val="auto"/>
              </w:rPr>
            </w:pPr>
            <w:r>
              <w:rPr>
                <w:rFonts w:hint="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5"/>
              <w:ind w:firstLine="0" w:firstLineChars="0"/>
              <w:rPr>
                <w:b/>
                <w:i w:val="0"/>
                <w:color w:val="auto"/>
              </w:rPr>
            </w:pPr>
            <w:r>
              <w:rPr>
                <w:rFonts w:hint="eastAsia"/>
                <w:b/>
                <w:i w:val="0"/>
                <w:color w:val="auto"/>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5"/>
              <w:ind w:firstLine="0" w:firstLineChars="0"/>
              <w:rPr>
                <w:color w:val="auto"/>
                <w:kern w:val="0"/>
              </w:rPr>
            </w:pPr>
            <w:r>
              <w:rPr>
                <w:rFonts w:hint="eastAsia"/>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5"/>
              <w:ind w:firstLine="0" w:firstLineChars="0"/>
              <w:rPr>
                <w:b/>
                <w:color w:val="auto"/>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5"/>
              <w:ind w:firstLine="0" w:firstLineChars="0"/>
              <w:rPr>
                <w:color w:val="auto"/>
                <w:kern w:val="0"/>
              </w:rPr>
            </w:pPr>
            <w:r>
              <w:rPr>
                <w:rFonts w:hint="eastAsia"/>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5"/>
              <w:ind w:firstLine="0" w:firstLineChars="0"/>
              <w:rPr>
                <w:b/>
                <w:color w:val="auto"/>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5"/>
              <w:ind w:firstLine="0" w:firstLineChars="0"/>
              <w:rPr>
                <w:color w:val="auto"/>
                <w:kern w:val="0"/>
              </w:rPr>
            </w:pPr>
            <w:r>
              <w:rPr>
                <w:rFonts w:hint="eastAsia"/>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5"/>
              <w:ind w:firstLine="0" w:firstLineChars="0"/>
              <w:rPr>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5"/>
              <w:ind w:firstLine="0" w:firstLineChars="0"/>
              <w:rPr>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5"/>
              <w:ind w:firstLine="0" w:firstLineChars="0"/>
              <w:rPr>
                <w:b/>
                <w:color w:val="auto"/>
                <w:kern w:val="0"/>
                <w:sz w:val="32"/>
                <w:szCs w:val="32"/>
              </w:rPr>
            </w:pPr>
          </w:p>
        </w:tc>
      </w:tr>
    </w:tbl>
    <w:p w14:paraId="01EF666B">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6FDBE055">
      <w:pPr>
        <w:pStyle w:val="35"/>
        <w:ind w:firstLine="0" w:firstLineChars="0"/>
        <w:rPr>
          <w:color w:val="auto"/>
        </w:rPr>
      </w:pPr>
    </w:p>
    <w:p w14:paraId="11459E77">
      <w:pPr>
        <w:pStyle w:val="35"/>
        <w:ind w:firstLine="0" w:firstLineChars="0"/>
        <w:rPr>
          <w:color w:val="auto"/>
        </w:rPr>
      </w:pPr>
    </w:p>
    <w:p w14:paraId="62F83637">
      <w:pPr>
        <w:pStyle w:val="35"/>
        <w:ind w:firstLine="0" w:firstLineChars="0"/>
        <w:rPr>
          <w:color w:val="auto"/>
          <w:lang w:eastAsia="zh-CN"/>
        </w:rPr>
      </w:pPr>
    </w:p>
    <w:p w14:paraId="64396712">
      <w:pPr>
        <w:pStyle w:val="35"/>
        <w:ind w:firstLine="0" w:firstLineChars="0"/>
        <w:rPr>
          <w:color w:val="auto"/>
        </w:rPr>
      </w:pPr>
    </w:p>
    <w:p w14:paraId="79088E53">
      <w:pPr>
        <w:pStyle w:val="35"/>
        <w:ind w:firstLine="0" w:firstLineChars="0"/>
        <w:rPr>
          <w:color w:val="auto"/>
        </w:rPr>
      </w:pPr>
    </w:p>
    <w:p w14:paraId="5CDA8D22">
      <w:pPr>
        <w:pStyle w:val="35"/>
        <w:ind w:firstLine="0" w:firstLineChars="0"/>
        <w:rPr>
          <w:color w:val="auto"/>
        </w:rPr>
      </w:pPr>
      <w:r>
        <w:rPr>
          <w:rFonts w:hint="eastAsia"/>
          <w:color w:val="auto"/>
        </w:rPr>
        <w:t>投标人名称（</w:t>
      </w:r>
      <w:r>
        <w:rPr>
          <w:rFonts w:hint="eastAsia"/>
          <w:color w:val="auto"/>
          <w:sz w:val="24"/>
          <w:szCs w:val="24"/>
        </w:rPr>
        <w:t>电子签</w:t>
      </w:r>
      <w:r>
        <w:rPr>
          <w:rFonts w:hint="eastAsia"/>
          <w:color w:val="auto"/>
          <w:sz w:val="24"/>
          <w:szCs w:val="24"/>
          <w:lang w:eastAsia="zh-CN"/>
        </w:rPr>
        <w:t>章</w:t>
      </w:r>
      <w:r>
        <w:rPr>
          <w:rFonts w:hint="eastAsia"/>
          <w:color w:val="auto"/>
          <w:sz w:val="24"/>
          <w:szCs w:val="24"/>
        </w:rPr>
        <w:t>/公章</w:t>
      </w:r>
      <w:r>
        <w:rPr>
          <w:rFonts w:hint="eastAsia"/>
          <w:color w:val="auto"/>
        </w:rPr>
        <w:t xml:space="preserve">）：                                                                                                                                                                                                               </w:t>
      </w:r>
    </w:p>
    <w:p w14:paraId="22D64770">
      <w:pPr>
        <w:pStyle w:val="35"/>
        <w:ind w:firstLine="0" w:firstLineChars="0"/>
        <w:rPr>
          <w:color w:val="auto"/>
        </w:rPr>
      </w:pPr>
    </w:p>
    <w:p w14:paraId="1CAB525A">
      <w:pPr>
        <w:pStyle w:val="35"/>
        <w:ind w:firstLine="0" w:firstLineChars="0"/>
        <w:rPr>
          <w:color w:val="auto"/>
        </w:rPr>
      </w:pPr>
      <w:r>
        <w:rPr>
          <w:rFonts w:hint="eastAsia"/>
          <w:color w:val="auto"/>
        </w:rPr>
        <w:t>日期：   年   月   日</w:t>
      </w:r>
    </w:p>
    <w:p w14:paraId="7C3E8779">
      <w:pPr>
        <w:pStyle w:val="35"/>
        <w:ind w:firstLine="0" w:firstLineChars="0"/>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946884916"/>
    </w:sdtPr>
    <w:sdtEndPr>
      <w:rPr>
        <w:rStyle w:val="29"/>
      </w:rPr>
    </w:sdtEndPr>
    <w:sdtContent>
      <w:p w14:paraId="16C7309D">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
    </w:sdtPr>
    <w:sdtEndPr>
      <w:rPr>
        <w:rStyle w:val="29"/>
      </w:rPr>
    </w:sdtEndPr>
    <w:sdtContent>
      <w:p w14:paraId="34EDFC23">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sdt>
    <w:sdtPr>
      <w:rPr>
        <w:rStyle w:val="29"/>
      </w:rPr>
      <w:id w:val="1796788937"/>
    </w:sdtPr>
    <w:sdtEndPr>
      <w:rPr>
        <w:rStyle w:val="29"/>
      </w:rPr>
    </w:sdtEndPr>
    <w:sdtContent>
      <w:p w14:paraId="6DEDD08E">
        <w:pPr>
          <w:pStyle w:val="18"/>
          <w:framePr w:wrap="auto" w:vAnchor="text" w:hAnchor="margin" w:xAlign="center" w:y="1"/>
          <w:ind w:firstLine="360"/>
          <w:rPr>
            <w:rStyle w:val="29"/>
          </w:rPr>
        </w:pPr>
        <w:r>
          <w:rPr>
            <w:rStyle w:val="29"/>
          </w:rPr>
          <w:fldChar w:fldCharType="begin"/>
        </w:r>
        <w:r>
          <w:rPr>
            <w:rStyle w:val="29"/>
          </w:rPr>
          <w:instrText xml:space="preserve"> PAGE </w:instrText>
        </w:r>
        <w:r>
          <w:rPr>
            <w:rStyle w:val="29"/>
          </w:rPr>
          <w:fldChar w:fldCharType="end"/>
        </w:r>
      </w:p>
    </w:sdtContent>
  </w:sdt>
  <w:p w14:paraId="20621407">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rPr>
      <w:id w:val="1174761748"/>
    </w:sdtPr>
    <w:sdtEndPr>
      <w:rPr>
        <w:rStyle w:val="29"/>
        <w:sz w:val="24"/>
        <w:szCs w:val="24"/>
      </w:rPr>
    </w:sdtEndPr>
    <w:sdtContent>
      <w:p w14:paraId="309C0B4D">
        <w:pPr>
          <w:pStyle w:val="18"/>
          <w:framePr w:wrap="auto" w:vAnchor="text" w:hAnchor="margin" w:xAlign="center" w:y="1"/>
          <w:ind w:firstLine="360"/>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I</w:t>
        </w:r>
        <w:r>
          <w:rPr>
            <w:rStyle w:val="29"/>
            <w:sz w:val="24"/>
            <w:szCs w:val="24"/>
          </w:rPr>
          <w:fldChar w:fldCharType="end"/>
        </w:r>
      </w:p>
    </w:sdtContent>
  </w:sdt>
  <w:p w14:paraId="7905CDA7">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9"/>
        <w:sz w:val="24"/>
        <w:szCs w:val="24"/>
      </w:rPr>
      <w:id w:val="73878355"/>
    </w:sdtPr>
    <w:sdtEndPr>
      <w:rPr>
        <w:rStyle w:val="29"/>
        <w:sz w:val="24"/>
        <w:szCs w:val="24"/>
      </w:rPr>
    </w:sdtEndPr>
    <w:sdtContent>
      <w:p w14:paraId="5B8B96B4">
        <w:pPr>
          <w:pStyle w:val="18"/>
          <w:framePr w:wrap="auto" w:vAnchor="text" w:hAnchor="margin" w:xAlign="center" w:y="1"/>
          <w:rPr>
            <w:rStyle w:val="29"/>
            <w:sz w:val="24"/>
            <w:szCs w:val="24"/>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p w14:paraId="1CB274E6">
    <w:pPr>
      <w:pStyle w:val="18"/>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lang w:eastAsia="zh-CN"/>
      </w:rPr>
      <w:t>浙江省测绘科学技术研究院</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eastAsia="zh-CN"/>
      </w:rPr>
      <w:t>无人机机身及配套设备一切险与第三者责任保险项目（重新招标）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4"/>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BFEF08E0"/>
    <w:multiLevelType w:val="singleLevel"/>
    <w:tmpl w:val="BFEF08E0"/>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E5424C97"/>
    <w:multiLevelType w:val="singleLevel"/>
    <w:tmpl w:val="E5424C97"/>
    <w:lvl w:ilvl="0" w:tentative="0">
      <w:start w:val="2"/>
      <w:numFmt w:val="decimal"/>
      <w:suff w:val="nothing"/>
      <w:lvlText w:val="%1、"/>
      <w:lvlJc w:val="left"/>
    </w:lvl>
  </w:abstractNum>
  <w:abstractNum w:abstractNumId="5">
    <w:nsid w:val="F7BC88F7"/>
    <w:multiLevelType w:val="singleLevel"/>
    <w:tmpl w:val="F7BC88F7"/>
    <w:lvl w:ilvl="0" w:tentative="0">
      <w:start w:val="1"/>
      <w:numFmt w:val="decimal"/>
      <w:pStyle w:val="43"/>
      <w:lvlText w:val="（%1）"/>
      <w:lvlJc w:val="left"/>
      <w:pPr>
        <w:ind w:left="0" w:firstLine="0"/>
      </w:pPr>
      <w:rPr>
        <w:rFonts w:hint="eastAsia" w:ascii="宋体" w:hAnsi="宋体" w:eastAsia="宋体"/>
        <w:sz w:val="24"/>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0">
    <w:nsid w:val="27469018"/>
    <w:multiLevelType w:val="singleLevel"/>
    <w:tmpl w:val="27469018"/>
    <w:lvl w:ilvl="0" w:tentative="0">
      <w:start w:val="1"/>
      <w:numFmt w:val="decimal"/>
      <w:suff w:val="nothing"/>
      <w:lvlText w:val="（%1）"/>
      <w:lvlJc w:val="left"/>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7"/>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4"/>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3"/>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70135676"/>
    <w:multiLevelType w:val="multilevel"/>
    <w:tmpl w:val="70135676"/>
    <w:lvl w:ilvl="0" w:tentative="0">
      <w:start w:val="1"/>
      <w:numFmt w:val="bullet"/>
      <w:pStyle w:val="45"/>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D336440"/>
    <w:multiLevelType w:val="multilevel"/>
    <w:tmpl w:val="7D336440"/>
    <w:lvl w:ilvl="0" w:tentative="0">
      <w:start w:val="1"/>
      <w:numFmt w:val="decimal"/>
      <w:lvlText w:val="%1"/>
      <w:lvlJc w:val="left"/>
      <w:pPr>
        <w:tabs>
          <w:tab w:val="left" w:pos="390"/>
        </w:tabs>
        <w:ind w:left="390" w:hanging="390"/>
      </w:pPr>
      <w:rPr>
        <w:rFonts w:hint="default"/>
      </w:rPr>
    </w:lvl>
    <w:lvl w:ilvl="1" w:tentative="0">
      <w:start w:val="1"/>
      <w:numFmt w:val="decimal"/>
      <w:lvlText w:val="%1.%2"/>
      <w:lvlJc w:val="left"/>
      <w:pPr>
        <w:tabs>
          <w:tab w:val="left" w:pos="390"/>
        </w:tabs>
        <w:ind w:left="390" w:hanging="390"/>
      </w:pPr>
      <w:rPr>
        <w:rFonts w:hint="default"/>
      </w:rPr>
    </w:lvl>
    <w:lvl w:ilvl="2" w:tentative="0">
      <w:start w:val="1"/>
      <w:numFmt w:val="decimal"/>
      <w:pStyle w:val="93"/>
      <w:lvlText w:val="%1.%2.%3"/>
      <w:lvlJc w:val="left"/>
      <w:pPr>
        <w:tabs>
          <w:tab w:val="left" w:pos="5541"/>
        </w:tabs>
        <w:ind w:left="5541" w:hanging="720"/>
      </w:pPr>
      <w:rPr>
        <w:rFonts w:hint="default"/>
        <w:b/>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8"/>
  </w:num>
  <w:num w:numId="2">
    <w:abstractNumId w:val="12"/>
  </w:num>
  <w:num w:numId="3">
    <w:abstractNumId w:val="3"/>
  </w:num>
  <w:num w:numId="4">
    <w:abstractNumId w:val="5"/>
  </w:num>
  <w:num w:numId="5">
    <w:abstractNumId w:val="0"/>
  </w:num>
  <w:num w:numId="6">
    <w:abstractNumId w:val="13"/>
  </w:num>
  <w:num w:numId="7">
    <w:abstractNumId w:val="14"/>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0"/>
    <w:lvlOverride w:ilvl="0">
      <w:startOverride w:val="1"/>
    </w:lvlOverride>
  </w:num>
  <w:num w:numId="14">
    <w:abstractNumId w:val="5"/>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0"/>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0"/>
    <w:lvlOverride w:ilvl="0">
      <w:startOverride w:val="1"/>
    </w:lvlOverride>
  </w:num>
  <w:num w:numId="47">
    <w:abstractNumId w:val="5"/>
    <w:lvlOverride w:ilvl="0">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7"/>
  </w:num>
  <w:num w:numId="51">
    <w:abstractNumId w:val="9"/>
  </w:num>
  <w:num w:numId="52">
    <w:abstractNumId w:val="2"/>
  </w:num>
  <w:num w:numId="53">
    <w:abstractNumId w:val="10"/>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num>
  <w:num w:numId="56">
    <w:abstractNumId w:val="5"/>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5"/>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0"/>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num>
  <w:num w:numId="71">
    <w:abstractNumId w:val="5"/>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11"/>
  </w:num>
  <w:num w:numId="75">
    <w:abstractNumId w:val="5"/>
    <w:lvlOverride w:ilvl="0">
      <w:startOverride w:val="1"/>
    </w:lvlOverride>
  </w:num>
  <w:num w:numId="76">
    <w:abstractNumId w:val="1"/>
  </w:num>
  <w:num w:numId="77">
    <w:abstractNumId w:val="6"/>
  </w:num>
  <w:num w:numId="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uTlzrXGbpLU262T8jzSUr0arf/w=" w:salt="OvG4ljote8DzQHugmEvde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5202CEB"/>
    <w:rsid w:val="05877229"/>
    <w:rsid w:val="069A0762"/>
    <w:rsid w:val="072F516A"/>
    <w:rsid w:val="0796D3FB"/>
    <w:rsid w:val="07FF854F"/>
    <w:rsid w:val="08E63DDF"/>
    <w:rsid w:val="09630EDC"/>
    <w:rsid w:val="0BEBB73D"/>
    <w:rsid w:val="0F77674C"/>
    <w:rsid w:val="10B30788"/>
    <w:rsid w:val="126F2BF2"/>
    <w:rsid w:val="146EB26D"/>
    <w:rsid w:val="17BB1B1D"/>
    <w:rsid w:val="183A304A"/>
    <w:rsid w:val="19FC4C6F"/>
    <w:rsid w:val="1B1E590D"/>
    <w:rsid w:val="1B4A4086"/>
    <w:rsid w:val="1B9ECD7E"/>
    <w:rsid w:val="1D6BC6DA"/>
    <w:rsid w:val="1D7BF350"/>
    <w:rsid w:val="1E764C06"/>
    <w:rsid w:val="1EE3B8A4"/>
    <w:rsid w:val="1F953961"/>
    <w:rsid w:val="1FDE9620"/>
    <w:rsid w:val="221D3307"/>
    <w:rsid w:val="231D1CA3"/>
    <w:rsid w:val="24EC0600"/>
    <w:rsid w:val="27FDD23F"/>
    <w:rsid w:val="27FEC50A"/>
    <w:rsid w:val="290731DA"/>
    <w:rsid w:val="2AE24EA4"/>
    <w:rsid w:val="2CFF5B0A"/>
    <w:rsid w:val="2CFF951F"/>
    <w:rsid w:val="2EDE9B0B"/>
    <w:rsid w:val="2EFC4063"/>
    <w:rsid w:val="2F8D8B6B"/>
    <w:rsid w:val="2F9A551E"/>
    <w:rsid w:val="327F21CD"/>
    <w:rsid w:val="32957AA8"/>
    <w:rsid w:val="32A80696"/>
    <w:rsid w:val="343FBDFC"/>
    <w:rsid w:val="3476341C"/>
    <w:rsid w:val="35F7BBBF"/>
    <w:rsid w:val="37A4253C"/>
    <w:rsid w:val="37F53F17"/>
    <w:rsid w:val="380102BF"/>
    <w:rsid w:val="39C7A863"/>
    <w:rsid w:val="39E734D3"/>
    <w:rsid w:val="3A77CAB5"/>
    <w:rsid w:val="3B4F5990"/>
    <w:rsid w:val="3BB347E9"/>
    <w:rsid w:val="3BDB0304"/>
    <w:rsid w:val="3BFE0614"/>
    <w:rsid w:val="3CB5C02A"/>
    <w:rsid w:val="3CBED392"/>
    <w:rsid w:val="3CFF71C5"/>
    <w:rsid w:val="3D3FE990"/>
    <w:rsid w:val="3DF96DFA"/>
    <w:rsid w:val="3DFF96C4"/>
    <w:rsid w:val="3DFFB5C3"/>
    <w:rsid w:val="3E7F1016"/>
    <w:rsid w:val="3ECE1E48"/>
    <w:rsid w:val="3F2F42E2"/>
    <w:rsid w:val="3F5B7E1E"/>
    <w:rsid w:val="3F7FFECC"/>
    <w:rsid w:val="3FB5AC1B"/>
    <w:rsid w:val="3FBD7177"/>
    <w:rsid w:val="3FC79D77"/>
    <w:rsid w:val="3FEEC14F"/>
    <w:rsid w:val="3FFBC6F9"/>
    <w:rsid w:val="3FFEB24E"/>
    <w:rsid w:val="3FFF167F"/>
    <w:rsid w:val="3FFF9203"/>
    <w:rsid w:val="43E16670"/>
    <w:rsid w:val="442806D7"/>
    <w:rsid w:val="47B74BD0"/>
    <w:rsid w:val="47E77020"/>
    <w:rsid w:val="47EF2FF8"/>
    <w:rsid w:val="4815C42B"/>
    <w:rsid w:val="4AFF5D99"/>
    <w:rsid w:val="4B5FBB05"/>
    <w:rsid w:val="4BEFB432"/>
    <w:rsid w:val="4C800A2A"/>
    <w:rsid w:val="4CD76B64"/>
    <w:rsid w:val="4D337DBA"/>
    <w:rsid w:val="4D9B21EA"/>
    <w:rsid w:val="4DA649B2"/>
    <w:rsid w:val="4EBFDDAC"/>
    <w:rsid w:val="4F9D18F3"/>
    <w:rsid w:val="4FD73BDD"/>
    <w:rsid w:val="4FDF906D"/>
    <w:rsid w:val="4FFA360A"/>
    <w:rsid w:val="4FFB19E6"/>
    <w:rsid w:val="50745726"/>
    <w:rsid w:val="512E4EF8"/>
    <w:rsid w:val="51530875"/>
    <w:rsid w:val="51BFB8B8"/>
    <w:rsid w:val="526D7CA2"/>
    <w:rsid w:val="537FCE90"/>
    <w:rsid w:val="53FF43C0"/>
    <w:rsid w:val="553AE2E5"/>
    <w:rsid w:val="56974B04"/>
    <w:rsid w:val="56CD35B2"/>
    <w:rsid w:val="57BD5274"/>
    <w:rsid w:val="5943350B"/>
    <w:rsid w:val="59F94692"/>
    <w:rsid w:val="5AE4C5ED"/>
    <w:rsid w:val="5AFF017B"/>
    <w:rsid w:val="5BB7B9E7"/>
    <w:rsid w:val="5BEF6AB8"/>
    <w:rsid w:val="5CEDC3D3"/>
    <w:rsid w:val="5D9741B7"/>
    <w:rsid w:val="5DAEA7C8"/>
    <w:rsid w:val="5DF4B05B"/>
    <w:rsid w:val="5F1DD9AE"/>
    <w:rsid w:val="5F342895"/>
    <w:rsid w:val="5F3F081B"/>
    <w:rsid w:val="5F7F97C6"/>
    <w:rsid w:val="5FAD1355"/>
    <w:rsid w:val="5FBF9A3E"/>
    <w:rsid w:val="5FDE3172"/>
    <w:rsid w:val="5FDFC41D"/>
    <w:rsid w:val="5FDFFC9F"/>
    <w:rsid w:val="5FE79FDF"/>
    <w:rsid w:val="5FE7AF0C"/>
    <w:rsid w:val="5FEE6F22"/>
    <w:rsid w:val="5FF33F52"/>
    <w:rsid w:val="5FFA5473"/>
    <w:rsid w:val="5FFBA56E"/>
    <w:rsid w:val="5FFF036A"/>
    <w:rsid w:val="5FFFE3C3"/>
    <w:rsid w:val="604A1623"/>
    <w:rsid w:val="61B7013F"/>
    <w:rsid w:val="62774225"/>
    <w:rsid w:val="62BFA792"/>
    <w:rsid w:val="62FCAC37"/>
    <w:rsid w:val="6384309D"/>
    <w:rsid w:val="63F149E0"/>
    <w:rsid w:val="65DF1649"/>
    <w:rsid w:val="672C2A90"/>
    <w:rsid w:val="67941A15"/>
    <w:rsid w:val="67DE2109"/>
    <w:rsid w:val="67EF3138"/>
    <w:rsid w:val="67F72090"/>
    <w:rsid w:val="67FD3E90"/>
    <w:rsid w:val="697EF400"/>
    <w:rsid w:val="6B6B6D01"/>
    <w:rsid w:val="6B9ABF87"/>
    <w:rsid w:val="6BFBA3FD"/>
    <w:rsid w:val="6C847C6A"/>
    <w:rsid w:val="6CF87521"/>
    <w:rsid w:val="6D3D887E"/>
    <w:rsid w:val="6DEF229A"/>
    <w:rsid w:val="6DF6A74B"/>
    <w:rsid w:val="6DFCB159"/>
    <w:rsid w:val="6E5B64D3"/>
    <w:rsid w:val="6E778CB3"/>
    <w:rsid w:val="6EFCAADA"/>
    <w:rsid w:val="6F2319BD"/>
    <w:rsid w:val="6F4C5A5A"/>
    <w:rsid w:val="6F8E7013"/>
    <w:rsid w:val="6FAFB84E"/>
    <w:rsid w:val="6FBD116D"/>
    <w:rsid w:val="6FBE3B17"/>
    <w:rsid w:val="6FBFCF91"/>
    <w:rsid w:val="6FCF54C7"/>
    <w:rsid w:val="6FD390A0"/>
    <w:rsid w:val="6FDB13D9"/>
    <w:rsid w:val="6FE5EF43"/>
    <w:rsid w:val="6FFB4DBA"/>
    <w:rsid w:val="6FFFA2D3"/>
    <w:rsid w:val="6FFFE22A"/>
    <w:rsid w:val="709F18D4"/>
    <w:rsid w:val="71300254"/>
    <w:rsid w:val="71FF0800"/>
    <w:rsid w:val="723700F2"/>
    <w:rsid w:val="723F2406"/>
    <w:rsid w:val="72A9667D"/>
    <w:rsid w:val="735BF0D6"/>
    <w:rsid w:val="73795419"/>
    <w:rsid w:val="73A27AEC"/>
    <w:rsid w:val="73BAE62B"/>
    <w:rsid w:val="73D980D6"/>
    <w:rsid w:val="73DE35DD"/>
    <w:rsid w:val="73DF2463"/>
    <w:rsid w:val="73F90F3E"/>
    <w:rsid w:val="75D7C189"/>
    <w:rsid w:val="75ED4E7F"/>
    <w:rsid w:val="76424E1E"/>
    <w:rsid w:val="766FDE46"/>
    <w:rsid w:val="76DF7738"/>
    <w:rsid w:val="76EFAB40"/>
    <w:rsid w:val="7756DB3F"/>
    <w:rsid w:val="77B8F39F"/>
    <w:rsid w:val="77BD3BF9"/>
    <w:rsid w:val="77BDF20E"/>
    <w:rsid w:val="77BF40F4"/>
    <w:rsid w:val="77D38E54"/>
    <w:rsid w:val="77DACF8E"/>
    <w:rsid w:val="77DFCE77"/>
    <w:rsid w:val="77E77C3E"/>
    <w:rsid w:val="77ED0B87"/>
    <w:rsid w:val="77EF5A0D"/>
    <w:rsid w:val="77F8FC6F"/>
    <w:rsid w:val="77FB8CA4"/>
    <w:rsid w:val="77FE0D68"/>
    <w:rsid w:val="77FF5330"/>
    <w:rsid w:val="77FF967F"/>
    <w:rsid w:val="783B66FD"/>
    <w:rsid w:val="79579149"/>
    <w:rsid w:val="79824F57"/>
    <w:rsid w:val="799BC22A"/>
    <w:rsid w:val="79AF9382"/>
    <w:rsid w:val="79E13B51"/>
    <w:rsid w:val="79EFF248"/>
    <w:rsid w:val="7B6EF84B"/>
    <w:rsid w:val="7B6FD08A"/>
    <w:rsid w:val="7B75923D"/>
    <w:rsid w:val="7B9F7BD3"/>
    <w:rsid w:val="7BBFBB09"/>
    <w:rsid w:val="7BED7A96"/>
    <w:rsid w:val="7BEF461D"/>
    <w:rsid w:val="7BEFFFDD"/>
    <w:rsid w:val="7BF7888A"/>
    <w:rsid w:val="7CBE0B6D"/>
    <w:rsid w:val="7CFA2B51"/>
    <w:rsid w:val="7D2363DD"/>
    <w:rsid w:val="7D7E866D"/>
    <w:rsid w:val="7D7F5B00"/>
    <w:rsid w:val="7D7F5F73"/>
    <w:rsid w:val="7DBD9416"/>
    <w:rsid w:val="7DED4D94"/>
    <w:rsid w:val="7DED514F"/>
    <w:rsid w:val="7DEF14A1"/>
    <w:rsid w:val="7DEF709D"/>
    <w:rsid w:val="7DFB2274"/>
    <w:rsid w:val="7DFB2E2F"/>
    <w:rsid w:val="7DFEA12B"/>
    <w:rsid w:val="7DFF57E7"/>
    <w:rsid w:val="7E3B5F9D"/>
    <w:rsid w:val="7E3D4CF4"/>
    <w:rsid w:val="7E47A669"/>
    <w:rsid w:val="7E7DA57B"/>
    <w:rsid w:val="7E7FCB42"/>
    <w:rsid w:val="7E931BEB"/>
    <w:rsid w:val="7EB2FEE9"/>
    <w:rsid w:val="7ECF43A1"/>
    <w:rsid w:val="7EDED22B"/>
    <w:rsid w:val="7EEFF3D8"/>
    <w:rsid w:val="7EF509DB"/>
    <w:rsid w:val="7EFA846E"/>
    <w:rsid w:val="7EFB7483"/>
    <w:rsid w:val="7EFC4EB4"/>
    <w:rsid w:val="7EFF13A8"/>
    <w:rsid w:val="7EFFBE46"/>
    <w:rsid w:val="7F26002B"/>
    <w:rsid w:val="7F3EC118"/>
    <w:rsid w:val="7F3FFA65"/>
    <w:rsid w:val="7F43EC2D"/>
    <w:rsid w:val="7F577C2B"/>
    <w:rsid w:val="7F6FADFF"/>
    <w:rsid w:val="7F7FBC32"/>
    <w:rsid w:val="7F8B6CC2"/>
    <w:rsid w:val="7F9DEE33"/>
    <w:rsid w:val="7FADCB74"/>
    <w:rsid w:val="7FB5C0A0"/>
    <w:rsid w:val="7FBF4DFA"/>
    <w:rsid w:val="7FBFE62C"/>
    <w:rsid w:val="7FCF8D05"/>
    <w:rsid w:val="7FDDFE87"/>
    <w:rsid w:val="7FDE1BCD"/>
    <w:rsid w:val="7FDF2FEB"/>
    <w:rsid w:val="7FDFBE82"/>
    <w:rsid w:val="7FE40C60"/>
    <w:rsid w:val="7FE70695"/>
    <w:rsid w:val="7FE90E8C"/>
    <w:rsid w:val="7FE91AAD"/>
    <w:rsid w:val="7FEF6E20"/>
    <w:rsid w:val="7FF3D3A2"/>
    <w:rsid w:val="7FF70807"/>
    <w:rsid w:val="7FF8938E"/>
    <w:rsid w:val="7FFABEA4"/>
    <w:rsid w:val="7FFBEB5A"/>
    <w:rsid w:val="7FFDB050"/>
    <w:rsid w:val="7FFE17A1"/>
    <w:rsid w:val="7FFFC32B"/>
    <w:rsid w:val="8AFFE2D3"/>
    <w:rsid w:val="8B6F2F59"/>
    <w:rsid w:val="8DEB351F"/>
    <w:rsid w:val="8DEFD472"/>
    <w:rsid w:val="8F6F3630"/>
    <w:rsid w:val="97EFC523"/>
    <w:rsid w:val="9B7B6C10"/>
    <w:rsid w:val="9BBE348B"/>
    <w:rsid w:val="9DF72364"/>
    <w:rsid w:val="9EBD9FC2"/>
    <w:rsid w:val="9EDFFCE3"/>
    <w:rsid w:val="9EE7F689"/>
    <w:rsid w:val="9FDA1A5C"/>
    <w:rsid w:val="9FDFE765"/>
    <w:rsid w:val="A35E25E8"/>
    <w:rsid w:val="A5C5B003"/>
    <w:rsid w:val="A9DBFF0C"/>
    <w:rsid w:val="A9EFEE5B"/>
    <w:rsid w:val="AAE05086"/>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962ECA2"/>
    <w:rsid w:val="BB2F6893"/>
    <w:rsid w:val="BB3CC977"/>
    <w:rsid w:val="BB77706F"/>
    <w:rsid w:val="BBBD60E6"/>
    <w:rsid w:val="BBFBF7EB"/>
    <w:rsid w:val="BC8F0635"/>
    <w:rsid w:val="BCEB7A00"/>
    <w:rsid w:val="BD7B6342"/>
    <w:rsid w:val="BDE76AD4"/>
    <w:rsid w:val="BDFE3C48"/>
    <w:rsid w:val="BE5F6750"/>
    <w:rsid w:val="BE9F1DC5"/>
    <w:rsid w:val="BEBA5523"/>
    <w:rsid w:val="BEDD19AD"/>
    <w:rsid w:val="BEEFCC92"/>
    <w:rsid w:val="BEF374CE"/>
    <w:rsid w:val="BF06342A"/>
    <w:rsid w:val="BF6DDE3D"/>
    <w:rsid w:val="BF7B0F3A"/>
    <w:rsid w:val="BFBBA44C"/>
    <w:rsid w:val="BFBE6C91"/>
    <w:rsid w:val="BFC3C852"/>
    <w:rsid w:val="BFD2B89E"/>
    <w:rsid w:val="BFE36D67"/>
    <w:rsid w:val="BFE6F22D"/>
    <w:rsid w:val="BFEFA8BB"/>
    <w:rsid w:val="BFF7D7E0"/>
    <w:rsid w:val="C5B62DEE"/>
    <w:rsid w:val="CDFF3E09"/>
    <w:rsid w:val="CF6F87F0"/>
    <w:rsid w:val="CF7F0451"/>
    <w:rsid w:val="CFEFCD2F"/>
    <w:rsid w:val="CFF52798"/>
    <w:rsid w:val="CFF7E35C"/>
    <w:rsid w:val="CFFF2B7E"/>
    <w:rsid w:val="D17583D7"/>
    <w:rsid w:val="D43F3EC4"/>
    <w:rsid w:val="D47F540F"/>
    <w:rsid w:val="D6BB27EF"/>
    <w:rsid w:val="D6DEDCDE"/>
    <w:rsid w:val="D6EF82AE"/>
    <w:rsid w:val="D6FF32F1"/>
    <w:rsid w:val="D72D25C4"/>
    <w:rsid w:val="D77D5A1E"/>
    <w:rsid w:val="D7973BD3"/>
    <w:rsid w:val="D7AC757A"/>
    <w:rsid w:val="D7CB05DB"/>
    <w:rsid w:val="D96379D6"/>
    <w:rsid w:val="D9CF8920"/>
    <w:rsid w:val="D9FDAE32"/>
    <w:rsid w:val="DBAFFE71"/>
    <w:rsid w:val="DBDBC196"/>
    <w:rsid w:val="DBFB3D52"/>
    <w:rsid w:val="DCAF77F6"/>
    <w:rsid w:val="DDB6AB8C"/>
    <w:rsid w:val="DDD911CC"/>
    <w:rsid w:val="DDEB0D6E"/>
    <w:rsid w:val="DDF2ADF4"/>
    <w:rsid w:val="DDFA9635"/>
    <w:rsid w:val="DDFF1FE3"/>
    <w:rsid w:val="DE9F5E86"/>
    <w:rsid w:val="DED3E22C"/>
    <w:rsid w:val="DEEFEC93"/>
    <w:rsid w:val="DF3F4111"/>
    <w:rsid w:val="DF3F546D"/>
    <w:rsid w:val="DF7D0533"/>
    <w:rsid w:val="DF7FDCDF"/>
    <w:rsid w:val="DFDC03CE"/>
    <w:rsid w:val="DFDEC520"/>
    <w:rsid w:val="DFDFE5A4"/>
    <w:rsid w:val="DFEDD676"/>
    <w:rsid w:val="DFEE79CE"/>
    <w:rsid w:val="DFEEB31E"/>
    <w:rsid w:val="DFEFEC13"/>
    <w:rsid w:val="DFF7CC15"/>
    <w:rsid w:val="DFFBF7FC"/>
    <w:rsid w:val="DFFC161D"/>
    <w:rsid w:val="DFFF41DC"/>
    <w:rsid w:val="DFFFC173"/>
    <w:rsid w:val="E5AF69DE"/>
    <w:rsid w:val="E5DB6448"/>
    <w:rsid w:val="E715ED36"/>
    <w:rsid w:val="E736CA49"/>
    <w:rsid w:val="E7A7F51E"/>
    <w:rsid w:val="E7FF28F4"/>
    <w:rsid w:val="E9EA9673"/>
    <w:rsid w:val="E9FF5500"/>
    <w:rsid w:val="EAD57D07"/>
    <w:rsid w:val="EAECEFA2"/>
    <w:rsid w:val="EBA60636"/>
    <w:rsid w:val="EBE79659"/>
    <w:rsid w:val="EBF717CA"/>
    <w:rsid w:val="EBFB4D41"/>
    <w:rsid w:val="EBFD7C59"/>
    <w:rsid w:val="ED3F9145"/>
    <w:rsid w:val="EDFF6A31"/>
    <w:rsid w:val="EEDAF36E"/>
    <w:rsid w:val="EF4DF637"/>
    <w:rsid w:val="EF698D25"/>
    <w:rsid w:val="EF77DFCF"/>
    <w:rsid w:val="EFAEFCD8"/>
    <w:rsid w:val="EFBF225F"/>
    <w:rsid w:val="EFC37A10"/>
    <w:rsid w:val="EFF451D6"/>
    <w:rsid w:val="EFFB11AA"/>
    <w:rsid w:val="EFFEF376"/>
    <w:rsid w:val="EFFF9CE5"/>
    <w:rsid w:val="EFFFD76F"/>
    <w:rsid w:val="F1FD0717"/>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4DC951"/>
    <w:rsid w:val="F65D6CE4"/>
    <w:rsid w:val="F6BD6ABA"/>
    <w:rsid w:val="F6BF2A9C"/>
    <w:rsid w:val="F709F11C"/>
    <w:rsid w:val="F73E2C78"/>
    <w:rsid w:val="F75C541E"/>
    <w:rsid w:val="F7AFBF3A"/>
    <w:rsid w:val="F7BFBB61"/>
    <w:rsid w:val="F7C70680"/>
    <w:rsid w:val="F7ECD733"/>
    <w:rsid w:val="F7EF3E0D"/>
    <w:rsid w:val="F7F0BE48"/>
    <w:rsid w:val="F7F354F0"/>
    <w:rsid w:val="F7F7AC8B"/>
    <w:rsid w:val="F7F7CA23"/>
    <w:rsid w:val="F7F988D2"/>
    <w:rsid w:val="F8370272"/>
    <w:rsid w:val="F9773501"/>
    <w:rsid w:val="F97BBC89"/>
    <w:rsid w:val="F9BD83EF"/>
    <w:rsid w:val="FAFFC8A0"/>
    <w:rsid w:val="FB3F70D5"/>
    <w:rsid w:val="FB5FD54A"/>
    <w:rsid w:val="FB6D02C1"/>
    <w:rsid w:val="FB7FBFE2"/>
    <w:rsid w:val="FBBF4767"/>
    <w:rsid w:val="FBBFC89C"/>
    <w:rsid w:val="FBC7BE32"/>
    <w:rsid w:val="FBEF3E11"/>
    <w:rsid w:val="FBF020C9"/>
    <w:rsid w:val="FBFB8B8D"/>
    <w:rsid w:val="FC7F5F55"/>
    <w:rsid w:val="FCB64CF3"/>
    <w:rsid w:val="FCBEB9B4"/>
    <w:rsid w:val="FCBF8E7E"/>
    <w:rsid w:val="FD767759"/>
    <w:rsid w:val="FD7FB604"/>
    <w:rsid w:val="FDB1651A"/>
    <w:rsid w:val="FDBB0405"/>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BE0A3"/>
    <w:rsid w:val="FF7E56E8"/>
    <w:rsid w:val="FF7F7D11"/>
    <w:rsid w:val="FF7FEBC0"/>
    <w:rsid w:val="FFB59012"/>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9ACB9"/>
    <w:rsid w:val="FFFA398F"/>
    <w:rsid w:val="FFFB8A93"/>
    <w:rsid w:val="FFFB8D4C"/>
    <w:rsid w:val="FFFD41FE"/>
    <w:rsid w:val="FFFDC03C"/>
    <w:rsid w:val="FFFE1BB7"/>
    <w:rsid w:val="FFFE7D2F"/>
    <w:rsid w:val="FFFF29AB"/>
    <w:rsid w:val="FFFFB9F9"/>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0"/>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2"/>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3"/>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4"/>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spacing w:line="480" w:lineRule="exact"/>
      <w:ind w:firstLine="567"/>
    </w:pPr>
    <w:rPr>
      <w:rFonts w:ascii="宋体"/>
      <w:color w:val="000000"/>
      <w:kern w:val="28"/>
      <w:sz w:val="28"/>
      <w:szCs w:val="28"/>
    </w:rPr>
  </w:style>
  <w:style w:type="paragraph" w:styleId="12">
    <w:name w:val="annotation text"/>
    <w:basedOn w:val="1"/>
    <w:qFormat/>
    <w:uiPriority w:val="99"/>
    <w:pPr>
      <w:jc w:val="left"/>
    </w:pPr>
  </w:style>
  <w:style w:type="paragraph" w:styleId="13">
    <w:name w:val="Body Text"/>
    <w:basedOn w:val="1"/>
    <w:next w:val="14"/>
    <w:link w:val="79"/>
    <w:unhideWhenUsed/>
    <w:qFormat/>
    <w:uiPriority w:val="99"/>
  </w:style>
  <w:style w:type="paragraph" w:styleId="14">
    <w:name w:val="Body Text First Indent"/>
    <w:basedOn w:val="13"/>
    <w:next w:val="1"/>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5">
    <w:name w:val="Body Text Indent"/>
    <w:basedOn w:val="1"/>
    <w:next w:val="1"/>
    <w:link w:val="78"/>
    <w:unhideWhenUsed/>
    <w:qFormat/>
    <w:uiPriority w:val="99"/>
    <w:pPr>
      <w:spacing w:line="480" w:lineRule="atLeast"/>
      <w:ind w:firstLine="570"/>
    </w:pPr>
    <w:rPr>
      <w:rFonts w:ascii="黑体" w:hAnsi="黑体" w:eastAsia="黑体" w:cs="宋体"/>
    </w:rPr>
  </w:style>
  <w:style w:type="paragraph" w:styleId="16">
    <w:name w:val="Plain Text"/>
    <w:basedOn w:val="1"/>
    <w:link w:val="76"/>
    <w:unhideWhenUsed/>
    <w:qFormat/>
    <w:uiPriority w:val="99"/>
    <w:pPr>
      <w:ind w:firstLine="425" w:firstLineChars="177"/>
    </w:pPr>
    <w:rPr>
      <w:rFonts w:ascii="仿宋" w:hAnsi="仿宋" w:eastAsia="仿宋"/>
    </w:rPr>
  </w:style>
  <w:style w:type="paragraph" w:styleId="17">
    <w:name w:val="Date"/>
    <w:basedOn w:val="1"/>
    <w:next w:val="1"/>
    <w:link w:val="83"/>
    <w:qFormat/>
    <w:uiPriority w:val="0"/>
    <w:pPr>
      <w:ind w:left="100" w:leftChars="2500"/>
    </w:pPr>
  </w:style>
  <w:style w:type="paragraph" w:styleId="18">
    <w:name w:val="footer"/>
    <w:basedOn w:val="1"/>
    <w:link w:val="75"/>
    <w:qFormat/>
    <w:uiPriority w:val="0"/>
    <w:pPr>
      <w:tabs>
        <w:tab w:val="center" w:pos="4153"/>
        <w:tab w:val="right" w:pos="8306"/>
      </w:tabs>
      <w:jc w:val="left"/>
    </w:pPr>
    <w:rPr>
      <w:sz w:val="18"/>
      <w:szCs w:val="18"/>
    </w:rPr>
  </w:style>
  <w:style w:type="paragraph" w:styleId="19">
    <w:name w:val="header"/>
    <w:basedOn w:val="1"/>
    <w:link w:val="73"/>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rPr>
      <w:rFonts w:ascii="宋体" w:hAnsi="宋体" w:eastAsia="宋体" w:cs="宋体"/>
      <w:b/>
    </w:rPr>
  </w:style>
  <w:style w:type="paragraph" w:styleId="21">
    <w:name w:val="toc 2"/>
    <w:basedOn w:val="1"/>
    <w:next w:val="1"/>
    <w:qFormat/>
    <w:uiPriority w:val="0"/>
    <w:pPr>
      <w:ind w:left="420" w:leftChars="200"/>
    </w:pPr>
    <w:rPr>
      <w:rFonts w:ascii="宋体" w:hAnsi="宋体" w:eastAsia="宋体" w:cs="宋体"/>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6"/>
    <w:link w:val="86"/>
    <w:qFormat/>
    <w:uiPriority w:val="99"/>
    <w:pPr>
      <w:adjustRightInd/>
      <w:spacing w:before="360" w:after="180"/>
      <w:jc w:val="center"/>
      <w:outlineLvl w:val="0"/>
    </w:pPr>
    <w:rPr>
      <w:rFonts w:ascii="Cambria" w:hAnsi="Cambria" w:eastAsia="华文中宋"/>
      <w:b/>
      <w:bCs/>
      <w:sz w:val="44"/>
      <w:szCs w:val="44"/>
    </w:rPr>
  </w:style>
  <w:style w:type="table" w:styleId="25">
    <w:name w:val="Table Grid"/>
    <w:basedOn w:val="26"/>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6">
    <w:name w:val="表格样式@中勤招标"/>
    <w:basedOn w:val="24"/>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qFormat/>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000FF"/>
      <w:u w:val="single"/>
    </w:rPr>
  </w:style>
  <w:style w:type="paragraph" w:customStyle="1" w:styleId="32">
    <w:name w:val="标题6@中勤招标"/>
    <w:basedOn w:val="33"/>
    <w:next w:val="35"/>
    <w:link w:val="36"/>
    <w:qFormat/>
    <w:uiPriority w:val="0"/>
    <w:pPr>
      <w:numPr>
        <w:ilvl w:val="5"/>
        <w:numId w:val="2"/>
      </w:numPr>
      <w:ind w:firstLine="0" w:firstLineChars="0"/>
      <w:outlineLvl w:val="9"/>
    </w:pPr>
    <w:rPr>
      <w:b w:val="0"/>
      <w:u w:val="single"/>
    </w:rPr>
  </w:style>
  <w:style w:type="paragraph" w:customStyle="1" w:styleId="33">
    <w:name w:val="标题5@中勤招标"/>
    <w:basedOn w:val="34"/>
    <w:next w:val="35"/>
    <w:link w:val="46"/>
    <w:qFormat/>
    <w:uiPriority w:val="0"/>
    <w:pPr>
      <w:numPr>
        <w:ilvl w:val="4"/>
        <w:numId w:val="2"/>
      </w:numPr>
      <w:ind w:left="0" w:firstLine="720" w:firstLineChars="200"/>
      <w:outlineLvl w:val="4"/>
    </w:pPr>
  </w:style>
  <w:style w:type="paragraph" w:customStyle="1" w:styleId="34">
    <w:name w:val="标题4@中勤招标"/>
    <w:basedOn w:val="35"/>
    <w:next w:val="35"/>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5">
    <w:name w:val="正文@中勤招标"/>
    <w:basedOn w:val="1"/>
    <w:link w:val="94"/>
    <w:qFormat/>
    <w:uiPriority w:val="0"/>
    <w:pPr>
      <w:spacing w:line="360" w:lineRule="auto"/>
      <w:ind w:firstLine="200" w:firstLineChars="200"/>
    </w:pPr>
    <w:rPr>
      <w:rFonts w:ascii="宋体" w:hAnsi="宋体"/>
      <w:sz w:val="24"/>
      <w:lang w:eastAsia="zh-Hans"/>
    </w:rPr>
  </w:style>
  <w:style w:type="character" w:customStyle="1" w:styleId="36">
    <w:name w:val="标题6@中勤招标 Char"/>
    <w:link w:val="32"/>
    <w:qFormat/>
    <w:uiPriority w:val="0"/>
    <w:rPr>
      <w:rFonts w:ascii="宋体" w:hAnsi="宋体" w:eastAsia="宋体" w:cs="Times New Roman"/>
      <w:bCs/>
      <w:kern w:val="2"/>
      <w:sz w:val="24"/>
      <w:szCs w:val="21"/>
      <w:u w:val="single"/>
    </w:rPr>
  </w:style>
  <w:style w:type="paragraph" w:customStyle="1" w:styleId="37">
    <w:name w:val="标题2@中勤招标"/>
    <w:basedOn w:val="38"/>
    <w:next w:val="35"/>
    <w:link w:val="89"/>
    <w:qFormat/>
    <w:uiPriority w:val="0"/>
    <w:pPr>
      <w:numPr>
        <w:ilvl w:val="1"/>
        <w:numId w:val="2"/>
      </w:numPr>
      <w:tabs>
        <w:tab w:val="left" w:pos="0"/>
      </w:tabs>
      <w:outlineLvl w:val="1"/>
    </w:pPr>
    <w:rPr>
      <w:sz w:val="32"/>
      <w:szCs w:val="32"/>
    </w:rPr>
  </w:style>
  <w:style w:type="paragraph" w:customStyle="1" w:styleId="38">
    <w:name w:val="标题1@中勤招标"/>
    <w:basedOn w:val="35"/>
    <w:next w:val="35"/>
    <w:link w:val="90"/>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3@中勤招标"/>
    <w:basedOn w:val="37"/>
    <w:next w:val="35"/>
    <w:qFormat/>
    <w:uiPriority w:val="0"/>
    <w:pPr>
      <w:numPr>
        <w:ilvl w:val="2"/>
      </w:numPr>
      <w:ind w:left="0"/>
      <w:jc w:val="both"/>
      <w:outlineLvl w:val="2"/>
    </w:pPr>
    <w:rPr>
      <w:sz w:val="28"/>
      <w:szCs w:val="28"/>
    </w:rPr>
  </w:style>
  <w:style w:type="paragraph" w:customStyle="1" w:styleId="40">
    <w:name w:val="同标题4序号的正文@中勤招标"/>
    <w:basedOn w:val="34"/>
    <w:next w:val="35"/>
    <w:qFormat/>
    <w:uiPriority w:val="0"/>
    <w:pPr>
      <w:numPr>
        <w:numId w:val="3"/>
      </w:numPr>
      <w:outlineLvl w:val="9"/>
    </w:pPr>
    <w:rPr>
      <w:rFonts w:hint="eastAsia" w:ascii="宋体" w:hAnsi="宋体" w:eastAsia="宋体"/>
      <w:b w:val="0"/>
    </w:rPr>
  </w:style>
  <w:style w:type="paragraph" w:customStyle="1" w:styleId="41">
    <w:name w:val="同标题5序号的正文@中勤招标"/>
    <w:basedOn w:val="33"/>
    <w:next w:val="35"/>
    <w:qFormat/>
    <w:uiPriority w:val="0"/>
    <w:pPr>
      <w:ind w:left="0" w:firstLine="480"/>
      <w:outlineLvl w:val="9"/>
    </w:pPr>
    <w:rPr>
      <w:rFonts w:hint="eastAsia"/>
      <w:b w:val="0"/>
    </w:rPr>
  </w:style>
  <w:style w:type="character" w:customStyle="1" w:styleId="42">
    <w:name w:val="标题 3 字符"/>
    <w:basedOn w:val="27"/>
    <w:semiHidden/>
    <w:qFormat/>
    <w:uiPriority w:val="0"/>
    <w:rPr>
      <w:b/>
      <w:bCs/>
      <w:kern w:val="2"/>
      <w:sz w:val="32"/>
      <w:szCs w:val="32"/>
    </w:rPr>
  </w:style>
  <w:style w:type="paragraph" w:customStyle="1" w:styleId="43">
    <w:name w:val="序号1@中勤招标"/>
    <w:basedOn w:val="44"/>
    <w:next w:val="35"/>
    <w:qFormat/>
    <w:uiPriority w:val="0"/>
    <w:pPr>
      <w:numPr>
        <w:ilvl w:val="0"/>
        <w:numId w:val="4"/>
      </w:numPr>
      <w:tabs>
        <w:tab w:val="left" w:pos="0"/>
      </w:tabs>
      <w:ind w:firstLine="480"/>
    </w:pPr>
  </w:style>
  <w:style w:type="paragraph" w:customStyle="1" w:styleId="44">
    <w:name w:val="序号2@中勤招标"/>
    <w:basedOn w:val="45"/>
    <w:next w:val="35"/>
    <w:qFormat/>
    <w:uiPriority w:val="0"/>
    <w:pPr>
      <w:numPr>
        <w:ilvl w:val="0"/>
        <w:numId w:val="5"/>
      </w:numPr>
      <w:ind w:firstLine="200"/>
    </w:pPr>
  </w:style>
  <w:style w:type="paragraph" w:customStyle="1" w:styleId="45">
    <w:name w:val="符号@中勤招标"/>
    <w:basedOn w:val="35"/>
    <w:next w:val="35"/>
    <w:qFormat/>
    <w:uiPriority w:val="0"/>
    <w:pPr>
      <w:numPr>
        <w:ilvl w:val="0"/>
        <w:numId w:val="6"/>
      </w:numPr>
      <w:ind w:firstLine="200"/>
    </w:pPr>
    <w:rPr>
      <w:lang w:eastAsia="zh-CN"/>
    </w:rPr>
  </w:style>
  <w:style w:type="character" w:customStyle="1" w:styleId="46">
    <w:name w:val="标题5@中勤招标 Char"/>
    <w:link w:val="33"/>
    <w:qFormat/>
    <w:uiPriority w:val="0"/>
    <w:rPr>
      <w:rFonts w:eastAsia="宋体"/>
    </w:rPr>
  </w:style>
  <w:style w:type="paragraph" w:customStyle="1" w:styleId="4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8">
    <w:name w:val="标题 1 字符1"/>
    <w:basedOn w:val="27"/>
    <w:link w:val="2"/>
    <w:qFormat/>
    <w:uiPriority w:val="0"/>
    <w:rPr>
      <w:b/>
      <w:bCs/>
      <w:kern w:val="44"/>
      <w:sz w:val="44"/>
      <w:szCs w:val="44"/>
    </w:rPr>
  </w:style>
  <w:style w:type="character" w:customStyle="1" w:styleId="49">
    <w:name w:val="标题 2 字符1"/>
    <w:basedOn w:val="27"/>
    <w:link w:val="3"/>
    <w:semiHidden/>
    <w:qFormat/>
    <w:uiPriority w:val="0"/>
    <w:rPr>
      <w:rFonts w:asciiTheme="majorHAnsi" w:hAnsiTheme="majorHAnsi" w:eastAsiaTheme="majorEastAsia" w:cstheme="majorBidi"/>
      <w:b/>
      <w:bCs/>
      <w:kern w:val="2"/>
      <w:sz w:val="32"/>
      <w:szCs w:val="32"/>
    </w:rPr>
  </w:style>
  <w:style w:type="character" w:customStyle="1" w:styleId="50">
    <w:name w:val="标题 3 字符1"/>
    <w:basedOn w:val="27"/>
    <w:link w:val="4"/>
    <w:semiHidden/>
    <w:qFormat/>
    <w:uiPriority w:val="0"/>
    <w:rPr>
      <w:b/>
      <w:bCs/>
      <w:kern w:val="2"/>
      <w:sz w:val="32"/>
      <w:szCs w:val="32"/>
    </w:rPr>
  </w:style>
  <w:style w:type="character" w:customStyle="1" w:styleId="51">
    <w:name w:val="标题 1 字符"/>
    <w:basedOn w:val="27"/>
    <w:qFormat/>
    <w:uiPriority w:val="0"/>
    <w:rPr>
      <w:b/>
      <w:bCs/>
      <w:kern w:val="44"/>
      <w:sz w:val="44"/>
      <w:szCs w:val="44"/>
    </w:rPr>
  </w:style>
  <w:style w:type="character" w:customStyle="1" w:styleId="52">
    <w:name w:val="标题 2 字符"/>
    <w:basedOn w:val="27"/>
    <w:qFormat/>
    <w:uiPriority w:val="99"/>
    <w:rPr>
      <w:rFonts w:asciiTheme="majorHAnsi" w:hAnsiTheme="majorHAnsi" w:eastAsiaTheme="majorEastAsia" w:cstheme="majorBidi"/>
      <w:b/>
      <w:bCs/>
      <w:kern w:val="2"/>
      <w:sz w:val="32"/>
      <w:szCs w:val="32"/>
    </w:rPr>
  </w:style>
  <w:style w:type="character" w:customStyle="1" w:styleId="53">
    <w:name w:val="标题 4 字符"/>
    <w:basedOn w:val="27"/>
    <w:semiHidden/>
    <w:qFormat/>
    <w:uiPriority w:val="0"/>
    <w:rPr>
      <w:rFonts w:asciiTheme="majorHAnsi" w:hAnsiTheme="majorHAnsi" w:eastAsiaTheme="majorEastAsia" w:cstheme="majorBidi"/>
      <w:b/>
      <w:bCs/>
      <w:kern w:val="2"/>
      <w:sz w:val="28"/>
      <w:szCs w:val="28"/>
    </w:rPr>
  </w:style>
  <w:style w:type="character" w:customStyle="1" w:styleId="54">
    <w:name w:val="标题 5 字符"/>
    <w:basedOn w:val="27"/>
    <w:semiHidden/>
    <w:qFormat/>
    <w:uiPriority w:val="0"/>
    <w:rPr>
      <w:b/>
      <w:bCs/>
      <w:kern w:val="2"/>
      <w:sz w:val="28"/>
      <w:szCs w:val="28"/>
    </w:rPr>
  </w:style>
  <w:style w:type="character" w:customStyle="1" w:styleId="55">
    <w:name w:val="标题 6 字符"/>
    <w:basedOn w:val="27"/>
    <w:semiHidden/>
    <w:qFormat/>
    <w:uiPriority w:val="0"/>
    <w:rPr>
      <w:rFonts w:asciiTheme="majorHAnsi" w:hAnsiTheme="majorHAnsi" w:eastAsiaTheme="majorEastAsia" w:cstheme="majorBidi"/>
      <w:b/>
      <w:bCs/>
      <w:kern w:val="2"/>
      <w:sz w:val="24"/>
      <w:szCs w:val="24"/>
    </w:rPr>
  </w:style>
  <w:style w:type="character" w:customStyle="1" w:styleId="56">
    <w:name w:val="标题 7 字符"/>
    <w:basedOn w:val="27"/>
    <w:semiHidden/>
    <w:qFormat/>
    <w:uiPriority w:val="0"/>
    <w:rPr>
      <w:b/>
      <w:bCs/>
      <w:kern w:val="2"/>
      <w:sz w:val="24"/>
      <w:szCs w:val="24"/>
    </w:rPr>
  </w:style>
  <w:style w:type="character" w:customStyle="1" w:styleId="57">
    <w:name w:val="标题 8 字符"/>
    <w:basedOn w:val="27"/>
    <w:semiHidden/>
    <w:qFormat/>
    <w:uiPriority w:val="0"/>
    <w:rPr>
      <w:rFonts w:asciiTheme="majorHAnsi" w:hAnsiTheme="majorHAnsi" w:eastAsiaTheme="majorEastAsia" w:cstheme="majorBidi"/>
      <w:kern w:val="2"/>
      <w:sz w:val="24"/>
      <w:szCs w:val="24"/>
    </w:rPr>
  </w:style>
  <w:style w:type="character" w:customStyle="1" w:styleId="58">
    <w:name w:val="标题 9 字符"/>
    <w:basedOn w:val="27"/>
    <w:semiHidden/>
    <w:qFormat/>
    <w:uiPriority w:val="0"/>
    <w:rPr>
      <w:rFonts w:asciiTheme="majorHAnsi" w:hAnsiTheme="majorHAnsi" w:eastAsiaTheme="majorEastAsia" w:cstheme="majorBidi"/>
      <w:kern w:val="2"/>
      <w:sz w:val="21"/>
      <w:szCs w:val="21"/>
    </w:rPr>
  </w:style>
  <w:style w:type="character" w:customStyle="1" w:styleId="59">
    <w:name w:val="标题 4 字符1"/>
    <w:basedOn w:val="27"/>
    <w:link w:val="5"/>
    <w:semiHidden/>
    <w:qFormat/>
    <w:uiPriority w:val="0"/>
    <w:rPr>
      <w:rFonts w:asciiTheme="majorHAnsi" w:hAnsiTheme="majorHAnsi" w:eastAsiaTheme="majorEastAsia" w:cstheme="majorBidi"/>
      <w:b/>
      <w:bCs/>
      <w:kern w:val="2"/>
      <w:sz w:val="28"/>
      <w:szCs w:val="28"/>
    </w:rPr>
  </w:style>
  <w:style w:type="character" w:customStyle="1" w:styleId="60">
    <w:name w:val="标题 5 字符1"/>
    <w:basedOn w:val="27"/>
    <w:link w:val="6"/>
    <w:semiHidden/>
    <w:qFormat/>
    <w:uiPriority w:val="0"/>
    <w:rPr>
      <w:b/>
      <w:bCs/>
      <w:kern w:val="2"/>
      <w:sz w:val="28"/>
      <w:szCs w:val="28"/>
    </w:rPr>
  </w:style>
  <w:style w:type="character" w:customStyle="1" w:styleId="61">
    <w:name w:val="标题 6 字符1"/>
    <w:basedOn w:val="27"/>
    <w:link w:val="7"/>
    <w:semiHidden/>
    <w:qFormat/>
    <w:uiPriority w:val="0"/>
    <w:rPr>
      <w:rFonts w:asciiTheme="majorHAnsi" w:hAnsiTheme="majorHAnsi" w:eastAsiaTheme="majorEastAsia" w:cstheme="majorBidi"/>
      <w:b/>
      <w:bCs/>
      <w:kern w:val="2"/>
      <w:sz w:val="24"/>
      <w:szCs w:val="24"/>
    </w:rPr>
  </w:style>
  <w:style w:type="character" w:customStyle="1" w:styleId="62">
    <w:name w:val="标题 7 字符1"/>
    <w:basedOn w:val="27"/>
    <w:link w:val="8"/>
    <w:semiHidden/>
    <w:qFormat/>
    <w:uiPriority w:val="0"/>
    <w:rPr>
      <w:b/>
      <w:bCs/>
      <w:kern w:val="2"/>
      <w:sz w:val="24"/>
      <w:szCs w:val="24"/>
    </w:rPr>
  </w:style>
  <w:style w:type="character" w:customStyle="1" w:styleId="63">
    <w:name w:val="标题 8 字符1"/>
    <w:basedOn w:val="27"/>
    <w:link w:val="9"/>
    <w:semiHidden/>
    <w:qFormat/>
    <w:uiPriority w:val="0"/>
    <w:rPr>
      <w:rFonts w:asciiTheme="majorHAnsi" w:hAnsiTheme="majorHAnsi" w:eastAsiaTheme="majorEastAsia" w:cstheme="majorBidi"/>
      <w:kern w:val="2"/>
      <w:sz w:val="24"/>
      <w:szCs w:val="24"/>
    </w:rPr>
  </w:style>
  <w:style w:type="character" w:customStyle="1" w:styleId="64">
    <w:name w:val="标题 9 字符1"/>
    <w:basedOn w:val="27"/>
    <w:link w:val="10"/>
    <w:semiHidden/>
    <w:qFormat/>
    <w:uiPriority w:val="0"/>
    <w:rPr>
      <w:rFonts w:asciiTheme="majorHAnsi" w:hAnsiTheme="majorHAnsi" w:eastAsiaTheme="majorEastAsia" w:cstheme="majorBidi"/>
      <w:kern w:val="2"/>
      <w:sz w:val="21"/>
      <w:szCs w:val="21"/>
    </w:rPr>
  </w:style>
  <w:style w:type="table" w:customStyle="1" w:styleId="65">
    <w:name w:val="无格式表格 21"/>
    <w:basedOn w:val="24"/>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6">
    <w:name w:val="无格式表格 11"/>
    <w:basedOn w:val="2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7">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8">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9">
    <w:name w:val="样式1"/>
    <w:basedOn w:val="24"/>
    <w:qFormat/>
    <w:uiPriority w:val="99"/>
  </w:style>
  <w:style w:type="table" w:customStyle="1" w:styleId="70">
    <w:name w:val="无格式表格 31"/>
    <w:basedOn w:val="2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1">
    <w:name w:val="网格表 21"/>
    <w:basedOn w:val="24"/>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2">
    <w:name w:val="网格表 2 - 着色 11"/>
    <w:basedOn w:val="24"/>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3">
    <w:name w:val="页眉 字符"/>
    <w:basedOn w:val="27"/>
    <w:link w:val="19"/>
    <w:qFormat/>
    <w:uiPriority w:val="0"/>
    <w:rPr>
      <w:kern w:val="2"/>
      <w:sz w:val="18"/>
      <w:szCs w:val="18"/>
    </w:rPr>
  </w:style>
  <w:style w:type="table" w:customStyle="1" w:styleId="74">
    <w:name w:val="样式2"/>
    <w:basedOn w:val="24"/>
    <w:qFormat/>
    <w:uiPriority w:val="99"/>
  </w:style>
  <w:style w:type="character" w:customStyle="1" w:styleId="75">
    <w:name w:val="页脚 字符"/>
    <w:basedOn w:val="27"/>
    <w:link w:val="18"/>
    <w:qFormat/>
    <w:uiPriority w:val="0"/>
    <w:rPr>
      <w:kern w:val="2"/>
      <w:sz w:val="18"/>
      <w:szCs w:val="18"/>
    </w:rPr>
  </w:style>
  <w:style w:type="character" w:customStyle="1" w:styleId="76">
    <w:name w:val="纯文本 字符"/>
    <w:basedOn w:val="27"/>
    <w:link w:val="16"/>
    <w:qFormat/>
    <w:uiPriority w:val="99"/>
    <w:rPr>
      <w:rFonts w:ascii="仿宋" w:hAnsi="仿宋" w:eastAsia="仿宋" w:cs="Times New Roman"/>
      <w:kern w:val="2"/>
      <w:sz w:val="24"/>
      <w:szCs w:val="24"/>
    </w:rPr>
  </w:style>
  <w:style w:type="character" w:customStyle="1" w:styleId="77">
    <w:name w:val="未处理的提及1"/>
    <w:basedOn w:val="27"/>
    <w:semiHidden/>
    <w:unhideWhenUsed/>
    <w:qFormat/>
    <w:uiPriority w:val="99"/>
    <w:rPr>
      <w:color w:val="605E5C"/>
      <w:shd w:val="clear" w:color="auto" w:fill="E1DFDD"/>
    </w:rPr>
  </w:style>
  <w:style w:type="character" w:customStyle="1" w:styleId="78">
    <w:name w:val="正文文本缩进 字符"/>
    <w:basedOn w:val="27"/>
    <w:link w:val="15"/>
    <w:qFormat/>
    <w:uiPriority w:val="99"/>
    <w:rPr>
      <w:rFonts w:ascii="黑体" w:hAnsi="黑体" w:eastAsia="黑体" w:cs="宋体"/>
      <w:kern w:val="2"/>
      <w:sz w:val="28"/>
      <w:szCs w:val="28"/>
    </w:rPr>
  </w:style>
  <w:style w:type="character" w:customStyle="1" w:styleId="79">
    <w:name w:val="正文文本 字符"/>
    <w:basedOn w:val="27"/>
    <w:link w:val="13"/>
    <w:qFormat/>
    <w:uiPriority w:val="99"/>
    <w:rPr>
      <w:rFonts w:ascii="Times New Roman" w:hAnsi="Times New Roman" w:eastAsia="宋体" w:cs="Times New Roman"/>
      <w:kern w:val="2"/>
      <w:sz w:val="24"/>
      <w:szCs w:val="24"/>
    </w:rPr>
  </w:style>
  <w:style w:type="paragraph" w:customStyle="1" w:styleId="80">
    <w:name w:val="正文2"/>
    <w:basedOn w:val="1"/>
    <w:qFormat/>
    <w:uiPriority w:val="0"/>
    <w:pPr>
      <w:spacing w:after="100" w:afterAutospacing="1"/>
      <w:ind w:firstLine="510"/>
    </w:pPr>
  </w:style>
  <w:style w:type="paragraph" w:customStyle="1" w:styleId="81">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2">
    <w:name w:val="16"/>
    <w:basedOn w:val="27"/>
    <w:qFormat/>
    <w:uiPriority w:val="0"/>
    <w:rPr>
      <w:rFonts w:hint="default" w:ascii="Times New Roman" w:hAnsi="Times New Roman" w:cs="Times New Roman"/>
      <w:color w:val="0000FF"/>
      <w:u w:val="single"/>
    </w:rPr>
  </w:style>
  <w:style w:type="character" w:customStyle="1" w:styleId="83">
    <w:name w:val="日期 字符"/>
    <w:basedOn w:val="27"/>
    <w:link w:val="17"/>
    <w:qFormat/>
    <w:uiPriority w:val="0"/>
    <w:rPr>
      <w:rFonts w:ascii="SimSong" w:hAnsi="SimSong" w:eastAsia="SimSong" w:cs="Times New Roman"/>
      <w:kern w:val="2"/>
      <w:sz w:val="24"/>
      <w:szCs w:val="24"/>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5">
    <w:name w:val="未处理的提及2"/>
    <w:basedOn w:val="27"/>
    <w:semiHidden/>
    <w:unhideWhenUsed/>
    <w:qFormat/>
    <w:uiPriority w:val="99"/>
    <w:rPr>
      <w:color w:val="605E5C"/>
      <w:shd w:val="clear" w:color="auto" w:fill="E1DFDD"/>
    </w:rPr>
  </w:style>
  <w:style w:type="character" w:customStyle="1" w:styleId="86">
    <w:name w:val="标题 字符"/>
    <w:basedOn w:val="27"/>
    <w:link w:val="23"/>
    <w:qFormat/>
    <w:uiPriority w:val="99"/>
    <w:rPr>
      <w:rFonts w:ascii="Cambria" w:hAnsi="Cambria" w:eastAsia="华文中宋" w:cs="Times New Roman"/>
      <w:b/>
      <w:bCs/>
      <w:kern w:val="2"/>
      <w:sz w:val="44"/>
      <w:szCs w:val="44"/>
    </w:rPr>
  </w:style>
  <w:style w:type="character" w:customStyle="1" w:styleId="87">
    <w:name w:val="未处理的提及3"/>
    <w:basedOn w:val="27"/>
    <w:semiHidden/>
    <w:unhideWhenUsed/>
    <w:qFormat/>
    <w:uiPriority w:val="99"/>
    <w:rPr>
      <w:color w:val="605E5C"/>
      <w:shd w:val="clear" w:color="auto" w:fill="E1DFDD"/>
    </w:rPr>
  </w:style>
  <w:style w:type="character" w:customStyle="1" w:styleId="88">
    <w:name w:val="未处理的提及4"/>
    <w:basedOn w:val="27"/>
    <w:semiHidden/>
    <w:unhideWhenUsed/>
    <w:qFormat/>
    <w:uiPriority w:val="99"/>
    <w:rPr>
      <w:color w:val="605E5C"/>
      <w:shd w:val="clear" w:color="auto" w:fill="E1DFDD"/>
    </w:rPr>
  </w:style>
  <w:style w:type="character" w:customStyle="1" w:styleId="89">
    <w:name w:val="标题2@中勤招标 Char"/>
    <w:link w:val="37"/>
    <w:qFormat/>
    <w:uiPriority w:val="0"/>
    <w:rPr>
      <w:sz w:val="32"/>
      <w:szCs w:val="32"/>
    </w:rPr>
  </w:style>
  <w:style w:type="character" w:customStyle="1" w:styleId="90">
    <w:name w:val="标题1@中勤招标 Char"/>
    <w:link w:val="38"/>
    <w:qFormat/>
    <w:uiPriority w:val="0"/>
    <w:rPr>
      <w:rFonts w:ascii="黑体" w:hAnsi="黑体" w:eastAsia="黑体" w:cs="黑体"/>
      <w:bCs/>
      <w:sz w:val="36"/>
      <w:szCs w:val="44"/>
    </w:rPr>
  </w:style>
  <w:style w:type="character" w:customStyle="1" w:styleId="91">
    <w:name w:val="标题 1 Char1"/>
    <w:qFormat/>
    <w:uiPriority w:val="0"/>
    <w:rPr>
      <w:b/>
      <w:bCs/>
      <w:kern w:val="44"/>
      <w:sz w:val="24"/>
      <w:szCs w:val="44"/>
    </w:rPr>
  </w:style>
  <w:style w:type="paragraph" w:customStyle="1" w:styleId="92">
    <w:name w:val="三三级"/>
    <w:basedOn w:val="93"/>
    <w:qFormat/>
    <w:uiPriority w:val="0"/>
    <w:pPr>
      <w:tabs>
        <w:tab w:val="left" w:pos="720"/>
        <w:tab w:val="left" w:pos="868"/>
        <w:tab w:val="left" w:pos="5541"/>
      </w:tabs>
      <w:ind w:left="5541"/>
    </w:pPr>
    <w:rPr>
      <w:b w:val="0"/>
    </w:rPr>
  </w:style>
  <w:style w:type="paragraph" w:customStyle="1" w:styleId="93">
    <w:name w:val="三级标题"/>
    <w:basedOn w:val="1"/>
    <w:qFormat/>
    <w:uiPriority w:val="0"/>
    <w:pPr>
      <w:widowControl/>
      <w:numPr>
        <w:ilvl w:val="2"/>
        <w:numId w:val="7"/>
      </w:numPr>
      <w:tabs>
        <w:tab w:val="left" w:pos="720"/>
        <w:tab w:val="left" w:pos="868"/>
        <w:tab w:val="clear" w:pos="5541"/>
      </w:tabs>
      <w:autoSpaceDE w:val="0"/>
      <w:autoSpaceDN w:val="0"/>
      <w:adjustRightInd w:val="0"/>
      <w:spacing w:line="440" w:lineRule="exact"/>
      <w:ind w:left="720"/>
      <w:textAlignment w:val="bottom"/>
    </w:pPr>
    <w:rPr>
      <w:rFonts w:ascii="仿宋_GB2312" w:hAnsi="宋体" w:eastAsia="仿宋_GB2312"/>
      <w:b/>
      <w:bCs/>
      <w:szCs w:val="21"/>
    </w:rPr>
  </w:style>
  <w:style w:type="character" w:customStyle="1" w:styleId="94">
    <w:name w:val="正文@中勤招标 Char"/>
    <w:link w:val="35"/>
    <w:qFormat/>
    <w:uiPriority w:val="0"/>
    <w:rPr>
      <w:rFonts w:ascii="宋体" w:hAnsi="宋体"/>
      <w:sz w:val="24"/>
      <w:lang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96</Pages>
  <Words>3499</Words>
  <Characters>4119</Characters>
  <Lines>363</Lines>
  <Paragraphs>102</Paragraphs>
  <TotalTime>64</TotalTime>
  <ScaleCrop>false</ScaleCrop>
  <LinksUpToDate>false</LinksUpToDate>
  <CharactersWithSpaces>4340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2022-09-09T11:12:00Z</dcterms:created>
  <dc:creator>中勤招标</dc:creator>
  <cp:lastModifiedBy>企鹅</cp:lastModifiedBy>
  <cp:lastPrinted>2022-11-21T17:04:00Z</cp:lastPrinted>
  <dcterms:modified xsi:type="dcterms:W3CDTF">2025-07-11T02:30:46Z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DE93967B989FB0B78BDF4A6824652113_43</vt:lpwstr>
  </property>
  <property fmtid="{D5CDD505-2E9C-101B-9397-08002B2CF9AE}" pid="4" name="KSOTemplateDocerSaveRecord">
    <vt:lpwstr>eyJoZGlkIjoiOWFhZmUyZWYwMjIxNjI2MjlkMGYyNDdjMGRlOGM1YTYiLCJ1c2VySWQiOiIzNzk1NzY0MTAifQ==</vt:lpwstr>
  </property>
</Properties>
</file>